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jc w:val="center"/>
        <w:spacing w:after="0" w:line="238" w:lineRule="auto"/>
        <w:rPr>
          <w:sz w:val="20"/>
          <w:szCs w:val="20"/>
          <w:color w:val="auto"/>
        </w:rPr>
      </w:pPr>
      <w:r>
        <w:rPr>
          <w:rFonts w:ascii="Arial" w:cs="Arial" w:eastAsia="Arial" w:hAnsi="Arial"/>
          <w:sz w:val="29"/>
          <w:szCs w:val="29"/>
          <w:b w:val="1"/>
          <w:bCs w:val="1"/>
          <w:color w:val="auto"/>
        </w:rPr>
        <w:t>FORM 10-K</w:t>
      </w:r>
    </w:p>
    <w:p>
      <w:pPr>
        <w:ind w:left="3800"/>
        <w:spacing w:after="0" w:line="217" w:lineRule="auto"/>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rPr>
          <w:sz w:val="20"/>
          <w:szCs w:val="20"/>
          <w:color w:val="auto"/>
        </w:rPr>
      </w:pPr>
      <w:r>
        <w:rPr>
          <w:rFonts w:ascii="Arial" w:cs="Arial" w:eastAsia="Arial" w:hAnsi="Arial"/>
          <w:sz w:val="16"/>
          <w:szCs w:val="16"/>
          <w:color w:val="auto"/>
        </w:rPr>
        <w:t>(Mark One)</w:t>
      </w:r>
    </w:p>
    <w:p>
      <w:pPr>
        <w:spacing w:after="0" w:line="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ANNUAL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30, 2017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TRANSITION REPORT PURSUANT TO SECTION 13 OR 15(d) OF THE SECURITIES EXCHANGE ACT OF 1934</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6"/>
          <w:szCs w:val="16"/>
          <w:b w:val="1"/>
          <w:bCs w:val="1"/>
          <w:color w:val="auto"/>
        </w:rPr>
        <w:t>For the transition period from _____ to_____</w:t>
      </w:r>
    </w:p>
    <w:p>
      <w:pPr>
        <w:spacing w:after="0" w:line="14" w:lineRule="exact"/>
        <w:rPr>
          <w:sz w:val="24"/>
          <w:szCs w:val="24"/>
          <w:color w:val="auto"/>
        </w:rPr>
      </w:pPr>
    </w:p>
    <w:tbl>
      <w:tblPr>
        <w:tblLayout w:type="fixed"/>
        <w:tblInd w:w="1380" w:type="dxa"/>
        <w:tblCellMar>
          <w:top w:w="0" w:type="dxa"/>
          <w:left w:w="0" w:type="dxa"/>
          <w:bottom w:w="0" w:type="dxa"/>
          <w:right w:w="0" w:type="dxa"/>
        </w:tblCellMar>
      </w:tblPr>
      <w:tr>
        <w:trPr>
          <w:trHeight w:val="210"/>
        </w:trPr>
        <w:tc>
          <w:tcPr>
            <w:tcW w:w="1760" w:type="dxa"/>
            <w:vAlign w:val="bottom"/>
          </w:tcPr>
          <w:p>
            <w:pPr>
              <w:spacing w:after="0"/>
              <w:rPr>
                <w:sz w:val="18"/>
                <w:szCs w:val="18"/>
                <w:color w:val="auto"/>
              </w:rPr>
            </w:pPr>
          </w:p>
        </w:tc>
        <w:tc>
          <w:tcPr>
            <w:tcW w:w="6540" w:type="dxa"/>
            <w:vAlign w:val="bottom"/>
          </w:tcPr>
          <w:p>
            <w:pPr>
              <w:ind w:left="1460"/>
              <w:spacing w:after="0"/>
              <w:rPr>
                <w:sz w:val="20"/>
                <w:szCs w:val="20"/>
                <w:color w:val="auto"/>
              </w:rPr>
            </w:pPr>
            <w:r>
              <w:rPr>
                <w:rFonts w:ascii="Arial" w:cs="Arial" w:eastAsia="Arial" w:hAnsi="Arial"/>
                <w:sz w:val="16"/>
                <w:szCs w:val="16"/>
                <w:b w:val="1"/>
                <w:bCs w:val="1"/>
                <w:color w:val="auto"/>
              </w:rPr>
              <w:t>Commission file number 001-38257</w:t>
            </w:r>
          </w:p>
        </w:tc>
      </w:tr>
      <w:tr>
        <w:trPr>
          <w:trHeight w:val="136"/>
        </w:trPr>
        <w:tc>
          <w:tcPr>
            <w:tcW w:w="1760" w:type="dxa"/>
            <w:vAlign w:val="bottom"/>
          </w:tcPr>
          <w:p>
            <w:pPr>
              <w:spacing w:after="0"/>
              <w:rPr>
                <w:sz w:val="11"/>
                <w:szCs w:val="11"/>
                <w:color w:val="auto"/>
              </w:rPr>
            </w:pPr>
          </w:p>
        </w:tc>
        <w:tc>
          <w:tcPr>
            <w:tcW w:w="6540" w:type="dxa"/>
            <w:vAlign w:val="bottom"/>
          </w:tcPr>
          <w:p>
            <w:pPr>
              <w:jc w:val="center"/>
              <w:ind w:right="1324"/>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w:t>
            </w:r>
          </w:p>
        </w:tc>
      </w:tr>
      <w:tr>
        <w:trPr>
          <w:trHeight w:val="369"/>
        </w:trPr>
        <w:tc>
          <w:tcPr>
            <w:tcW w:w="1760" w:type="dxa"/>
            <w:vAlign w:val="bottom"/>
          </w:tcPr>
          <w:p>
            <w:pPr>
              <w:spacing w:after="0"/>
              <w:rPr>
                <w:sz w:val="24"/>
                <w:szCs w:val="24"/>
                <w:color w:val="auto"/>
              </w:rPr>
            </w:pPr>
          </w:p>
        </w:tc>
        <w:tc>
          <w:tcPr>
            <w:tcW w:w="6540" w:type="dxa"/>
            <w:vAlign w:val="bottom"/>
          </w:tcPr>
          <w:p>
            <w:pPr>
              <w:jc w:val="center"/>
              <w:ind w:right="1324"/>
              <w:spacing w:after="0"/>
              <w:rPr>
                <w:sz w:val="20"/>
                <w:szCs w:val="20"/>
                <w:color w:val="auto"/>
              </w:rPr>
            </w:pPr>
            <w:r>
              <w:rPr>
                <w:rFonts w:ascii="Arial" w:cs="Arial" w:eastAsia="Arial" w:hAnsi="Arial"/>
                <w:sz w:val="29"/>
                <w:szCs w:val="29"/>
                <w:b w:val="1"/>
                <w:bCs w:val="1"/>
                <w:color w:val="auto"/>
                <w:w w:val="90"/>
              </w:rPr>
              <w:t>National Vision Holdings, Inc.</w:t>
            </w:r>
          </w:p>
        </w:tc>
      </w:tr>
      <w:tr>
        <w:trPr>
          <w:trHeight w:val="230"/>
        </w:trPr>
        <w:tc>
          <w:tcPr>
            <w:tcW w:w="1760" w:type="dxa"/>
            <w:vAlign w:val="bottom"/>
          </w:tcPr>
          <w:p>
            <w:pPr>
              <w:spacing w:after="0"/>
              <w:rPr>
                <w:sz w:val="20"/>
                <w:szCs w:val="20"/>
                <w:color w:val="auto"/>
              </w:rPr>
            </w:pPr>
          </w:p>
        </w:tc>
        <w:tc>
          <w:tcPr>
            <w:tcW w:w="6540" w:type="dxa"/>
            <w:vAlign w:val="bottom"/>
          </w:tcPr>
          <w:p>
            <w:pPr>
              <w:jc w:val="center"/>
              <w:ind w:right="1304"/>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140"/>
        </w:trPr>
        <w:tc>
          <w:tcPr>
            <w:tcW w:w="1760" w:type="dxa"/>
            <w:vAlign w:val="bottom"/>
          </w:tcPr>
          <w:p>
            <w:pPr>
              <w:spacing w:after="0"/>
              <w:rPr>
                <w:sz w:val="12"/>
                <w:szCs w:val="12"/>
                <w:color w:val="auto"/>
              </w:rPr>
            </w:pPr>
          </w:p>
        </w:tc>
        <w:tc>
          <w:tcPr>
            <w:tcW w:w="6540" w:type="dxa"/>
            <w:vAlign w:val="bottom"/>
          </w:tcPr>
          <w:p>
            <w:pPr>
              <w:jc w:val="center"/>
              <w:ind w:right="1324"/>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w:t>
            </w:r>
          </w:p>
        </w:tc>
      </w:tr>
      <w:tr>
        <w:trPr>
          <w:trHeight w:val="287"/>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6540" w:type="dxa"/>
            <w:vAlign w:val="bottom"/>
          </w:tcPr>
          <w:p>
            <w:pPr>
              <w:jc w:val="center"/>
              <w:ind w:left="5364"/>
              <w:spacing w:after="0" w:line="161" w:lineRule="exact"/>
              <w:rPr>
                <w:sz w:val="20"/>
                <w:szCs w:val="20"/>
                <w:color w:val="auto"/>
              </w:rPr>
            </w:pPr>
            <w:r>
              <w:rPr>
                <w:rFonts w:ascii="Arial" w:cs="Arial" w:eastAsia="Arial" w:hAnsi="Arial"/>
                <w:sz w:val="14"/>
                <w:szCs w:val="14"/>
                <w:b w:val="1"/>
                <w:bCs w:val="1"/>
                <w:color w:val="auto"/>
                <w:w w:val="94"/>
              </w:rPr>
              <w:t>46</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4841717</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5"/>
              </w:rPr>
              <w:t>(State or other jurisdiction of</w:t>
            </w:r>
          </w:p>
        </w:tc>
        <w:tc>
          <w:tcPr>
            <w:tcW w:w="6540" w:type="dxa"/>
            <w:vAlign w:val="bottom"/>
          </w:tcPr>
          <w:p>
            <w:pPr>
              <w:jc w:val="center"/>
              <w:ind w:left="5364"/>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760" w:type="dxa"/>
            <w:vAlign w:val="bottom"/>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6540" w:type="dxa"/>
            <w:vAlign w:val="bottom"/>
          </w:tcPr>
          <w:p>
            <w:pPr>
              <w:jc w:val="center"/>
              <w:ind w:left="5384"/>
              <w:spacing w:after="0"/>
              <w:rPr>
                <w:sz w:val="20"/>
                <w:szCs w:val="20"/>
                <w:color w:val="auto"/>
              </w:rPr>
            </w:pPr>
            <w:r>
              <w:rPr>
                <w:rFonts w:ascii="Arial" w:cs="Arial" w:eastAsia="Arial" w:hAnsi="Arial"/>
                <w:sz w:val="14"/>
                <w:szCs w:val="14"/>
                <w:color w:val="auto"/>
                <w:w w:val="99"/>
              </w:rPr>
              <w:t>Identification No.)</w:t>
            </w:r>
          </w:p>
        </w:tc>
      </w:tr>
      <w:tr>
        <w:trPr>
          <w:trHeight w:val="165"/>
        </w:trPr>
        <w:tc>
          <w:tcPr>
            <w:tcW w:w="1760" w:type="dxa"/>
            <w:vAlign w:val="bottom"/>
          </w:tcPr>
          <w:p>
            <w:pPr>
              <w:spacing w:after="0"/>
              <w:rPr>
                <w:sz w:val="14"/>
                <w:szCs w:val="14"/>
                <w:color w:val="auto"/>
              </w:rPr>
            </w:pPr>
          </w:p>
        </w:tc>
        <w:tc>
          <w:tcPr>
            <w:tcW w:w="6540" w:type="dxa"/>
            <w:vAlign w:val="bottom"/>
          </w:tcPr>
          <w:p>
            <w:pPr>
              <w:jc w:val="center"/>
              <w:ind w:right="1324"/>
              <w:spacing w:after="0"/>
              <w:rPr>
                <w:sz w:val="20"/>
                <w:szCs w:val="20"/>
                <w:color w:val="auto"/>
              </w:rPr>
            </w:pPr>
            <w:r>
              <w:rPr>
                <w:rFonts w:ascii="Arial" w:cs="Arial" w:eastAsia="Arial" w:hAnsi="Arial"/>
                <w:sz w:val="14"/>
                <w:szCs w:val="14"/>
                <w:b w:val="1"/>
                <w:bCs w:val="1"/>
                <w:color w:val="auto"/>
                <w:w w:val="92"/>
              </w:rPr>
              <w:t>2435 Commerce Ave,</w:t>
            </w:r>
          </w:p>
        </w:tc>
      </w:tr>
      <w:tr>
        <w:trPr>
          <w:trHeight w:val="149"/>
        </w:trPr>
        <w:tc>
          <w:tcPr>
            <w:tcW w:w="1760" w:type="dxa"/>
            <w:vAlign w:val="bottom"/>
          </w:tcPr>
          <w:p>
            <w:pPr>
              <w:spacing w:after="0"/>
              <w:rPr>
                <w:sz w:val="12"/>
                <w:szCs w:val="12"/>
                <w:color w:val="auto"/>
              </w:rPr>
            </w:pPr>
          </w:p>
        </w:tc>
        <w:tc>
          <w:tcPr>
            <w:tcW w:w="6540" w:type="dxa"/>
            <w:vAlign w:val="bottom"/>
          </w:tcPr>
          <w:p>
            <w:pPr>
              <w:jc w:val="center"/>
              <w:ind w:right="1324"/>
              <w:spacing w:after="0" w:line="149" w:lineRule="exact"/>
              <w:rPr>
                <w:sz w:val="20"/>
                <w:szCs w:val="20"/>
                <w:color w:val="auto"/>
              </w:rPr>
            </w:pPr>
            <w:r>
              <w:rPr>
                <w:rFonts w:ascii="Arial" w:cs="Arial" w:eastAsia="Arial" w:hAnsi="Arial"/>
                <w:sz w:val="14"/>
                <w:szCs w:val="14"/>
                <w:b w:val="1"/>
                <w:bCs w:val="1"/>
                <w:color w:val="auto"/>
                <w:w w:val="94"/>
              </w:rPr>
              <w:t>Building 2200</w:t>
            </w:r>
          </w:p>
        </w:tc>
      </w:tr>
      <w:tr>
        <w:trPr>
          <w:trHeight w:val="153"/>
        </w:trPr>
        <w:tc>
          <w:tcPr>
            <w:tcW w:w="1760" w:type="dxa"/>
            <w:vAlign w:val="bottom"/>
          </w:tcPr>
          <w:p>
            <w:pPr>
              <w:spacing w:after="0"/>
              <w:rPr>
                <w:sz w:val="13"/>
                <w:szCs w:val="13"/>
                <w:color w:val="auto"/>
              </w:rPr>
            </w:pPr>
          </w:p>
        </w:tc>
        <w:tc>
          <w:tcPr>
            <w:tcW w:w="6540" w:type="dxa"/>
            <w:vAlign w:val="bottom"/>
          </w:tcPr>
          <w:p>
            <w:pPr>
              <w:jc w:val="center"/>
              <w:ind w:right="1304"/>
              <w:spacing w:after="0" w:line="153" w:lineRule="exact"/>
              <w:rPr>
                <w:sz w:val="20"/>
                <w:szCs w:val="20"/>
                <w:color w:val="auto"/>
              </w:rPr>
            </w:pPr>
            <w:r>
              <w:rPr>
                <w:rFonts w:ascii="Arial" w:cs="Arial" w:eastAsia="Arial" w:hAnsi="Arial"/>
                <w:sz w:val="14"/>
                <w:szCs w:val="14"/>
                <w:b w:val="1"/>
                <w:bCs w:val="1"/>
                <w:color w:val="auto"/>
                <w:w w:val="94"/>
              </w:rPr>
              <w:t>Duluth, Georgia 30096</w:t>
            </w:r>
          </w:p>
        </w:tc>
      </w:tr>
      <w:tr>
        <w:trPr>
          <w:trHeight w:val="172"/>
        </w:trPr>
        <w:tc>
          <w:tcPr>
            <w:tcW w:w="1760" w:type="dxa"/>
            <w:vAlign w:val="bottom"/>
          </w:tcPr>
          <w:p>
            <w:pPr>
              <w:spacing w:after="0"/>
              <w:rPr>
                <w:sz w:val="14"/>
                <w:szCs w:val="14"/>
                <w:color w:val="auto"/>
              </w:rPr>
            </w:pPr>
          </w:p>
        </w:tc>
        <w:tc>
          <w:tcPr>
            <w:tcW w:w="6540" w:type="dxa"/>
            <w:vAlign w:val="bottom"/>
          </w:tcPr>
          <w:p>
            <w:pPr>
              <w:jc w:val="center"/>
              <w:ind w:right="1304"/>
              <w:spacing w:after="0"/>
              <w:rPr>
                <w:sz w:val="20"/>
                <w:szCs w:val="20"/>
                <w:color w:val="auto"/>
              </w:rPr>
            </w:pPr>
            <w:r>
              <w:rPr>
                <w:rFonts w:ascii="Arial" w:cs="Arial" w:eastAsia="Arial" w:hAnsi="Arial"/>
                <w:sz w:val="14"/>
                <w:szCs w:val="14"/>
                <w:color w:val="auto"/>
                <w:w w:val="95"/>
              </w:rPr>
              <w:t>(Address of principal executive offices)</w:t>
            </w:r>
          </w:p>
        </w:tc>
      </w:tr>
      <w:tr>
        <w:trPr>
          <w:trHeight w:val="153"/>
        </w:trPr>
        <w:tc>
          <w:tcPr>
            <w:tcW w:w="1760" w:type="dxa"/>
            <w:vAlign w:val="bottom"/>
          </w:tcPr>
          <w:p>
            <w:pPr>
              <w:spacing w:after="0"/>
              <w:rPr>
                <w:sz w:val="13"/>
                <w:szCs w:val="13"/>
                <w:color w:val="auto"/>
              </w:rPr>
            </w:pPr>
          </w:p>
        </w:tc>
        <w:tc>
          <w:tcPr>
            <w:tcW w:w="6540" w:type="dxa"/>
            <w:vAlign w:val="bottom"/>
          </w:tcPr>
          <w:p>
            <w:pPr>
              <w:jc w:val="center"/>
              <w:ind w:right="1324"/>
              <w:spacing w:after="0" w:line="153" w:lineRule="exact"/>
              <w:rPr>
                <w:sz w:val="20"/>
                <w:szCs w:val="20"/>
                <w:color w:val="auto"/>
              </w:rPr>
            </w:pPr>
            <w:r>
              <w:rPr>
                <w:rFonts w:ascii="Arial" w:cs="Arial" w:eastAsia="Arial" w:hAnsi="Arial"/>
                <w:sz w:val="14"/>
                <w:szCs w:val="14"/>
                <w:b w:val="1"/>
                <w:bCs w:val="1"/>
                <w:color w:val="auto"/>
                <w:w w:val="94"/>
              </w:rPr>
              <w:t>(770) 822</w:t>
            </w:r>
            <w:r>
              <w:rPr>
                <w:rFonts w:ascii="MS PGothic" w:cs="MS PGothic" w:eastAsia="MS PGothic" w:hAnsi="MS PGothic"/>
                <w:sz w:val="14"/>
                <w:szCs w:val="14"/>
                <w:color w:val="auto"/>
                <w:w w:val="94"/>
              </w:rPr>
              <w:t>‑</w:t>
            </w:r>
            <w:r>
              <w:rPr>
                <w:rFonts w:ascii="Arial" w:cs="Arial" w:eastAsia="Arial" w:hAnsi="Arial"/>
                <w:sz w:val="14"/>
                <w:szCs w:val="14"/>
                <w:b w:val="1"/>
                <w:bCs w:val="1"/>
                <w:color w:val="auto"/>
                <w:w w:val="94"/>
              </w:rPr>
              <w:t>3600</w:t>
            </w:r>
          </w:p>
        </w:tc>
      </w:tr>
      <w:tr>
        <w:trPr>
          <w:trHeight w:val="172"/>
        </w:trPr>
        <w:tc>
          <w:tcPr>
            <w:tcW w:w="1760" w:type="dxa"/>
            <w:vAlign w:val="bottom"/>
          </w:tcPr>
          <w:p>
            <w:pPr>
              <w:spacing w:after="0"/>
              <w:rPr>
                <w:sz w:val="14"/>
                <w:szCs w:val="14"/>
                <w:color w:val="auto"/>
              </w:rPr>
            </w:pPr>
          </w:p>
        </w:tc>
        <w:tc>
          <w:tcPr>
            <w:tcW w:w="6540" w:type="dxa"/>
            <w:vAlign w:val="bottom"/>
          </w:tcPr>
          <w:p>
            <w:pPr>
              <w:jc w:val="center"/>
              <w:ind w:right="1304"/>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186"/>
        </w:trPr>
        <w:tc>
          <w:tcPr>
            <w:tcW w:w="1760" w:type="dxa"/>
            <w:vAlign w:val="bottom"/>
          </w:tcPr>
          <w:p>
            <w:pPr>
              <w:spacing w:after="0"/>
              <w:rPr>
                <w:sz w:val="16"/>
                <w:szCs w:val="16"/>
                <w:color w:val="auto"/>
              </w:rPr>
            </w:pPr>
          </w:p>
        </w:tc>
        <w:tc>
          <w:tcPr>
            <w:tcW w:w="6540" w:type="dxa"/>
            <w:vAlign w:val="bottom"/>
          </w:tcPr>
          <w:p>
            <w:pPr>
              <w:jc w:val="center"/>
              <w:ind w:right="1324"/>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w:t>
            </w:r>
          </w:p>
        </w:tc>
      </w:tr>
    </w:tbl>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6"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11"/>
        </w:trPr>
        <w:tc>
          <w:tcPr>
            <w:tcW w:w="5640" w:type="dxa"/>
            <w:vAlign w:val="bottom"/>
            <w:gridSpan w:val="3"/>
          </w:tcPr>
          <w:p>
            <w:pPr>
              <w:jc w:val="center"/>
              <w:ind w:right="3220"/>
              <w:spacing w:after="0"/>
              <w:rPr>
                <w:sz w:val="20"/>
                <w:szCs w:val="20"/>
                <w:color w:val="auto"/>
              </w:rPr>
            </w:pPr>
            <w:r>
              <w:rPr>
                <w:rFonts w:ascii="Arial" w:cs="Arial" w:eastAsia="Arial" w:hAnsi="Arial"/>
                <w:sz w:val="14"/>
                <w:szCs w:val="14"/>
                <w:color w:val="auto"/>
                <w:w w:val="91"/>
              </w:rPr>
              <w:t>Common Stock, par value $0.01 per share</w:t>
            </w:r>
          </w:p>
        </w:tc>
        <w:tc>
          <w:tcPr>
            <w:tcW w:w="2660" w:type="dxa"/>
            <w:vAlign w:val="bottom"/>
          </w:tcPr>
          <w:p>
            <w:pPr>
              <w:jc w:val="center"/>
              <w:spacing w:after="0"/>
              <w:rPr>
                <w:sz w:val="20"/>
                <w:szCs w:val="20"/>
                <w:color w:val="auto"/>
              </w:rPr>
            </w:pPr>
            <w:r>
              <w:rPr>
                <w:rFonts w:ascii="Arial" w:cs="Arial" w:eastAsia="Arial" w:hAnsi="Arial"/>
                <w:sz w:val="14"/>
                <w:szCs w:val="14"/>
                <w:color w:val="auto"/>
              </w:rPr>
              <w:t>NASDAQ</w:t>
            </w:r>
          </w:p>
        </w:tc>
      </w:tr>
    </w:tbl>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62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44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5"/>
        </w:trPr>
        <w:tc>
          <w:tcPr>
            <w:tcW w:w="322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44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1"/>
        </w:trPr>
        <w:tc>
          <w:tcPr>
            <w:tcW w:w="322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3120" w:type="dxa"/>
            <w:vAlign w:val="bottom"/>
          </w:tcPr>
          <w:p>
            <w:pPr>
              <w:spacing w:after="0"/>
              <w:rPr>
                <w:sz w:val="16"/>
                <w:szCs w:val="16"/>
                <w:color w:val="auto"/>
              </w:rPr>
            </w:pPr>
          </w:p>
        </w:tc>
        <w:tc>
          <w:tcPr>
            <w:tcW w:w="4420" w:type="dxa"/>
            <w:vAlign w:val="bottom"/>
          </w:tcPr>
          <w:p>
            <w:pPr>
              <w:ind w:left="244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spacing w:after="0"/>
              <w:rPr>
                <w:sz w:val="16"/>
                <w:szCs w:val="16"/>
                <w:color w:val="auto"/>
              </w:rPr>
            </w:pPr>
          </w:p>
        </w:tc>
      </w:tr>
    </w:tbl>
    <w:p>
      <w:pPr>
        <w:spacing w:after="0" w:line="47"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emerging growth company, indicate by check mark if the registrant has elected not to use the excluded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As of July 1, 2017, the last day of the registrant’s most recently completed second quarter, the registrant’s common stock was not publicly traded. The registrant's common stock, $0.01 par value per share, began trading on the NASDAQ Global Select Market on October 26, 2017. As of February 28, 2018, the aggregate market value of the registrant’s common stock held by non-affiliates of the registrant was approximately $671.6 million (based upon the closing sale price of the common stock on that date on the NASDAQ).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w:t>
            </w:r>
          </w:p>
        </w:tc>
        <w:tc>
          <w:tcPr>
            <w:tcW w:w="1020" w:type="dxa"/>
            <w:vAlign w:val="bottom"/>
          </w:tcPr>
          <w:p>
            <w:pPr>
              <w:spacing w:after="0"/>
              <w:rPr>
                <w:sz w:val="16"/>
                <w:szCs w:val="16"/>
                <w:color w:val="auto"/>
              </w:rPr>
            </w:pP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Outstanding at February 28, 2018</w:t>
            </w:r>
          </w:p>
        </w:tc>
      </w:tr>
      <w:tr>
        <w:trPr>
          <w:trHeight w:val="190"/>
        </w:trPr>
        <w:tc>
          <w:tcPr>
            <w:tcW w:w="6280" w:type="dxa"/>
            <w:vAlign w:val="bottom"/>
            <w:gridSpan w:val="2"/>
          </w:tcPr>
          <w:p>
            <w:pPr>
              <w:ind w:left="40"/>
              <w:spacing w:after="0"/>
              <w:rPr>
                <w:sz w:val="20"/>
                <w:szCs w:val="20"/>
                <w:color w:val="auto"/>
              </w:rPr>
            </w:pPr>
            <w:r>
              <w:rPr>
                <w:rFonts w:ascii="Arial" w:cs="Arial" w:eastAsia="Arial" w:hAnsi="Arial"/>
                <w:sz w:val="14"/>
                <w:szCs w:val="14"/>
                <w:color w:val="auto"/>
              </w:rPr>
              <w:t>Common stock, $0.01 par value per share</w:t>
            </w:r>
          </w:p>
        </w:tc>
        <w:tc>
          <w:tcPr>
            <w:tcW w:w="5140" w:type="dxa"/>
            <w:vAlign w:val="bottom"/>
          </w:tcPr>
          <w:p>
            <w:pPr>
              <w:ind w:left="40"/>
              <w:spacing w:after="0"/>
              <w:rPr>
                <w:sz w:val="20"/>
                <w:szCs w:val="20"/>
                <w:color w:val="auto"/>
              </w:rPr>
            </w:pPr>
            <w:r>
              <w:rPr>
                <w:rFonts w:ascii="Arial" w:cs="Arial" w:eastAsia="Arial" w:hAnsi="Arial"/>
                <w:sz w:val="14"/>
                <w:szCs w:val="14"/>
                <w:color w:val="auto"/>
              </w:rPr>
              <w:t>74,656,175</w:t>
            </w:r>
          </w:p>
        </w:tc>
      </w:tr>
      <w:tr>
        <w:trPr>
          <w:trHeight w:val="257"/>
        </w:trPr>
        <w:tc>
          <w:tcPr>
            <w:tcW w:w="6280" w:type="dxa"/>
            <w:vAlign w:val="bottom"/>
            <w:gridSpan w:val="2"/>
          </w:tcPr>
          <w:p>
            <w:pPr>
              <w:spacing w:after="0"/>
              <w:rPr>
                <w:sz w:val="20"/>
                <w:szCs w:val="20"/>
                <w:color w:val="auto"/>
              </w:rPr>
            </w:pPr>
            <w:r>
              <w:rPr>
                <w:rFonts w:ascii="Arial" w:cs="Arial" w:eastAsia="Arial" w:hAnsi="Arial"/>
                <w:sz w:val="14"/>
                <w:szCs w:val="14"/>
                <w:color w:val="auto"/>
              </w:rPr>
              <w:t>Documents incorporated by reference: None</w:t>
            </w:r>
          </w:p>
        </w:tc>
        <w:tc>
          <w:tcPr>
            <w:tcW w:w="5140" w:type="dxa"/>
            <w:vAlign w:val="bottom"/>
          </w:tcPr>
          <w:p>
            <w:pPr>
              <w:spacing w:after="0"/>
              <w:rPr>
                <w:sz w:val="22"/>
                <w:szCs w:val="22"/>
                <w:color w:val="auto"/>
              </w:rPr>
            </w:pPr>
          </w:p>
        </w:tc>
      </w:tr>
      <w:tr>
        <w:trPr>
          <w:trHeight w:val="147"/>
        </w:trPr>
        <w:tc>
          <w:tcPr>
            <w:tcW w:w="5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140" w:type="dxa"/>
            <w:vAlign w:val="bottom"/>
            <w:tcBorders>
              <w:bottom w:val="single" w:sz="8" w:color="auto"/>
            </w:tcBorders>
          </w:tcPr>
          <w:p>
            <w:pPr>
              <w:spacing w:after="0"/>
              <w:rPr>
                <w:sz w:val="12"/>
                <w:szCs w:val="12"/>
                <w:color w:val="auto"/>
              </w:rPr>
            </w:pPr>
          </w:p>
        </w:tc>
      </w:tr>
      <w:tr>
        <w:trPr>
          <w:trHeight w:val="122"/>
        </w:trPr>
        <w:tc>
          <w:tcPr>
            <w:tcW w:w="5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46"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5"/>
          </w:tcPr>
          <w:p>
            <w:pPr>
              <w:ind w:left="680"/>
              <w:spacing w:after="0"/>
              <w:rPr>
                <w:sz w:val="20"/>
                <w:szCs w:val="20"/>
                <w:color w:val="auto"/>
              </w:rPr>
            </w:pPr>
            <w:r>
              <w:rPr>
                <w:rFonts w:ascii="Arial" w:cs="Arial" w:eastAsia="Arial" w:hAnsi="Arial"/>
                <w:sz w:val="18"/>
                <w:szCs w:val="18"/>
                <w:color w:val="auto"/>
                <w:w w:val="80"/>
              </w:rPr>
              <w:t>Page</w:t>
            </w:r>
          </w:p>
        </w:tc>
      </w:tr>
      <w:tr>
        <w:trPr>
          <w:trHeight w:val="230"/>
        </w:trPr>
        <w:tc>
          <w:tcPr>
            <w:tcW w:w="5340" w:type="dxa"/>
            <w:vAlign w:val="bottom"/>
            <w:gridSpan w:val="2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SPECIAL NOTE REGARDING FORWARD-LOOKING STATEMENTS</w:t>
              </w:r>
            </w:hyperlink>
          </w:p>
        </w:tc>
        <w:tc>
          <w:tcPr>
            <w:tcW w:w="4900" w:type="dxa"/>
            <w:vAlign w:val="bottom"/>
            <w:gridSpan w:val="8"/>
          </w:tcPr>
          <w:p>
            <w:pPr>
              <w:spacing w:after="0"/>
              <w:rPr>
                <w:sz w:val="19"/>
                <w:szCs w:val="19"/>
                <w:color w:val="auto"/>
              </w:rPr>
            </w:pPr>
          </w:p>
        </w:tc>
        <w:tc>
          <w:tcPr>
            <w:tcW w:w="940" w:type="dxa"/>
            <w:vAlign w:val="bottom"/>
            <w:gridSpan w:val="3"/>
          </w:tcPr>
          <w:p>
            <w:pPr>
              <w:jc w:val="center"/>
              <w:ind w:left="6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0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gridSpan w:val="3"/>
          </w:tcPr>
          <w:p>
            <w:pPr>
              <w:jc w:val="center"/>
              <w:ind w:left="6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87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40" w:type="dxa"/>
            <w:vAlign w:val="bottom"/>
            <w:gridSpan w:val="3"/>
          </w:tcPr>
          <w:p>
            <w:pPr>
              <w:jc w:val="center"/>
              <w:ind w:left="6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Item 1A.</w:t>
              </w:r>
            </w:hyperlink>
          </w:p>
        </w:tc>
        <w:tc>
          <w:tcPr>
            <w:tcW w:w="40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7840" w:type="dxa"/>
            <w:vAlign w:val="bottom"/>
            <w:gridSpan w:val="17"/>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0">
              <w:r>
                <w:rPr>
                  <w:rFonts w:ascii="Arial" w:cs="Arial" w:eastAsia="Arial" w:hAnsi="Arial"/>
                  <w:sz w:val="15"/>
                  <w:szCs w:val="15"/>
                  <w:color w:val="0000EE"/>
                  <w:w w:val="71"/>
                </w:rPr>
                <w:t>20</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1B.</w:t>
              </w:r>
            </w:hyperlink>
          </w:p>
        </w:tc>
        <w:tc>
          <w:tcPr>
            <w:tcW w:w="874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940" w:type="dxa"/>
            <w:vAlign w:val="bottom"/>
            <w:gridSpan w:val="3"/>
          </w:tcPr>
          <w:p>
            <w:pPr>
              <w:jc w:val="center"/>
              <w:ind w:left="6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2.</w:t>
            </w:r>
          </w:p>
        </w:tc>
        <w:tc>
          <w:tcPr>
            <w:tcW w:w="420" w:type="dxa"/>
            <w:vAlign w:val="bottom"/>
            <w:gridSpan w:val="2"/>
          </w:tcPr>
          <w:p>
            <w:pPr>
              <w:spacing w:after="0"/>
              <w:rPr>
                <w:sz w:val="21"/>
                <w:szCs w:val="21"/>
                <w:color w:val="auto"/>
              </w:rPr>
            </w:pP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Properties</w:t>
              </w:r>
            </w:hyperlink>
          </w:p>
        </w:tc>
        <w:tc>
          <w:tcPr>
            <w:tcW w:w="6700" w:type="dxa"/>
            <w:vAlign w:val="bottom"/>
            <w:gridSpan w:val="12"/>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41">
              <w:r>
                <w:rPr>
                  <w:rFonts w:ascii="Arial" w:cs="Arial" w:eastAsia="Arial" w:hAnsi="Arial"/>
                  <w:sz w:val="15"/>
                  <w:szCs w:val="15"/>
                  <w:color w:val="0000EE"/>
                  <w:w w:val="71"/>
                </w:rPr>
                <w:t>41</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0000EE"/>
              </w:rPr>
              <w:t>Item 3.</w:t>
            </w:r>
          </w:p>
        </w:tc>
        <w:tc>
          <w:tcPr>
            <w:tcW w:w="874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940" w:type="dxa"/>
            <w:vAlign w:val="bottom"/>
            <w:gridSpan w:val="3"/>
          </w:tcPr>
          <w:p>
            <w:pPr>
              <w:jc w:val="center"/>
              <w:ind w:left="6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874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940" w:type="dxa"/>
            <w:vAlign w:val="bottom"/>
            <w:gridSpan w:val="3"/>
          </w:tcPr>
          <w:p>
            <w:pPr>
              <w:jc w:val="center"/>
              <w:ind w:left="6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00" w:type="dxa"/>
            <w:vAlign w:val="bottom"/>
            <w:gridSpan w:val="3"/>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Part II</w:t>
              </w:r>
            </w:hyperlink>
          </w:p>
        </w:tc>
        <w:tc>
          <w:tcPr>
            <w:tcW w:w="460" w:type="dxa"/>
            <w:vAlign w:val="bottom"/>
            <w:tcBorders>
              <w:top w:val="single" w:sz="8" w:color="0000EE"/>
            </w:tcBorders>
          </w:tcPr>
          <w:p>
            <w:pPr>
              <w:spacing w:after="0"/>
              <w:rPr>
                <w:sz w:val="21"/>
                <w:szCs w:val="21"/>
                <w:color w:val="auto"/>
              </w:rPr>
            </w:pPr>
          </w:p>
        </w:tc>
        <w:tc>
          <w:tcPr>
            <w:tcW w:w="540" w:type="dxa"/>
            <w:vAlign w:val="bottom"/>
            <w:gridSpan w:val="4"/>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8740" w:type="dxa"/>
            <w:vAlign w:val="bottom"/>
            <w:gridSpan w:val="21"/>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Market for Registrant’s Common Equity, Related Stockholder Matters and Issuer Purchases of Equity Securities</w:t>
              </w:r>
            </w:hyperlink>
          </w:p>
        </w:tc>
        <w:tc>
          <w:tcPr>
            <w:tcW w:w="940" w:type="dxa"/>
            <w:vAlign w:val="bottom"/>
            <w:gridSpan w:val="3"/>
          </w:tcPr>
          <w:p>
            <w:pPr>
              <w:jc w:val="center"/>
              <w:ind w:left="67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0000FF"/>
              </w:rPr>
              <w:t>Item 6.</w:t>
            </w:r>
          </w:p>
        </w:tc>
        <w:tc>
          <w:tcPr>
            <w:tcW w:w="874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940" w:type="dxa"/>
            <w:vAlign w:val="bottom"/>
            <w:gridSpan w:val="3"/>
          </w:tcPr>
          <w:p>
            <w:pPr>
              <w:jc w:val="center"/>
              <w:ind w:left="6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0000FF"/>
              </w:rPr>
              <w:t>Item 7.</w:t>
            </w:r>
          </w:p>
        </w:tc>
        <w:tc>
          <w:tcPr>
            <w:tcW w:w="874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3"/>
          </w:tcPr>
          <w:p>
            <w:pPr>
              <w:jc w:val="center"/>
              <w:ind w:left="6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6"/>
              </w:rPr>
              <w:t>Item 7A.</w:t>
            </w:r>
          </w:p>
        </w:tc>
        <w:tc>
          <w:tcPr>
            <w:tcW w:w="400" w:type="dxa"/>
            <w:vAlign w:val="bottom"/>
          </w:tcPr>
          <w:p>
            <w:pPr>
              <w:spacing w:after="0"/>
              <w:rPr>
                <w:sz w:val="21"/>
                <w:szCs w:val="21"/>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Quantitative and Qualitative Disclosures About Market Risk</w:t>
              </w:r>
            </w:hyperlink>
          </w:p>
        </w:tc>
        <w:tc>
          <w:tcPr>
            <w:tcW w:w="4380" w:type="dxa"/>
            <w:vAlign w:val="bottom"/>
            <w:gridSpan w:val="6"/>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72">
              <w:r>
                <w:rPr>
                  <w:rFonts w:ascii="Arial" w:cs="Arial" w:eastAsia="Arial" w:hAnsi="Arial"/>
                  <w:sz w:val="15"/>
                  <w:szCs w:val="15"/>
                  <w:color w:val="0000EE"/>
                  <w:w w:val="71"/>
                </w:rPr>
                <w:t>72</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0000FF"/>
              </w:rPr>
              <w:t>Item 8.</w:t>
            </w:r>
          </w:p>
        </w:tc>
        <w:tc>
          <w:tcPr>
            <w:tcW w:w="874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940" w:type="dxa"/>
            <w:vAlign w:val="bottom"/>
            <w:gridSpan w:val="3"/>
          </w:tcPr>
          <w:p>
            <w:pPr>
              <w:jc w:val="center"/>
              <w:ind w:left="67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73</w:t>
              </w:r>
            </w:hyperlink>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0000FF"/>
              </w:rPr>
              <w:t>Item 9.</w:t>
            </w:r>
          </w:p>
        </w:tc>
        <w:tc>
          <w:tcPr>
            <w:tcW w:w="8740" w:type="dxa"/>
            <w:vAlign w:val="bottom"/>
            <w:gridSpan w:val="21"/>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Changes in and Disagreements with Accountants on Accounting and Financial Disclosure</w:t>
              </w:r>
            </w:hyperlink>
          </w:p>
        </w:tc>
        <w:tc>
          <w:tcPr>
            <w:tcW w:w="1000" w:type="dxa"/>
            <w:vAlign w:val="bottom"/>
            <w:gridSpan w:val="4"/>
          </w:tcPr>
          <w:p>
            <w:pPr>
              <w:jc w:val="center"/>
              <w:ind w:left="610"/>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112</w:t>
              </w:r>
            </w:hyperlink>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9A.</w:t>
            </w:r>
          </w:p>
        </w:tc>
        <w:tc>
          <w:tcPr>
            <w:tcW w:w="400" w:type="dxa"/>
            <w:vAlign w:val="bottom"/>
          </w:tcPr>
          <w:p>
            <w:pPr>
              <w:spacing w:after="0"/>
              <w:rPr>
                <w:sz w:val="21"/>
                <w:szCs w:val="21"/>
                <w:color w:val="auto"/>
              </w:rPr>
            </w:pPr>
          </w:p>
        </w:tc>
        <w:tc>
          <w:tcPr>
            <w:tcW w:w="8740" w:type="dxa"/>
            <w:vAlign w:val="bottom"/>
            <w:gridSpan w:val="21"/>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Controls and Procedures</w:t>
              </w:r>
            </w:hyperlink>
          </w:p>
        </w:tc>
        <w:tc>
          <w:tcPr>
            <w:tcW w:w="1000" w:type="dxa"/>
            <w:vAlign w:val="bottom"/>
            <w:gridSpan w:val="4"/>
          </w:tcPr>
          <w:p>
            <w:pPr>
              <w:jc w:val="center"/>
              <w:ind w:left="610"/>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112</w:t>
              </w:r>
            </w:hyperlink>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0000FF"/>
                <w:w w:val="86"/>
              </w:rPr>
              <w:t>Item 9B.</w:t>
            </w:r>
          </w:p>
        </w:tc>
        <w:tc>
          <w:tcPr>
            <w:tcW w:w="400" w:type="dxa"/>
            <w:vAlign w:val="bottom"/>
          </w:tcPr>
          <w:p>
            <w:pPr>
              <w:spacing w:after="0"/>
              <w:rPr>
                <w:sz w:val="21"/>
                <w:szCs w:val="21"/>
                <w:color w:val="auto"/>
              </w:rPr>
            </w:pPr>
          </w:p>
        </w:tc>
        <w:tc>
          <w:tcPr>
            <w:tcW w:w="1760" w:type="dxa"/>
            <w:vAlign w:val="bottom"/>
            <w:gridSpan w:val="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6980" w:type="dxa"/>
            <w:vAlign w:val="bottom"/>
            <w:gridSpan w:val="13"/>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gridSpan w:val="3"/>
          </w:tcPr>
          <w:p>
            <w:pPr>
              <w:jc w:val="center"/>
              <w:ind w:right="20"/>
              <w:spacing w:after="0"/>
              <w:rPr>
                <w:rFonts w:ascii="Arial" w:cs="Arial" w:eastAsia="Arial" w:hAnsi="Arial"/>
                <w:sz w:val="13"/>
                <w:szCs w:val="13"/>
                <w:color w:val="0000EE"/>
                <w:w w:val="73"/>
              </w:rPr>
            </w:pPr>
            <w:hyperlink w:anchor="page113">
              <w:r>
                <w:rPr>
                  <w:rFonts w:ascii="Arial" w:cs="Arial" w:eastAsia="Arial" w:hAnsi="Arial"/>
                  <w:sz w:val="13"/>
                  <w:szCs w:val="13"/>
                  <w:color w:val="0000EE"/>
                  <w:w w:val="73"/>
                </w:rPr>
                <w:t>113</w:t>
              </w:r>
            </w:hyperlink>
          </w:p>
        </w:tc>
        <w:tc>
          <w:tcPr>
            <w:tcW w:w="40" w:type="dxa"/>
            <w:vAlign w:val="bottom"/>
          </w:tcPr>
          <w:p>
            <w:pPr>
              <w:spacing w:after="0"/>
              <w:rPr>
                <w:sz w:val="21"/>
                <w:szCs w:val="21"/>
                <w:color w:val="auto"/>
              </w:rPr>
            </w:pPr>
          </w:p>
        </w:tc>
      </w:tr>
      <w:tr>
        <w:trPr>
          <w:trHeight w:val="20"/>
        </w:trPr>
        <w:tc>
          <w:tcPr>
            <w:tcW w:w="500" w:type="dxa"/>
            <w:vAlign w:val="bottom"/>
            <w:tcBorders>
              <w:right w:val="single" w:sz="8" w:color="0000FF"/>
            </w:tcBorders>
            <w:gridSpan w:val="3"/>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00" w:type="dxa"/>
            <w:vAlign w:val="bottom"/>
            <w:gridSpan w:val="8"/>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Part III</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76"/>
              </w:rPr>
              <w:t>Item 10.</w:t>
            </w:r>
          </w:p>
        </w:tc>
        <w:tc>
          <w:tcPr>
            <w:tcW w:w="460" w:type="dxa"/>
            <w:vAlign w:val="bottom"/>
            <w:gridSpan w:val="3"/>
          </w:tcPr>
          <w:p>
            <w:pPr>
              <w:spacing w:after="0"/>
              <w:rPr>
                <w:sz w:val="21"/>
                <w:szCs w:val="21"/>
                <w:color w:val="auto"/>
              </w:rPr>
            </w:pPr>
          </w:p>
        </w:tc>
        <w:tc>
          <w:tcPr>
            <w:tcW w:w="8740" w:type="dxa"/>
            <w:vAlign w:val="bottom"/>
            <w:gridSpan w:val="21"/>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Directors, Executive Officers and Corporate Governance</w:t>
              </w:r>
            </w:hyperlink>
          </w:p>
        </w:tc>
        <w:tc>
          <w:tcPr>
            <w:tcW w:w="1000" w:type="dxa"/>
            <w:vAlign w:val="bottom"/>
            <w:gridSpan w:val="4"/>
          </w:tcPr>
          <w:p>
            <w:pPr>
              <w:jc w:val="center"/>
              <w:ind w:left="610"/>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114</w:t>
              </w:r>
            </w:hyperlink>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76"/>
              </w:rPr>
              <w:t>Item 11.</w:t>
            </w:r>
          </w:p>
        </w:tc>
        <w:tc>
          <w:tcPr>
            <w:tcW w:w="460" w:type="dxa"/>
            <w:vAlign w:val="bottom"/>
            <w:gridSpan w:val="3"/>
          </w:tcPr>
          <w:p>
            <w:pPr>
              <w:spacing w:after="0"/>
              <w:rPr>
                <w:sz w:val="21"/>
                <w:szCs w:val="21"/>
                <w:color w:val="auto"/>
              </w:rPr>
            </w:pPr>
          </w:p>
        </w:tc>
        <w:tc>
          <w:tcPr>
            <w:tcW w:w="4080" w:type="dxa"/>
            <w:vAlign w:val="bottom"/>
            <w:gridSpan w:val="14"/>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Executive Compensation</w:t>
              </w:r>
            </w:hyperlink>
          </w:p>
        </w:tc>
        <w:tc>
          <w:tcPr>
            <w:tcW w:w="466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gridSpan w:val="3"/>
          </w:tcPr>
          <w:p>
            <w:pPr>
              <w:jc w:val="center"/>
              <w:ind w:right="20"/>
              <w:spacing w:after="0"/>
              <w:rPr>
                <w:rFonts w:ascii="Arial" w:cs="Arial" w:eastAsia="Arial" w:hAnsi="Arial"/>
                <w:sz w:val="13"/>
                <w:szCs w:val="13"/>
                <w:color w:val="0000EE"/>
                <w:w w:val="73"/>
              </w:rPr>
            </w:pPr>
            <w:hyperlink w:anchor="page118">
              <w:r>
                <w:rPr>
                  <w:rFonts w:ascii="Arial" w:cs="Arial" w:eastAsia="Arial" w:hAnsi="Arial"/>
                  <w:sz w:val="13"/>
                  <w:szCs w:val="13"/>
                  <w:color w:val="0000EE"/>
                  <w:w w:val="73"/>
                </w:rPr>
                <w:t>118</w:t>
              </w:r>
            </w:hyperlink>
          </w:p>
        </w:tc>
        <w:tc>
          <w:tcPr>
            <w:tcW w:w="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0000FF"/>
                <w:w w:val="86"/>
              </w:rPr>
              <w:t>Item 12.</w:t>
            </w:r>
          </w:p>
        </w:tc>
        <w:tc>
          <w:tcPr>
            <w:tcW w:w="420" w:type="dxa"/>
            <w:vAlign w:val="bottom"/>
            <w:gridSpan w:val="2"/>
          </w:tcPr>
          <w:p>
            <w:pPr>
              <w:spacing w:after="0"/>
              <w:rPr>
                <w:sz w:val="21"/>
                <w:szCs w:val="21"/>
                <w:color w:val="auto"/>
              </w:rPr>
            </w:pPr>
          </w:p>
        </w:tc>
        <w:tc>
          <w:tcPr>
            <w:tcW w:w="8740" w:type="dxa"/>
            <w:vAlign w:val="bottom"/>
            <w:gridSpan w:val="21"/>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gridSpan w:val="5"/>
          </w:tcPr>
          <w:p>
            <w:pPr>
              <w:jc w:val="center"/>
              <w:ind w:left="590"/>
              <w:spacing w:after="0"/>
              <w:rPr>
                <w:rFonts w:ascii="Arial" w:cs="Arial" w:eastAsia="Arial" w:hAnsi="Arial"/>
                <w:sz w:val="18"/>
                <w:szCs w:val="18"/>
                <w:color w:val="0000EE"/>
                <w:w w:val="93"/>
              </w:rPr>
            </w:pPr>
            <w:hyperlink w:anchor="page132">
              <w:r>
                <w:rPr>
                  <w:rFonts w:ascii="Arial" w:cs="Arial" w:eastAsia="Arial" w:hAnsi="Arial"/>
                  <w:sz w:val="18"/>
                  <w:szCs w:val="18"/>
                  <w:color w:val="0000EE"/>
                  <w:w w:val="93"/>
                </w:rPr>
                <w:t>132</w:t>
              </w:r>
            </w:hyperlink>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86"/>
              </w:rPr>
              <w:t>Item 13.</w:t>
            </w:r>
          </w:p>
        </w:tc>
        <w:tc>
          <w:tcPr>
            <w:tcW w:w="420" w:type="dxa"/>
            <w:vAlign w:val="bottom"/>
            <w:gridSpan w:val="2"/>
          </w:tcPr>
          <w:p>
            <w:pPr>
              <w:spacing w:after="0"/>
              <w:rPr>
                <w:sz w:val="21"/>
                <w:szCs w:val="21"/>
                <w:color w:val="auto"/>
              </w:rPr>
            </w:pP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Certain Relationships and Related Transactions, and Director Independence</w:t>
              </w:r>
            </w:hyperlink>
          </w:p>
        </w:tc>
        <w:tc>
          <w:tcPr>
            <w:tcW w:w="146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5"/>
                <w:szCs w:val="15"/>
                <w:color w:val="0000EE"/>
                <w:w w:val="71"/>
              </w:rPr>
            </w:pPr>
            <w:hyperlink w:anchor="page133">
              <w:r>
                <w:rPr>
                  <w:rFonts w:ascii="Arial" w:cs="Arial" w:eastAsia="Arial" w:hAnsi="Arial"/>
                  <w:sz w:val="15"/>
                  <w:szCs w:val="15"/>
                  <w:color w:val="0000EE"/>
                  <w:w w:val="71"/>
                </w:rPr>
                <w:t>133</w:t>
              </w:r>
            </w:hyperlink>
          </w:p>
        </w:tc>
        <w:tc>
          <w:tcPr>
            <w:tcW w:w="40" w:type="dxa"/>
            <w:vAlign w:val="bottom"/>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6"/>
              </w:rPr>
              <w:t>Item 14.</w:t>
            </w:r>
          </w:p>
        </w:tc>
        <w:tc>
          <w:tcPr>
            <w:tcW w:w="40" w:type="dxa"/>
            <w:vAlign w:val="bottom"/>
            <w:tcBorders>
              <w:top w:val="single" w:sz="8" w:color="0000FF"/>
            </w:tcBorders>
          </w:tcPr>
          <w:p>
            <w:pPr>
              <w:spacing w:after="0"/>
              <w:rPr>
                <w:sz w:val="21"/>
                <w:szCs w:val="21"/>
                <w:color w:val="auto"/>
              </w:rPr>
            </w:pPr>
          </w:p>
        </w:tc>
        <w:tc>
          <w:tcPr>
            <w:tcW w:w="420" w:type="dxa"/>
            <w:vAlign w:val="bottom"/>
            <w:gridSpan w:val="2"/>
          </w:tcPr>
          <w:p>
            <w:pPr>
              <w:spacing w:after="0"/>
              <w:rPr>
                <w:sz w:val="21"/>
                <w:szCs w:val="21"/>
                <w:color w:val="auto"/>
              </w:rPr>
            </w:pPr>
          </w:p>
        </w:tc>
        <w:tc>
          <w:tcPr>
            <w:tcW w:w="28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Principal Accountant Fees and Services</w:t>
              </w:r>
            </w:hyperlink>
          </w:p>
        </w:tc>
        <w:tc>
          <w:tcPr>
            <w:tcW w:w="2580" w:type="dxa"/>
            <w:vAlign w:val="bottom"/>
            <w:tcBorders>
              <w:top w:val="single" w:sz="8" w:color="0000EE"/>
            </w:tcBorders>
            <w:gridSpan w:val="6"/>
          </w:tcPr>
          <w:p>
            <w:pPr>
              <w:spacing w:after="0"/>
              <w:rPr>
                <w:sz w:val="21"/>
                <w:szCs w:val="21"/>
                <w:color w:val="auto"/>
              </w:rPr>
            </w:pPr>
          </w:p>
        </w:tc>
        <w:tc>
          <w:tcPr>
            <w:tcW w:w="3300" w:type="dxa"/>
            <w:vAlign w:val="bottom"/>
            <w:gridSpan w:val="5"/>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5"/>
                <w:szCs w:val="15"/>
                <w:color w:val="0000EE"/>
                <w:w w:val="71"/>
              </w:rPr>
            </w:pPr>
            <w:hyperlink w:anchor="page136">
              <w:r>
                <w:rPr>
                  <w:rFonts w:ascii="Arial" w:cs="Arial" w:eastAsia="Arial" w:hAnsi="Arial"/>
                  <w:sz w:val="15"/>
                  <w:szCs w:val="15"/>
                  <w:color w:val="0000EE"/>
                  <w:w w:val="71"/>
                </w:rPr>
                <w:t>136</w:t>
              </w:r>
            </w:hyperlink>
          </w:p>
        </w:tc>
        <w:tc>
          <w:tcPr>
            <w:tcW w:w="40" w:type="dxa"/>
            <w:vAlign w:val="bottom"/>
          </w:tcPr>
          <w:p>
            <w:pPr>
              <w:spacing w:after="0"/>
              <w:rPr>
                <w:sz w:val="21"/>
                <w:szCs w:val="21"/>
                <w:color w:val="auto"/>
              </w:rPr>
            </w:pPr>
          </w:p>
        </w:tc>
      </w:tr>
      <w:tr>
        <w:trPr>
          <w:trHeight w:val="250"/>
        </w:trPr>
        <w:tc>
          <w:tcPr>
            <w:tcW w:w="50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137">
              <w:r>
                <w:rPr>
                  <w:rFonts w:ascii="Arial" w:cs="Arial" w:eastAsia="Arial" w:hAnsi="Arial"/>
                  <w:sz w:val="18"/>
                  <w:szCs w:val="18"/>
                  <w:color w:val="0000EE"/>
                  <w:w w:val="83"/>
                </w:rPr>
                <w:t>Part IV</w:t>
              </w:r>
            </w:hyperlink>
          </w:p>
        </w:tc>
        <w:tc>
          <w:tcPr>
            <w:tcW w:w="100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6"/>
              </w:rPr>
              <w:t>Item 15.</w:t>
            </w:r>
          </w:p>
        </w:tc>
        <w:tc>
          <w:tcPr>
            <w:tcW w:w="420" w:type="dxa"/>
            <w:vAlign w:val="bottom"/>
            <w:gridSpan w:val="2"/>
          </w:tcPr>
          <w:p>
            <w:pPr>
              <w:spacing w:after="0"/>
              <w:rPr>
                <w:sz w:val="21"/>
                <w:szCs w:val="21"/>
                <w:color w:val="auto"/>
              </w:rPr>
            </w:pP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Exhibits and Financial Statement Schedules</w:t>
              </w:r>
            </w:hyperlink>
          </w:p>
        </w:tc>
        <w:tc>
          <w:tcPr>
            <w:tcW w:w="5580" w:type="dxa"/>
            <w:vAlign w:val="bottom"/>
            <w:gridSpan w:val="10"/>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5"/>
                <w:szCs w:val="15"/>
                <w:color w:val="0000EE"/>
                <w:w w:val="71"/>
              </w:rPr>
            </w:pPr>
            <w:hyperlink w:anchor="page137">
              <w:r>
                <w:rPr>
                  <w:rFonts w:ascii="Arial" w:cs="Arial" w:eastAsia="Arial" w:hAnsi="Arial"/>
                  <w:sz w:val="15"/>
                  <w:szCs w:val="15"/>
                  <w:color w:val="0000EE"/>
                  <w:w w:val="71"/>
                </w:rPr>
                <w:t>137</w:t>
              </w:r>
            </w:hyperlink>
          </w:p>
        </w:tc>
        <w:tc>
          <w:tcPr>
            <w:tcW w:w="40" w:type="dxa"/>
            <w:vAlign w:val="bottom"/>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76"/>
              </w:rPr>
              <w:t>Item 16.</w:t>
            </w:r>
          </w:p>
        </w:tc>
        <w:tc>
          <w:tcPr>
            <w:tcW w:w="460" w:type="dxa"/>
            <w:vAlign w:val="bottom"/>
            <w:gridSpan w:val="3"/>
          </w:tcPr>
          <w:p>
            <w:pPr>
              <w:spacing w:after="0"/>
              <w:rPr>
                <w:sz w:val="21"/>
                <w:szCs w:val="21"/>
                <w:color w:val="auto"/>
              </w:rPr>
            </w:pPr>
          </w:p>
        </w:tc>
        <w:tc>
          <w:tcPr>
            <w:tcW w:w="8740" w:type="dxa"/>
            <w:vAlign w:val="bottom"/>
            <w:gridSpan w:val="2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Form 10-K Summary</w:t>
              </w:r>
            </w:hyperlink>
          </w:p>
        </w:tc>
        <w:tc>
          <w:tcPr>
            <w:tcW w:w="1040" w:type="dxa"/>
            <w:vAlign w:val="bottom"/>
            <w:gridSpan w:val="5"/>
          </w:tcPr>
          <w:p>
            <w:pPr>
              <w:jc w:val="center"/>
              <w:ind w:left="590"/>
              <w:spacing w:after="0"/>
              <w:rPr>
                <w:rFonts w:ascii="Arial" w:cs="Arial" w:eastAsia="Arial" w:hAnsi="Arial"/>
                <w:sz w:val="18"/>
                <w:szCs w:val="18"/>
                <w:color w:val="0000EE"/>
                <w:w w:val="93"/>
              </w:rPr>
            </w:pPr>
            <w:hyperlink w:anchor="page141">
              <w:r>
                <w:rPr>
                  <w:rFonts w:ascii="Arial" w:cs="Arial" w:eastAsia="Arial" w:hAnsi="Arial"/>
                  <w:sz w:val="18"/>
                  <w:szCs w:val="18"/>
                  <w:color w:val="0000EE"/>
                  <w:w w:val="93"/>
                </w:rPr>
                <w:t>141</w:t>
              </w:r>
            </w:hyperlink>
          </w:p>
        </w:tc>
      </w:tr>
      <w:tr>
        <w:trPr>
          <w:trHeight w:val="250"/>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42">
              <w:r>
                <w:rPr>
                  <w:rFonts w:ascii="Arial" w:cs="Arial" w:eastAsia="Arial" w:hAnsi="Arial"/>
                  <w:sz w:val="18"/>
                  <w:szCs w:val="18"/>
                  <w:color w:val="0000EE"/>
                  <w:w w:val="85"/>
                </w:rPr>
                <w:t>Signatures</w:t>
              </w:r>
            </w:hyperlink>
          </w:p>
        </w:tc>
        <w:tc>
          <w:tcPr>
            <w:tcW w:w="780" w:type="dxa"/>
            <w:vAlign w:val="bottom"/>
            <w:tcBorders>
              <w:top w:val="single" w:sz="8" w:color="0000EE"/>
            </w:tcBorders>
            <w:gridSpan w:val="3"/>
          </w:tcPr>
          <w:p>
            <w:pPr>
              <w:spacing w:after="0"/>
              <w:rPr>
                <w:sz w:val="21"/>
                <w:szCs w:val="21"/>
                <w:color w:val="auto"/>
              </w:rPr>
            </w:pPr>
          </w:p>
        </w:tc>
        <w:tc>
          <w:tcPr>
            <w:tcW w:w="7200" w:type="dxa"/>
            <w:vAlign w:val="bottom"/>
            <w:gridSpan w:val="15"/>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5"/>
                <w:szCs w:val="15"/>
                <w:color w:val="0000EE"/>
                <w:w w:val="71"/>
              </w:rPr>
            </w:pPr>
            <w:hyperlink w:anchor="page142">
              <w:r>
                <w:rPr>
                  <w:rFonts w:ascii="Arial" w:cs="Arial" w:eastAsia="Arial" w:hAnsi="Arial"/>
                  <w:sz w:val="15"/>
                  <w:szCs w:val="15"/>
                  <w:color w:val="0000EE"/>
                  <w:w w:val="71"/>
                </w:rPr>
                <w:t>142</w:t>
              </w:r>
            </w:hyperlink>
          </w:p>
        </w:tc>
        <w:tc>
          <w:tcPr>
            <w:tcW w:w="40" w:type="dxa"/>
            <w:vAlign w:val="bottom"/>
          </w:tcPr>
          <w:p>
            <w:pPr>
              <w:spacing w:after="0"/>
              <w:rPr>
                <w:sz w:val="21"/>
                <w:szCs w:val="21"/>
                <w:color w:val="auto"/>
              </w:rPr>
            </w:pPr>
          </w:p>
        </w:tc>
      </w:tr>
    </w:tbl>
    <w:p>
      <w:pPr>
        <w:sectPr>
          <w:pgSz w:w="11900" w:h="16838" w:orient="portrait"/>
          <w:cols w:equalWidth="0" w:num="1">
            <w:col w:w="11320"/>
          </w:cols>
          <w:pgMar w:left="24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in Part I. Item 1A. “Risk Factors” and elsewhere in this Form 10-K and those described from time to time in our future reports filed with the Securities and Exchange Commission (the “SEC”).</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National Vision Holdings, Inc., a Delaware corporation, and its consolidated subsidiaries are referred to here as “we,” “our,” “us,” “the Company,” or “National Vision.” National Vision Holdings, Inc. conducts substantially all of its activities through its direct, wholly-owned subsidiary, National Vision, Inc. (“NVI”), and NVI’s subsidiaries. National Vision is controlled by affiliates of Kohlberg Kravis Roberts &amp; Co. L.P. (“KKR Sponsor”) and private equity funds managed by Berkshire Partners LLC (“Berkshire”). KKR Sponsor and Berkshire are collectively referred to herein as the “Sponsors.”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1,013 retail stores across five brands and 18 consumer websites as of December 30, 2017, our 2017 fiscal year end.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(“AC Lens”) to bolster its e-commerce platform.</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2014, NVI was acquired by affiliates of KKR Sponsor (the “KKR Acquisition”). National Vision Holdings, Inc. was incorporated in Delaware on February 14, 2014 under the name “Nautilus Parent, Inc.” and NVI became our wholly-owned subsidiary in connection with the KKR Acquisition. In 2017, we changed our name to “National Vision Holdings, Inc.”</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October 2017, we completed the initial public offering of our common stock (the “IPO”). Our common stock trades on the NASDAQ Global Select Market (“NASDAQ”) under the symbol “EYE.” Our principal executive offices are located at 2435 Commerce Avenue, Bldg. 2200, Duluth, Georgia 30096.</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55880</wp:posOffset>
            </wp:positionV>
            <wp:extent cx="5351145" cy="2366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114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 Represents stores in operations across all five company brands at the end of each fiscal year.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fundamentals of our model are described below:</w:t>
      </w:r>
    </w:p>
    <w:p>
      <w:pPr>
        <w:spacing w:after="0" w:line="225"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Differentiated and Defensible Value Proposition</w:t>
      </w:r>
      <w:r>
        <w:rPr>
          <w:rFonts w:ascii="Arial" w:cs="Arial" w:eastAsia="Arial" w:hAnsi="Arial"/>
          <w:sz w:val="18"/>
          <w:szCs w:val="18"/>
          <w:color w:val="auto"/>
        </w:rPr>
        <w:t>. We believe our success is driven by our low prices, convenient locations, broad assortment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for America’s Best allows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18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Recurring Revenue Characteristics</w:t>
      </w:r>
      <w:r>
        <w:rPr>
          <w:rFonts w:ascii="Arial" w:cs="Arial" w:eastAsia="Arial" w:hAnsi="Arial"/>
          <w:sz w:val="18"/>
          <w:szCs w:val="18"/>
          <w:color w:val="auto"/>
        </w:rPr>
        <w:t>. Eye care purchases are predominantly a medical necessity and are therefore considered non-discretionary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63% of total customers in 2017 and new customers representing the remaining 37% of total customers in 2017.</w:t>
      </w:r>
    </w:p>
    <w:p>
      <w:pPr>
        <w:spacing w:after="0" w:line="188"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Store Economics</w:t>
      </w:r>
      <w:r>
        <w:rPr>
          <w:rFonts w:ascii="Arial" w:cs="Arial" w:eastAsia="Arial" w:hAnsi="Arial"/>
          <w:sz w:val="17"/>
          <w:szCs w:val="17"/>
          <w:color w:val="auto"/>
        </w:rPr>
        <w:t>. Since 2006, we have opened 566 stores in the aggregate, including 490 stores under our America’s Best and Eyeglass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 retail brands. Our store economics are based on low capital investment, steady ramping of sales in new locations, low operating costs and consistent sales volume and earnings growth in mature stores, which result in attractive returns on capital. On average, 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 and Philanthropic Efforts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mission is to help people by making quality eye care and eyewear more affordable and accessible. Our financial success has helped fuel our ever-growing philanthropic engine. Through multiple charitable partnerships with organizations such as VisionSpring, RestoringVision and Vosh International, we have directly assisted approximately 900,000 individuals to see and have indirectly helped improve the vision of approximately 14 million individuals globally. In addition, through a multi-year partnership with the Boys &amp; Girls Clubs of America we provide free vision screenings, eye exams and eyeglasses to thousands of young Americans. We also work diligently to help a portion of the world’s population who live with uncorrected vision problems.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 In addition, our mission has been essential to the formation and retention of our cohesive management team, whose extensive experience and minimal turnover are unique components of our business success.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well positioned to serve our new and existing customers through a diverse portfolio of 1,013 retail stores across five brands and 18 consumer websites as of December 30,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which is licensed as a single-service health plan under California law, issues individual vision care benefit plans in connection with our America’s Best operations in California, and provides or arranges for the provision of optometric services at almost all of the optometric offices next to Walmart and Sam’s Club stores in California. FirstSight also sells contact lenses to its members in certain locations.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Brands and Omni-channel &amp; E-commerce Platform</w:t>
      </w:r>
    </w:p>
    <w:p>
      <w:pPr>
        <w:spacing w:after="0" w:line="162" w:lineRule="exact"/>
        <w:rPr>
          <w:sz w:val="20"/>
          <w:szCs w:val="20"/>
          <w:color w:val="auto"/>
        </w:rPr>
      </w:pPr>
    </w:p>
    <w:tbl>
      <w:tblPr>
        <w:tblLayout w:type="fixed"/>
        <w:tblInd w:w="1460" w:type="dxa"/>
        <w:tblCellMar>
          <w:top w:w="0" w:type="dxa"/>
          <w:left w:w="0" w:type="dxa"/>
          <w:bottom w:w="0" w:type="dxa"/>
          <w:right w:w="0" w:type="dxa"/>
        </w:tblCellMar>
      </w:tblPr>
      <w:tr>
        <w:trPr>
          <w:trHeight w:val="122"/>
        </w:trPr>
        <w:tc>
          <w:tcPr>
            <w:tcW w:w="120" w:type="dxa"/>
            <w:vAlign w:val="bottom"/>
            <w:shd w:val="clear" w:color="auto" w:fill="D4D6D7"/>
          </w:tcPr>
          <w:p>
            <w:pPr>
              <w:spacing w:after="0"/>
              <w:rPr>
                <w:sz w:val="10"/>
                <w:szCs w:val="10"/>
                <w:color w:val="auto"/>
              </w:rPr>
            </w:pPr>
          </w:p>
        </w:tc>
        <w:tc>
          <w:tcPr>
            <w:tcW w:w="6780" w:type="dxa"/>
            <w:vAlign w:val="bottom"/>
            <w:tcBorders>
              <w:bottom w:val="single" w:sz="8" w:color="225799"/>
            </w:tcBorders>
            <w:shd w:val="clear" w:color="auto" w:fill="D4D6D7"/>
          </w:tcPr>
          <w:p>
            <w:pPr>
              <w:spacing w:after="0"/>
              <w:rPr>
                <w:sz w:val="10"/>
                <w:szCs w:val="10"/>
                <w:color w:val="auto"/>
              </w:rPr>
            </w:pPr>
          </w:p>
        </w:tc>
        <w:tc>
          <w:tcPr>
            <w:tcW w:w="1500" w:type="dxa"/>
            <w:vAlign w:val="bottom"/>
            <w:tcBorders>
              <w:bottom w:val="single" w:sz="8" w:color="225799"/>
            </w:tcBorders>
            <w:shd w:val="clear" w:color="auto" w:fill="D4D6D7"/>
          </w:tcPr>
          <w:p>
            <w:pPr>
              <w:spacing w:after="0"/>
              <w:rPr>
                <w:sz w:val="10"/>
                <w:szCs w:val="10"/>
                <w:color w:val="auto"/>
              </w:rPr>
            </w:pPr>
          </w:p>
        </w:tc>
        <w:tc>
          <w:tcPr>
            <w:tcW w:w="100" w:type="dxa"/>
            <w:vAlign w:val="bottom"/>
            <w:tcBorders>
              <w:bottom w:val="single" w:sz="8" w:color="D4D6D7"/>
            </w:tcBorders>
            <w:shd w:val="clear" w:color="auto" w:fill="D4D6D7"/>
          </w:tcPr>
          <w:p>
            <w:pPr>
              <w:spacing w:after="0"/>
              <w:rPr>
                <w:sz w:val="10"/>
                <w:szCs w:val="10"/>
                <w:color w:val="auto"/>
              </w:rPr>
            </w:pPr>
          </w:p>
        </w:tc>
      </w:tr>
      <w:tr>
        <w:trPr>
          <w:trHeight w:val="215"/>
        </w:trPr>
        <w:tc>
          <w:tcPr>
            <w:tcW w:w="120" w:type="dxa"/>
            <w:vAlign w:val="bottom"/>
          </w:tcPr>
          <w:p>
            <w:pPr>
              <w:spacing w:after="0"/>
              <w:rPr>
                <w:sz w:val="18"/>
                <w:szCs w:val="18"/>
                <w:color w:val="auto"/>
              </w:rPr>
            </w:pPr>
          </w:p>
        </w:tc>
        <w:tc>
          <w:tcPr>
            <w:tcW w:w="6780" w:type="dxa"/>
            <w:vAlign w:val="bottom"/>
            <w:shd w:val="clear" w:color="auto" w:fill="CCEEFF"/>
          </w:tcPr>
          <w:p>
            <w:pPr>
              <w:ind w:left="2580"/>
              <w:spacing w:after="0"/>
              <w:rPr>
                <w:sz w:val="20"/>
                <w:szCs w:val="20"/>
                <w:color w:val="auto"/>
              </w:rPr>
            </w:pPr>
            <w:r>
              <w:rPr>
                <w:rFonts w:ascii="Arial" w:cs="Arial" w:eastAsia="Arial" w:hAnsi="Arial"/>
                <w:sz w:val="15"/>
                <w:szCs w:val="15"/>
                <w:b w:val="1"/>
                <w:bCs w:val="1"/>
                <w:color w:val="auto"/>
              </w:rPr>
              <w:t>Owned &amp; Host Brands</w:t>
            </w:r>
          </w:p>
        </w:tc>
        <w:tc>
          <w:tcPr>
            <w:tcW w:w="1600" w:type="dxa"/>
            <w:vAlign w:val="bottom"/>
            <w:gridSpan w:val="2"/>
            <w:shd w:val="clear" w:color="auto" w:fill="D4D6D7"/>
          </w:tcPr>
          <w:p>
            <w:pPr>
              <w:ind w:left="480"/>
              <w:spacing w:after="0"/>
              <w:rPr>
                <w:sz w:val="20"/>
                <w:szCs w:val="20"/>
                <w:color w:val="auto"/>
              </w:rPr>
            </w:pPr>
            <w:r>
              <w:rPr>
                <w:rFonts w:ascii="Arial" w:cs="Arial" w:eastAsia="Arial" w:hAnsi="Arial"/>
                <w:sz w:val="15"/>
                <w:szCs w:val="15"/>
                <w:b w:val="1"/>
                <w:bCs w:val="1"/>
                <w:color w:val="auto"/>
              </w:rPr>
              <w:t>Legacy</w:t>
            </w:r>
          </w:p>
        </w:tc>
      </w:tr>
      <w:tr>
        <w:trPr>
          <w:trHeight w:val="35"/>
        </w:trPr>
        <w:tc>
          <w:tcPr>
            <w:tcW w:w="120" w:type="dxa"/>
            <w:vAlign w:val="bottom"/>
          </w:tcPr>
          <w:p>
            <w:pPr>
              <w:spacing w:after="0"/>
              <w:rPr>
                <w:sz w:val="3"/>
                <w:szCs w:val="3"/>
                <w:color w:val="auto"/>
              </w:rPr>
            </w:pPr>
          </w:p>
        </w:tc>
        <w:tc>
          <w:tcPr>
            <w:tcW w:w="6780" w:type="dxa"/>
            <w:vAlign w:val="bottom"/>
            <w:shd w:val="clear" w:color="auto" w:fill="CCEEFF"/>
          </w:tcPr>
          <w:p>
            <w:pPr>
              <w:spacing w:after="0"/>
              <w:rPr>
                <w:sz w:val="3"/>
                <w:szCs w:val="3"/>
                <w:color w:val="auto"/>
              </w:rPr>
            </w:pPr>
          </w:p>
        </w:tc>
        <w:tc>
          <w:tcPr>
            <w:tcW w:w="1500" w:type="dxa"/>
            <w:vAlign w:val="bottom"/>
            <w:shd w:val="clear" w:color="auto" w:fill="D4D6D7"/>
          </w:tcPr>
          <w:p>
            <w:pPr>
              <w:spacing w:after="0"/>
              <w:rPr>
                <w:sz w:val="3"/>
                <w:szCs w:val="3"/>
                <w:color w:val="auto"/>
              </w:rPr>
            </w:pPr>
          </w:p>
        </w:tc>
        <w:tc>
          <w:tcPr>
            <w:tcW w:w="100" w:type="dxa"/>
            <w:vAlign w:val="bottom"/>
            <w:shd w:val="clear" w:color="auto" w:fill="D4D6D7"/>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-170815</wp:posOffset>
            </wp:positionV>
            <wp:extent cx="68580" cy="2855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2855595"/>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696"/>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shd w:val="clear" w:color="auto" w:fill="D4D6D7"/>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240" w:type="dxa"/>
            <w:vAlign w:val="bottom"/>
            <w:vMerge w:val="restart"/>
            <w:shd w:val="clear" w:color="auto" w:fill="CCEEFF"/>
          </w:tcPr>
          <w:p>
            <w:pPr>
              <w:jc w:val="center"/>
              <w:ind w:left="335"/>
              <w:spacing w:after="0"/>
              <w:rPr>
                <w:sz w:val="20"/>
                <w:szCs w:val="20"/>
                <w:color w:val="auto"/>
              </w:rPr>
            </w:pPr>
            <w:r>
              <w:rPr>
                <w:rFonts w:ascii="Arial" w:cs="Arial" w:eastAsia="Arial" w:hAnsi="Arial"/>
                <w:sz w:val="15"/>
                <w:szCs w:val="15"/>
                <w:b w:val="1"/>
                <w:bCs w:val="1"/>
                <w:color w:val="auto"/>
                <w:w w:val="90"/>
              </w:rPr>
              <w:t>Lowest Price</w:t>
            </w:r>
          </w:p>
        </w:tc>
        <w:tc>
          <w:tcPr>
            <w:tcW w:w="2160" w:type="dxa"/>
            <w:vAlign w:val="bottom"/>
            <w:shd w:val="clear" w:color="auto" w:fill="CCEEFF"/>
          </w:tcPr>
          <w:p>
            <w:pPr>
              <w:jc w:val="center"/>
              <w:ind w:left="310"/>
              <w:spacing w:after="0"/>
              <w:rPr>
                <w:sz w:val="20"/>
                <w:szCs w:val="20"/>
                <w:color w:val="auto"/>
              </w:rPr>
            </w:pPr>
            <w:r>
              <w:rPr>
                <w:rFonts w:ascii="Arial" w:cs="Arial" w:eastAsia="Arial" w:hAnsi="Arial"/>
                <w:sz w:val="15"/>
                <w:szCs w:val="15"/>
                <w:b w:val="1"/>
                <w:bCs w:val="1"/>
                <w:color w:val="auto"/>
                <w:w w:val="93"/>
              </w:rPr>
              <w:t>Eyewear Value</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94"/>
              </w:rPr>
              <w:t>Shop-Within-A-Shop</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90"/>
              </w:rPr>
              <w:t>Commissary Store</w:t>
            </w:r>
          </w:p>
        </w:tc>
        <w:tc>
          <w:tcPr>
            <w:tcW w:w="1500" w:type="dxa"/>
            <w:vAlign w:val="bottom"/>
            <w:vMerge w:val="restart"/>
            <w:shd w:val="clear" w:color="auto" w:fill="D4D6D7"/>
          </w:tcPr>
          <w:p>
            <w:pPr>
              <w:jc w:val="center"/>
              <w:spacing w:after="0"/>
              <w:rPr>
                <w:sz w:val="20"/>
                <w:szCs w:val="20"/>
                <w:color w:val="auto"/>
              </w:rPr>
            </w:pPr>
            <w:r>
              <w:rPr>
                <w:rFonts w:ascii="Arial" w:cs="Arial" w:eastAsia="Arial" w:hAnsi="Arial"/>
                <w:sz w:val="15"/>
                <w:szCs w:val="15"/>
                <w:b w:val="1"/>
                <w:bCs w:val="1"/>
                <w:color w:val="auto"/>
                <w:w w:val="94"/>
              </w:rPr>
              <w:t>Shop-Within-A-Shop</w:t>
            </w:r>
          </w:p>
        </w:tc>
        <w:tc>
          <w:tcPr>
            <w:tcW w:w="100" w:type="dxa"/>
            <w:vAlign w:val="bottom"/>
            <w:shd w:val="clear" w:color="auto" w:fill="D4D6D7"/>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2160" w:type="dxa"/>
            <w:vAlign w:val="bottom"/>
            <w:vMerge w:val="restart"/>
            <w:shd w:val="clear" w:color="auto" w:fill="CCEEFF"/>
          </w:tcPr>
          <w:p>
            <w:pPr>
              <w:jc w:val="center"/>
              <w:ind w:left="310"/>
              <w:spacing w:after="0"/>
              <w:rPr>
                <w:sz w:val="20"/>
                <w:szCs w:val="20"/>
                <w:color w:val="auto"/>
              </w:rPr>
            </w:pPr>
            <w:r>
              <w:rPr>
                <w:rFonts w:ascii="Arial" w:cs="Arial" w:eastAsia="Arial" w:hAnsi="Arial"/>
                <w:sz w:val="15"/>
                <w:szCs w:val="15"/>
                <w:b w:val="1"/>
                <w:bCs w:val="1"/>
                <w:color w:val="auto"/>
                <w:w w:val="88"/>
              </w:rPr>
              <w:t>Superstore</w:t>
            </w:r>
          </w:p>
        </w:tc>
        <w:tc>
          <w:tcPr>
            <w:tcW w:w="1760" w:type="dxa"/>
            <w:vAlign w:val="bottom"/>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1500" w:type="dxa"/>
            <w:vAlign w:val="bottom"/>
            <w:vMerge w:val="continue"/>
            <w:shd w:val="clear" w:color="auto" w:fill="D4D6D7"/>
          </w:tcPr>
          <w:p>
            <w:pPr>
              <w:spacing w:after="0"/>
              <w:rPr>
                <w:sz w:val="10"/>
                <w:szCs w:val="10"/>
                <w:color w:val="auto"/>
              </w:rPr>
            </w:pPr>
          </w:p>
        </w:tc>
        <w:tc>
          <w:tcPr>
            <w:tcW w:w="100" w:type="dxa"/>
            <w:vAlign w:val="bottom"/>
            <w:shd w:val="clear" w:color="auto" w:fill="D4D6D7"/>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160" w:type="dxa"/>
            <w:vAlign w:val="bottom"/>
            <w:vMerge w:val="continue"/>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500" w:type="dxa"/>
            <w:vAlign w:val="bottom"/>
            <w:shd w:val="clear" w:color="auto" w:fill="D4D6D7"/>
          </w:tcPr>
          <w:p>
            <w:pPr>
              <w:spacing w:after="0"/>
              <w:rPr>
                <w:sz w:val="7"/>
                <w:szCs w:val="7"/>
                <w:color w:val="auto"/>
              </w:rPr>
            </w:pPr>
          </w:p>
        </w:tc>
        <w:tc>
          <w:tcPr>
            <w:tcW w:w="100" w:type="dxa"/>
            <w:vAlign w:val="bottom"/>
            <w:shd w:val="clear" w:color="auto" w:fill="D4D6D7"/>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3"/>
                <w:szCs w:val="13"/>
                <w:i w:val="1"/>
                <w:iCs w:val="1"/>
                <w:color w:val="auto"/>
                <w:w w:val="88"/>
              </w:rPr>
              <w:t>“Great Deals Everywhere You</w:t>
            </w:r>
          </w:p>
        </w:tc>
        <w:tc>
          <w:tcPr>
            <w:tcW w:w="1620" w:type="dxa"/>
            <w:vAlign w:val="bottom"/>
            <w:vMerge w:val="restart"/>
          </w:tcPr>
          <w:p>
            <w:pPr>
              <w:jc w:val="center"/>
              <w:spacing w:after="0"/>
              <w:rPr>
                <w:sz w:val="20"/>
                <w:szCs w:val="20"/>
                <w:color w:val="auto"/>
              </w:rPr>
            </w:pPr>
            <w:r>
              <w:rPr>
                <w:rFonts w:ascii="Arial" w:cs="Arial" w:eastAsia="Arial" w:hAnsi="Arial"/>
                <w:sz w:val="13"/>
                <w:szCs w:val="13"/>
                <w:i w:val="1"/>
                <w:iCs w:val="1"/>
                <w:color w:val="auto"/>
                <w:w w:val="98"/>
              </w:rPr>
              <w:t>“Fantastic Military Pricing”</w:t>
            </w:r>
          </w:p>
        </w:tc>
        <w:tc>
          <w:tcPr>
            <w:tcW w:w="1500" w:type="dxa"/>
            <w:vAlign w:val="bottom"/>
            <w:vMerge w:val="restart"/>
          </w:tcPr>
          <w:p>
            <w:pPr>
              <w:jc w:val="center"/>
              <w:spacing w:after="0"/>
              <w:rPr>
                <w:sz w:val="20"/>
                <w:szCs w:val="20"/>
                <w:color w:val="auto"/>
              </w:rPr>
            </w:pPr>
            <w:r>
              <w:rPr>
                <w:rFonts w:ascii="Arial" w:cs="Arial" w:eastAsia="Arial" w:hAnsi="Arial"/>
                <w:sz w:val="13"/>
                <w:szCs w:val="13"/>
                <w:i w:val="1"/>
                <w:iCs w:val="1"/>
                <w:color w:val="auto"/>
                <w:w w:val="95"/>
              </w:rPr>
              <w:t>“Everyday Low Price”</w:t>
            </w:r>
          </w:p>
        </w:tc>
        <w:tc>
          <w:tcPr>
            <w:tcW w:w="100" w:type="dxa"/>
            <w:vAlign w:val="bottom"/>
            <w:shd w:val="clear" w:color="auto" w:fill="D4D6D7"/>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760" w:type="dxa"/>
            <w:vAlign w:val="bottom"/>
            <w:vMerge w:val="restart"/>
          </w:tcPr>
          <w:p>
            <w:pPr>
              <w:jc w:val="center"/>
              <w:spacing w:after="0"/>
              <w:rPr>
                <w:sz w:val="20"/>
                <w:szCs w:val="20"/>
                <w:color w:val="auto"/>
              </w:rPr>
            </w:pPr>
            <w:r>
              <w:rPr>
                <w:rFonts w:ascii="Arial" w:cs="Arial" w:eastAsia="Arial" w:hAnsi="Arial"/>
                <w:sz w:val="13"/>
                <w:szCs w:val="13"/>
                <w:i w:val="1"/>
                <w:iCs w:val="1"/>
                <w:color w:val="auto"/>
                <w:w w:val="98"/>
              </w:rPr>
              <w:t>Look”</w:t>
            </w:r>
          </w:p>
        </w:tc>
        <w:tc>
          <w:tcPr>
            <w:tcW w:w="16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00" w:type="dxa"/>
            <w:vAlign w:val="bottom"/>
            <w:shd w:val="clear" w:color="auto" w:fill="D4D6D7"/>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shd w:val="clear" w:color="auto" w:fill="D4D6D7"/>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240" w:type="dxa"/>
            <w:vAlign w:val="bottom"/>
          </w:tcPr>
          <w:p>
            <w:pPr>
              <w:jc w:val="center"/>
              <w:ind w:left="335"/>
              <w:spacing w:after="0"/>
              <w:rPr>
                <w:sz w:val="20"/>
                <w:szCs w:val="20"/>
                <w:color w:val="auto"/>
              </w:rPr>
            </w:pPr>
            <w:r>
              <w:rPr>
                <w:rFonts w:ascii="Arial" w:cs="Arial" w:eastAsia="Arial" w:hAnsi="Arial"/>
                <w:sz w:val="13"/>
                <w:szCs w:val="13"/>
                <w:b w:val="1"/>
                <w:bCs w:val="1"/>
                <w:color w:val="auto"/>
                <w:w w:val="86"/>
              </w:rPr>
              <w:t>Employed ODs</w:t>
            </w:r>
          </w:p>
        </w:tc>
        <w:tc>
          <w:tcPr>
            <w:tcW w:w="2160" w:type="dxa"/>
            <w:vAlign w:val="bottom"/>
          </w:tcPr>
          <w:p>
            <w:pPr>
              <w:jc w:val="center"/>
              <w:ind w:left="310"/>
              <w:spacing w:after="0"/>
              <w:rPr>
                <w:sz w:val="20"/>
                <w:szCs w:val="20"/>
                <w:color w:val="auto"/>
              </w:rPr>
            </w:pPr>
            <w:r>
              <w:rPr>
                <w:rFonts w:ascii="Arial" w:cs="Arial" w:eastAsia="Arial" w:hAnsi="Arial"/>
                <w:sz w:val="13"/>
                <w:szCs w:val="13"/>
                <w:b w:val="1"/>
                <w:bCs w:val="1"/>
                <w:color w:val="auto"/>
                <w:w w:val="87"/>
              </w:rPr>
              <w:t>Mostly Independent ODs</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9"/>
              </w:rPr>
              <w:t>Mostly Independent ODs</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89"/>
              </w:rPr>
              <w:t>Mostly Independent ODs</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87"/>
              </w:rPr>
              <w:t>Mostly Independent ODs</w:t>
            </w:r>
          </w:p>
        </w:tc>
        <w:tc>
          <w:tcPr>
            <w:tcW w:w="100" w:type="dxa"/>
            <w:vAlign w:val="bottom"/>
            <w:shd w:val="clear" w:color="auto" w:fill="D4D6D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40" w:type="dxa"/>
            <w:vAlign w:val="bottom"/>
          </w:tcPr>
          <w:p>
            <w:pPr>
              <w:jc w:val="center"/>
              <w:ind w:left="335"/>
              <w:spacing w:after="0"/>
              <w:rPr>
                <w:sz w:val="20"/>
                <w:szCs w:val="20"/>
                <w:color w:val="auto"/>
              </w:rPr>
            </w:pPr>
            <w:r>
              <w:rPr>
                <w:rFonts w:ascii="Arial" w:cs="Arial" w:eastAsia="Arial" w:hAnsi="Arial"/>
                <w:sz w:val="13"/>
                <w:szCs w:val="13"/>
                <w:color w:val="auto"/>
                <w:w w:val="82"/>
              </w:rPr>
              <w:t>594 Stores</w:t>
            </w:r>
          </w:p>
        </w:tc>
        <w:tc>
          <w:tcPr>
            <w:tcW w:w="2160" w:type="dxa"/>
            <w:vAlign w:val="bottom"/>
          </w:tcPr>
          <w:p>
            <w:pPr>
              <w:jc w:val="center"/>
              <w:ind w:left="310"/>
              <w:spacing w:after="0"/>
              <w:rPr>
                <w:sz w:val="20"/>
                <w:szCs w:val="20"/>
                <w:color w:val="auto"/>
              </w:rPr>
            </w:pPr>
            <w:r>
              <w:rPr>
                <w:rFonts w:ascii="Arial" w:cs="Arial" w:eastAsia="Arial" w:hAnsi="Arial"/>
                <w:sz w:val="13"/>
                <w:szCs w:val="13"/>
                <w:color w:val="auto"/>
                <w:w w:val="85"/>
              </w:rPr>
              <w:t>107 Stores</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29 Stores</w:t>
            </w:r>
          </w:p>
        </w:tc>
        <w:tc>
          <w:tcPr>
            <w:tcW w:w="1620" w:type="dxa"/>
            <w:vAlign w:val="bottom"/>
          </w:tcPr>
          <w:p>
            <w:pPr>
              <w:jc w:val="center"/>
              <w:spacing w:after="0"/>
              <w:rPr>
                <w:sz w:val="20"/>
                <w:szCs w:val="20"/>
                <w:color w:val="auto"/>
              </w:rPr>
            </w:pPr>
            <w:r>
              <w:rPr>
                <w:rFonts w:ascii="Arial" w:cs="Arial" w:eastAsia="Arial" w:hAnsi="Arial"/>
                <w:sz w:val="13"/>
                <w:szCs w:val="13"/>
                <w:color w:val="auto"/>
                <w:w w:val="86"/>
              </w:rPr>
              <w:t>56 Stores</w:t>
            </w:r>
          </w:p>
        </w:tc>
        <w:tc>
          <w:tcPr>
            <w:tcW w:w="1500" w:type="dxa"/>
            <w:vAlign w:val="bottom"/>
          </w:tcPr>
          <w:p>
            <w:pPr>
              <w:jc w:val="center"/>
              <w:spacing w:after="0"/>
              <w:rPr>
                <w:sz w:val="20"/>
                <w:szCs w:val="20"/>
                <w:color w:val="auto"/>
              </w:rPr>
            </w:pPr>
            <w:r>
              <w:rPr>
                <w:rFonts w:ascii="Arial" w:cs="Arial" w:eastAsia="Arial" w:hAnsi="Arial"/>
                <w:sz w:val="13"/>
                <w:szCs w:val="13"/>
                <w:color w:val="auto"/>
                <w:w w:val="85"/>
              </w:rPr>
              <w:t>227 Stores</w:t>
            </w:r>
          </w:p>
        </w:tc>
        <w:tc>
          <w:tcPr>
            <w:tcW w:w="100" w:type="dxa"/>
            <w:vAlign w:val="bottom"/>
            <w:shd w:val="clear" w:color="auto" w:fill="D4D6D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40" w:type="dxa"/>
            <w:vAlign w:val="bottom"/>
          </w:tcPr>
          <w:p>
            <w:pPr>
              <w:jc w:val="center"/>
              <w:ind w:left="335"/>
              <w:spacing w:after="0"/>
              <w:rPr>
                <w:sz w:val="20"/>
                <w:szCs w:val="20"/>
                <w:color w:val="auto"/>
              </w:rPr>
            </w:pPr>
            <w:r>
              <w:rPr>
                <w:rFonts w:ascii="Arial" w:cs="Arial" w:eastAsia="Arial" w:hAnsi="Arial"/>
                <w:sz w:val="13"/>
                <w:szCs w:val="13"/>
                <w:color w:val="auto"/>
                <w:w w:val="89"/>
              </w:rPr>
              <w:t>~3,500 sq. ft.</w:t>
            </w:r>
          </w:p>
        </w:tc>
        <w:tc>
          <w:tcPr>
            <w:tcW w:w="2160" w:type="dxa"/>
            <w:vAlign w:val="bottom"/>
          </w:tcPr>
          <w:p>
            <w:pPr>
              <w:jc w:val="center"/>
              <w:ind w:left="310"/>
              <w:spacing w:after="0"/>
              <w:rPr>
                <w:sz w:val="20"/>
                <w:szCs w:val="20"/>
                <w:color w:val="auto"/>
              </w:rPr>
            </w:pPr>
            <w:r>
              <w:rPr>
                <w:rFonts w:ascii="Arial" w:cs="Arial" w:eastAsia="Arial" w:hAnsi="Arial"/>
                <w:sz w:val="13"/>
                <w:szCs w:val="13"/>
                <w:color w:val="auto"/>
                <w:w w:val="87"/>
              </w:rPr>
              <w:t>~4,500 sq. ft.</w:t>
            </w:r>
          </w:p>
        </w:tc>
        <w:tc>
          <w:tcPr>
            <w:tcW w:w="1760" w:type="dxa"/>
            <w:vAlign w:val="bottom"/>
          </w:tcPr>
          <w:p>
            <w:pPr>
              <w:jc w:val="center"/>
              <w:spacing w:after="0"/>
              <w:rPr>
                <w:sz w:val="20"/>
                <w:szCs w:val="20"/>
                <w:color w:val="auto"/>
              </w:rPr>
            </w:pPr>
            <w:r>
              <w:rPr>
                <w:rFonts w:ascii="Arial" w:cs="Arial" w:eastAsia="Arial" w:hAnsi="Arial"/>
                <w:sz w:val="13"/>
                <w:szCs w:val="13"/>
                <w:color w:val="auto"/>
                <w:w w:val="86"/>
              </w:rPr>
              <w:t>~800 sq. ft.</w:t>
            </w:r>
          </w:p>
        </w:tc>
        <w:tc>
          <w:tcPr>
            <w:tcW w:w="1620" w:type="dxa"/>
            <w:vAlign w:val="bottom"/>
          </w:tcPr>
          <w:p>
            <w:pPr>
              <w:jc w:val="center"/>
              <w:ind w:left="14"/>
              <w:spacing w:after="0"/>
              <w:rPr>
                <w:sz w:val="20"/>
                <w:szCs w:val="20"/>
                <w:color w:val="auto"/>
              </w:rPr>
            </w:pPr>
            <w:r>
              <w:rPr>
                <w:rFonts w:ascii="Arial" w:cs="Arial" w:eastAsia="Arial" w:hAnsi="Arial"/>
                <w:sz w:val="13"/>
                <w:szCs w:val="13"/>
                <w:color w:val="auto"/>
                <w:w w:val="87"/>
              </w:rPr>
              <w:t>~1,000 sq. ft.</w:t>
            </w:r>
          </w:p>
        </w:tc>
        <w:tc>
          <w:tcPr>
            <w:tcW w:w="1500" w:type="dxa"/>
            <w:vAlign w:val="bottom"/>
          </w:tcPr>
          <w:p>
            <w:pPr>
              <w:jc w:val="center"/>
              <w:spacing w:after="0"/>
              <w:rPr>
                <w:sz w:val="20"/>
                <w:szCs w:val="20"/>
                <w:color w:val="auto"/>
              </w:rPr>
            </w:pPr>
            <w:r>
              <w:rPr>
                <w:rFonts w:ascii="Arial" w:cs="Arial" w:eastAsia="Arial" w:hAnsi="Arial"/>
                <w:sz w:val="13"/>
                <w:szCs w:val="13"/>
                <w:color w:val="auto"/>
                <w:w w:val="87"/>
              </w:rPr>
              <w:t>~1,800 sq. ft.</w:t>
            </w:r>
          </w:p>
        </w:tc>
        <w:tc>
          <w:tcPr>
            <w:tcW w:w="100" w:type="dxa"/>
            <w:vAlign w:val="bottom"/>
            <w:shd w:val="clear" w:color="auto" w:fill="D4D6D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40" w:type="dxa"/>
            <w:vAlign w:val="bottom"/>
          </w:tcPr>
          <w:p>
            <w:pPr>
              <w:jc w:val="center"/>
              <w:ind w:left="335"/>
              <w:spacing w:after="0"/>
              <w:rPr>
                <w:sz w:val="20"/>
                <w:szCs w:val="20"/>
                <w:color w:val="auto"/>
              </w:rPr>
            </w:pPr>
            <w:r>
              <w:rPr>
                <w:rFonts w:ascii="Arial" w:cs="Arial" w:eastAsia="Arial" w:hAnsi="Arial"/>
                <w:sz w:val="13"/>
                <w:szCs w:val="13"/>
                <w:color w:val="auto"/>
                <w:w w:val="88"/>
              </w:rPr>
              <w:t>~1,320 SKUs</w:t>
            </w:r>
          </w:p>
        </w:tc>
        <w:tc>
          <w:tcPr>
            <w:tcW w:w="2160" w:type="dxa"/>
            <w:vAlign w:val="bottom"/>
          </w:tcPr>
          <w:p>
            <w:pPr>
              <w:jc w:val="center"/>
              <w:ind w:left="330"/>
              <w:spacing w:after="0"/>
              <w:rPr>
                <w:sz w:val="20"/>
                <w:szCs w:val="20"/>
                <w:color w:val="auto"/>
              </w:rPr>
            </w:pPr>
            <w:r>
              <w:rPr>
                <w:rFonts w:ascii="Arial" w:cs="Arial" w:eastAsia="Arial" w:hAnsi="Arial"/>
                <w:sz w:val="13"/>
                <w:szCs w:val="13"/>
                <w:color w:val="auto"/>
                <w:w w:val="88"/>
              </w:rPr>
              <w:t>~1,935 SKUs</w:t>
            </w:r>
          </w:p>
        </w:tc>
        <w:tc>
          <w:tcPr>
            <w:tcW w:w="1760" w:type="dxa"/>
            <w:vAlign w:val="bottom"/>
          </w:tcPr>
          <w:p>
            <w:pPr>
              <w:jc w:val="center"/>
              <w:spacing w:after="0"/>
              <w:rPr>
                <w:sz w:val="20"/>
                <w:szCs w:val="20"/>
                <w:color w:val="auto"/>
              </w:rPr>
            </w:pPr>
            <w:r>
              <w:rPr>
                <w:rFonts w:ascii="Arial" w:cs="Arial" w:eastAsia="Arial" w:hAnsi="Arial"/>
                <w:sz w:val="13"/>
                <w:szCs w:val="13"/>
                <w:color w:val="auto"/>
                <w:w w:val="90"/>
              </w:rPr>
              <w:t>~600 SKUs</w:t>
            </w:r>
          </w:p>
        </w:tc>
        <w:tc>
          <w:tcPr>
            <w:tcW w:w="1620" w:type="dxa"/>
            <w:vAlign w:val="bottom"/>
          </w:tcPr>
          <w:p>
            <w:pPr>
              <w:jc w:val="center"/>
              <w:spacing w:after="0"/>
              <w:rPr>
                <w:sz w:val="20"/>
                <w:szCs w:val="20"/>
                <w:color w:val="auto"/>
              </w:rPr>
            </w:pPr>
            <w:r>
              <w:rPr>
                <w:rFonts w:ascii="Arial" w:cs="Arial" w:eastAsia="Arial" w:hAnsi="Arial"/>
                <w:sz w:val="13"/>
                <w:szCs w:val="13"/>
                <w:color w:val="auto"/>
                <w:w w:val="90"/>
              </w:rPr>
              <w:t>~700 SKUs</w:t>
            </w:r>
          </w:p>
        </w:tc>
        <w:tc>
          <w:tcPr>
            <w:tcW w:w="1500" w:type="dxa"/>
            <w:vAlign w:val="bottom"/>
          </w:tcPr>
          <w:p>
            <w:pPr>
              <w:jc w:val="center"/>
              <w:spacing w:after="0"/>
              <w:rPr>
                <w:sz w:val="20"/>
                <w:szCs w:val="20"/>
                <w:color w:val="auto"/>
              </w:rPr>
            </w:pPr>
            <w:r>
              <w:rPr>
                <w:rFonts w:ascii="Arial" w:cs="Arial" w:eastAsia="Arial" w:hAnsi="Arial"/>
                <w:sz w:val="13"/>
                <w:szCs w:val="13"/>
                <w:color w:val="auto"/>
                <w:w w:val="87"/>
              </w:rPr>
              <w:t>~800 SKUs</w:t>
            </w:r>
          </w:p>
        </w:tc>
        <w:tc>
          <w:tcPr>
            <w:tcW w:w="100" w:type="dxa"/>
            <w:vAlign w:val="bottom"/>
            <w:shd w:val="clear" w:color="auto" w:fill="D4D6D7"/>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20" w:type="dxa"/>
            <w:vAlign w:val="bottom"/>
          </w:tcPr>
          <w:p>
            <w:pPr>
              <w:spacing w:after="0"/>
              <w:rPr>
                <w:sz w:val="24"/>
                <w:szCs w:val="24"/>
                <w:color w:val="auto"/>
              </w:rPr>
            </w:pPr>
          </w:p>
        </w:tc>
        <w:tc>
          <w:tcPr>
            <w:tcW w:w="1240" w:type="dxa"/>
            <w:vAlign w:val="bottom"/>
          </w:tcPr>
          <w:p>
            <w:pPr>
              <w:jc w:val="center"/>
              <w:ind w:left="335"/>
              <w:spacing w:after="0"/>
              <w:rPr>
                <w:sz w:val="20"/>
                <w:szCs w:val="20"/>
                <w:color w:val="auto"/>
              </w:rPr>
            </w:pPr>
            <w:r>
              <w:rPr>
                <w:rFonts w:ascii="Arial" w:cs="Arial" w:eastAsia="Arial" w:hAnsi="Arial"/>
                <w:sz w:val="13"/>
                <w:szCs w:val="13"/>
                <w:color w:val="auto"/>
                <w:w w:val="87"/>
              </w:rPr>
              <w:t>Centralized Lab</w:t>
            </w:r>
          </w:p>
        </w:tc>
        <w:tc>
          <w:tcPr>
            <w:tcW w:w="2160" w:type="dxa"/>
            <w:vAlign w:val="bottom"/>
          </w:tcPr>
          <w:p>
            <w:pPr>
              <w:jc w:val="center"/>
              <w:ind w:left="310"/>
              <w:spacing w:after="0"/>
              <w:rPr>
                <w:sz w:val="20"/>
                <w:szCs w:val="20"/>
                <w:color w:val="auto"/>
              </w:rPr>
            </w:pPr>
            <w:r>
              <w:rPr>
                <w:rFonts w:ascii="Arial" w:cs="Arial" w:eastAsia="Arial" w:hAnsi="Arial"/>
                <w:sz w:val="13"/>
                <w:szCs w:val="13"/>
                <w:color w:val="auto"/>
                <w:w w:val="89"/>
              </w:rPr>
              <w:t>Lab in Store / Centralized Lab</w:t>
            </w:r>
          </w:p>
        </w:tc>
        <w:tc>
          <w:tcPr>
            <w:tcW w:w="1760" w:type="dxa"/>
            <w:vAlign w:val="bottom"/>
          </w:tcPr>
          <w:p>
            <w:pPr>
              <w:jc w:val="center"/>
              <w:spacing w:after="0"/>
              <w:rPr>
                <w:sz w:val="20"/>
                <w:szCs w:val="20"/>
                <w:color w:val="auto"/>
              </w:rPr>
            </w:pPr>
            <w:r>
              <w:rPr>
                <w:rFonts w:ascii="Arial" w:cs="Arial" w:eastAsia="Arial" w:hAnsi="Arial"/>
                <w:sz w:val="13"/>
                <w:szCs w:val="13"/>
                <w:color w:val="auto"/>
                <w:w w:val="87"/>
              </w:rPr>
              <w:t>Centralized Lab</w:t>
            </w:r>
          </w:p>
        </w:tc>
        <w:tc>
          <w:tcPr>
            <w:tcW w:w="1620" w:type="dxa"/>
            <w:vAlign w:val="bottom"/>
          </w:tcPr>
          <w:p>
            <w:pPr>
              <w:jc w:val="center"/>
              <w:spacing w:after="0"/>
              <w:rPr>
                <w:sz w:val="20"/>
                <w:szCs w:val="20"/>
                <w:color w:val="auto"/>
              </w:rPr>
            </w:pPr>
            <w:r>
              <w:rPr>
                <w:rFonts w:ascii="Arial" w:cs="Arial" w:eastAsia="Arial" w:hAnsi="Arial"/>
                <w:sz w:val="13"/>
                <w:szCs w:val="13"/>
                <w:color w:val="auto"/>
                <w:w w:val="87"/>
              </w:rPr>
              <w:t>Centralized Lab</w:t>
            </w:r>
          </w:p>
        </w:tc>
        <w:tc>
          <w:tcPr>
            <w:tcW w:w="1500" w:type="dxa"/>
            <w:vAlign w:val="bottom"/>
          </w:tcPr>
          <w:p>
            <w:pPr>
              <w:jc w:val="center"/>
              <w:spacing w:after="0"/>
              <w:rPr>
                <w:sz w:val="20"/>
                <w:szCs w:val="20"/>
                <w:color w:val="auto"/>
              </w:rPr>
            </w:pPr>
            <w:r>
              <w:rPr>
                <w:rFonts w:ascii="Arial" w:cs="Arial" w:eastAsia="Arial" w:hAnsi="Arial"/>
                <w:sz w:val="13"/>
                <w:szCs w:val="13"/>
                <w:color w:val="auto"/>
                <w:w w:val="90"/>
              </w:rPr>
              <w:t>Centralized Lab</w:t>
            </w:r>
          </w:p>
        </w:tc>
        <w:tc>
          <w:tcPr>
            <w:tcW w:w="100" w:type="dxa"/>
            <w:vAlign w:val="bottom"/>
            <w:shd w:val="clear" w:color="auto" w:fill="D4D6D7"/>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240" w:type="dxa"/>
            <w:vAlign w:val="bottom"/>
            <w:tcBorders>
              <w:bottom w:val="single" w:sz="8" w:color="225799"/>
            </w:tcBorders>
            <w:shd w:val="clear" w:color="auto" w:fill="D4D6D7"/>
          </w:tcPr>
          <w:p>
            <w:pPr>
              <w:spacing w:after="0"/>
              <w:rPr>
                <w:sz w:val="11"/>
                <w:szCs w:val="11"/>
                <w:color w:val="auto"/>
              </w:rPr>
            </w:pPr>
          </w:p>
        </w:tc>
        <w:tc>
          <w:tcPr>
            <w:tcW w:w="5540" w:type="dxa"/>
            <w:vAlign w:val="bottom"/>
            <w:tcBorders>
              <w:bottom w:val="single" w:sz="8" w:color="225799"/>
            </w:tcBorders>
            <w:gridSpan w:val="3"/>
            <w:shd w:val="clear" w:color="auto" w:fill="D4D6D7"/>
          </w:tcPr>
          <w:p>
            <w:pPr>
              <w:spacing w:after="0"/>
              <w:rPr>
                <w:sz w:val="11"/>
                <w:szCs w:val="11"/>
                <w:color w:val="auto"/>
              </w:rPr>
            </w:pPr>
          </w:p>
        </w:tc>
        <w:tc>
          <w:tcPr>
            <w:tcW w:w="1500" w:type="dxa"/>
            <w:vAlign w:val="bottom"/>
            <w:tcBorders>
              <w:bottom w:val="single" w:sz="8" w:color="225799"/>
            </w:tcBorders>
            <w:shd w:val="clear" w:color="auto" w:fill="D4D6D7"/>
          </w:tcPr>
          <w:p>
            <w:pPr>
              <w:spacing w:after="0"/>
              <w:rPr>
                <w:sz w:val="11"/>
                <w:szCs w:val="11"/>
                <w:color w:val="auto"/>
              </w:rPr>
            </w:pPr>
          </w:p>
        </w:tc>
        <w:tc>
          <w:tcPr>
            <w:tcW w:w="100" w:type="dxa"/>
            <w:vAlign w:val="bottom"/>
            <w:tcBorders>
              <w:bottom w:val="single" w:sz="8" w:color="D4D6D7"/>
            </w:tcBorders>
            <w:shd w:val="clear" w:color="auto" w:fill="D4D6D7"/>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540" w:type="dxa"/>
            <w:vAlign w:val="bottom"/>
            <w:gridSpan w:val="3"/>
          </w:tcPr>
          <w:p>
            <w:pPr>
              <w:ind w:left="600"/>
              <w:spacing w:after="0"/>
              <w:rPr>
                <w:sz w:val="20"/>
                <w:szCs w:val="20"/>
                <w:color w:val="auto"/>
              </w:rPr>
            </w:pPr>
            <w:r>
              <w:rPr>
                <w:rFonts w:ascii="Arial" w:cs="Arial" w:eastAsia="Arial" w:hAnsi="Arial"/>
                <w:sz w:val="18"/>
                <w:szCs w:val="18"/>
                <w:b w:val="1"/>
                <w:bCs w:val="1"/>
                <w:color w:val="00497F"/>
              </w:rPr>
              <w:t>OMNI-CHANNEL &amp; E-COMMERCE (3.5% of 2017 Sales)</w:t>
            </w:r>
          </w:p>
        </w:tc>
        <w:tc>
          <w:tcPr>
            <w:tcW w:w="1500" w:type="dxa"/>
            <w:vAlign w:val="bottom"/>
          </w:tcPr>
          <w:p>
            <w:pPr>
              <w:spacing w:after="0"/>
              <w:rPr>
                <w:sz w:val="20"/>
                <w:szCs w:val="20"/>
                <w:color w:val="auto"/>
              </w:rPr>
            </w:pPr>
          </w:p>
        </w:tc>
        <w:tc>
          <w:tcPr>
            <w:tcW w:w="100" w:type="dxa"/>
            <w:vAlign w:val="bottom"/>
            <w:shd w:val="clear" w:color="auto" w:fill="D4D6D7"/>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Sister Sites (4)</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Proprietary Sites (6)</w:t>
            </w:r>
          </w:p>
        </w:tc>
        <w:tc>
          <w:tcPr>
            <w:tcW w:w="3120" w:type="dxa"/>
            <w:vAlign w:val="bottom"/>
            <w:gridSpan w:val="2"/>
          </w:tcPr>
          <w:p>
            <w:pPr>
              <w:ind w:left="1080"/>
              <w:spacing w:after="0"/>
              <w:rPr>
                <w:sz w:val="20"/>
                <w:szCs w:val="20"/>
                <w:color w:val="auto"/>
              </w:rPr>
            </w:pPr>
            <w:r>
              <w:rPr>
                <w:rFonts w:ascii="Arial" w:cs="Arial" w:eastAsia="Arial" w:hAnsi="Arial"/>
                <w:sz w:val="14"/>
                <w:szCs w:val="14"/>
                <w:b w:val="1"/>
                <w:bCs w:val="1"/>
                <w:color w:val="auto"/>
              </w:rPr>
              <w:t>Partner Sites (8)</w:t>
            </w:r>
          </w:p>
        </w:tc>
        <w:tc>
          <w:tcPr>
            <w:tcW w:w="100" w:type="dxa"/>
            <w:vAlign w:val="bottom"/>
            <w:shd w:val="clear" w:color="auto" w:fill="D4D6D7"/>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shd w:val="clear" w:color="auto" w:fill="D4D6D7"/>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20" w:type="dxa"/>
            <w:vAlign w:val="bottom"/>
            <w:shd w:val="clear" w:color="auto" w:fill="C3C6C6"/>
          </w:tcPr>
          <w:p>
            <w:pPr>
              <w:spacing w:after="0"/>
              <w:rPr>
                <w:sz w:val="10"/>
                <w:szCs w:val="10"/>
                <w:color w:val="auto"/>
              </w:rPr>
            </w:pPr>
          </w:p>
        </w:tc>
        <w:tc>
          <w:tcPr>
            <w:tcW w:w="1240" w:type="dxa"/>
            <w:vAlign w:val="bottom"/>
            <w:shd w:val="clear" w:color="auto" w:fill="C3C6C6"/>
          </w:tcPr>
          <w:p>
            <w:pPr>
              <w:spacing w:after="0"/>
              <w:rPr>
                <w:sz w:val="10"/>
                <w:szCs w:val="10"/>
                <w:color w:val="auto"/>
              </w:rPr>
            </w:pPr>
          </w:p>
        </w:tc>
        <w:tc>
          <w:tcPr>
            <w:tcW w:w="2160" w:type="dxa"/>
            <w:vAlign w:val="bottom"/>
            <w:shd w:val="clear" w:color="auto" w:fill="C3C6C6"/>
          </w:tcPr>
          <w:p>
            <w:pPr>
              <w:spacing w:after="0"/>
              <w:rPr>
                <w:sz w:val="10"/>
                <w:szCs w:val="10"/>
                <w:color w:val="auto"/>
              </w:rPr>
            </w:pPr>
          </w:p>
        </w:tc>
        <w:tc>
          <w:tcPr>
            <w:tcW w:w="1760" w:type="dxa"/>
            <w:vAlign w:val="bottom"/>
            <w:shd w:val="clear" w:color="auto" w:fill="C3C6C6"/>
          </w:tcPr>
          <w:p>
            <w:pPr>
              <w:spacing w:after="0"/>
              <w:rPr>
                <w:sz w:val="10"/>
                <w:szCs w:val="10"/>
                <w:color w:val="auto"/>
              </w:rPr>
            </w:pPr>
          </w:p>
        </w:tc>
        <w:tc>
          <w:tcPr>
            <w:tcW w:w="1620" w:type="dxa"/>
            <w:vAlign w:val="bottom"/>
            <w:shd w:val="clear" w:color="auto" w:fill="C3C6C6"/>
          </w:tcPr>
          <w:p>
            <w:pPr>
              <w:spacing w:after="0"/>
              <w:rPr>
                <w:sz w:val="10"/>
                <w:szCs w:val="10"/>
                <w:color w:val="auto"/>
              </w:rPr>
            </w:pPr>
          </w:p>
        </w:tc>
        <w:tc>
          <w:tcPr>
            <w:tcW w:w="1500" w:type="dxa"/>
            <w:vAlign w:val="bottom"/>
            <w:shd w:val="clear" w:color="auto" w:fill="C3C6C6"/>
          </w:tcPr>
          <w:p>
            <w:pPr>
              <w:spacing w:after="0"/>
              <w:rPr>
                <w:sz w:val="10"/>
                <w:szCs w:val="10"/>
                <w:color w:val="auto"/>
              </w:rPr>
            </w:pPr>
          </w:p>
        </w:tc>
        <w:tc>
          <w:tcPr>
            <w:tcW w:w="100" w:type="dxa"/>
            <w:vAlign w:val="bottom"/>
            <w:shd w:val="clear" w:color="auto" w:fill="C3C6C6"/>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-2743835</wp:posOffset>
            </wp:positionV>
            <wp:extent cx="522287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22875" cy="3257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-2049145</wp:posOffset>
            </wp:positionV>
            <wp:extent cx="75438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 cy="29146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-2049145</wp:posOffset>
            </wp:positionV>
            <wp:extent cx="33464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645" cy="29146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-393700</wp:posOffset>
            </wp:positionV>
            <wp:extent cx="5222875"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2875" cy="24892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8"/>
          <w:szCs w:val="18"/>
          <w:color w:val="auto"/>
        </w:rPr>
        <w:t>___________</w:t>
      </w:r>
    </w:p>
    <w:p>
      <w:pPr>
        <w:spacing w:after="0" w:line="113"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Note: Store count as of December 30, 2017. SKU figures refer to eyeglass frame SKUs. ODs are Doctors of Optometry.</w:t>
      </w:r>
    </w:p>
    <w:p>
      <w:pPr>
        <w:spacing w:after="0" w:line="150"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(1) Vista Optical in Fred Meyer stores does not offer omni-channel services.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brands leverage our highly-efficient centralized laboratory network and distribution system, which helps us minimize production and distribution costs. As one of the largest purchasers of eyeglass frames, optical lenses and contact lenses in the United States, we also benefit from centralized procurement efforts and purchasing economies of scale.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stores present our products in an inviting and engaging atmosphere. Our merchandise is showcased to highlight the products and maximize the appeal of our image and brands. Our stores are clean and spacious, with orderly merchandising and strategic product placements to optimize our selling space, increase productivity and optimize customer flow. We utilize display samples to foster customer interaction with products, while providing price transparency and simplicity. We provide a hands-on, solutions-based service approach and further enhance the customer’s store experience with convenient, time-saving and value-added services.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Our America’s Best Brand. </w:t>
      </w:r>
      <w:r>
        <w:rPr>
          <w:rFonts w:ascii="Arial" w:cs="Arial" w:eastAsia="Arial" w:hAnsi="Arial"/>
          <w:sz w:val="18"/>
          <w:szCs w:val="18"/>
          <w:color w:val="auto"/>
        </w:rPr>
        <w:t>America’s Best strives to be the value leader in virtually every market in which it operates. Its signature offer of two pairs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eyeglasses for $69.95, including a free eye exam, is typically priced significantly lower than the competition on a per-pair basis and provides customers with a wide selection of frame choices at this entry point. In America’s Best stores, vision care services are provided by optometrists employed either by us or by independent professional corporations. This model facilitates the brand’s bundled offer and its Eyecare Club programs, which offer two free eye exams per year for the duration of the membership plus a discount on replacement contact lenses and eyeglasses. By leveraging our efficient centralized laboratory network, America’s Best stores are able to minimize processing costs and drive significant economies of scale. These stores typically stock approximately 1,320 eyeglass frame SKUs, including imports from low-cost overseas manufacturers, higher-margin private label brands and discounted well-known frame brands. America’s Best stores, which average 3,500 square feet, are primarily located in high-traffic strip centers next to similar off-price designer retailers, such as Marshalls stores.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Our Eyeglass World Brand. </w:t>
      </w:r>
      <w:r>
        <w:rPr>
          <w:rFonts w:ascii="Arial" w:cs="Arial" w:eastAsia="Arial" w:hAnsi="Arial"/>
          <w:sz w:val="18"/>
          <w:szCs w:val="18"/>
          <w:color w:val="auto"/>
        </w:rPr>
        <w:t>Eyeglass World also offers a value price point for customers, with an opening offer of “two pairs of eyeglasses for $78” and eye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exams starting at $39. This brand is positioned as an eyeglass superstore that caters to a more cost-conscious customer base, with a broader selection of designer brands and price points, and offers more personalized levels of service. We source eyeglass frames for our Eyeglass World stores from leading designer brands, private label manufacturers, overstock inventories and low-cost overseas manufacturers. Eyeglass World locations offer eye exams, primarily from independent optometrists, and have on-site laboratories that enable stores to quickly fulfill customer orders and make repairs. On-site laboratories can process a variety of lens options, with same-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day service. Lens orders that are not completed in-store are completed by our centralized laboratory network. Due to the wider brand selection and on-site laboratories, Eyeglass World stores are larger, averaging approximately 4,500 square feet and typically stocking approximately 1,935 eyeglass frame SKUs. These stores are primarily located in freestanding or in-line locations near high-foot-traffic shopping centers.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Our Partner Brands. </w:t>
      </w:r>
      <w:r>
        <w:rPr>
          <w:rFonts w:ascii="Arial" w:cs="Arial" w:eastAsia="Arial" w:hAnsi="Arial"/>
          <w:sz w:val="17"/>
          <w:szCs w:val="17"/>
          <w:color w:val="auto"/>
        </w:rPr>
        <w:t>We have three partner brands consisting of 227 Vision Centers in Walmart stores across the country, 56 Vista Optical locations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military bases and 29 Vista Optical locations within Fred Meyer stores as of December 30, 2017. We have strong, long-standing relationships with these partners. Our strategic relationship with Walmart extends over 27 years and our partnerships with Fred Meyer and the U.S. military have been maintained for over 18 years. Our partner brands all compete within the value segment of the U.S. optical retail industry, with a starting price point for a pair of eyeglasses in the $38 to $99 range. These brands combine a broad selection of products and attentive customer service with the convenience of one-stop shopping. These brands also utilize our centralized laboratories and provide eye exams principally by independent optometrists in nearly all locations. Our partner brands are attractive businesses with relatively light capital requirements.</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Our Omni-Channel and E-Commerce Platforms. </w:t>
      </w:r>
      <w:r>
        <w:rPr>
          <w:rFonts w:ascii="Arial" w:cs="Arial" w:eastAsia="Arial" w:hAnsi="Arial"/>
          <w:sz w:val="16"/>
          <w:szCs w:val="16"/>
          <w:color w:val="auto"/>
        </w:rPr>
        <w:t>We offer our customers an engaging digital shopping experience through an established platform of four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store websites, three of which are omni-channel, and 14 dedicated e-commerce consumer websites. Our three omni-channel websites augment our America’s Best, Eyeglass World and Vista Optical in military brands and provide a customer experience that extends across our in-store, mobile and e-commerce channels. We offer a range of services to customers, including eyeglass purchasing for our America’s Best stores and Vista Optical locations on U.S. military bases, online scheduling and appointment reminders, contact lens purchasing, “buy-in-store and ship-to-home” capabilities, online frame browsing and virtual frame try-on, among others. Our omni-channel offerings work in concert with these brands to enhance the overall quality of the customer experience.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14 dedicated e-commerce websites are managed by our subsidiary, AC Lens. AC Lens operates six proprietary branded websites, including aclens.com and discountcontacts.com. In addition, AC Lens operates and provides support services for eight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represented approximately 3.5% of our net revenue in fiscal year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Overview</w:t>
      </w:r>
      <w:r>
        <w:rPr>
          <w:rFonts w:ascii="Arial" w:cs="Arial" w:eastAsia="Arial" w:hAnsi="Arial"/>
          <w:sz w:val="18"/>
          <w:szCs w:val="18"/>
          <w:color w:val="auto"/>
        </w:rPr>
        <w:t>. The U.S. optical retail industry, defined by Vision Monday to include optical retailers’ revenues from the sales of products (including managed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compound annual growth rate (“CAGR”) of 3.4%. The industry experienced only a modest decline of approximately 3.8% during the 2008 to 2009 recession and rebounded with robust post-recession sales growth of 4.6% CAGR from 2009 to 2016, according to Vision Monday. The steady growth of the industry and its resilience to economic cycles is due in large part to the medical, non-discretionary and recurring nature of eye care purchases.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Source: Vision Monday</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eyewear purchases are driven by need, with two primary drivers of demand: (i) diminishing eyesight with increasing age, causing new customers to buy corrective eyewear and (ii) a steady and consistent replacement cycle, as customers frequently replace or purchase new eyewear for a variety of reasons, including changes in prescriptions, fashion trends and necessity (e.g., lost or broken eyewear).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need for eyesight correction is diagnosed through eye tests and eye exams.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there are four key secular growth trends that will continue to contribute to the stability and growth of the U.S. optical retail industry:</w:t>
      </w:r>
    </w:p>
    <w:p>
      <w:pPr>
        <w:spacing w:after="0" w:line="129"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Aging Population</w:t>
      </w:r>
      <w:r>
        <w:rPr>
          <w:rFonts w:ascii="Arial" w:cs="Arial" w:eastAsia="Arial" w:hAnsi="Arial"/>
          <w:sz w:val="18"/>
          <w:szCs w:val="18"/>
          <w:color w:val="auto"/>
        </w:rPr>
        <w:t>. According to The Vision Council, approximately 76% of adults in the United States used some form of vision correction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4"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Frequent Replacement Cycle</w:t>
      </w:r>
      <w:r>
        <w:rPr>
          <w:rFonts w:ascii="Arial" w:cs="Arial" w:eastAsia="Arial" w:hAnsi="Arial"/>
          <w:sz w:val="16"/>
          <w:szCs w:val="16"/>
          <w:color w:val="auto"/>
        </w:rPr>
        <w:t>. The repetitive and predictable nature of customer behavior results in a significant volume of recurring revenue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56"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Increased Usage of Computer and Mobile Screens</w:t>
      </w:r>
      <w:r>
        <w:rPr>
          <w:rFonts w:ascii="Arial" w:cs="Arial" w:eastAsia="Arial" w:hAnsi="Arial"/>
          <w:sz w:val="17"/>
          <w:szCs w:val="17"/>
          <w:color w:val="auto"/>
        </w:rPr>
        <w:t>. Due to the proliferation of smartphones, laptops and tablets, the U.S. population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experienced a dramatic increase in the amount of time spent viewing electronic screens. According to The Vision Council, almost 90% of Americans use digital devices for two or more hours each day, with almost 60% using them for five or more hours each day and approximately 70% using multiple devices simultaneously.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Growing Focus on Health and Wellness</w:t>
      </w:r>
      <w:r>
        <w:rPr>
          <w:rFonts w:ascii="Arial" w:cs="Arial" w:eastAsia="Arial" w:hAnsi="Arial"/>
          <w:sz w:val="17"/>
          <w:szCs w:val="17"/>
          <w:color w:val="auto"/>
        </w:rPr>
        <w:t>. The optical retail industry is poised to benefit from expansive trends underlying an increasing societal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Value Chains Gaining Market Share in Optical Retail Industry. </w:t>
      </w:r>
      <w:r>
        <w:rPr>
          <w:rFonts w:ascii="Arial" w:cs="Arial" w:eastAsia="Arial" w:hAnsi="Arial"/>
          <w:sz w:val="16"/>
          <w:szCs w:val="16"/>
          <w:color w:val="auto"/>
        </w:rPr>
        <w:t>Providing consumers with quality vision care and products involves multiple steps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parties. In the process of purchasing vision care products a consumer will interact directly with eye care practitioners who prescribe (and may also dispense) products. Consumers may likewise interact with optical retail outlets which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types of optical retailers with differing approaches to fulfilling consumer needs at each step of the vision care process. The types of optical retailers include independent eye care practitioners, multi-doctor purchasing alliances, national and regional optical retail chains, mass merchant/warehouse club retail chains and e-commerce. Some optical retail chains, like us, have vertically integrated some or all of the sectors of the industry. However, the industry remains highly fragmented.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Several key factors drive the changing dynamics across the optical retail market:</w:t>
      </w:r>
    </w:p>
    <w:p>
      <w:pPr>
        <w:spacing w:after="0" w:line="117" w:lineRule="exact"/>
        <w:rPr>
          <w:sz w:val="20"/>
          <w:szCs w:val="20"/>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Optical Retail Chains Gaining Market Share From Independents. </w:t>
      </w:r>
      <w:r>
        <w:rPr>
          <w:rFonts w:ascii="Arial" w:cs="Arial" w:eastAsia="Arial" w:hAnsi="Arial"/>
          <w:sz w:val="17"/>
          <w:szCs w:val="17"/>
          <w:color w:val="auto"/>
        </w:rPr>
        <w:t>As a result of customers’ desire for the convenience of a one-stop shop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32% in 2016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64"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Value Chains Are Growing Faster Than Industry</w:t>
      </w:r>
      <w:r>
        <w:rPr>
          <w:rFonts w:ascii="Arial" w:cs="Arial" w:eastAsia="Arial" w:hAnsi="Arial"/>
          <w:sz w:val="18"/>
          <w:szCs w:val="18"/>
          <w:color w:val="auto"/>
        </w:rPr>
        <w:t>. According to Vision Monday estimates, from 2007 to 2016, the value segment of the U.S. optical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industry grew at a CAGR of 6.6%, nearly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7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E-commerce</w:t>
      </w:r>
      <w:r>
        <w:rPr>
          <w:rFonts w:ascii="Arial" w:cs="Arial" w:eastAsia="Arial" w:hAnsi="Arial"/>
          <w:sz w:val="17"/>
          <w:szCs w:val="17"/>
          <w:color w:val="auto"/>
        </w:rPr>
        <w:t>. The optical retail industry is currently underpenetrated in the e-commerce channel relative to other categories of retail. This is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Optometrists, Ophthalmologists and Opticians. </w:t>
      </w:r>
      <w:r>
        <w:rPr>
          <w:rFonts w:ascii="Arial" w:cs="Arial" w:eastAsia="Arial" w:hAnsi="Arial"/>
          <w:sz w:val="18"/>
          <w:szCs w:val="18"/>
          <w:color w:val="auto"/>
        </w:rPr>
        <w:t>Within the vision care industry, there are multiple providers of eye care and vision services,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optometrists, ophthalmologists and opticians.</w:t>
      </w:r>
    </w:p>
    <w:p>
      <w:pPr>
        <w:spacing w:after="0" w:line="62" w:lineRule="exact"/>
        <w:rPr>
          <w:sz w:val="20"/>
          <w:szCs w:val="20"/>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Optometrists are healthcare professionals who have received a four-year doctor of optometry, or OD, degree and are licensed to perform vision tests, prescribe and dispense vision correction devices such as eyeglasses and contact lenses, perform diagnostic eye exams and prescribe certain types of ocular medication. In a few states, optometrists may also perform surgery.</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Ophthalmologists are medical doctors specializing in vision and eye care. These doctors are licensed to prescribe medication and perform surgery and may also perform eye exams and dispense vision correction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Opticians are technicians who use prescriptions written by optometrists or ophthalmologists to dispense corrective eyeglasses and contact lenses. However, they are not licensed to diagnose or treat ocular conditions. Most states do not license the practice of opticianry.</w:t>
      </w:r>
    </w:p>
    <w:p>
      <w:pPr>
        <w:spacing w:after="0" w:line="3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 xml:space="preserve">Product Categories and Suppliers. </w:t>
      </w:r>
      <w:r>
        <w:rPr>
          <w:rFonts w:ascii="Arial" w:cs="Arial" w:eastAsia="Arial" w:hAnsi="Arial"/>
          <w:sz w:val="17"/>
          <w:szCs w:val="17"/>
          <w:color w:val="auto"/>
        </w:rPr>
        <w:t>The optical retail market consists of multiple product categories, including vision correction devices such as eyeglass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lenses, frames and contact lenses and other products and services, including sunglasses, eyeglass accessories and refractive surgery.</w:t>
      </w:r>
    </w:p>
    <w:p>
      <w:pPr>
        <w:spacing w:after="0" w:line="147" w:lineRule="exact"/>
        <w:rPr>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Eyeglass frames </w:t>
      </w:r>
      <w:r>
        <w:rPr>
          <w:rFonts w:ascii="Arial" w:cs="Arial" w:eastAsia="Arial" w:hAnsi="Arial"/>
          <w:sz w:val="18"/>
          <w:szCs w:val="18"/>
          <w:color w:val="auto"/>
        </w:rPr>
        <w:t>are generally available in a wide range of materials, styles, designs and brands. The most common materials used to manufacture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frames include plastic, cellulose acetate and metal. For many customers, eyeglasses are not only an eye care solution but also a fashion accessory, and therefore brand and aesthetics are important factors in customers’ purchasing decisions. There are many recognized eyeglass frame brands, some of which are controlled by vertically-integrated optical retail chains. There are numerous suppliers that offer unbranded, white-label or generic eyeglass frames.</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Eyeglass lenses </w:t>
      </w:r>
      <w:r>
        <w:rPr>
          <w:rFonts w:ascii="Arial" w:cs="Arial" w:eastAsia="Arial" w:hAnsi="Arial"/>
          <w:sz w:val="18"/>
          <w:szCs w:val="18"/>
          <w:color w:val="auto"/>
        </w:rPr>
        <w:t>are manufactured using a range of standard and proprietary organic and inorganic materials. Customers generally have the option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selecting individualized features such as lightweight designs, photochromatic capabilities and special coatings for ultraviolet protection, anti-fog, anti-reflection, anti-scratch protection. There are several global manufacturers of lenses, with some additionally offering integrated lens finishing services through owned optical laboratories.</w:t>
      </w:r>
    </w:p>
    <w:p>
      <w:pPr>
        <w:spacing w:after="0" w:line="18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Contact lenses </w:t>
      </w:r>
      <w:r>
        <w:rPr>
          <w:rFonts w:ascii="Arial" w:cs="Arial" w:eastAsia="Arial" w:hAnsi="Arial"/>
          <w:sz w:val="18"/>
          <w:szCs w:val="18"/>
          <w:color w:val="auto"/>
        </w:rPr>
        <w:t>are available in soft or rigid formats. Soft lenses are typically made from silicone hydrogels and are often characterized by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use (primarily daily disposable or monthly reusable). Rigid lenses are typically made with oxygen-permeable polymers and can often be used for several years without replacement. Contact lenses are primarily manufactured by a relatively concentrated group of four major suppliers. Re-useable contact lenses require the regular use of cleaning solutions. Demand for contact lenses is driven by structural growth, as more consumers come to recognize the benefits of the more comfortable modern lenses and existing contact lens users switch to monthly, weekly or daily disposable lenses. Despite the attractiveness of contact lens usage, most consumers do not rely exclusively on contact lenses, opting to also purchase traditional eyeglasses for secondary use.</w:t>
      </w:r>
    </w:p>
    <w:p>
      <w:pPr>
        <w:spacing w:after="0" w:line="18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Sunglasses </w:t>
      </w:r>
      <w:r>
        <w:rPr>
          <w:rFonts w:ascii="Arial" w:cs="Arial" w:eastAsia="Arial" w:hAnsi="Arial"/>
          <w:sz w:val="18"/>
          <w:szCs w:val="18"/>
          <w:color w:val="auto"/>
        </w:rPr>
        <w:t>are also sold by many optical retailers. These sunglasses can come with or without prescription lenses, and are worn both for fashion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of the eyes from UV rays. Sunglasses are more of a discretionary purchase than prescription eyewear, and sales of sunglasses are therefore more sensitive to the economic environment. According to The Vision Council, for most optical retailers (as opposed to non-prescription sunglass retailers), prescription sunglasses make up the majority of their sunglass sales.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Refractive surgery </w:t>
      </w:r>
      <w:r>
        <w:rPr>
          <w:rFonts w:ascii="Arial" w:cs="Arial" w:eastAsia="Arial" w:hAnsi="Arial"/>
          <w:sz w:val="18"/>
          <w:szCs w:val="18"/>
          <w:color w:val="auto"/>
        </w:rPr>
        <w:t>offers a permanent solution to vision correction problems. The most common refractive surgical procedures are LASIK and PRK.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technologies utilize lasers to reshape the curvature of the cornea. Due to the high cost, lack of insurance coverage, potential for side effects and invasive nature of the procedures, refractive surgery as a method of vision correction has low penetration relative to traditional eyeglasses or contact lenses.</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Optical Laboratories. </w:t>
      </w:r>
      <w:r>
        <w:rPr>
          <w:rFonts w:ascii="Arial" w:cs="Arial" w:eastAsia="Arial" w:hAnsi="Arial"/>
          <w:sz w:val="16"/>
          <w:szCs w:val="16"/>
          <w:color w:val="auto"/>
        </w:rPr>
        <w:t>Optical laboratories transform semi-finished and finished lenses to match the specifications from an optician or prescriber’s order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fit them into the requested eyeglass frames. The process entails surfacing and polishing the lens, followed by the application of any requested special coatings. Some retailers have in-store laboratories to provide convenience and speed to customers. Laboratories can also be operated on a centralized basis by the retailer or on an outsourced basis, offering economies of scale and expertise across a wide range of lens types and prescriptions.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Third Party Payors. </w:t>
      </w:r>
      <w:r>
        <w:rPr>
          <w:rFonts w:ascii="Arial" w:cs="Arial" w:eastAsia="Arial" w:hAnsi="Arial"/>
          <w:sz w:val="17"/>
          <w:szCs w:val="17"/>
          <w:color w:val="auto"/>
        </w:rPr>
        <w:t>Similar to other healthcare services, optical retail chains often receive payment for services and products from third parties,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managed vision care programs, other insurance programs and government healthcare programs such as Medicare and Medicaid. Managed care has become increasingly important to the optical retail industry. Managed vision care programs provide benefits across all optical retail sales channels, including independent eye care practitioners and national and regional chains, though some managed care programs are affiliated with specific integrated optical retail chains. According to The Vision Council, managed care accounts for a substantial percentage of sales of prescription eyeglasses and, in the 12 months ended September 30, 2016, approximately half of the U.S. adult population surveyed stated they were enrolled in vision care plans. Moreover, the enrolled child population is increasing, as federal health care reform includes pediatric vision as a covered benefit. These trends could be reversed, however, if federal health care reform is repealed or its scope is reduced.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a number of factors have established our market-leading position and differentiate us from our competitors. These include: our value positioning and compelling customer offers, decades of brand building, low-cost operating model, store network and portfolio of brands, size and scale, strong industry partnerships, highly-experienced management team and disciplined real estate strategy, among others.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Highly-differentiated and Defensible Value Proposition</w:t>
      </w:r>
      <w:r>
        <w:rPr>
          <w:rFonts w:ascii="Arial" w:cs="Arial" w:eastAsia="Arial" w:hAnsi="Arial"/>
          <w:sz w:val="18"/>
          <w:szCs w:val="18"/>
          <w:color w:val="auto"/>
        </w:rPr>
        <w:t>. Our value price positioning extends across our entire portfolio of brands. We offer among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 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 points for eyeglasses and an eye exam are currently 74% and 37% lower on a per-pair basis than the next lowest retailer surveyed and 82% and 56% lower than the average of independent retailers surveyed, respectively, each as indicated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65405</wp:posOffset>
            </wp:positionV>
            <wp:extent cx="5351145" cy="3636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5114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______</w:t>
      </w:r>
    </w:p>
    <w:p>
      <w:pPr>
        <w:spacing w:after="0" w:line="59" w:lineRule="exact"/>
        <w:rPr>
          <w:sz w:val="20"/>
          <w:szCs w:val="20"/>
          <w:color w:val="auto"/>
        </w:rPr>
      </w:pPr>
    </w:p>
    <w:p>
      <w:pPr>
        <w:ind w:left="1800" w:right="1800"/>
        <w:spacing w:after="0" w:line="253"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2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The quality care provided by vision care professionals is then complemented by our highly-trained in-store sales associates. Through one-on-one consultations, we can better understand the complete scope of our customers’ needs and recommend the appropriate products and services. Our customers are then able to choose from a broad assortment of frames, including high-quality designer and private label frames, and contact lenses. We believe that the comprehensive proposition of our value pricing, the breadth and quality of our product mix and high levels of customer service drive repeat visits and customer loyalty, engagement and ambassadorship.</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involve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Leading Low-cost Operating Model</w:t>
      </w:r>
      <w:r>
        <w:rPr>
          <w:rFonts w:ascii="Arial" w:cs="Arial" w:eastAsia="Arial" w:hAnsi="Arial"/>
          <w:sz w:val="18"/>
          <w:szCs w:val="18"/>
          <w:color w:val="auto"/>
        </w:rPr>
        <w:t>. Our low-cost structure allows us to maintain our low prices to our customers while generating attractive margins.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and reduced the cost per job. This has allowed us to maintain our introductory offer of two-pairs of eyeglasses and an eye exam for $69.95 at America’s Best for over ten years.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Best-in-class Management Team With Deep Optical Experience</w:t>
      </w:r>
      <w:r>
        <w:rPr>
          <w:rFonts w:ascii="Arial" w:cs="Arial" w:eastAsia="Arial" w:hAnsi="Arial"/>
          <w:sz w:val="16"/>
          <w:szCs w:val="16"/>
          <w:color w:val="auto"/>
        </w:rPr>
        <w:t>. Our Company is led by a highly-accomplished and proven management team with deep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The current team is one of the longest-tenured in the optical retail industry.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Diverse Portfolio of Attractive Brands</w:t>
      </w:r>
      <w:r>
        <w:rPr>
          <w:rFonts w:ascii="Arial" w:cs="Arial" w:eastAsia="Arial" w:hAnsi="Arial"/>
          <w:sz w:val="18"/>
          <w:szCs w:val="18"/>
          <w:color w:val="auto"/>
        </w:rPr>
        <w:t>. We have a differentiated collection of five complementary brands, four of 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deliver several customer convenience capabilities and serve as an educational resource for our customers.</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Proven Real Estate Site Selection Process</w:t>
      </w:r>
      <w:r>
        <w:rPr>
          <w:rFonts w:ascii="Arial" w:cs="Arial" w:eastAsia="Arial" w:hAnsi="Arial"/>
          <w:sz w:val="17"/>
          <w:szCs w:val="17"/>
          <w:color w:val="auto"/>
        </w:rPr>
        <w:t>. We locate our owned stores in highly-desirable retail developments surrounded by dense concentrations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 customers. We maintain a disciplined approach to new store growth and perform comprehensive market research before selecting a new site based on customer demographics and data from our existing customer database. Our data-driven approach and consistent new store model have resulted in strong performance across our store base. We have rarely closed or relocated a store due to underperformance, and our five-year rolling average new store success rate-defined as the percentage of stores opened in the last five years that are still open-was 99% as of December 30,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Strong Partnerships With Retail Partners and Vendors</w:t>
      </w:r>
      <w:r>
        <w:rPr>
          <w:rFonts w:ascii="Arial" w:cs="Arial" w:eastAsia="Arial" w:hAnsi="Arial"/>
          <w:sz w:val="16"/>
          <w:szCs w:val="16"/>
          <w:color w:val="auto"/>
        </w:rPr>
        <w:t>. We have developed extensive and long-term strategic relationships with our frame and lens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our host and legacy partners and managed vision care companies. Our highly-experienced procurement team leverages long-standing relationships with our vendors to source all of our products.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Deep Experience with the Regulatory Complexity of the Optical Industry</w:t>
      </w:r>
      <w:r>
        <w:rPr>
          <w:rFonts w:ascii="Arial" w:cs="Arial" w:eastAsia="Arial" w:hAnsi="Arial"/>
          <w:sz w:val="18"/>
          <w:szCs w:val="18"/>
          <w:color w:val="auto"/>
        </w:rPr>
        <w:t>. There are extensive and diverse sets of laws and regulations governing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of vision care. As a result, regulatory compliance for optical retailers in the United States is complicated and time-consuming, involving many regulatory bodies and licensing agencies at both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further drive growth from five distinct sources: growing our store base, increasing comparable store sales, optimizing our existing business, leveraging technology and exploiting strategic opportunities.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Grow Our Store Base</w:t>
      </w:r>
      <w:r>
        <w:rPr>
          <w:rFonts w:ascii="Arial" w:cs="Arial" w:eastAsia="Arial" w:hAnsi="Arial"/>
          <w:sz w:val="17"/>
          <w:szCs w:val="17"/>
          <w:color w:val="auto"/>
        </w:rPr>
        <w:t>. We believe that our expansion opportunities in the United States are significant. We have adopted a disciplined expansion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498 stores on a net basis (opened 566 new stores and closed 68 stores) since 2006 and in the past three years, we have increased our new store growth to approximately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inclusive of those already open. We believe that these two brands can accordingly grow from approximately 700 stores as of 2017 to a total of at least 1,850 stores, with similar economics to the existing store base. In the near term, our primary focus will continue to be to open new America’s Best stores, most notably in California as well as Northern New Jersey and parts of the New York metro area, with a longer-term focus on expanding our Eyeglass World store footprint. We believe that our consistent track record of successfully opening stores across vintages, geographies and markets demonstrates our ability to further increase our store count and, as a result, we believe that our current level of new store growth of approximately 75 stores per annum is sustainable for the foreseeable future.</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Drive Comparable Store Sales Growth</w:t>
      </w:r>
      <w:r>
        <w:rPr>
          <w:rFonts w:ascii="Arial" w:cs="Arial" w:eastAsia="Arial" w:hAnsi="Arial"/>
          <w:sz w:val="16"/>
          <w:szCs w:val="16"/>
          <w:color w:val="auto"/>
        </w:rPr>
        <w:t>. We expect that our value proposition will generate profitable comparable store sales growth. The vast majority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sales growth over the past five years has been driven by increased traffic. The typical eyewear replacement cycle, which we estimate is two to three years, creates substantial opportunity for us to increase sales from our existing customer base. We continually strive to improve our in-store shopping experience and to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initiatives collectively will help us to attract new customers to our stores and increase the frequency of purchases by our existing customers.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Improve Operating Productivity</w:t>
      </w:r>
      <w:r>
        <w:rPr>
          <w:rFonts w:ascii="Arial" w:cs="Arial" w:eastAsia="Arial" w:hAnsi="Arial"/>
          <w:sz w:val="18"/>
          <w:szCs w:val="18"/>
          <w:color w:val="auto"/>
        </w:rPr>
        <w:t>. We believe that our continued growth will provide further opportunities to improve operating margin over time.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in revenue and stores, will enable us to leverage corporate overhead, our centralized laboratory network and our advertising spend. We expect to benefit from our national network television advertising campaign for America’s Best, which we believe is more cost effective than local market campaigns. This national campaign has helped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Leverage Technology to Optimize and Expand the Business</w:t>
      </w:r>
      <w:r>
        <w:rPr>
          <w:rFonts w:ascii="Arial" w:cs="Arial" w:eastAsia="Arial" w:hAnsi="Arial"/>
          <w:sz w:val="17"/>
          <w:szCs w:val="17"/>
          <w:color w:val="auto"/>
        </w:rPr>
        <w:t>. Our experienced management team has consistently leveraged innovative strategies to grow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and remain at the forefront of technological development in the optical retail industry. We have invested significantly in technological improvements to position us for future growth. We have implemented software solutions that allow omni-channel purchases to be linked to a “single view of the customer” and to offer a seamless experience across our in-store, mobile and e-commerce channels designed to enable stronger customer communication and to drive traffic to our stores and websites. Going forward, we plan to continue investing in software solutions that further develop our omni-channel platform and enhance our customer engagement capabilities, and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Explore Strategic Opportunities</w:t>
      </w:r>
      <w:r>
        <w:rPr>
          <w:rFonts w:ascii="Arial" w:cs="Arial" w:eastAsia="Arial" w:hAnsi="Arial"/>
          <w:sz w:val="17"/>
          <w:szCs w:val="17"/>
          <w:color w:val="auto"/>
        </w:rPr>
        <w:t>. We will selectively evaluate strategic acquisition opportunities from time to time as part of our growth strategy.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1,935 eyeglass frame SKUs, covering all age groups. Offerings include both brand name designers, like Ray-Ban, Guess and Calvin Klein, as well as private label options at attractive prices. Our frames are manufactured by market leaders such as Luxottica, Marchon and Zyloware, as well as private label brands made for us in Asia.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lenses and photochromatic options, which carry higher margins. As a result, a significant number of America’s Best customers and Eyeglass World customers who purchase eyeglasses choose upgraded lenses and/or frames instead of each brand’s base offer. We also offer contact lenses and accessories from all major contact lens manufacturers, including our own private label brand (Sofmed, made by CooperVision) that is offered in our America’s Best and Eyeglass World stores. Collectively, our broad product offerings deliver consistent financial results and reduce our reliance on any individual product, style or trend.</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both of our reportable segments, eye exam services are provided by optometrists employed by us or by professional corporations owned by eye care practitioners with whom we have contractual arrangements or by independent optometrists who have not formed such corporations and with whom we have contracted.</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Within our owned &amp; host segment, America’s Best offers its Eyecare Club programs primarily to its contact lens customers. As of December 30, 2017, the Eyecare Club had approximately 1.3 million active members. Benefits of the Eyecare Club include two free eye exams per year for the duration of the multi-year membership, 10% off all replacement contact lenses and eyeglasses and other periodic benefits and discounts, such as free samples of contact lens solutions. Memberships can be purchased in stores or on our America’s Best website. Two separate club memberships are available: the three-year Silver membership, which costs $99, and the five-year Gold membership, which costs $139. By comparison, the cost of a contact lens exam, exclusive of the Eyecare Club, is $79. There is a high adoption rate of Eyecare Club membership by America’s Best customers who are not part of a managed care program and who visited an America’s Best store for a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facilitates repeat traffic to America’s Best stores for exams and contact lens purchases and builds customer loyalty. The Eyecare Club also has attractive working capital characteristics, as customers pay the full membership cost at the time that they join.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See Note 14. “Segment Reporting” in our audited consolidated financial statements included in Part II. Item 8. of this Form 10-K for additional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 quality products and services, all offered at a fair price. Convenience encompasses multiple vectors: (i) retail locations near where our customers work and shop, with easy, convenient parking,</w:t>
      </w:r>
    </w:p>
    <w:p>
      <w:pPr>
        <w:spacing w:after="0" w:line="2" w:lineRule="exact"/>
        <w:rPr>
          <w:sz w:val="20"/>
          <w:szCs w:val="20"/>
          <w:color w:val="auto"/>
        </w:rPr>
      </w:pPr>
    </w:p>
    <w:p>
      <w:pPr>
        <w:ind w:firstLine="8"/>
        <w:spacing w:after="0" w:line="261" w:lineRule="auto"/>
        <w:tabs>
          <w:tab w:leader="none" w:pos="2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store hours that fit their lifestyles, (iii) product selection that achieves aesthetic and/or fashion goals, (iv) availability of on-site eye exams and (v) acceptance of certain vision insurance benefits.</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our two owned brands, we have developed specific customer demographic profiles. More specifically, we estimate that our typical America’s Best customer has a household income between $35,000 to $100,000, is a high school graduate, holds a blue collar job and is between 35 to 64 years old, while our typical Eyeglass World customer is slightly more affluent, has a college degree or higher, holds a professional or technical job and is between 35 to 79 years old. These profiles demonstrate that, even within the same market, our America’s Best and Eyeglass World brands appeal to and attract a different consumer, which speaks favorably to our growth potential and our ability to open new stores of both brands in the same markets.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developed our marketing strategy based on the in-depth knowledge we have of our customers. Our brands are positioned to stand for low prices and great value, which resonate with our target consumers and leave a lasting impression that is distinct from the competition.</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television is a key channel for connecting with our customers. Approximately two-thirds of America’s Best and Eyeglass World’s advertising expenditures are on traffic-driving television advertisements, which we leverage broadly across multiple stores in each television market to gain a larger share of voice, and, in turn, drive traffic and margins. Our recent America’s Best expansion into California has allowed us to shift from local campaigns to purchasing television advertising nationally, starting in the first quarter of fiscal year 2017, which we believe is more cost effective. We expect that this national campaign will raise our brand awareness in both existing and new markets, allowing us to save advertising spend when entering new markets.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customer relationship management (“CRM”) system is used to collect customer demographic data. With this information and the third-party data that we use to supplement the customer information, we create targeted mailing lists (both direct mail and email) to send communications to our customers based on their vision needs and interests to help improve retention of our existing customers. 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Sourcing and Supplier Relationships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purchase our merchandise from a wide variety of vendors, with no vendor accounting for more than 20% of our total cost of products sold.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Our agreement with Essilor expires on December 31, 2018, automatically renewing for one-year terms unless a party elects to terminate upon 90 days’ written notice. We are collaborative in our vendor negotiations so as to develop a partnership with our vendors and, in time, a sense of loyalty to National Vision. Each of our top ten vendors has been with us for at least ten years, and several of these vendors have been with us since our inception in 1990. We focus on sourcing low-cost products, including discounted well-known frame brands, secondary frame brands, direct import frames and private label contact lenses under our Sofmed label. By investing in our sourcing operations, we have increased our direct importation of eyeglass frames, which has enabled us to offer high quality frames at low prices while also generating strong gross margins.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Optical Laboratories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a highly-efficient mix of three domestic, company-operated processing facilities and two international, outsourced facilities. We have state-of-the-art lens processing capabilities in our three, geographically-diverse company-operated production facilities in Lawrenceville, Georgia, St. Cloud, Minnesota and Salt Lake City, Utah. In addition, we intend to enter into a lease for an additional laboratory facility in 2018 and expect the laboratory to be operational in time for the first quarter 2019. Our centralized optical laboratories handle all aspects of customizing eyeglass lenses, and have digital capabilities for grinding, coating and edging to customer prescription and eyeglass frame 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 (v) 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our Eyeglass World stores are equipped with on-site laboratories, which typically process less complicated customer orders with same-day service. On-site laboratories can process a variety of lens options. For fiscal year 2017, over half of Eyeglass World in-store customer orders were processed entirely in the store. All lens orders that are not processed or completed in-store are processed or completed by our centralized laboratory network.</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Distribution Network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approximately 66,000 square foot distribution center in Lawrenceville, Georgia is located near our corporate offices in Duluth, Georgia. We utilize third-party carriers to transport all of our products from this distribution center to our stores.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approximately 52,000 square foot distribution center in Columbus, Ohio is located close to the headquarters of our AC Lens subsidiary. We utilize third-party carriers to transport our products from this distribution center directly to customers and to store locations for our partners.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size and scalability of our distribution centers is more than sufficient to support our future expansion over the next four to five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30, 2017, we had 10,902 full-time and part-time employees, inclusive of employees of the professional corporations with which we contract. We are not a party to any collective bargaining agreements. We have never experienced a strike or work stoppage, and we believe that our relations with employees are excellent.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Vision Care</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currently underpenetrated in the managed care market relative to the broader optical retail industry, and we believe that this represents an important opportunity for us in the future. Although we have relationships with many of the major insurance and vision care companies, we believe that there are opportunities for us to expand existing relationships as well as to create new ones. We strive to create a high-quality, high-satisfaction experience for both our in-store customers and managed care partners. Through our point-of-sale system and our back-office electronic data interchange, or EDI, capabilities, we attempt to create a seamless transactional experience for our in-store managed care customers. From time to time, vision care insurance payors may make changes to their EDI claim systems. Such changes may require us to update our processes and could impact our ability to submit claims or to timely receive reimbursements from our managed care partners. As such, when asked, we have assisted a number of our larger vision care insurance payors to either implement or improve their EDI claim systems.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monitor both industry and national healthcare changes and are well-positioned to take advantage of these changes due to our low-cost offerings and strong electronic infrastructure. We expect to continue to grow the managed care component of our business through our relationships and partnership initiatives with managed care payors.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optical retail industry is highly competitive. Competition is generally based upon brand name recognition, price, convenience, selection, service and product quality.</w:t>
      </w:r>
    </w:p>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compete with online sellers of contact lenses and eyewear. The online sale of contact lenses has steadily increased in particular since the passage of the Fairness to Contact Lens Consumers Act. See Part I. Item 1. “Business-Government Regulation.”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 and 3D printing of eyewear.</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moderately seasonal in nature. Historically, our business has realized a higher portion of revenue, operating income and cash flows from operations in the first fiscal quarter, and a lower portion of net revenue, operating income and cash flows from operations in the fourth fiscal quarter. The seasonally larger first quarter is attributable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primarily to the timing of our customers’ income tax refunds and annual health insurance program start/reset periods. We believe that many customers in our target market, which consists of cost-conscious and low-income consumers, rely on tax refunds to pay for eyewear and eye care. A delay in the issuance of tax refunds can accordingly have a negative impact on our financial results. Consumers could also alter how they utilize tax refund proceeds.</w:t>
      </w:r>
    </w:p>
    <w:p>
      <w:pPr>
        <w:spacing w:after="0" w:line="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quarter results. Our quarterly results may also be affected by the timing of new store openings and store closings, the amount of sales contributed by new and existing stores, as well as the timing of certain holidays.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finance, accounting and human resources initiatives. We believe our current systems allow us to identify and respond to operating trends in our business.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2011, we have modernized our point-of-sale system, upgraded multiple financial package components and are currently implementing software systems to enhance the growth of our omni-channel and customer engagement efforts. We believe this implementation, along with maintenance of our existing information technology capabilities, will provide the flexibility and capacity to accommodate our future growth plans.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own a number of registered and common law trademarks and pending applications for trademark registrations in the United States, primarily through our subsidiaries, including: America’s Best, America’s Best &amp; design, America’s Best Contacts &amp; Eyeglasses, America’s Best Contacts &amp; Eyeglasses &amp; design, America’s Best Vision Plan, America’s Best owl mascot image, the slogan “It’s not just a better deal. It’s America’s Best.,” Eyeglass World, Eyeglass World logos, the slogans “See yourself smile. See yourself save.,” “The world’s best way to buy glasses,” and “The world’s best way to buy contacts,” the Eyeglass World mast image Mr. World, AC Lens, FirstSight, Vista Optical, Eyecare Club, Sofmed, Digimax, Neverglare, Neverglare Advantage and Neverglare Advantage &amp; design. Solely for convenience, the trademarks, service marks and tradenames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Form 10-K (or in documents we have incorporated by reference) are the property of their respective owners.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operations are subject to extensive federal, state, provincial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Part I. Item 1A. “Risk Factors” below for a discussion of these and other risks. A summary of certain laws and regulations is described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Medicine/Optometry and Similar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states prohibit the corporate practice of medicine/optometry where a business corporation practices medicine or employs a physician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A number of states that permit these relationships nevertheless regulate them extensively.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Our America’s Best operations, which feature a bundled offer of eyeglasses and an eye examination, are particularly implicated by these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 and Regulation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operations are also subject to state licensing laws. All states license the practice of ophthalmology and optometry and many states license opticians. The dispensing of prescription eyewear is further regulated in most states in which we do business. In some states, we are also required to register our stores.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to Contact Lens Consumers Act (“FCLCA”)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sales of contact lens, we must comply with the FCLCA, and its implementing regulations, which establish a national uniform standard in the United States with regard to releasing and verifying contact lens prescriptions. This law also contains a “passive verification” requirement pursuant to which a prescription is deemed verified if a prescriber fails to respond within eight business hours to a request by a seller for confirmation of the accuracy of the prescription.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Care Regulation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personal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Related to Reimbursement by Government Programs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participation in federal reimbursement programs, such as Medicare and Medicaid, subjects us to federal anti-kickback, false claims, self-referral and similar laws.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or services, credit arrangements, payment of cash and waivers of payments. Several courts have found a violation of the statute’s intent requirement if a single purpose of an arrangement involving remuneration is to induce referrals of federal healthcare covered businesses. There are also a number of healthcare fraud statutes that impose criminal and civil liability for, among other things, knowingly and willfully executing, or attempting to execute, a scheme to defraud any healthcare benefit program, or knowingly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any third-party payors including commercial plans.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“whistleblower” lawsuits on behalf of the federal or state government. The Social Security Act also imposes significant penalties for false or improper Medicare and Medicaid billings.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U.S. Physician Self-Referral Law, or the Stark Law, generally prohibits physicians (which the Stark Law defines to also include optometrists) from referring, for certain services, Medicare or Medicaid beneficiaries to any entity with which the physician or an immediate family member of the physician has a financial relationship. This law further prohibits the entity receiving a prohibited referral from presenting a claim for reimbursement by Medicare or Medicaid for services furnished pursuant to the prohibited referral. Many states have adopted similar self-referral laws which are not limited to Medicare or Medicaid reimbursed services. In some cases, the rental of space constitutes a financial relationship under this law.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Food and Drug Administration (“FDA”) Regulation</w:t>
      </w:r>
    </w:p>
    <w:p>
      <w:pPr>
        <w:spacing w:after="0" w:line="2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generally has authority to, among other things, regulate the manufacture, distribution, sale and labeling of medical devices, including contact and spectacle lenses. Under the U.S. Federal Food, Drug and Cosmetic Act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laboratories with the FDA.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Federal Trade Commission (“FTC”) has authority under Section 5 of the Federal Trade Commission Act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or false advertising to consumers.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Laws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e-commerce business, operated by our subsidiary AC Lens, must comply with various federal and state laws, most notably the FCLCA, and its implementing regulation, the Contact Lens Rule, adopted by the FTC. This law and Rule require that, before we sell contact lenses online, we verify the prescriptions we receive from our customers. A violation of the Contact Lens Rule constitutes an unfair or deceptive act or practice under the FTC Act. Our online business must also be registered in various states. Our international sales online can also implicate other laws, particularly the requirements under the Treasury Department’s Office of Foreign Assets Control (“OFAC”), which prohibit us from engaging in transactions with certain individuals and companies designated by OFAC. In addition, although we do not have material online sales to the European Union, the General Data Protection Regulation of the European Union, which will be effective in May 2018, will apply to these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 (“FCPA”)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Card Industry Data Security Standard (“PCI Standard”)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we accept debit and credit cards for payment, we are subject to the PCI Standard, which contains compliance guidelines with regard to our security surrounding the physical and electronic storage, processing and transmission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cardholder data. Certain states have incorporated these requirements into state law. Our credit card agreements with our banks require that we comply with this standard and pay for any fines and assessments imposed by the credit card companies in the event of a compromise of card data.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 Regulations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product protection plans for our eyeglasses; in certain states, service contract and similar laws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Safety Regulation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optical laboratories in the United States and our in-store laboratories in our Eyeglass World locations subject us to various federal, state and local laws, regulations and other requirements pertaining to protection of the environment, public health and employee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Risk Management</w:t>
      </w: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a combination of insurance and self-insurance for workers’ compensation, general liability, property insurance, director and officers’ liability insurance, vehicle liability and employee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and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growth strategy depends, in large part, on growing our store base and expanding our operations, both in existing and new geographic regions, and operating our new stores successfully. We cannot assure you that our contemplated expansion, including our further expansion in the California market and our expansion in Northern New Jersey and parts of the New York metro area, will be successful. Our costs in these and other new markets may increase due to the supply and demand for real estate sites as well as increased labor and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new stores depends on many factors, including, among others, our ability to:</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regulatory, competitive, merchandising, marketing, distribution and other challenges encountered in connection with expansion into new markets;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and retain an expanded workforce of store managers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adequate laboratory, distribution facility, information system and other operational system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management structure and operations, including information system integration;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negotiate acceptable lease terms at suitable retail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sufficient levels of inventory at acceptable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necessary permits and licenses;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 and open our stores on a timely basis;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 sufficient levels of cash or obtain financing on acceptable terms to support our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participate in managed care arrangements for new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and maintain brand awareness in new and existing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and satisfy the merchandise and other preferences of our customers.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effectively address challenges such as these could adversely affect our ability to successfully open and operate new stores in a timely and cost-effective manner.</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 Our plans to accelerate the growth of our store base may increase this risk.</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Accordingly, we cannot assure you that we will achieve our planned growth or, even if we are able to grow our store base as planned, that our new stores will perform as expected.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support our expanding business and execute our growth strategy, we will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We have and expect to continue to primarily depend on cash flow from operations to fund our business and growth plans. If we do not generate sufficient cash flow from operations, we may need to obtain additional equity or debt financing. Tightening in the credit markets, low liquidity and volatility in the capital markets could result in diminished availability of credit, higher cost of borrowing and lack of confidence in the equity market,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recruit and retain vision care professionals for our stores could adversely affect our business, financial condition and results of operations.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ability to attract and retain vision care professionals depends on several factors. We compete with other optical retail companies, health systems and group practices for vision care professionals. We, as well as the professional corporations that employ optometrists in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is likely to exceed supply in the near future and that the costs to employ or retain optometrists are likely to increase, potentially materially, from current levels.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our optometrists or professional corporations that employ optometrists violate laws prohibiting the corporate practice of medicine/optometry, in which case we may be required to restructure these arrangements, which may make it more difficult for us to attract and retain their services. See Part I. Item 1. “Business-Government Regulation.”</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applicable laws or regulations (or interpretations of the same), or the loss of these relationships, could impair our ability to provide services to our customers, cause our customers to go elsewhere for their optical needs, or result in legal sanctions against us. In addition, some optometrists provide, through their professional corporations,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extensive state, local and federal vision care and healthcare laws and regulations. See Part I. Item 1. “Business-Government Regulation.”</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states regulate relationships between optical retailers and eye care practitioners. Many states interpret the corporate practice of medicine/optometry rules broadly to prohibit employment of eye care practitioners by corporations like us and to prohibit various financial arrangements, such as fee-splitting, between eye care practitioners and other entities. We have implemented arrangements with optometrists and professional corporations owned by eye care practitioners that regulators could seek to challenge, such as America’s Best’s bundled offers of eye exams and eyewear.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further circumscribe our business operations. In addition, the arrangements into which we have entered could subject us to additional scrutiny by federal and state regulatory bodies regarding federal and state fraud and abuse laws.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contractual arrangements, to obtain and maintain appropriate licenses could result in the unavailability of vision care professionals in or near our stores, loss of sales and/or the closure of our stores without licensed professionals.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must also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In addition, there are state privacy, security and breach notification laws and regulations that apply to both PHI and PII collected by us.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owned by eye care practitioners, create material civil and/or criminal liability for us or require us to change our business practices, which could result in adverse publicity, and have a material adverse effect on our business, financial condition and results of operations. In addition to applicable U.S. law, the collection, use, access, disclosure, transmission and storage of PHI and other sensitive data is subject to regulation in foreign jurisdictions in which we do business or expect to do business in the future, in particular through the operations of our websites, and data privacy and security laws and regulations in some of these jurisdictions may be more stringent than those in the United States (such as the European Union, which adopted the General Data Protection Regulation, which will become effective in May 2018).</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federal payment.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Eyeglasses and contact lenses are regulated as medical devices in the United States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(“DOJ”), on behalf of the FDA and/or various forms of FDA enforcement and compliance actions, which include recalls, fines, penalties, injunctions, seizures, prosecutions, adverse publicity (such as FDA press releases) or other adverse actions.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operational success depends on our ability to develop and maintain relationships with managed vision care companies, vision insurance providers and other third-party payors.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increasing percentage of our customers receive vision insurance coverage through managed care payors. These payors represent an increasingly significant portion of our overall revenues and our revenue growth.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could have a material adverse effect on our business, financial condition and results of operations. In addition, delays in receiving or the failure to receive reimbursements under our managed care arrangements or the loss of a significant managed care contract or relationship could have a significant negative impact on our business, financial condition and results of operations.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current operating relationships with our host and legacy partners, our business, profitability and cash flows may be adversely affected.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significant revenues and operating cash flows from our relationships with our legacy and host partners through our operations of 227 Vision Centers in Walmart stores, 29 Vista Optical locations within Fred Meyer stores and 56 Vista Optical locations on military bases. Through our subsidiary, FirstSight, we also provide or arrange for the provision of optometric services at almost all of the optometric offices next to Walmart stores and Sam’s Club locations in California.</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of our host and legacy agreements could result in a reduction of our revenues and operating cash flows, which could be material and which could adversely affect our business, financial condition and results of operations.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replace the lost revenues and cash flows.</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example, our current management &amp; services agreement with Walmart presents a variety of risks. Sales associated with our arrangement with Walmart represented 11.2% of consolidated net revenue in fiscal year 2017, which exposes us to concentration of customer risk. In addition, the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 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our inventory is shipped directly from suppliers to our two distribution centers in Lawrenceville, Georgia and Columbus, Ohio. Inventory is then processed, sorted and shipped using third-party carriers to our stores, to our laboratories for further processing, to our online customers or to Walmart stores and Sam’s Club locations. We operate laboratory facilities in Lawrenceville, Georgia; St. Cloud, Minnesota; and Salt Lake City, Utah. In addition, we intend to enter into a lease for an additional laboratory facility in 2018 and expect the laboratory to be operational in time for the first quarter 2019.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employees, acts of terrorism, widespread illness and other unforeseen or catastrophic events, could damage our optical laboratories and/or distribution centers or render them inoperable, making it difficult or impossible for us to process customer orders for an extended period of time. Such events may also result in delays in our receipt of inventory and the delivery of merchandise between our stores, our optical laboratories and our distribution centers. We could also incur significantly higher 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any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discontinue selling merchandise to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sell their products, including by giving our competitors exclusivity arrangements or limiting our access to certain products;</w:t>
      </w: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allow us to return merchandise purchased from them;</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lengthen their lead times; or</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or expand sales of their products to retail customers directly through their own stores, catalogs or on the Internet and compete with us directly.</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source our products.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attempts by the presidential administration to impose significant tariffs or other restrictions on imports, in particular from China and Mexico where our outsourced optical laboratories are located, or to withdraw from or materially modify the North American Free Trade Agreement and other international trade agreements, could have an adverse impact on our business. Any such restrictions, tariffs or other changes could lead to additional costs, delays in shipments, embargos and other uncertainties that could negatively impact our relationships with our international vendors and materially adversely affect our business.</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For example, we have in the past been subject to the unilateral pricing policies implemented by certain contact lens manufacturers, which policies mandated the minimum prices at which certain contact lenses could be sold to consumers. Such manufacturers could refuse to supply us with their products if they deemed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optical retail industry is highly competitive, and if we do not compete successfully, our business may be adversely impacted.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Part I. Item 1. “Competition.”</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eyewear as well as managed care. These competitors can leverage this structure to their advantage to better compete and some of these vertically-integrated organizations have significant market power and could potentially use this power in ways that could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limited number of suppliers.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2017, four vendors supplied 56% of frames,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two vendors provided 91% of lenses and three vendors supplied 94% of contact lenses. If our suppliers experience difficulties or disruptions in their operations or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collect, process and store sensitive and confidential information, including our proprietary business information and that of our customers, employees, suppliers and business partners, including Walmart and Sam’s Club. The secure processing, maintenance and transmission of this information is critical to our operations. The regulatory environment surrounding information security and privacy is increasingly demanding, with the frequent imposition of new and changing requirements across our business. For instance, as a health care provider, we could be forced, in the event of a data breach, to report the breach not only to affected customers, but also to various public agencies and media outlets, potentially harming our reputation and our business. In addition, our customers and employees have a high expectation that we will adequately protect their personal information from cyber-attack or other security breaches. Our business partners may have contractual rights of indemnification against us in the event that their customer or proprietary business information is released as a result of a breach of our information systems. In such an event, these business partners could also seek to terminate our contracts with them.</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personal health information,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Like most corporations, the Company's systems are a target of attacks. Although the incidents that we have experienced to date have not had a material effect on our business, there can be no assurance that such incidents will not have a material adverse effect on us in the future.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failure, inadequacy, interruption, security failure or breach of our information technology systems, whether owned by us or outsourced or managed by third parties, could harm our ability to effectively operate our business and could have a material adverse effect on our business, financial condition and results of operations.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employees and operating our websites. Our ability to effectively manage our business and coordinate the sourcing, distribution and sale of our products depends significantly on the reliability and capacity of these systems. Such systems are subject to damage or interruption from power outages or damages, telecommunications problems, data corruption, software errors, network failures, security breaches, acts of war or terrorist attacks, fire, flood and natural disasters. Our servers could be affected by physical or electronic break-ins, and computer viruses or similar disruptions may occur. A system outage may also cause the loss of important data. Our existing safety systems, data backup, access protection, user management and information technology emergency planning may not be sufficient to prevent data loss or long-term network outages.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have to upgrade our existing information technology systems from time to time in order for such systems to withstand the increasing needs of our expanding business. We rely on certain hardware, telecommunications and software vendors to maintain and periodically upgrade many of these systems so that we can continue to support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Costs and potential problems and interruptions associated with the implementation of new or upgraded systems and technology or with maintenance or adequate support of existing systems could disrupt or reduce the efficiency of our operations. We also depend on our information technology staff. If we cannot meet our staffing needs in this area, we may not be able to fulfill our technology initiatives while continuing to provide maintenance on existing systems.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could be required to make significant capital expenditures to remediate any such failure, malfunction or breach with our information technology systems. Further, additional investment needed to upgrade and expand our information technology infrastructure will require significant investment of additional resources and capital, which may not always be available or available on favorable terms. Any material disruption or slowdown of our systems, including those caused by our failure to successfully upgrade our systems, and our inability to convert to alternate systems in an efficient and timely manner could have a material adverse effect on our business, financial condition and results of operations.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 overall decline in the health of the economy and other factors impacting consumer spending, such as the timing and issuance of tax refunds, governmental instability and natural disasters, may affect consumer purchases, which could reduce demand for our products and materially harm our sales, profitability and financial condition.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For example, in August and September of 2017, we temporarily closed certain stores in the Houston, Texas area and in Alabama, Florida and Georgia due to Hurricanes Harvey and Irma, respectively. Although these store closures did not have a material adverse impact on our business, similar events in the future that are outside of our control could materially adversely affect our sales and profitability.</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Furthermore, our target market, which consists of cost-conscious and low-income consumers, is sensitive to various factors outside of our control. For example, this population relies on tax refunds to pay for eyewear and eye care. A delay in the issuance of tax refunds can accordingly have a negative impact on our financial results. Consumers could also alter how they utilize tax refund proceeds. In addition, periods of instability in the government can also cause this population to either delay or refrain from making such purchases. We believe these factors came into play in the first quarter of fiscal year 2017 and had a negative impact on our financial results when the U.S. Internal Revenue Service, or IRS, announced that tax refunds would be issued significantly later than they had been in 2016. In addition, we believe that instability in the federal government, coupled with a renewed emphasis on immigration matters, further caused our target population to reduce its spending. A continuation of these and similar circumstances could have a material negative impact on our financial performance. Because of the importance of the first quarter for us, a significant downward trend in the first quarter could have a substantial negative impact on our annual financial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could strain our existing resources and cause the performance of our existing stores to suffer.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planned expansion will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our store base grows, we will need to continually evaluate the adequacy of our laboratory, distribution and information system capabilities.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For example, we intend to enter into a lease for an additional laboratory facility in 2018 and expect the laboratory to be operational in time for the first quarter 2019. The completion date and ultimate cost of this and other future projects could differ significantly from initial expectations due to construction-related or other reasons. We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Increases in compensation and other expenses for vision care professionals, as well as our other associates, may adversely affect our profitability. Wage and hour regulations can exacerbate this risk.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marketing and promotional programs to attract customers to our stores and to encourage purchases by our customers. If we fail to successfully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in connection with our planned continued expansion in California, we have launched a national advertising campaign for America’s Best as opposed to only utilizing local advertising campaigns. We cannot provide assurances that a national advertising campaign will be cost-effective or successful or that we will continue such campaigns.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our America’s Best and Eyeglass World store locations, our corporate headquarters, the AC Lens corporate office, the FirstSight corporate office, our laboratories in Georgia and Utah and our distribution centers. We also lease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Vista Optical locations inside Fred Meyer stores. As a result, we are susceptible to changes in the property rental market and increases in our occupancy costs.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All of these factors could have a material adverse impact on our operations.</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Our substantial lease obligations could have significant negative consequences, including:</w:t>
      </w:r>
    </w:p>
    <w:p>
      <w:pPr>
        <w:spacing w:after="0" w:line="63"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that a substantial portion of our available cash be applied to pay our rental obligations, reducing cash available for other purposes and reducing our operating profitability;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substantial majority of our leased sites are both currently and in the future expected to be subject to long-term non-cancellable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expand our store base, particularly in certain markets that are more expensive, such as California,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product liability, product recall or personal injury issues.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that they are manufacturing or distributing. Our ability to seek recourse for liabilities and recover costs from our vendors depends on our contractual rights as well as on the financial condition and integrity of the vendors. If we purchase products on a closeout basis, some of these products may be obtained through brokers or intermediaries rather than through manufacturers, which may make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managed vision care laws and regulations.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and our failure to comply with applicable regulatory requirements could have a material adverse impact on our expansion plans in California.</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no direct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in connection with the presidential administration or otherwise, may reduce or eliminate coverage or reimbursement rates of insurance-funded eye exams or eyewear.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profitability and cash flows may be negatively affected if we are not successful in managing our inventory balances and inventory shrinkage.</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For example, in the fiscal year ended December 30, 2017, we wrote off $2.3 million of inventory related to a slow-moving contact lens product which had expired or would expire prior to possible sale.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partly dependent on our ability to strategically source a sufficient volume and variety of brand name merchandise at opportunistic pricing. Some of our products are sourced from suppliers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merchandise to sell in our stores. To the extent that certain of our suppliers are better able to manage their inventory levels and reduce the amount of their excess inventory, the amount of discount merchandise available to us could also be materially reduced, potentially compromising our profit margin for procured merchandise.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an e-commerce retailer, we encounter risks and difficulties frequently experienced by internet-based businesses. 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57" w:lineRule="exact"/>
        <w:rPr>
          <w:sz w:val="20"/>
          <w:szCs w:val="20"/>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associated with our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in telephone service or power outages;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merchandise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cybersecurity and consumer privacy concerns and regulation;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10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or disruption to these websites or our failure to properly provide the services called for by these agreements.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OFAC, FCPA, anti-money laundering and trade sanction laws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similar anti-corruption, anti-bribery and international trade laws. Problems in any of these areas could result in a reduction in sales, increased costs, sanctions or penalties and damage to our reputation and brands.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Furthermore, if our e-commerce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inventory levels fluctuate on a seasonal basis.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seasonal fluctuation. We typically realize a higher portion of net sales during the first fiscal quarter,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fiscal quarter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Technological advances in vision care, including the development of new or improved products, as well as future drug development for the correction of vision-related problems, could make our existing products less attractive or even obsolete. Several companies have developed technologies for the remote delivery of eye examinations and eye refractions.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including radial-keratotomy, photo-refractive keratotomy, or PRK, and LASIK, may reduce the demand for our products, lower our sales and thereby adversely impact our business and profitability.</w:t>
      </w:r>
    </w:p>
    <w:p>
      <w:pPr>
        <w:spacing w:after="0" w:line="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incur losses arising from our investments in technological innovators in the optical retail industry, which would negatively affect our financial results.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regularly presented with opportunities to invest and have invested in certain venture-backed emerging companies and technological innovators across the optical retail industry. Such investments could include equity or debt instruments in companies that may be non-marketable. The success of these companies may depend on product development, market acceptance, operational efficiency, and other key business factors. If any of these companies fail, we could lose all or part of our investment in that company. If we determine that impairment indicators exist and that there are other-than-temporary declines in the fair value of the investment, we may be required to write down the investments to their fair value and recognize the related write-down as an investment loss.</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three laboratories in the United States and our in-store laboratories at our Eyeglass World locations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customers, employees,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could harm the value of our brand and adversely affect our business.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920"/>
        <w:spacing w:after="0" w:line="375" w:lineRule="auto"/>
        <w:rPr>
          <w:sz w:val="20"/>
          <w:szCs w:val="20"/>
          <w:color w:val="auto"/>
        </w:rPr>
      </w:pPr>
      <w:r>
        <w:rPr>
          <w:rFonts w:ascii="Arial" w:cs="Arial" w:eastAsia="Arial" w:hAnsi="Arial"/>
          <w:sz w:val="18"/>
          <w:szCs w:val="18"/>
          <w:color w:val="auto"/>
        </w:rPr>
        <w:t xml:space="preserve">may be liable for damages, which in turn could materially adversely affect our business, financial condition or results of operations. </w:t>
      </w:r>
      <w:r>
        <w:rPr>
          <w:rFonts w:ascii="Arial" w:cs="Arial" w:eastAsia="Arial" w:hAnsi="Arial"/>
          <w:sz w:val="18"/>
          <w:szCs w:val="18"/>
          <w:b w:val="1"/>
          <w:bCs w:val="1"/>
          <w:color w:val="auto"/>
        </w:rPr>
        <w:t>Risks Related to Our Indebtedness</w:t>
      </w:r>
    </w:p>
    <w:p>
      <w:pPr>
        <w:spacing w:after="0" w:line="1"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debt obligations.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 significant amount of indebtedness. As of December 30, 2017, we had approximately $568.5 million of aggregate principal amount of indebtedness outstanding (excluding capital lease obligations). Our leverage could have important consequences for us, including:</w:t>
      </w:r>
    </w:p>
    <w:p>
      <w:pPr>
        <w:spacing w:after="0" w:line="62"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restricting us from capitalizing on business opportunities;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execution of our business strategy, debt service requirements, acquisitions, and other general corporate purposes; and</w:t>
      </w: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as of December 30, 2017, after inclusion of $500.0 million interest rate swaps fixing a portion of the variable rate debt, $68.6 million, or 12.1%, of our term loans was subject to variable rates. As a result, an increase in interest rates, whether because of an increase in market interest rates or a decrease in our creditworthiness, could increase the cost of servicing our debt and could materially reduce our profitability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restrictions that limit our flexibility in operating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or modify the terms of certain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credit agreement also contains certain customary affirmative covenants and events of default, including a change of control. The credit agreement also contains a springing financial maintenance requirement with respect to the revolving credit facility, prohibiting us from exceeding a certain first lien secured leverage ratio under certain circumstances.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less favorable terms or if we are unable to repay, refinance or restructure such indebtedness, our financial condition and results of operations could be adversely affected.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could have a material adverse effect on our business, financial condition and results of operations.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business, financial condition and results of operations could be materially adversely affected.</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disclosed in our prospectus, dated October 25, 2017, filed with the SEC on October 27, 2017,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 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material weaknesses may reoccur or related material weaknesses could occur in the future.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the rules of the SEC and, as a result, qualify for, and rely on, exemptions from certain corporate governance requirements. You do not have the same protections afforded to stockholders of other companies that are subject to such requirements.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Sponsors control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requirements that:</w:t>
      </w:r>
    </w:p>
    <w:p>
      <w:pPr>
        <w:spacing w:after="0" w:line="3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ind w:left="660" w:hanging="328"/>
        <w:spacing w:after="0" w:line="29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utilize these exemptions, we do not have a majority of independent directors, our compensation committee does not consist entirely of independent directors and our director nominations are not made, or recommended to the full Board of Directors, by our independent directors and we do not have a nominating/corporate governance committee composed of independent directors. Accordingly, you do not have the same protections afforded to stockholders of companies that are subject to all of the corporate governance requirements of NASDAQ.</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Rule 10C-1 under the Exchange Act implements provisions of the Dodd-Frank Act pertaining to compensation committee independence and the role and disclosure of compensation consultants and other advisers to the compensation committee. The listing standards of the national securities exchanges (including NASDAQ) comply with provisions of Rule 10C-1 and require, among others,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compensation committees be composed of fully independent directors, as determined pursuant to new and existing independence requirements;</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advisers; and</w:t>
      </w: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committees be required to consider, when engaging compensation consultants, legal counsel or other advisers, certain independence factors, including factors that examine the relationship between the consultant or adviser’s employer and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a “controlled company,” we are not subject to these compensation committee independence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Sponsors control us and their interests may conflict with ours or yours in the future.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30, 2017, the Sponsors beneficially owned approximately 72% of our common stock. As a result, the Sponsors are able to control the election and removal of our directors and thereby control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cause us to make acquisitions that increase our indebtedness or cause us to sell revenue-generating assets.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Sponsors and their affiliates are in the business of making investments in companies and may from time to time acquire and hold interests in businesses that compete directly or indirectly with us. Our amended and restated certificate of incorporation provides that none of the Sponsors, any of their affiliates or any director who is not employed by us (including any non-employee director who serves as one of our officers in both his director and officer capacities) or his or her affiliates have any duty to refrain from engaging, directly or indirectly, in the same business activities or similar business activities or lines of business in which we operate. The Sponsors and their affiliates also may pursue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acquisition opportunities that may be complementary to our business and, as a result, those acquisition opportunities may not be available to us.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Sponsors and their affiliates are able to determine the outcome of all matters requiring stockholder approval and to cause or prevent a change of control of our company or a change in the composition of our Board of Directors and could preclude any acquisition of our company. This concentration of voting control could deprive you of an opportunity to receive a premium for your shares of common stock as part of a sale of our company and ultimately might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the perception of future sales, by us or our existing stockholders, could cause the market price for our common stock to decline.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could occur, could substantially decrease the market price of our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30, 2017, we had 74,653,812 shares of our common stock outstanding. Of the outstanding shares, the 18,170,000 shares sold in the IPO are freely tradable without restriction or further registration under the Securities Act of 1933, as amended, or the Securities Act, except for any shares held by our affiliates, as that term is defined under Rule 144 of the Securities Act, or Rule 144, including our directors, executive officers and other affiliates (including affiliates of the Sponsors).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54,967,047 shares of common stock held by affiliates of KKR Sponsors, affiliates of Berkshire and certain of our directors and executive officers as of December 30, 2017, representing approximately 74% of the total outstanding shares of our common stock as of December 30, 2017, are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our IPO, we, our directors and executive officers and holders of substantially all of our outstanding common stock prior to the IPO signed lock-up agreements with the underwriters that, subject to certain exceptions, restrict the disposition of, or hedging with respect to, the shares of our common stock or securities convertible into or exchangeable for shares of common stock, each held by them until April 2018, except with the prior written consent of any two of Merrill Lynch, Pierce, Fenner &amp; Smith Incorporated, Goldman Sachs &amp; Co. LLC and Citigroup Global Markets Inc.</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pursuant to a registration rights agreement, each of the Sponsors has the right, subject to certain conditions, to require us to register the sale of their shares of our common stock under the Securities Act. By 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The shares covered by registration rights represent approximately 76% of our total common stock outstanding as of December 30, 2017. Registration of any of these outstanding shares of common stock would result in such shares becoming freely tradable without compliance with Rule 144 upon effectiveness of the registration statement.</w:t>
      </w:r>
    </w:p>
    <w:p>
      <w:pPr>
        <w:spacing w:after="0" w:line="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December 30, 2017, there were stock options outstanding to purchase a total of 10,608,559 shares of our common stock and 182,138 shares of our common stock subject to restricted stock units. In addition, as of December 30, 2017, 3,794,871 shares of our common stock were reserved for future issuance under our incentive plans.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restrictions on resale end, or if the Sponsors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 2⁄3 %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 of shares of common stock entitled to vote generally in the election of directors if the Sponsors and their affiliates cease to beneficially own at least 40% of shares of common stock entitled to vote generally in the election of directors.</w:t>
      </w:r>
    </w:p>
    <w:p>
      <w:pPr>
        <w:spacing w:after="0" w:line="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lease all of our America’s Best and Eyeglass World retail stores. Our leases generally have a term of five to ten years, with renewal options that generally range from five to 15 years. Recently, we have begun entering into more leases with ten 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4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occupy our host locations through master agreements with our host partners, which contain standard terms and conditions, such as fixed and percentage-based payments. We occupy our legacy locations through master agreements with standard terms and conditions, such as percentage-based payments.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stores by location as of December 30, 2017 is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720" w:type="dxa"/>
            <w:vAlign w:val="bottom"/>
            <w:tcBorders>
              <w:top w:val="single" w:sz="8" w:color="auto"/>
              <w:left w:val="single" w:sz="8" w:color="auto"/>
            </w:tcBorders>
            <w:shd w:val="clear" w:color="auto" w:fill="0174B5"/>
          </w:tcPr>
          <w:p>
            <w:pPr>
              <w:jc w:val="center"/>
              <w:spacing w:after="0"/>
              <w:rPr>
                <w:sz w:val="20"/>
                <w:szCs w:val="20"/>
                <w:color w:val="auto"/>
              </w:rPr>
            </w:pPr>
            <w:r>
              <w:rPr>
                <w:rFonts w:ascii="Arial" w:cs="Arial" w:eastAsia="Arial" w:hAnsi="Arial"/>
                <w:sz w:val="16"/>
                <w:szCs w:val="16"/>
                <w:color w:val="FFFFFF"/>
                <w:w w:val="85"/>
              </w:rPr>
              <w:t>State</w:t>
            </w:r>
          </w:p>
        </w:tc>
        <w:tc>
          <w:tcPr>
            <w:tcW w:w="1140" w:type="dxa"/>
            <w:vAlign w:val="bottom"/>
            <w:tcBorders>
              <w:top w:val="single" w:sz="8" w:color="auto"/>
            </w:tcBorders>
            <w:shd w:val="clear" w:color="auto" w:fill="0174B5"/>
          </w:tcPr>
          <w:p>
            <w:pPr>
              <w:jc w:val="center"/>
              <w:spacing w:after="0"/>
              <w:rPr>
                <w:sz w:val="20"/>
                <w:szCs w:val="20"/>
                <w:color w:val="auto"/>
              </w:rPr>
            </w:pPr>
            <w:r>
              <w:rPr>
                <w:rFonts w:ascii="Arial" w:cs="Arial" w:eastAsia="Arial" w:hAnsi="Arial"/>
                <w:sz w:val="16"/>
                <w:szCs w:val="16"/>
                <w:color w:val="FFFFFF"/>
                <w:w w:val="93"/>
              </w:rPr>
              <w:t>America’s</w:t>
            </w:r>
          </w:p>
        </w:tc>
        <w:tc>
          <w:tcPr>
            <w:tcW w:w="1160" w:type="dxa"/>
            <w:vAlign w:val="bottom"/>
            <w:tcBorders>
              <w:top w:val="single" w:sz="8" w:color="auto"/>
            </w:tcBorders>
            <w:shd w:val="clear" w:color="auto" w:fill="0174B5"/>
          </w:tcPr>
          <w:p>
            <w:pPr>
              <w:jc w:val="center"/>
              <w:spacing w:after="0"/>
              <w:rPr>
                <w:sz w:val="20"/>
                <w:szCs w:val="20"/>
                <w:color w:val="auto"/>
              </w:rPr>
            </w:pPr>
            <w:r>
              <w:rPr>
                <w:rFonts w:ascii="Arial" w:cs="Arial" w:eastAsia="Arial" w:hAnsi="Arial"/>
                <w:sz w:val="16"/>
                <w:szCs w:val="16"/>
                <w:color w:val="FFFFFF"/>
                <w:w w:val="86"/>
              </w:rPr>
              <w:t>Eyeglass</w:t>
            </w:r>
          </w:p>
        </w:tc>
        <w:tc>
          <w:tcPr>
            <w:tcW w:w="1140" w:type="dxa"/>
            <w:vAlign w:val="bottom"/>
            <w:tcBorders>
              <w:top w:val="single" w:sz="8" w:color="auto"/>
            </w:tcBorders>
            <w:shd w:val="clear" w:color="auto" w:fill="0174B5"/>
          </w:tcPr>
          <w:p>
            <w:pPr>
              <w:ind w:left="300"/>
              <w:spacing w:after="0"/>
              <w:rPr>
                <w:sz w:val="20"/>
                <w:szCs w:val="20"/>
                <w:color w:val="auto"/>
              </w:rPr>
            </w:pPr>
            <w:r>
              <w:rPr>
                <w:rFonts w:ascii="Arial" w:cs="Arial" w:eastAsia="Arial" w:hAnsi="Arial"/>
                <w:sz w:val="16"/>
                <w:szCs w:val="16"/>
                <w:color w:val="FFFFFF"/>
              </w:rPr>
              <w:t>Legacy</w:t>
            </w:r>
          </w:p>
        </w:tc>
        <w:tc>
          <w:tcPr>
            <w:tcW w:w="1140" w:type="dxa"/>
            <w:vAlign w:val="bottom"/>
            <w:tcBorders>
              <w:top w:val="single" w:sz="8" w:color="auto"/>
              <w:right w:val="single" w:sz="8" w:color="auto"/>
            </w:tcBorders>
            <w:shd w:val="clear" w:color="auto" w:fill="0174B5"/>
          </w:tcPr>
          <w:p>
            <w:pPr>
              <w:ind w:left="380"/>
              <w:spacing w:after="0"/>
              <w:rPr>
                <w:sz w:val="20"/>
                <w:szCs w:val="20"/>
                <w:color w:val="auto"/>
              </w:rPr>
            </w:pPr>
            <w:r>
              <w:rPr>
                <w:rFonts w:ascii="Arial" w:cs="Arial" w:eastAsia="Arial" w:hAnsi="Arial"/>
                <w:sz w:val="16"/>
                <w:szCs w:val="16"/>
                <w:color w:val="FFFFFF"/>
              </w:rPr>
              <w:t>Other</w:t>
            </w:r>
          </w:p>
        </w:tc>
        <w:tc>
          <w:tcPr>
            <w:tcW w:w="460" w:type="dxa"/>
            <w:vAlign w:val="bottom"/>
            <w:tcBorders>
              <w:right w:val="single" w:sz="8" w:color="auto"/>
            </w:tcBorders>
          </w:tcPr>
          <w:p>
            <w:pPr>
              <w:spacing w:after="0"/>
              <w:rPr>
                <w:sz w:val="20"/>
                <w:szCs w:val="20"/>
                <w:color w:val="auto"/>
              </w:rPr>
            </w:pPr>
          </w:p>
        </w:tc>
        <w:tc>
          <w:tcPr>
            <w:tcW w:w="1040" w:type="dxa"/>
            <w:vAlign w:val="bottom"/>
            <w:tcBorders>
              <w:top w:val="single" w:sz="8" w:color="auto"/>
            </w:tcBorders>
            <w:shd w:val="clear" w:color="auto" w:fill="0174B5"/>
          </w:tcPr>
          <w:p>
            <w:pPr>
              <w:jc w:val="center"/>
              <w:spacing w:after="0"/>
              <w:rPr>
                <w:sz w:val="20"/>
                <w:szCs w:val="20"/>
                <w:color w:val="auto"/>
              </w:rPr>
            </w:pPr>
            <w:r>
              <w:rPr>
                <w:rFonts w:ascii="Arial" w:cs="Arial" w:eastAsia="Arial" w:hAnsi="Arial"/>
                <w:sz w:val="16"/>
                <w:szCs w:val="16"/>
                <w:color w:val="FFFFFF"/>
                <w:w w:val="85"/>
              </w:rPr>
              <w:t>State</w:t>
            </w:r>
          </w:p>
        </w:tc>
        <w:tc>
          <w:tcPr>
            <w:tcW w:w="1220" w:type="dxa"/>
            <w:vAlign w:val="bottom"/>
            <w:tcBorders>
              <w:top w:val="single" w:sz="8" w:color="auto"/>
            </w:tcBorders>
            <w:shd w:val="clear" w:color="auto" w:fill="0174B5"/>
          </w:tcPr>
          <w:p>
            <w:pPr>
              <w:jc w:val="center"/>
              <w:spacing w:after="0"/>
              <w:rPr>
                <w:sz w:val="20"/>
                <w:szCs w:val="20"/>
                <w:color w:val="auto"/>
              </w:rPr>
            </w:pPr>
            <w:r>
              <w:rPr>
                <w:rFonts w:ascii="Arial" w:cs="Arial" w:eastAsia="Arial" w:hAnsi="Arial"/>
                <w:sz w:val="16"/>
                <w:szCs w:val="16"/>
                <w:color w:val="FFFFFF"/>
                <w:w w:val="93"/>
              </w:rPr>
              <w:t>America’s</w:t>
            </w:r>
          </w:p>
        </w:tc>
        <w:tc>
          <w:tcPr>
            <w:tcW w:w="1160" w:type="dxa"/>
            <w:vAlign w:val="bottom"/>
            <w:tcBorders>
              <w:top w:val="single" w:sz="8" w:color="auto"/>
            </w:tcBorders>
            <w:shd w:val="clear" w:color="auto" w:fill="0174B5"/>
          </w:tcPr>
          <w:p>
            <w:pPr>
              <w:jc w:val="center"/>
              <w:spacing w:after="0"/>
              <w:rPr>
                <w:sz w:val="20"/>
                <w:szCs w:val="20"/>
                <w:color w:val="auto"/>
              </w:rPr>
            </w:pPr>
            <w:r>
              <w:rPr>
                <w:rFonts w:ascii="Arial" w:cs="Arial" w:eastAsia="Arial" w:hAnsi="Arial"/>
                <w:sz w:val="16"/>
                <w:szCs w:val="16"/>
                <w:color w:val="FFFFFF"/>
                <w:w w:val="89"/>
              </w:rPr>
              <w:t>Eyeglass</w:t>
            </w:r>
          </w:p>
        </w:tc>
        <w:tc>
          <w:tcPr>
            <w:tcW w:w="1140" w:type="dxa"/>
            <w:vAlign w:val="bottom"/>
            <w:tcBorders>
              <w:top w:val="single" w:sz="8" w:color="auto"/>
            </w:tcBorders>
            <w:shd w:val="clear" w:color="auto" w:fill="0174B5"/>
          </w:tcPr>
          <w:p>
            <w:pPr>
              <w:ind w:left="300"/>
              <w:spacing w:after="0"/>
              <w:rPr>
                <w:sz w:val="20"/>
                <w:szCs w:val="20"/>
                <w:color w:val="auto"/>
              </w:rPr>
            </w:pPr>
            <w:r>
              <w:rPr>
                <w:rFonts w:ascii="Arial" w:cs="Arial" w:eastAsia="Arial" w:hAnsi="Arial"/>
                <w:sz w:val="16"/>
                <w:szCs w:val="16"/>
                <w:color w:val="FFFFFF"/>
              </w:rPr>
              <w:t>Legacy</w:t>
            </w:r>
          </w:p>
        </w:tc>
        <w:tc>
          <w:tcPr>
            <w:tcW w:w="1120" w:type="dxa"/>
            <w:vAlign w:val="bottom"/>
            <w:tcBorders>
              <w:top w:val="single" w:sz="8" w:color="auto"/>
              <w:right w:val="single" w:sz="8" w:color="auto"/>
            </w:tcBorders>
            <w:shd w:val="clear" w:color="auto" w:fill="0174B5"/>
          </w:tcPr>
          <w:p>
            <w:pPr>
              <w:ind w:left="340"/>
              <w:spacing w:after="0"/>
              <w:rPr>
                <w:sz w:val="20"/>
                <w:szCs w:val="20"/>
                <w:color w:val="auto"/>
              </w:rPr>
            </w:pPr>
            <w:r>
              <w:rPr>
                <w:rFonts w:ascii="Arial" w:cs="Arial" w:eastAsia="Arial" w:hAnsi="Arial"/>
                <w:sz w:val="16"/>
                <w:szCs w:val="16"/>
                <w:color w:val="FFFFFF"/>
              </w:rPr>
              <w:t>Other</w:t>
            </w:r>
          </w:p>
        </w:tc>
      </w:tr>
      <w:tr>
        <w:trPr>
          <w:trHeight w:val="219"/>
        </w:trPr>
        <w:tc>
          <w:tcPr>
            <w:tcW w:w="720" w:type="dxa"/>
            <w:vAlign w:val="bottom"/>
            <w:tcBorders>
              <w:left w:val="single" w:sz="8" w:color="auto"/>
              <w:bottom w:val="single" w:sz="8" w:color="0174B5"/>
            </w:tcBorders>
            <w:shd w:val="clear" w:color="auto" w:fill="0174B5"/>
          </w:tcPr>
          <w:p>
            <w:pPr>
              <w:spacing w:after="0"/>
              <w:rPr>
                <w:sz w:val="19"/>
                <w:szCs w:val="19"/>
                <w:color w:val="auto"/>
              </w:rPr>
            </w:pPr>
          </w:p>
        </w:tc>
        <w:tc>
          <w:tcPr>
            <w:tcW w:w="1140" w:type="dxa"/>
            <w:vAlign w:val="bottom"/>
            <w:tcBorders>
              <w:bottom w:val="single" w:sz="8" w:color="0174B5"/>
            </w:tcBorders>
            <w:shd w:val="clear" w:color="auto" w:fill="0174B5"/>
          </w:tcPr>
          <w:p>
            <w:pPr>
              <w:jc w:val="center"/>
              <w:spacing w:after="0"/>
              <w:rPr>
                <w:sz w:val="20"/>
                <w:szCs w:val="20"/>
                <w:color w:val="auto"/>
              </w:rPr>
            </w:pPr>
            <w:r>
              <w:rPr>
                <w:rFonts w:ascii="Arial" w:cs="Arial" w:eastAsia="Arial" w:hAnsi="Arial"/>
                <w:sz w:val="16"/>
                <w:szCs w:val="16"/>
                <w:color w:val="FFFFFF"/>
                <w:w w:val="93"/>
              </w:rPr>
              <w:t>Best</w:t>
            </w:r>
          </w:p>
        </w:tc>
        <w:tc>
          <w:tcPr>
            <w:tcW w:w="1160" w:type="dxa"/>
            <w:vAlign w:val="bottom"/>
            <w:tcBorders>
              <w:bottom w:val="single" w:sz="8" w:color="0174B5"/>
            </w:tcBorders>
            <w:shd w:val="clear" w:color="auto" w:fill="0174B5"/>
          </w:tcPr>
          <w:p>
            <w:pPr>
              <w:jc w:val="center"/>
              <w:spacing w:after="0"/>
              <w:rPr>
                <w:sz w:val="20"/>
                <w:szCs w:val="20"/>
                <w:color w:val="auto"/>
              </w:rPr>
            </w:pPr>
            <w:r>
              <w:rPr>
                <w:rFonts w:ascii="Arial" w:cs="Arial" w:eastAsia="Arial" w:hAnsi="Arial"/>
                <w:sz w:val="16"/>
                <w:szCs w:val="16"/>
                <w:color w:val="FFFFFF"/>
                <w:w w:val="95"/>
              </w:rPr>
              <w:t>World</w:t>
            </w:r>
          </w:p>
        </w:tc>
        <w:tc>
          <w:tcPr>
            <w:tcW w:w="1140" w:type="dxa"/>
            <w:vAlign w:val="bottom"/>
            <w:tcBorders>
              <w:bottom w:val="single" w:sz="8" w:color="0174B5"/>
            </w:tcBorders>
            <w:shd w:val="clear" w:color="auto" w:fill="0174B5"/>
          </w:tcPr>
          <w:p>
            <w:pPr>
              <w:spacing w:after="0"/>
              <w:rPr>
                <w:sz w:val="19"/>
                <w:szCs w:val="19"/>
                <w:color w:val="auto"/>
              </w:rPr>
            </w:pPr>
          </w:p>
        </w:tc>
        <w:tc>
          <w:tcPr>
            <w:tcW w:w="1140" w:type="dxa"/>
            <w:vAlign w:val="bottom"/>
            <w:tcBorders>
              <w:bottom w:val="single" w:sz="8" w:color="0174B5"/>
              <w:right w:val="single" w:sz="8" w:color="auto"/>
            </w:tcBorders>
            <w:shd w:val="clear" w:color="auto" w:fill="0174B5"/>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1040" w:type="dxa"/>
            <w:vAlign w:val="bottom"/>
            <w:tcBorders>
              <w:bottom w:val="single" w:sz="8" w:color="0174B5"/>
            </w:tcBorders>
            <w:shd w:val="clear" w:color="auto" w:fill="0174B5"/>
          </w:tcPr>
          <w:p>
            <w:pPr>
              <w:spacing w:after="0"/>
              <w:rPr>
                <w:sz w:val="19"/>
                <w:szCs w:val="19"/>
                <w:color w:val="auto"/>
              </w:rPr>
            </w:pPr>
          </w:p>
        </w:tc>
        <w:tc>
          <w:tcPr>
            <w:tcW w:w="1220" w:type="dxa"/>
            <w:vAlign w:val="bottom"/>
            <w:tcBorders>
              <w:bottom w:val="single" w:sz="8" w:color="0174B5"/>
            </w:tcBorders>
            <w:shd w:val="clear" w:color="auto" w:fill="0174B5"/>
          </w:tcPr>
          <w:p>
            <w:pPr>
              <w:jc w:val="center"/>
              <w:spacing w:after="0"/>
              <w:rPr>
                <w:sz w:val="20"/>
                <w:szCs w:val="20"/>
                <w:color w:val="auto"/>
              </w:rPr>
            </w:pPr>
            <w:r>
              <w:rPr>
                <w:rFonts w:ascii="Arial" w:cs="Arial" w:eastAsia="Arial" w:hAnsi="Arial"/>
                <w:sz w:val="16"/>
                <w:szCs w:val="16"/>
                <w:color w:val="FFFFFF"/>
                <w:w w:val="93"/>
              </w:rPr>
              <w:t>Best</w:t>
            </w:r>
          </w:p>
        </w:tc>
        <w:tc>
          <w:tcPr>
            <w:tcW w:w="1160" w:type="dxa"/>
            <w:vAlign w:val="bottom"/>
            <w:tcBorders>
              <w:bottom w:val="single" w:sz="8" w:color="0174B5"/>
            </w:tcBorders>
            <w:shd w:val="clear" w:color="auto" w:fill="0174B5"/>
          </w:tcPr>
          <w:p>
            <w:pPr>
              <w:jc w:val="center"/>
              <w:spacing w:after="0"/>
              <w:rPr>
                <w:sz w:val="20"/>
                <w:szCs w:val="20"/>
                <w:color w:val="auto"/>
              </w:rPr>
            </w:pPr>
            <w:r>
              <w:rPr>
                <w:rFonts w:ascii="Arial" w:cs="Arial" w:eastAsia="Arial" w:hAnsi="Arial"/>
                <w:sz w:val="16"/>
                <w:szCs w:val="16"/>
                <w:color w:val="FFFFFF"/>
                <w:w w:val="95"/>
              </w:rPr>
              <w:t>World</w:t>
            </w:r>
          </w:p>
        </w:tc>
        <w:tc>
          <w:tcPr>
            <w:tcW w:w="1140" w:type="dxa"/>
            <w:vAlign w:val="bottom"/>
            <w:tcBorders>
              <w:bottom w:val="single" w:sz="8" w:color="0174B5"/>
            </w:tcBorders>
            <w:shd w:val="clear" w:color="auto" w:fill="0174B5"/>
          </w:tcPr>
          <w:p>
            <w:pPr>
              <w:spacing w:after="0"/>
              <w:rPr>
                <w:sz w:val="19"/>
                <w:szCs w:val="19"/>
                <w:color w:val="auto"/>
              </w:rPr>
            </w:pPr>
          </w:p>
        </w:tc>
        <w:tc>
          <w:tcPr>
            <w:tcW w:w="1120" w:type="dxa"/>
            <w:vAlign w:val="bottom"/>
            <w:tcBorders>
              <w:bottom w:val="single" w:sz="8" w:color="0174B5"/>
              <w:right w:val="single" w:sz="8" w:color="auto"/>
            </w:tcBorders>
            <w:shd w:val="clear" w:color="auto" w:fill="0174B5"/>
          </w:tcPr>
          <w:p>
            <w:pPr>
              <w:spacing w:after="0"/>
              <w:rPr>
                <w:sz w:val="19"/>
                <w:szCs w:val="19"/>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AK</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7</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ind w:left="19"/>
              <w:spacing w:after="0"/>
              <w:rPr>
                <w:sz w:val="20"/>
                <w:szCs w:val="20"/>
                <w:color w:val="auto"/>
              </w:rPr>
            </w:pPr>
            <w:r>
              <w:rPr>
                <w:rFonts w:ascii="Arial" w:cs="Arial" w:eastAsia="Arial" w:hAnsi="Arial"/>
                <w:sz w:val="16"/>
                <w:szCs w:val="16"/>
                <w:b w:val="1"/>
                <w:bCs w:val="1"/>
                <w:color w:val="auto"/>
              </w:rPr>
              <w:t>MT</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AL</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NC</w:t>
            </w:r>
          </w:p>
        </w:tc>
        <w:tc>
          <w:tcPr>
            <w:tcW w:w="1220" w:type="dxa"/>
            <w:vAlign w:val="bottom"/>
          </w:tcPr>
          <w:p>
            <w:pPr>
              <w:jc w:val="center"/>
              <w:spacing w:after="0"/>
              <w:rPr>
                <w:sz w:val="20"/>
                <w:szCs w:val="20"/>
                <w:color w:val="auto"/>
              </w:rPr>
            </w:pPr>
            <w:r>
              <w:rPr>
                <w:rFonts w:ascii="Arial" w:cs="Arial" w:eastAsia="Arial" w:hAnsi="Arial"/>
                <w:sz w:val="16"/>
                <w:szCs w:val="16"/>
                <w:color w:val="auto"/>
              </w:rPr>
              <w:t>10</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AR</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ND</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AZ</w:t>
            </w:r>
          </w:p>
        </w:tc>
        <w:tc>
          <w:tcPr>
            <w:tcW w:w="1140" w:type="dxa"/>
            <w:vAlign w:val="bottom"/>
          </w:tcPr>
          <w:p>
            <w:pPr>
              <w:jc w:val="center"/>
              <w:spacing w:after="0"/>
              <w:rPr>
                <w:sz w:val="20"/>
                <w:szCs w:val="20"/>
                <w:color w:val="auto"/>
              </w:rPr>
            </w:pPr>
            <w:r>
              <w:rPr>
                <w:rFonts w:ascii="Arial" w:cs="Arial" w:eastAsia="Arial" w:hAnsi="Arial"/>
                <w:sz w:val="16"/>
                <w:szCs w:val="16"/>
                <w:color w:val="auto"/>
              </w:rPr>
              <w:t>18</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NE</w:t>
            </w:r>
          </w:p>
        </w:tc>
        <w:tc>
          <w:tcPr>
            <w:tcW w:w="1220" w:type="dxa"/>
            <w:vAlign w:val="bottom"/>
          </w:tcPr>
          <w:p>
            <w:pPr>
              <w:jc w:val="center"/>
              <w:spacing w:after="0"/>
              <w:rPr>
                <w:sz w:val="20"/>
                <w:szCs w:val="20"/>
                <w:color w:val="auto"/>
              </w:rPr>
            </w:pPr>
            <w:r>
              <w:rPr>
                <w:rFonts w:ascii="Arial" w:cs="Arial" w:eastAsia="Arial" w:hAnsi="Arial"/>
                <w:sz w:val="16"/>
                <w:szCs w:val="16"/>
                <w:color w:val="auto"/>
              </w:rPr>
              <w:t>3</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CA</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46</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17</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43</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4</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NH</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3</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w:t>
            </w:r>
          </w:p>
        </w:tc>
        <w:tc>
          <w:tcPr>
            <w:tcW w:w="1140" w:type="dxa"/>
            <w:vAlign w:val="bottom"/>
          </w:tcPr>
          <w:p>
            <w:pPr>
              <w:jc w:val="center"/>
              <w:spacing w:after="0"/>
              <w:rPr>
                <w:sz w:val="20"/>
                <w:szCs w:val="20"/>
                <w:color w:val="auto"/>
              </w:rPr>
            </w:pPr>
            <w:r>
              <w:rPr>
                <w:rFonts w:ascii="Arial" w:cs="Arial" w:eastAsia="Arial" w:hAnsi="Arial"/>
                <w:sz w:val="16"/>
                <w:szCs w:val="16"/>
                <w:color w:val="auto"/>
              </w:rPr>
              <w:t>19</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NJ</w:t>
            </w:r>
          </w:p>
        </w:tc>
        <w:tc>
          <w:tcPr>
            <w:tcW w:w="1220" w:type="dxa"/>
            <w:vAlign w:val="bottom"/>
          </w:tcPr>
          <w:p>
            <w:pPr>
              <w:jc w:val="center"/>
              <w:spacing w:after="0"/>
              <w:rPr>
                <w:sz w:val="20"/>
                <w:szCs w:val="20"/>
                <w:color w:val="auto"/>
              </w:rPr>
            </w:pPr>
            <w:r>
              <w:rPr>
                <w:rFonts w:ascii="Arial" w:cs="Arial" w:eastAsia="Arial" w:hAnsi="Arial"/>
                <w:sz w:val="16"/>
                <w:szCs w:val="16"/>
                <w:color w:val="auto"/>
              </w:rPr>
              <w:t>15</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CT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7</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NM</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6</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3</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DE</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NV</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FL</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49</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33</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2</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NY</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13</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13</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GA</w:t>
            </w:r>
          </w:p>
        </w:tc>
        <w:tc>
          <w:tcPr>
            <w:tcW w:w="1140" w:type="dxa"/>
            <w:vAlign w:val="bottom"/>
          </w:tcPr>
          <w:p>
            <w:pPr>
              <w:jc w:val="center"/>
              <w:spacing w:after="0"/>
              <w:rPr>
                <w:sz w:val="20"/>
                <w:szCs w:val="20"/>
                <w:color w:val="auto"/>
              </w:rPr>
            </w:pPr>
            <w:r>
              <w:rPr>
                <w:rFonts w:ascii="Arial" w:cs="Arial" w:eastAsia="Arial" w:hAnsi="Arial"/>
                <w:sz w:val="16"/>
                <w:szCs w:val="16"/>
                <w:color w:val="auto"/>
              </w:rPr>
              <w:t>32</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OH</w:t>
            </w:r>
          </w:p>
        </w:tc>
        <w:tc>
          <w:tcPr>
            <w:tcW w:w="1220" w:type="dxa"/>
            <w:vAlign w:val="bottom"/>
          </w:tcPr>
          <w:p>
            <w:pPr>
              <w:jc w:val="center"/>
              <w:spacing w:after="0"/>
              <w:rPr>
                <w:sz w:val="20"/>
                <w:szCs w:val="20"/>
                <w:color w:val="auto"/>
              </w:rPr>
            </w:pPr>
            <w:r>
              <w:rPr>
                <w:rFonts w:ascii="Arial" w:cs="Arial" w:eastAsia="Arial" w:hAnsi="Arial"/>
                <w:sz w:val="16"/>
                <w:szCs w:val="16"/>
                <w:color w:val="auto"/>
              </w:rPr>
              <w:t>22</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HI</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w w:val="99"/>
              </w:rPr>
              <w:t>OK</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IA</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OR</w:t>
            </w:r>
          </w:p>
        </w:tc>
        <w:tc>
          <w:tcPr>
            <w:tcW w:w="1220" w:type="dxa"/>
            <w:vAlign w:val="bottom"/>
          </w:tcPr>
          <w:p>
            <w:pPr>
              <w:jc w:val="center"/>
              <w:spacing w:after="0"/>
              <w:rPr>
                <w:sz w:val="20"/>
                <w:szCs w:val="20"/>
                <w:color w:val="auto"/>
              </w:rPr>
            </w:pPr>
            <w:r>
              <w:rPr>
                <w:rFonts w:ascii="Arial" w:cs="Arial" w:eastAsia="Arial" w:hAnsi="Arial"/>
                <w:sz w:val="16"/>
                <w:szCs w:val="16"/>
                <w:color w:val="auto"/>
              </w:rPr>
              <w:t>9</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ID</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5</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w w:val="89"/>
              </w:rPr>
              <w:t>PA</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29</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13</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IL</w:t>
            </w:r>
          </w:p>
        </w:tc>
        <w:tc>
          <w:tcPr>
            <w:tcW w:w="1140" w:type="dxa"/>
            <w:vAlign w:val="bottom"/>
          </w:tcPr>
          <w:p>
            <w:pPr>
              <w:jc w:val="center"/>
              <w:spacing w:after="0"/>
              <w:rPr>
                <w:sz w:val="20"/>
                <w:szCs w:val="20"/>
                <w:color w:val="auto"/>
              </w:rPr>
            </w:pPr>
            <w:r>
              <w:rPr>
                <w:rFonts w:ascii="Arial" w:cs="Arial" w:eastAsia="Arial" w:hAnsi="Arial"/>
                <w:sz w:val="16"/>
                <w:szCs w:val="16"/>
                <w:color w:val="auto"/>
              </w:rPr>
              <w:t>44</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ind w:left="19"/>
              <w:spacing w:after="0"/>
              <w:rPr>
                <w:sz w:val="20"/>
                <w:szCs w:val="20"/>
                <w:color w:val="auto"/>
              </w:rPr>
            </w:pPr>
            <w:r>
              <w:rPr>
                <w:rFonts w:ascii="Arial" w:cs="Arial" w:eastAsia="Arial" w:hAnsi="Arial"/>
                <w:sz w:val="16"/>
                <w:szCs w:val="16"/>
                <w:b w:val="1"/>
                <w:bCs w:val="1"/>
                <w:color w:val="auto"/>
              </w:rPr>
              <w:t>RI</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IN</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10</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10</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w w:val="89"/>
              </w:rPr>
              <w:t>SC</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78"/>
              </w:rPr>
              <w:t>11</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6</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KS</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SD</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KY</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2</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2</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TN</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LA</w:t>
            </w:r>
          </w:p>
        </w:tc>
        <w:tc>
          <w:tcPr>
            <w:tcW w:w="1140" w:type="dxa"/>
            <w:vAlign w:val="bottom"/>
          </w:tcPr>
          <w:p>
            <w:pPr>
              <w:jc w:val="center"/>
              <w:spacing w:after="0"/>
              <w:rPr>
                <w:sz w:val="20"/>
                <w:szCs w:val="20"/>
                <w:color w:val="auto"/>
              </w:rPr>
            </w:pPr>
            <w:r>
              <w:rPr>
                <w:rFonts w:ascii="Arial" w:cs="Arial" w:eastAsia="Arial" w:hAnsi="Arial"/>
                <w:sz w:val="16"/>
                <w:szCs w:val="16"/>
                <w:color w:val="auto"/>
              </w:rPr>
              <w:t>13</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TX</w:t>
            </w:r>
          </w:p>
        </w:tc>
        <w:tc>
          <w:tcPr>
            <w:tcW w:w="1220" w:type="dxa"/>
            <w:vAlign w:val="bottom"/>
          </w:tcPr>
          <w:p>
            <w:pPr>
              <w:jc w:val="center"/>
              <w:spacing w:after="0"/>
              <w:rPr>
                <w:sz w:val="20"/>
                <w:szCs w:val="20"/>
                <w:color w:val="auto"/>
              </w:rPr>
            </w:pPr>
            <w:r>
              <w:rPr>
                <w:rFonts w:ascii="Arial" w:cs="Arial" w:eastAsia="Arial" w:hAnsi="Arial"/>
                <w:sz w:val="16"/>
                <w:szCs w:val="16"/>
                <w:color w:val="auto"/>
              </w:rPr>
              <w:t>84</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MA</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2</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UT</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9</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3</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MD</w:t>
            </w:r>
          </w:p>
        </w:tc>
        <w:tc>
          <w:tcPr>
            <w:tcW w:w="1140" w:type="dxa"/>
            <w:vAlign w:val="bottom"/>
          </w:tcPr>
          <w:p>
            <w:pPr>
              <w:jc w:val="center"/>
              <w:spacing w:after="0"/>
              <w:rPr>
                <w:sz w:val="20"/>
                <w:szCs w:val="20"/>
                <w:color w:val="auto"/>
              </w:rPr>
            </w:pPr>
            <w:r>
              <w:rPr>
                <w:rFonts w:ascii="Arial" w:cs="Arial" w:eastAsia="Arial" w:hAnsi="Arial"/>
                <w:sz w:val="16"/>
                <w:szCs w:val="16"/>
                <w:color w:val="auto"/>
              </w:rPr>
              <w:t>17</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VA</w:t>
            </w:r>
          </w:p>
        </w:tc>
        <w:tc>
          <w:tcPr>
            <w:tcW w:w="1220" w:type="dxa"/>
            <w:vAlign w:val="bottom"/>
          </w:tcPr>
          <w:p>
            <w:pPr>
              <w:jc w:val="center"/>
              <w:spacing w:after="0"/>
              <w:rPr>
                <w:sz w:val="20"/>
                <w:szCs w:val="20"/>
                <w:color w:val="auto"/>
              </w:rPr>
            </w:pPr>
            <w:r>
              <w:rPr>
                <w:rFonts w:ascii="Arial" w:cs="Arial" w:eastAsia="Arial" w:hAnsi="Arial"/>
                <w:sz w:val="16"/>
                <w:szCs w:val="16"/>
                <w:color w:val="auto"/>
              </w:rPr>
              <w:t>25</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ME</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VT</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MI</w:t>
            </w:r>
          </w:p>
        </w:tc>
        <w:tc>
          <w:tcPr>
            <w:tcW w:w="1140" w:type="dxa"/>
            <w:vAlign w:val="bottom"/>
          </w:tcPr>
          <w:p>
            <w:pPr>
              <w:jc w:val="center"/>
              <w:spacing w:after="0"/>
              <w:rPr>
                <w:sz w:val="20"/>
                <w:szCs w:val="20"/>
                <w:color w:val="auto"/>
              </w:rPr>
            </w:pPr>
            <w:r>
              <w:rPr>
                <w:rFonts w:ascii="Arial" w:cs="Arial" w:eastAsia="Arial" w:hAnsi="Arial"/>
                <w:sz w:val="16"/>
                <w:szCs w:val="16"/>
                <w:color w:val="auto"/>
              </w:rPr>
              <w:t>28</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ind w:left="19"/>
              <w:spacing w:after="0"/>
              <w:rPr>
                <w:sz w:val="20"/>
                <w:szCs w:val="20"/>
                <w:color w:val="auto"/>
              </w:rPr>
            </w:pPr>
            <w:r>
              <w:rPr>
                <w:rFonts w:ascii="Arial" w:cs="Arial" w:eastAsia="Arial" w:hAnsi="Arial"/>
                <w:sz w:val="16"/>
                <w:szCs w:val="16"/>
                <w:b w:val="1"/>
                <w:bCs w:val="1"/>
                <w:color w:val="auto"/>
                <w:w w:val="97"/>
              </w:rPr>
              <w:t>WA</w:t>
            </w:r>
          </w:p>
        </w:tc>
        <w:tc>
          <w:tcPr>
            <w:tcW w:w="122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MN</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13</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WI</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720" w:type="dxa"/>
            <w:vAlign w:val="bottom"/>
            <w:tcBorders>
              <w:left w:val="single" w:sz="8" w:color="auto"/>
            </w:tcBorders>
          </w:tcPr>
          <w:p>
            <w:pPr>
              <w:jc w:val="center"/>
              <w:spacing w:after="0"/>
              <w:rPr>
                <w:sz w:val="20"/>
                <w:szCs w:val="20"/>
                <w:color w:val="auto"/>
              </w:rPr>
            </w:pPr>
            <w:r>
              <w:rPr>
                <w:rFonts w:ascii="Arial" w:cs="Arial" w:eastAsia="Arial" w:hAnsi="Arial"/>
                <w:sz w:val="16"/>
                <w:szCs w:val="16"/>
                <w:b w:val="1"/>
                <w:bCs w:val="1"/>
                <w:color w:val="auto"/>
              </w:rPr>
              <w:t>MO</w:t>
            </w:r>
          </w:p>
        </w:tc>
        <w:tc>
          <w:tcPr>
            <w:tcW w:w="1140" w:type="dxa"/>
            <w:vAlign w:val="bottom"/>
          </w:tcPr>
          <w:p>
            <w:pPr>
              <w:jc w:val="center"/>
              <w:spacing w:after="0"/>
              <w:rPr>
                <w:sz w:val="20"/>
                <w:szCs w:val="20"/>
                <w:color w:val="auto"/>
              </w:rPr>
            </w:pPr>
            <w:r>
              <w:rPr>
                <w:rFonts w:ascii="Arial" w:cs="Arial" w:eastAsia="Arial" w:hAnsi="Arial"/>
                <w:sz w:val="16"/>
                <w:szCs w:val="16"/>
                <w:color w:val="auto"/>
              </w:rPr>
              <w:t>18</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460" w:type="dxa"/>
            <w:vAlign w:val="bottom"/>
            <w:tcBorders>
              <w:right w:val="single" w:sz="8" w:color="auto"/>
            </w:tcBorders>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WV</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720" w:type="dxa"/>
            <w:vAlign w:val="bottom"/>
            <w:tcBorders>
              <w:left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w w:val="99"/>
              </w:rPr>
              <w:t>MS</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89"/>
              </w:rPr>
              <w:t>2</w:t>
            </w:r>
          </w:p>
        </w:tc>
        <w:tc>
          <w:tcPr>
            <w:tcW w:w="460" w:type="dxa"/>
            <w:vAlign w:val="bottom"/>
            <w:tcBorders>
              <w:right w:val="single" w:sz="8" w:color="auto"/>
            </w:tcBorders>
          </w:tcPr>
          <w:p>
            <w:pPr>
              <w:spacing w:after="0"/>
              <w:rPr>
                <w:sz w:val="21"/>
                <w:szCs w:val="21"/>
                <w:color w:val="auto"/>
              </w:rPr>
            </w:pPr>
          </w:p>
        </w:tc>
        <w:tc>
          <w:tcPr>
            <w:tcW w:w="10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b w:val="1"/>
                <w:bCs w:val="1"/>
                <w:color w:val="auto"/>
              </w:rPr>
              <w:t>WY</w:t>
            </w:r>
          </w:p>
        </w:tc>
        <w:tc>
          <w:tcPr>
            <w:tcW w:w="122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EEF0F2"/>
            </w:tcBorders>
            <w:shd w:val="clear" w:color="auto" w:fill="EEF0F2"/>
          </w:tcPr>
          <w:p>
            <w:pPr>
              <w:jc w:val="center"/>
              <w:spacing w:after="0"/>
              <w:rPr>
                <w:sz w:val="20"/>
                <w:szCs w:val="20"/>
                <w:color w:val="auto"/>
              </w:rPr>
            </w:pPr>
            <w:r>
              <w:rPr>
                <w:rFonts w:ascii="Arial" w:cs="Arial" w:eastAsia="Arial" w:hAnsi="Arial"/>
                <w:sz w:val="16"/>
                <w:szCs w:val="16"/>
                <w:color w:val="auto"/>
                <w:w w:val="89"/>
              </w:rPr>
              <w:t>1</w:t>
            </w:r>
          </w:p>
        </w:tc>
        <w:tc>
          <w:tcPr>
            <w:tcW w:w="1120" w:type="dxa"/>
            <w:vAlign w:val="bottom"/>
            <w:tcBorders>
              <w:bottom w:val="single" w:sz="8" w:color="EEF0F2"/>
              <w:right w:val="single" w:sz="8" w:color="auto"/>
            </w:tcBorders>
            <w:shd w:val="clear" w:color="auto" w:fill="EEF0F2"/>
          </w:tcPr>
          <w:p>
            <w:pPr>
              <w:jc w:val="center"/>
              <w:spacing w:after="0"/>
              <w:rPr>
                <w:sz w:val="20"/>
                <w:szCs w:val="20"/>
                <w:color w:val="auto"/>
              </w:rPr>
            </w:pPr>
            <w:r>
              <w:rPr>
                <w:rFonts w:ascii="Arial" w:cs="Arial" w:eastAsia="Arial" w:hAnsi="Arial"/>
                <w:sz w:val="16"/>
                <w:szCs w:val="16"/>
                <w:color w:val="auto"/>
                <w:w w:val="99"/>
              </w:rPr>
              <w:t>—</w:t>
            </w:r>
          </w:p>
        </w:tc>
      </w:tr>
      <w:tr>
        <w:trPr>
          <w:trHeight w:val="20"/>
        </w:trPr>
        <w:tc>
          <w:tcPr>
            <w:tcW w:w="72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‘Other’ includes Vista Optical in Fred Meyer stores and on military bases. There is one America’s Best location in Washington, D.C. and one Vista Optical location in Puerto Rico.</w:t>
      </w:r>
    </w:p>
    <w:p>
      <w:pPr>
        <w:spacing w:after="0" w:line="5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lease laboratories in Georgia and Utah and distribution centers in Georgia and Ohio, and we own our laboratory in Minnesota. In addition, we intend to enter into a lease for an additional laboratory facility 2018 and expect the laboratory to be operational in time for the first quarter 2019.</w:t>
      </w:r>
    </w:p>
    <w:p>
      <w:pPr>
        <w:spacing w:after="0" w:line="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corporate offices are located in approximately 73,000 square feet of leased space in Duluth, Georgia. In addition, we lease approximately 27,000 square feet of office space for our AC Lens corporate office in Columbus, Ohio, and we lease approximately 3,000 square feet of office space for our FirstSight corporate office in Upland, California.</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40"/>
          </w:cols>
          <w:pgMar w:left="240" w:top="125" w:right="2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normal course of our business.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We intend to continue to defend the litigation vigorously. We believe that the claims alleged are without merit.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2017, a complaint was filed against us and other defendants alleging, on behalf of a proposed class of consumers 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during the second quarter of fiscal year 2017 in in our audited consolidated financial statements included in Part II. Item 8. of this Form 10-K.</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currently party to any other legal proceedings that we believe would have a material adverse effect on our financial position, results of operations or cash flows.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common stock has been listed on NASDAQ Global Select Market under the symbol “EYE” since October 26, 2017, the Company’s initial day of trading. Prior to that date, there was no public market for our common stock. The following table sets forth, for the period indicated, the high and low sales price of our common stock as reported by NASDAQ:</w:t>
      </w:r>
    </w:p>
    <w:p>
      <w:pPr>
        <w:spacing w:after="0" w:line="218"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380" w:type="dxa"/>
            <w:vAlign w:val="bottom"/>
            <w:gridSpan w:val="2"/>
          </w:tcPr>
          <w:p>
            <w:pPr>
              <w:ind w:left="20"/>
              <w:spacing w:after="0"/>
              <w:rPr>
                <w:sz w:val="20"/>
                <w:szCs w:val="20"/>
                <w:color w:val="auto"/>
              </w:rPr>
            </w:pPr>
            <w:r>
              <w:rPr>
                <w:rFonts w:ascii="Arial" w:cs="Arial" w:eastAsia="Arial" w:hAnsi="Arial"/>
                <w:sz w:val="18"/>
                <w:szCs w:val="18"/>
                <w:color w:val="auto"/>
                <w:w w:val="84"/>
              </w:rPr>
              <w:t>2017</w:t>
            </w:r>
          </w:p>
        </w:tc>
        <w:tc>
          <w:tcPr>
            <w:tcW w:w="3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High Sales Price</w:t>
            </w:r>
          </w:p>
        </w:tc>
        <w:tc>
          <w:tcPr>
            <w:tcW w:w="380" w:type="dxa"/>
            <w:vAlign w:val="bottom"/>
          </w:tcPr>
          <w:p>
            <w:pPr>
              <w:spacing w:after="0"/>
              <w:rPr>
                <w:sz w:val="17"/>
                <w:szCs w:val="17"/>
                <w:color w:val="auto"/>
              </w:rPr>
            </w:pPr>
          </w:p>
        </w:tc>
        <w:tc>
          <w:tcPr>
            <w:tcW w:w="2080" w:type="dxa"/>
            <w:vAlign w:val="bottom"/>
          </w:tcPr>
          <w:p>
            <w:pPr>
              <w:jc w:val="right"/>
              <w:ind w:right="550"/>
              <w:spacing w:after="0"/>
              <w:rPr>
                <w:sz w:val="20"/>
                <w:szCs w:val="20"/>
                <w:color w:val="auto"/>
              </w:rPr>
            </w:pPr>
            <w:r>
              <w:rPr>
                <w:rFonts w:ascii="Arial" w:cs="Arial" w:eastAsia="Arial" w:hAnsi="Arial"/>
                <w:sz w:val="18"/>
                <w:szCs w:val="18"/>
                <w:color w:val="auto"/>
              </w:rPr>
              <w:t>Low Sales Price</w:t>
            </w:r>
          </w:p>
        </w:tc>
      </w:tr>
      <w:tr>
        <w:trPr>
          <w:trHeight w:val="48"/>
        </w:trPr>
        <w:tc>
          <w:tcPr>
            <w:tcW w:w="2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39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r>
      <w:tr>
        <w:trPr>
          <w:trHeight w:val="237"/>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Fourth quarter (beginning October 26, 2017)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7"/>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30, 2017, there were approximately 85 holders of record of our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and year ended December 30, 2017, we did not purchase any of our equity securities that are registered under Section 12(b) of the Exchange Act.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graph below presents the Company’s cumulative total stockholder returns relative to the performance of the NASDAQ Global Composite Index and the NASDAQ US Benchmark Retail Index for our fiscal year 2017, commencing October 26, 2017 (the Company’s initial day of trading). All values assume a $100 initial investment at the opening price of the Company’s common stock on the NASDAQ and data for the NASDAQ Global Composite Index and the NASDAQ US Benchmark Retail Index assumes all dividends were reinvested on the date paid. The points on the graph represent fiscal month-end values based on the last trading day of each fiscal month. The comparisons are based on historical data and are not indicative of, nor intended to forecast, the future performance of our common stock.</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169545</wp:posOffset>
            </wp:positionV>
            <wp:extent cx="5351145" cy="3653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114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Capital Stock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sets forth information regarding all unregistered sales of securities by the Company during the fiscal year ended December 30, 2017. The following reflects the 1.96627-for-one reverse stock split of the Company’s common stock effective October 24, 2017.</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14, 2017, we issued 63,572 shares of our common stock at a price per share of $15.73 to certain of our employees in connection with their hiring and/or promotion.</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we issued shares of common stock to certain employees related to the exercise of (i) rollover options and (ii) stock options that had previously been awarded and vested and in connection with services provided by such employees as follows:</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1, 2017, we issued 16,274 shares of our common stock at a price per share of $9.24.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8, 2017, we issued 36,617 shares of our common stock at a price per share of $7.24.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20, 2017, we issued 122,058 shares of our common stock at a price per share of $4.27.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22, 2017, we issued 36,617 shares of our common stock at a price per share of $4.27.</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on July 24, 2017, we issued 6,357 restricted shares of common stock, based on the fair market value of $15.73 per share as of the award date, to a non-employee director.</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 underwriters were involved in the foregoing issuance of securities. The issuances of shares of common stock described in this Item 15(a) were issued pursuant to written compensatory plans or arrangements with our employees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granted stock options to certain employees in connection with services provided by such employees or the hiring/promotion of such employees as follows:</w:t>
      </w:r>
    </w:p>
    <w:p>
      <w:pPr>
        <w:spacing w:after="0" w:line="62"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March 20, 2017, we granted stock options to purchase an aggregate of 63,572 shares of our common stock with an exercise price of $11.92 per share.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April 13, 2017, we granted stock options to purchase an aggregate of 50,857 shares of our common stock with an exercise price of $15.06 per share.</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May 16, 2017, we granted stock options to purchase an aggregate of 101,715 shares of our common stock with an exercise price of $15.06 per share.</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5, 2017, we granted stock options to purchase an aggregate of 228,859 shares of our common stock with an exercise price of $15.06 per share.</w:t>
      </w: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July 24, 2017, we granted stock options to purchase an aggregate of 101,715 shares of our common stock with an exercise price of $15.73 per share.</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14, 2017, we granted stock options to purchase an aggregate of 642,034 shares of our common stock with an exercise price of $15.73 per share.</w:t>
      </w: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24, 2017, we granted stock options to purchase an aggregate of 76,286 shares of our common stock with an exercise price of $15.73 per share.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30, 2017, options (excluding rollover options) to purchase 565,860 shares of common stock had been exercised for aggregate consideration in the amount of $3.9 million, and options to purchase 823,093 shares of common stock had been canceled or repurchased.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issuances of stock options and the shares of common stock issuable upon the exercise of the options described in this Item 15(b)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(b) Use of Proceeds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30, 2017, we completed our IPO in which we issued and sold 18,170,000 shares of common stock, including 2,370,000 shares of common stock pursuant to the exercise in full of the underwriters’ option to purchase additional shares. The shares sold in the IPO were registered under the Securities Act pursuant to our Registration Statement on Form S-1 (File No. 333-220719), which was declared effective by the SEC on October 25, 2017. The common stock is listed on the NASDAQ Global Select Market under the symbol “EYE.” The shares of our common stock were sold at an initial offering price of $22.00 per share, which generated net proceeds of approximately $375.8 million to us, after deducting underwriting discounts and commissions of approximately $24.0 million and other offering expenses. We used the net proceeds from the IPO to repay all $125.0 million outstanding aggregate amount of our second lien term loans and approximately $235.0 million of the outstanding amount of our first lien term loans and accrued and unpaid interest thereon. Additionally, we paid $4.0 million of transaction related expenses. The remaining $11.8 million of proceeds was used for general corporate purposes, and payment of the termination fees described below.</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Merrill Lynch, Pierce, Fenner &amp; Smith Incorporated, Goldman Sachs &amp; Co. LLC, Citigroup Global Markets Inc. and KKR Capital Markets LLC acted as joint book-running managers and as representatives of the underwriters in the IPO. Morgan Stanley &amp; Co. LLC, Jefferies LLC, UBS Securities LLC, Wells Fargo Securities, LLC, Guggenheim Securities, LLC, Mizuho Securities USA LLC and Macquarie Capital (USA) Inc. acted as co-managers in the IPO. NVI was party to a monitoring agreement, dated as of March 14, 2014, with KKR Sponsor and Berkshire, which was terminated automatically in accordance with its terms upon the completion of the IPO. The Company paid termination fees of approximately $3.6 million and $0.8 million to KKR Sponsor and Berkshire,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our selected historical consolidated financial data as of the dates and for the periods indicated. For the purpose of discussing our financial results, we refer to ourselves as the “Successor” in the periods following the KKR Acquisition and the “Predecessor” during the periods preceding the KKR Acquisition.</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selected historical consolidated financial data as of and for fiscal years 2017 (Successor), 2016 (Successor) and 2015 (Successor) have been derived from our audited consolidated financial statements included elsewhere in this Form 10-K. The selected historical consolidated financial data as of January 3, 2015 and for the period from March 13, 2014 to January 3, 2015 (Successor) and the period from December 29, 2013 to March 12, 2014 (Predecessor) and fiscal year 2013 (Predecessor) have been derived from our audited consolidated financial statements not included in this Form 10-K.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historical consolidated financial data set forth below should be read in conjunction with, and is qualified by reference to, “Management’s Discussion and Analysis of Financial Condition and Results of Operations” and our audited consolidated financial statements and related notes thereto, each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2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vMerge w:val="restart"/>
          </w:tcPr>
          <w:p>
            <w:pPr>
              <w:ind w:left="720"/>
              <w:spacing w:after="0"/>
              <w:rPr>
                <w:sz w:val="20"/>
                <w:szCs w:val="20"/>
                <w:color w:val="auto"/>
              </w:rPr>
            </w:pPr>
            <w:r>
              <w:rPr>
                <w:rFonts w:ascii="Arial" w:cs="Arial" w:eastAsia="Arial" w:hAnsi="Arial"/>
                <w:sz w:val="18"/>
                <w:szCs w:val="18"/>
                <w:color w:val="auto"/>
              </w:rPr>
              <w:t>Successor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4"/>
            <w:vMerge w:val="restart"/>
          </w:tcPr>
          <w:p>
            <w:pPr>
              <w:jc w:val="right"/>
              <w:ind w:right="710"/>
              <w:spacing w:after="0"/>
              <w:rPr>
                <w:sz w:val="20"/>
                <w:szCs w:val="20"/>
                <w:color w:val="auto"/>
              </w:rPr>
            </w:pPr>
            <w:r>
              <w:rPr>
                <w:rFonts w:ascii="Arial" w:cs="Arial" w:eastAsia="Arial" w:hAnsi="Arial"/>
                <w:sz w:val="18"/>
                <w:szCs w:val="18"/>
                <w:color w:val="auto"/>
              </w:rPr>
              <w:t>Predecessor</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2"/>
              </w:rPr>
              <w:t>From March</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From</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0"/>
              </w:rPr>
              <w:t>13, 2014 to</w:t>
            </w: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29,</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Fiscal Year</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January 3,</w:t>
            </w:r>
          </w:p>
        </w:tc>
        <w:tc>
          <w:tcPr>
            <w:tcW w:w="1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2013 to March</w:t>
            </w: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3"/>
              </w:rPr>
              <w:t>Fiscal Year</w:t>
            </w:r>
          </w:p>
        </w:tc>
        <w:tc>
          <w:tcPr>
            <w:tcW w:w="0" w:type="dxa"/>
            <w:vAlign w:val="bottom"/>
          </w:tcPr>
          <w:p>
            <w:pPr>
              <w:spacing w:after="0"/>
              <w:rPr>
                <w:sz w:val="1"/>
                <w:szCs w:val="1"/>
                <w:color w:val="auto"/>
              </w:rPr>
            </w:pPr>
          </w:p>
        </w:tc>
      </w:t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earnings per share</w:t>
            </w: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2015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8"/>
              </w:rPr>
              <w:t>12, 2014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Consolidated Statement of Operations Data:</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1,375,308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1,196,195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1,062,528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735,680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197,017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840,046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applicable to revenue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636,966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403,486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671,106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585,030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526,751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382,146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390,029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46,531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36,741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26,823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23,254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Earnings (loss) before income taxes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23,277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45,820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14,758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(27,050)</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311"/>
        </w:trPr>
        <w:tc>
          <w:tcPr>
            <w:tcW w:w="128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213.45</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211.82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59,895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56,185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55,962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55,807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55,807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Cash Flow Data:</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90,252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97,588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83,131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17,996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31,008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(47,311)</w:t>
            </w:r>
          </w:p>
        </w:tc>
        <w:tc>
          <w:tcPr>
            <w:tcW w:w="0" w:type="dxa"/>
            <w:vAlign w:val="bottom"/>
          </w:tcPr>
          <w:p>
            <w:pPr>
              <w:spacing w:after="0"/>
              <w:rPr>
                <w:sz w:val="1"/>
                <w:szCs w:val="1"/>
                <w:color w:val="auto"/>
              </w:rPr>
            </w:pPr>
          </w:p>
        </w:tc>
      </w:tr>
      <w:tr>
        <w:trPr>
          <w:trHeight w:val="229"/>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for) financing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7,130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6,832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1,531,117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1,444,913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336,233</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569,238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745,625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747,825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601,452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289,664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659,588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401,887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386,230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523,594</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(122,240)</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8"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We conduct substantially all of our activities through our 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2017” relate to the 52 weeks ended December 30, 2017, references herein “fiscal year 2016” relate to the 52 weeks ended December 31, 2016 and references herein to “fiscal year 2015” relate to the 52 weeks ended January 2, 2016.</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1,013 retail stores across five brands and 18 consumer websites as of fiscal year end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7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Owned &amp; host – As of fiscal year end 2017, our owned brands consisted of 594 America’s Best Contacts and Eyeglasses (“America’s Best”) retail stores and 107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many customer orders and make repairs on site. Eyeglass World stores are primarily located in freestanding or in-suite locations near high-foot-traffic shopping centers. Our two host brands consisted of 56 Vista Optical locations on military bases and 29 Vista Optical locations within Fred Meyer stores as of fiscal year end 2017. We have strong, long-standing relationships with our host partners and have maintained each partnership for over 18 years. Both host brands compete within the value segment of the U.S. optical retail industry. These brands provide eye exams principally by independent optometrists in nearly all locations. All brands utilize our centralized laboratories. This segment also includes sales from our four store brand websites, three of which are omni-channel.</w:t>
      </w:r>
    </w:p>
    <w:p>
      <w:pPr>
        <w:spacing w:after="0" w:line="69"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227 Vision Centers in Walmart retail locations as of fiscal year 2017. Under our management &amp; services agreement with Walmart,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on a net basis. Our management &amp; services agreement also allows our legacy partner to collect penalties if the Vision Centers do not generate a requisite amount of revenues. We also sell to our legacy partner merchandise that is stocked in retail locations we manage pursuant to a separate supplier agreement, and provide to our legacy partner centralized laboratory services for the finished eyeglasses for our legacy partner’s customers in stores that we manage. We lease space from Walmart within or adjacent to each of the locations we manage and use this space for the provision of optometric examination services. During the fiscal year 2017, sales associated with our legacy partner arrangement represented 11.2% of consolidated net revenue. This exposes us to concentration of customer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risk. Our agreements with our legacy partner expire on August 23, 2020, and will automatically renew for a three-year period unless a party elects not to renew.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other non-reportable segment activity recorded in our corporate/other category:</w:t>
      </w:r>
    </w:p>
    <w:p>
      <w:pPr>
        <w:spacing w:after="0" w:line="117" w:lineRule="exact"/>
        <w:rPr>
          <w:sz w:val="20"/>
          <w:szCs w:val="20"/>
          <w:color w:val="auto"/>
        </w:rPr>
      </w:pPr>
    </w:p>
    <w:p>
      <w:pPr>
        <w:jc w:val="both"/>
        <w:ind w:left="660" w:hanging="328"/>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wholly-owned subsidiary, AC Lens, manages our e-commerce platform, which consists of 14 dedicated websites. Our e-commerce business consists of six proprietary branded websites, including aclens.com and discountcontactlenses.com, and eight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 care accessories.</w:t>
      </w:r>
    </w:p>
    <w:p>
      <w:pPr>
        <w:spacing w:after="0" w:line="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 Lens also distributes contact lenses to Walmart and Sam’s Club under fee for service arrangements. We record revenue for these activities and we incur costs at a higher percentage of sales than other product categories, given the wholesale nature of the business.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issues individual vision care benefit plans in connection with our America’s Best operations in California, provides or arranges for the provision of optometric services at almost all of the optometric offices next to Walmart and Sam’s Club stores in California and also sells contact lenses to its members in certain locations.</w:t>
      </w:r>
    </w:p>
    <w:p>
      <w:pPr>
        <w:spacing w:after="0" w:line="78"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Reportable segment information is presented on the same basis as our consolidated financial statements, except for owned &amp; host reportable segment revenue, which is presented on a cash basis,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deferred and unearned revenue items previously described.</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Deferred revenue represents cash basis sales of product protection plans and eye care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Note 14. “Segment Reporting” in our consolidated financial statements, to adjust segment revenues on a cash basis to revenues as presented in our consolidated financial statements.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may vary depending on various factors such as the store opening date, the time of year of a particular opening, the amount of store opening costs, the amount of store occupancy costs, its level of participation in managed care plans,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and management controls and information systems. We will also be required to hire, train and retain store management and store personnel, which, together with increased marketing costs, affects our operating margins.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Various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recurring nature of eye 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participation in managed care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items purchased per store visit;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new store is included in the comparable store sales calculation beginning the thirteenth full fiscal month following the store’s opening and we consider a store to be mature when it has been opened longer than five years. Closed stores are removed from the calculation for time periods that are not comparable. In the past, we have closed our stores as a result of poor store performance, lease expiration or non-renewal and/or the terms of our arrangements with our host and legacy partners.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managed care business relates to vision care programs and associated benefits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increasing percentage of our customers receive vision insurance coverage through managed care payors. These payors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and Coverage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operate our stores is largely dependent upon our ability to attract and retain qualified vision care professionals, and to maintain our relationships with independent optometrists and professional corporations owned by eye care practitioners that provide vision care services in our stores.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However, eye 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significant investments in information technology systems, supply chain systems and marketing. These investments include significant additions to our personnel, including experienced industry executives, and management and merchandising teams to support our long-term growth objectives. We intend to continue making targeted investments in our infrastructure as necessary to support our growth.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2017, four vendors supplied 56% of frames, two vendors provided 91% of lenses and three vendors supplied 94% of contact lenses.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results can be expected to be directly impacted by substantial increases in product costs due to materials cost increases or general inflation which could lead to greater profitability pressure as costs may not be able to be passed on to consumers. To date, changes in materials prices and general inflation have not materially impacted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during that period is deferred until January due to our policy of recognizing revenue only after the product has been accepted by the customer, further contributing to higher first quarter results. For fiscal years 2017 and 2016, approximately 23% of our revenues were recorded in the fourth quarter. However, approximately 25% of annual SG&amp;A costs were recorded in the fourth quarter for each of fiscal years 2017 and 2016, due to certain SG&amp;A costs being more fixed in nature. In addition to reduced revenues in the fourth quarter compared to the other quarters, our fourth quarter operating income may include annual impairment charges, and to a lesser extent, higher depreciation of property and equipment due to timing of placing property and equipment in service, which further reduces operating income relative to other quarters. 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optical retail industry is highly competitive. Competition is generally based upon brand name recognition, price, convenience, selection, service and product quality.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in the Industry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Recently announced mergers of large, global competitors will create organizations that are 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 Other trends include the formation of buying groups and similar forms of practice affiliations.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Adjusted EBITDA and Adjusted Net Income.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sales of eye exams, eye care club memberships, product protection plans (i.e. warranties), and HMO memberships. Net sales of services and plans also includes fees we earn for managing certain Vision Centers located in Walmart stores, for laboratory services to Walmart, and fulfillment fees earned by AC Lens.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club memberships, HMO membership fees, eye care practitioner and eye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remodels,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 We expect slight decreases in SG&amp;A as a percentage of net revenue given our ongoing focus on cost containment.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as described above in “— Trends and Other Factors Affecting Our Business.”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full fiscal month following the store’s opening;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Adjusted EBITDA as net income, plus interest expense, income tax provision (benefit) and depreciation and amortization, as further adjusted to exclude stock compensation expense, costs associated with debt refinancing, asset impairment, non-cash inventory write-offs, management fees, new store pre-opening expenses, non-cash rent, litigation settlement and other expenses. We define Adjusted Net Income as net income, plus stock compensation expense, costs associated with debt refinancing, asset impairment, non-cash inventory write-offs, management fees, new store pre-opening expenses, non-cash rent, litigation settlement, amortization of acquisition intangibles and deferred financing costs and other expenses, tax legislation adjustment, less the tax effect of these adjustments. Adjusted EBITDA and Adjusted Net Income are key metrics used by management to assess our financial performance. Adjusted EBITDA and Adjusted Net Income are also frequently used by analysts, investors and other interested parties. We use Adjusted EBITDA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key components of our results of operations for the periods indicated, both in dollars and as a percentage of our net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Fiscal Year</w:t>
            </w: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percentage and store data</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2015</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1,129,313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980,953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870,463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245,995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215,242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192,065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1,375,308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1,196,195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1,062,528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Costs applicable to revenue (exclusive of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Products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456,078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390,369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353,894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180,888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154,412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137,206</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636,966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544,781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491,100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597,924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524,238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474,053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44,069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7,716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913</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671,106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585,030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526,751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67,236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66,384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44,677</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55,536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36,741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2,551</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(38,647)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12,534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1,768</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45,820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14,758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Number of stores open at end of period</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858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stores opened</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159,721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137,774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112,585</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applicable to revenue</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702"/>
        </w:trPr>
        <w:tc>
          <w:tcPr>
            <w:tcW w:w="562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54</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compared to Fiscal Year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2017 compared to fiscal year 2016.</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8"/>
              </w:rPr>
              <w:t>Comparable store sales growth</w:t>
            </w:r>
            <w:r>
              <w:rPr>
                <w:rFonts w:ascii="Arial" w:cs="Arial" w:eastAsia="Arial" w:hAnsi="Arial"/>
                <w:sz w:val="8"/>
                <w:szCs w:val="8"/>
                <w:color w:val="auto"/>
                <w:w w:val="98"/>
              </w:rPr>
              <w:t>(1)</w:t>
            </w:r>
          </w:p>
        </w:tc>
        <w:tc>
          <w:tcPr>
            <w:tcW w:w="120" w:type="dxa"/>
            <w:vAlign w:val="bottom"/>
          </w:tcPr>
          <w:p>
            <w:pPr>
              <w:spacing w:after="0"/>
              <w:rPr>
                <w:sz w:val="16"/>
                <w:szCs w:val="16"/>
                <w:color w:val="auto"/>
              </w:rPr>
            </w:pPr>
          </w:p>
        </w:tc>
        <w:tc>
          <w:tcPr>
            <w:tcW w:w="1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w w:val="96"/>
              </w:rPr>
              <w:t>Stores open at end of period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8"/>
                <w:szCs w:val="8"/>
                <w:color w:val="auto"/>
              </w:rPr>
              <w:t>(2)</w:t>
            </w:r>
          </w:p>
        </w:tc>
        <w:tc>
          <w:tcPr>
            <w:tcW w:w="1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56"/>
        </w:trPr>
        <w:tc>
          <w:tcPr>
            <w:tcW w:w="2680" w:type="dxa"/>
            <w:vAlign w:val="bottom"/>
            <w:gridSpan w:val="2"/>
          </w:tcPr>
          <w:p>
            <w:pPr>
              <w:ind w:left="40"/>
              <w:spacing w:after="0" w:line="157" w:lineRule="exact"/>
              <w:rPr>
                <w:sz w:val="20"/>
                <w:szCs w:val="20"/>
                <w:color w:val="auto"/>
              </w:rPr>
            </w:pPr>
            <w:r>
              <w:rPr>
                <w:rFonts w:ascii="Arial" w:cs="Arial" w:eastAsia="Arial" w:hAnsi="Arial"/>
                <w:sz w:val="14"/>
                <w:szCs w:val="14"/>
                <w:i w:val="1"/>
                <w:iCs w:val="1"/>
                <w:color w:val="auto"/>
                <w:w w:val="98"/>
              </w:rPr>
              <w:t>In thousands, except percentage and store</w:t>
            </w:r>
          </w:p>
        </w:tc>
        <w:tc>
          <w:tcPr>
            <w:tcW w:w="11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Fiscal Year</w:t>
            </w:r>
          </w:p>
        </w:tc>
        <w:tc>
          <w:tcPr>
            <w:tcW w:w="112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Fiscal Year</w:t>
            </w:r>
          </w:p>
        </w:tc>
        <w:tc>
          <w:tcPr>
            <w:tcW w:w="9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Fiscal Year</w:t>
            </w:r>
          </w:p>
        </w:tc>
        <w:tc>
          <w:tcPr>
            <w:tcW w:w="9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Fiscal Year</w:t>
            </w: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Year 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Year 2016</w:t>
            </w:r>
          </w:p>
        </w:tc>
        <w:tc>
          <w:tcPr>
            <w:tcW w:w="560" w:type="dxa"/>
            <w:vAlign w:val="bottom"/>
            <w:tcBorders>
              <w:bottom w:val="single" w:sz="8" w:color="auto"/>
            </w:tcBorders>
          </w:tcPr>
          <w:p>
            <w:pPr>
              <w:spacing w:after="0"/>
              <w:rPr>
                <w:sz w:val="16"/>
                <w:szCs w:val="16"/>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100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452"/>
              <w:spacing w:after="0"/>
              <w:rPr>
                <w:sz w:val="20"/>
                <w:szCs w:val="20"/>
                <w:color w:val="auto"/>
              </w:rPr>
            </w:pPr>
            <w:r>
              <w:rPr>
                <w:rFonts w:ascii="Arial" w:cs="Arial" w:eastAsia="Arial" w:hAnsi="Arial"/>
                <w:sz w:val="18"/>
                <w:szCs w:val="18"/>
                <w:color w:val="auto"/>
              </w:rPr>
              <w:t>848,294</w:t>
            </w:r>
          </w:p>
        </w:tc>
        <w:tc>
          <w:tcPr>
            <w:tcW w:w="56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714,431</w:t>
            </w:r>
          </w:p>
        </w:tc>
        <w:tc>
          <w:tcPr>
            <w:tcW w:w="56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150,287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133,979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452"/>
              <w:spacing w:after="0"/>
              <w:rPr>
                <w:sz w:val="20"/>
                <w:szCs w:val="20"/>
                <w:color w:val="auto"/>
              </w:rPr>
            </w:pPr>
            <w:r>
              <w:rPr>
                <w:rFonts w:ascii="Arial" w:cs="Arial" w:eastAsia="Arial" w:hAnsi="Arial"/>
                <w:sz w:val="18"/>
                <w:szCs w:val="18"/>
                <w:color w:val="auto"/>
              </w:rPr>
              <w:t>25,340</w:t>
            </w:r>
          </w:p>
        </w:tc>
        <w:tc>
          <w:tcPr>
            <w:tcW w:w="5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26,444</w:t>
            </w:r>
          </w:p>
        </w:tc>
        <w:tc>
          <w:tcPr>
            <w:tcW w:w="5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14,646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14,554</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Owned &amp; host segment 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1,038,567</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889,408</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153,842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152,210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268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Corporate/Other</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tcPr>
          <w:p>
            <w:pPr>
              <w:jc w:val="right"/>
              <w:ind w:right="452"/>
              <w:spacing w:after="0"/>
              <w:rPr>
                <w:sz w:val="20"/>
                <w:szCs w:val="20"/>
                <w:color w:val="auto"/>
              </w:rPr>
            </w:pPr>
            <w:r>
              <w:rPr>
                <w:rFonts w:ascii="Arial" w:cs="Arial" w:eastAsia="Arial" w:hAnsi="Arial"/>
                <w:sz w:val="18"/>
                <w:szCs w:val="18"/>
                <w:color w:val="auto"/>
              </w:rPr>
              <w:t>191,890</w:t>
            </w:r>
          </w:p>
        </w:tc>
        <w:tc>
          <w:tcPr>
            <w:tcW w:w="5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168,616</w:t>
            </w:r>
          </w:p>
        </w:tc>
        <w:tc>
          <w:tcPr>
            <w:tcW w:w="5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Reconciliations</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(8,991)</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(14,039)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26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color w:val="auto"/>
              </w:rPr>
              <w:t>1,375,308</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color w:val="auto"/>
                <w:w w:val="89"/>
              </w:rPr>
              <w:t>1,196,195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r>
      <w:tr>
        <w:trPr>
          <w:trHeight w:val="189"/>
        </w:trPr>
        <w:tc>
          <w:tcPr>
            <w:tcW w:w="268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Adjusted comparable store sales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57"/>
        </w:trPr>
        <w:tc>
          <w:tcPr>
            <w:tcW w:w="268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growth</w:t>
            </w:r>
            <w:r>
              <w:rPr>
                <w:rFonts w:ascii="Arial" w:cs="Arial" w:eastAsia="Arial" w:hAnsi="Arial"/>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jc w:val="both"/>
        <w:ind w:left="34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included in Part II. Item 8. of this Form 10-K,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0.7% and 0.4% from total comparable store sales growth based on consolidated net revenue for fiscal year 2017 and fiscal year 2016, respectively, and (ii) adjusted comparable store sales growth includes retail sales to the legacy partner’s customers (rather than the revenues recognized consistent with the management &amp; services agreement), resulting in a decrease of 0.2% and 0.4% from total comparable store sales growth based on consolidated net revenue for fiscal year 2017 and fiscal year 2016, respectively.</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$1,375.3 million for fiscal year 2017 increased $179.1 million, or 15.0%, from $1,196.2 million for fiscal year 2016. This increase was driven approximately 45% by comparable store sales growth, approximately 40% by new stores and approximately 15% by order volume in our AC Lens business within the Corporate/Other segment.</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year 2017, we opened 76 new stores, including 68 new America’s Best stores, seven new Eyeglass World stores and one new Vista Optical location on a military base. Additionally, we closed three America’s Best stores, two Eyeglass World stores and one Vista Optical location on a military base. Overall, store count grew 7.4% from the end of fiscal year 2016 to the end of fiscal year 2017. Comparable store sales growth was 8.4% for fiscal year 2017. Adjusted comparable store sales growth was 7.5% for fiscal year 2017. Comparable store sales growth and adjusted comparable store sales growth were driven by increases in customer transactions. We believe the increase in net revenue and customer transaction volume was due to execution of our key strategies, including new store maturation, advertising and expansion of our participation in managed care programs.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increased $148.4 million, or 15.1%, in fiscal year 2017 compared to fiscal year 2016, driven primarily by strong eyeglass sales. To a lesser extent, contact lens sales and unit growth in our wholesale order fulfillment business also contributed to the increase. Net sales of services and plans increased $30.8 million, or 14.3%, driven primarily by strong eye exam sales in our owned &amp; host segment. The eye exam increase was driven primarily by our store growth and expanding participation in managed care programs.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first quarter fiscal year 2017 results were negatively impacted by the Earned Income Tax Credit processing rules implemented by the federal government in 2017 which caused a two- to three-week delay in the issuance of many federal tax refunds in the first quarter. A weaker than expected first quarter was offset by strong performance in our comparable store sales growth and overall customer transactions in the balance of fiscal year 2017. Additionally, we believe the negative impact of temporary store closings due to Hurricanes Harvey and Irma in the third quarter were generally offset by a stronger fourth quarter, and we believe that the hurricanes had an immaterial impact on fiscal year 2017 results.</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changes in applicable California law, certain optometrists employed by FirstSight were transferred to a professional corporation that contracts directly with our legacy segment in the third quarter of fiscal year 2017. This change led to an increase in legacy segment eye exam revenue and optometrist payroll costs of $2.7 million and $2.2 million, respectively, in fiscal year 2017. A corresponding decrease was recorded in our FirstSight subsidiary within the corporate/other segment. Therefore, the change had no impact on consolidated operating income. As of December 30, 2017, approximately half of the applicable optometrists have been transferred and we expect the remaining half to be transferred in the fourth quarter of fiscal year 2018.</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connection with these changes in California law, effective October 1, 2017, FirstSight ceased the sale of vision managed care products in Walmart locations in California that are not operated by the Company. As a result, FirstSight net revenue and associated costs in the fourth quarter of fiscal year 2017 were both approximately $1.5 million lower than the fourth quarter of fiscal year 2016, and there was an immaterial impact on net income. In fiscal year 2018, we expect this change to negatively impact both FirstSight net revenue and associated costs by approximately $1.8 million to $2.0 million in each of the first three quarters, with an immaterial impact on net income.</w:t>
      </w:r>
    </w:p>
    <w:p>
      <w:pPr>
        <w:spacing w:after="0" w:line="5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increased $149.2 million, or 16.8%, due to comparable store sales</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new store openings. The growth was predominately driven by performance in America’s Best and Eyeglass World, partially offset by a decrease in net revenue in Vista Optical locations on military bases as a result of lower customer transaction volume.</w:t>
      </w:r>
    </w:p>
    <w:p>
      <w:pPr>
        <w:spacing w:after="0" w:line="7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for our legacy segment grew $1.6 million, or 1.1%, primarily driven by $2.7 million in incremental eye exam</w:t>
      </w:r>
      <w:r>
        <w:rPr>
          <w:rFonts w:ascii="Arial" w:cs="Arial" w:eastAsia="Arial" w:hAnsi="Arial"/>
          <w:sz w:val="18"/>
          <w:szCs w:val="18"/>
          <w:i w:val="1"/>
          <w:iCs w:val="1"/>
          <w:color w:val="auto"/>
        </w:rPr>
        <w:t xml:space="preserve"> </w:t>
      </w:r>
      <w:r>
        <w:rPr>
          <w:rFonts w:ascii="Arial" w:cs="Arial" w:eastAsia="Arial" w:hAnsi="Arial"/>
          <w:sz w:val="18"/>
          <w:szCs w:val="18"/>
          <w:color w:val="auto"/>
        </w:rPr>
        <w:t>sales, partially offset by lower customer transaction volume. The increased eye exam sales were the result of changes to our FirstSight operations required by changes in applicable California law discussed above. The FirstSight operations changes resulted in a favorable impact of approximately 145 basis points in comparable store sales growth in the legacy segment.</w:t>
      </w:r>
    </w:p>
    <w:p>
      <w:pPr>
        <w:spacing w:after="0" w:line="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 the corporate/other segment increased $23.3 million, or 13.8%, driven by unit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wholesale order fulfillment business, partially offset by a $4.2 million reduction in sales as a result of the combined FirstSight operations changes discussed above.</w:t>
      </w:r>
    </w:p>
    <w:p>
      <w:pPr>
        <w:spacing w:after="0" w:line="73"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 xml:space="preserve">Net revenue reconciliations. </w:t>
      </w:r>
      <w:r>
        <w:rPr>
          <w:rFonts w:ascii="Arial" w:cs="Arial" w:eastAsia="Arial" w:hAnsi="Arial"/>
          <w:sz w:val="17"/>
          <w:szCs w:val="17"/>
          <w:color w:val="auto"/>
        </w:rPr>
        <w:t>Reconciliations include increases in deferred revenue of $6.8 million and $9.6 million, and increases in unearned revenue of</w:t>
      </w:r>
      <w:r>
        <w:rPr>
          <w:rFonts w:ascii="Arial" w:cs="Arial" w:eastAsia="Arial" w:hAnsi="Arial"/>
          <w:sz w:val="17"/>
          <w:szCs w:val="17"/>
          <w:i w:val="1"/>
          <w:iCs w:val="1"/>
          <w:color w:val="auto"/>
        </w:rPr>
        <w:t xml:space="preserve"> </w:t>
      </w:r>
      <w:r>
        <w:rPr>
          <w:rFonts w:ascii="Arial" w:cs="Arial" w:eastAsia="Arial" w:hAnsi="Arial"/>
          <w:sz w:val="17"/>
          <w:szCs w:val="17"/>
          <w:color w:val="auto"/>
        </w:rPr>
        <w:t>$2.2 million and $4.5 million for fiscal year 2017 and fiscal year 2016, respectively. The purchase accounting adjustment related to the KKR Acquisition contributed to the increases in deferred revenue by $0.2 million and $3.0 million for fiscal year 2017 and fiscal year 2016, respectively, resulting in larger increases in deferred revenue compared to corresponding periods. Absent the impact of the KKR Acquisition, deferred revenue is comparable to the prior year due to slower growth in our warranty program sales and Eyecare Club membership sales than other product categories. The increases in unearned revenue were the result of overall increases in cash basis sales of prescription eyewear in our stores in the last week of each fiscal year. In fiscal year 2017, the Christmas holiday was on a Monday. In fiscal year 2016, the Christmas holiday was on a Sunday, when many of our stores are typically closed. As a result, we had one less selling day in the last week of fiscal year 2017 compared to the last week of fiscal year 2016, which drove the lower unearned revenue increase year-over-year.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applicable to revenue of $637.0 million for fiscal year 2017 increased $92.2 million, or 16.9%, from $544.8 million for fiscal year 2016. As a percentage of net revenue, costs applicable to revenue increased from 45.5% for fiscal year 2016 to 46.3% for fiscal year 2017. The increase was primarily driven by higher wholesale fulfillment mix (our wholesale order fulfillment units have a higher cost as a percentage of sales than other product categories), higher optometrist costs and a $2.3 million inventory write-off in the first half of fiscal year 2017 related to slow-moving contact lens inventory which had expired or would expire prior to possible sale. Optometrist costs increased as a result of increased store coverage primarily in our new California market and overall wage pressure.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of products as a percentage of net product sales increased from 39.8% for fiscal year 2016 to 40.4% for fiscal year 2017, driven primarily by wholesale fulfillment mix as described above. To a lesser extent, a $2.3 million inventory write-off as discussed above, partially offset by a lower mix of contact lens sales, also contributed to the variance. Our contact lens units have a higher cost as a percentage of sales than other product categories.</w:t>
      </w:r>
    </w:p>
    <w:p>
      <w:pPr>
        <w:spacing w:after="0" w:line="5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In the owned &amp; host segment, costs of products as a percentage of net product sales increased from 29.0%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2016 to 29.3% for fiscal year 2017. The increase was primarily driven by modest increases in contact lens costs.</w:t>
      </w:r>
    </w:p>
    <w:p>
      <w:pPr>
        <w:spacing w:after="0" w:line="6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In the legacy segment, costs of products as a percentage of net product sales increased from 46.4% for fiscal year 2016</w:t>
      </w:r>
      <w:r>
        <w:rPr>
          <w:rFonts w:ascii="Arial" w:cs="Arial" w:eastAsia="Arial" w:hAnsi="Arial"/>
          <w:sz w:val="18"/>
          <w:szCs w:val="18"/>
          <w:i w:val="1"/>
          <w:iCs w:val="1"/>
          <w:color w:val="auto"/>
        </w:rPr>
        <w:t xml:space="preserve"> </w:t>
      </w:r>
      <w:r>
        <w:rPr>
          <w:rFonts w:ascii="Arial" w:cs="Arial" w:eastAsia="Arial" w:hAnsi="Arial"/>
          <w:sz w:val="18"/>
          <w:szCs w:val="18"/>
          <w:color w:val="auto"/>
        </w:rPr>
        <w:t>to 46.5% for fiscal year 2017, impacted by higher other costs of sales, substantially offset by favorable eyeglass costs.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of services and plans as a percentage of net sales of services and plans increased from 71.7% for fiscal year 2016 to 73.5% for fiscal year 2017. The increase was primarily driven by a lower mix of management fees from our legacy segment and higher optometrist costs as discussed above, partially offset by a higher mix of eye exam sales as a result of our growing managed care business. The lower mix of management fees from our legacy segment was driven by a decline in customer transaction volume in the legacy segment described in “—</w:t>
      </w:r>
      <w:r>
        <w:rPr>
          <w:rFonts w:ascii="Arial" w:cs="Arial" w:eastAsia="Arial" w:hAnsi="Arial"/>
          <w:sz w:val="17"/>
          <w:szCs w:val="17"/>
          <w:i w:val="1"/>
          <w:iCs w:val="1"/>
          <w:color w:val="auto"/>
        </w:rPr>
        <w:t>Net revenue”</w:t>
      </w:r>
      <w:r>
        <w:rPr>
          <w:rFonts w:ascii="Arial" w:cs="Arial" w:eastAsia="Arial" w:hAnsi="Arial"/>
          <w:sz w:val="17"/>
          <w:szCs w:val="17"/>
          <w:color w:val="auto"/>
        </w:rPr>
        <w:t xml:space="preserve"> above.</w:t>
      </w:r>
    </w:p>
    <w:p>
      <w:pPr>
        <w:spacing w:after="0" w:line="6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 the owned &amp; host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was 80.6% for fiscal year 2016 and for fiscal year 2017. Year-over-year, our growing managed care business increased eye exam sales mix which was offset by a lower mix of Eyecare Club and warranty program sales.</w:t>
      </w:r>
    </w:p>
    <w:p>
      <w:pPr>
        <w:spacing w:after="0" w:line="73"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Legacy segment costs of services and plans. </w:t>
      </w:r>
      <w:r>
        <w:rPr>
          <w:rFonts w:ascii="Arial" w:cs="Arial" w:eastAsia="Arial" w:hAnsi="Arial"/>
          <w:sz w:val="17"/>
          <w:szCs w:val="17"/>
          <w:color w:val="auto"/>
        </w:rPr>
        <w:t>In the legacy segment, costs of services and plans as a percentage of net sales of services and plans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from 23.7% for fiscal year 2016 to 33.3% for fiscal year 2017. The increase was primarily driven by a classification change in reporting for certain eye exam technicians beginning in 2017, a lower mix of management fees and higher optometrist costs, partially offset by a higher mix of eye exam sales. The lower mix of management fees was driven by a decline in customer transaction volume in the legacy segment described in “—</w:t>
      </w:r>
      <w:r>
        <w:rPr>
          <w:rFonts w:ascii="Arial" w:cs="Arial" w:eastAsia="Arial" w:hAnsi="Arial"/>
          <w:sz w:val="17"/>
          <w:szCs w:val="17"/>
          <w:i w:val="1"/>
          <w:iCs w:val="1"/>
          <w:color w:val="auto"/>
        </w:rPr>
        <w:t>Net revenue”</w:t>
      </w:r>
      <w:r>
        <w:rPr>
          <w:rFonts w:ascii="Arial" w:cs="Arial" w:eastAsia="Arial" w:hAnsi="Arial"/>
          <w:sz w:val="17"/>
          <w:szCs w:val="17"/>
          <w:color w:val="auto"/>
        </w:rPr>
        <w:t xml:space="preserve"> above. The higher optometrist costs were primarily as a result of the FirstSight operations changes discussed above. Higher eye exam sales were driven by the FirstSight operations changes described in “—</w:t>
      </w:r>
      <w:r>
        <w:rPr>
          <w:rFonts w:ascii="Arial" w:cs="Arial" w:eastAsia="Arial" w:hAnsi="Arial"/>
          <w:sz w:val="17"/>
          <w:szCs w:val="17"/>
          <w:i w:val="1"/>
          <w:iCs w:val="1"/>
          <w:color w:val="auto"/>
        </w:rPr>
        <w:t>Net revenue”</w:t>
      </w:r>
      <w:r>
        <w:rPr>
          <w:rFonts w:ascii="Arial" w:cs="Arial" w:eastAsia="Arial" w:hAnsi="Arial"/>
          <w:sz w:val="17"/>
          <w:szCs w:val="17"/>
          <w:color w:val="auto"/>
        </w:rPr>
        <w:t xml:space="preserve">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SG&amp;A of $597.9 million for fiscal year 2017 increased $73.7 million, or 14.1%, from fiscal year 2016. As a percentage of net revenue, SG&amp;A decreased from 43.8% for fiscal year 2016 to 43.5% for fiscal year 2017. The decrease as a percentage of net revenue was primarily driven by reduced occupancy expense, certain e-commerce partner fees, advertising and corporate overhead as a percentage of net revenue, partially offset by the monitoring agreement termination fee paid to the Sponsors in connection with the completion of our IPO in the fourth quarter of fiscal year 2017 and write-offs of certain managed care receivables. In fiscal year 2017, we began signing an increased number of leases with longer terms which were designated as capital leases (as opposed to operating leases) and, as a result, our occupancy expense as a percentage of net revenue decreased compared to the comparable prior year period. In our e-commerce business, we remit earnings back to certain partners and retain a fulfillment fee. The year-over-year decline of e-commerce partner fees was driven by certain partner pricing strategy changes, which reduced the partner fees that we remit back. The decrease in advertising expense as a percentage of net revenue was driven by increased advertising spend leverage as a result of the transition to national advertising for America’s Best in fiscal year 2017. The decrease in corporate overhead was primarily driven by a slower growth rate of corporate payroll and lower performance-based incentive compensation expense compared to net revenue. Write-offs of managed care receivables increased because we experienced information technology challenges associated with a change in claims processing systems by one of our payors and also expanded our participation in managed care programs.</w:t>
      </w:r>
    </w:p>
    <w:p>
      <w:pPr>
        <w:spacing w:after="0" w:line="6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Owned &amp; host segment SG&amp;A. </w:t>
      </w:r>
      <w:r>
        <w:rPr>
          <w:rFonts w:ascii="Arial" w:cs="Arial" w:eastAsia="Arial" w:hAnsi="Arial"/>
          <w:sz w:val="17"/>
          <w:szCs w:val="17"/>
          <w:color w:val="auto"/>
        </w:rPr>
        <w:t>In the owned &amp; host segment, SG&amp;A as a percentage of net revenue was 38.7% for fiscal year 2017 and fiscal year 2016.</w:t>
      </w:r>
      <w:r>
        <w:rPr>
          <w:rFonts w:ascii="Arial" w:cs="Arial" w:eastAsia="Arial" w:hAnsi="Arial"/>
          <w:sz w:val="17"/>
          <w:szCs w:val="17"/>
          <w:i w:val="1"/>
          <w:iCs w:val="1"/>
          <w:color w:val="auto"/>
        </w:rPr>
        <w:t xml:space="preserve"> </w:t>
      </w:r>
      <w:r>
        <w:rPr>
          <w:rFonts w:ascii="Arial" w:cs="Arial" w:eastAsia="Arial" w:hAnsi="Arial"/>
          <w:sz w:val="17"/>
          <w:szCs w:val="17"/>
          <w:color w:val="auto"/>
        </w:rPr>
        <w:t>Year-over-year, decreases in occupancy expense as described above and advertising as a percentage of net revenue were offset by increases in store payroll and write-offs of certain managed care receivables as described above. The decrease in advertising expense as a percentage of net revenue was driven by increased advertising spend leverage. The increase in store payroll as a percentage of net revenue was driven by lower than anticipated store transactions in the first quarter of fiscal year 2017. Our stores were fully staffed in anticipation of our seasonally strong first quarter. When sales fell short of plan, we maintained store staffing in anticipation of customer transaction recovery. Additionally, in the third quarter, we continued to pay our store associates while our stores were closed due to Hurricanes Harvey and Irma.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Legacy segment SG&amp;A. </w:t>
      </w:r>
      <w:r>
        <w:rPr>
          <w:rFonts w:ascii="Arial" w:cs="Arial" w:eastAsia="Arial" w:hAnsi="Arial"/>
          <w:sz w:val="17"/>
          <w:szCs w:val="17"/>
          <w:color w:val="auto"/>
        </w:rPr>
        <w:t>In the legacy segment, SG&amp;A as a percentage of net revenue decreased from 34.8% for fiscal year 2016 to 34.3% for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2017, driven primarily by decreases in store payroll reflecting the impact of a classification change in reporting for certain eye exam technicians beginning in 2017 partially offset by higher write-offs associated with increased managed care activity as described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 of $61.1 million for fiscal year 2017 increased $9.1 million, or 17.5%, from $52.0 million for fiscal year 2016 primarily driven by new store openings and other ongoing growth capital investment in our information technology infrastructure, eyeglass laboratories, and distribution centers. Our property and equipment balance, net increased $47.7 million, or 18.6%, during fiscal year 2017, reflective of $94.0 million in purchases of property and equipment, $8.5 million in new capital leases, less $52.7 million in depreciation expense and $2.1 million in impairment and other adjustments. New assets are out-pacing retirements by a significant margin and, therefore, we expect continued increases in depreciation expense for the foreseeable future as we continue to execute our growth strategy.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net, of $55.5 million for fiscal year 2017 increased $16.4 million, or 42.1%, from $39.1 million for fiscal year 2016. On February 2, 2017, we declared a recapitalization dividend to our stockholders. The dividend was funded with $175.0 million of incremental term loans under our first lien credit agreement. The borrowing rate was consistent with the initial term loans under the first lien credit agreement.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increased $3.2 million due to additional deferred debt cost amortization as a result of the $125.0 million pay off of our second lien term credit agreement. Additionally, we incurred $8.7 million in additional interest expense during fiscal year 2017 related to interest payments due to counterparties associated with our derivative cash flow hedges. The remaining increase of interest expense, net, primarily results from the additional principal outstanding under the first lien credit agreement following the recapitalization dividend.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debt issuance costs of $4.5 million for fiscal year 2017. We recorded $2.7 million in fees associated with the incurrence of additional term loans under the first lien credit agreement discussed above during fiscal year 2017. Additionally, $1.8 million was recorded in conjunction with fees relating to the entry into a joinder and amendment agreement as discussed in Note 4. “Long-term Debt” included in Part II. Item 8. of this Form 10-K. No such transaction occurred in fiscal year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income tax rate (“ETR”) was (538.8%) during fiscal year 2017 compared to 45.9% during fiscal year 2016. During fiscal year 2017, our combined statutory federal and state rate was reduced by a $1.4 million income tax benefit (18.4%) resulting from the recapitalization dividend described in Note 8. “Related Party Transactions” to our consolidated financial statements included in Part II. Item 8. of this Form 10-K. Additionally, our rate was increased by $2.2 million of tax expense (29.0%) in connection with items not deductible for income tax purposes.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Tax Cuts and Jobs Act (“Tax Legislation”) signed into law on December 22, 2017, the Company recorded a tax benefit in fiscal year 2017 of $43.0 million due to a re-measurement of deferred tax assets and liabilities. The tax benefit represents a provisional amount and is the Company’s current best estimate. Any adjustments recorded to the provisional amounts during fiscal year 2018 will be included in income from operations as an adjustment to tax expense. The provisional amounts incorporate assumptions made based upon the Company’s current interpretation of the Tax Legislation and may change as the Company receives additional clarification and implementation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2016 compared to Fiscal Year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2016 compared to fiscal year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Comparable store sales growth</w:t>
            </w:r>
            <w:r>
              <w:rPr>
                <w:rFonts w:ascii="Arial" w:cs="Arial" w:eastAsia="Arial" w:hAnsi="Arial"/>
                <w:sz w:val="8"/>
                <w:szCs w:val="8"/>
                <w:color w:val="auto"/>
                <w:w w:val="97"/>
              </w:rPr>
              <w:t>(1)</w:t>
            </w: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w w:val="95"/>
              </w:rPr>
              <w:t>Stores open at end of period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8"/>
                <w:szCs w:val="8"/>
                <w:color w:val="auto"/>
              </w:rPr>
              <w:t>(2)</w:t>
            </w:r>
          </w:p>
        </w:tc>
        <w:tc>
          <w:tcPr>
            <w:tcW w:w="1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56"/>
        </w:trPr>
        <w:tc>
          <w:tcPr>
            <w:tcW w:w="2700" w:type="dxa"/>
            <w:vAlign w:val="bottom"/>
            <w:gridSpan w:val="2"/>
          </w:tcPr>
          <w:p>
            <w:pPr>
              <w:ind w:left="40"/>
              <w:spacing w:after="0" w:line="157" w:lineRule="exact"/>
              <w:rPr>
                <w:sz w:val="20"/>
                <w:szCs w:val="20"/>
                <w:color w:val="auto"/>
              </w:rPr>
            </w:pPr>
            <w:r>
              <w:rPr>
                <w:rFonts w:ascii="Arial" w:cs="Arial" w:eastAsia="Arial" w:hAnsi="Arial"/>
                <w:sz w:val="14"/>
                <w:szCs w:val="14"/>
                <w:i w:val="1"/>
                <w:iCs w:val="1"/>
                <w:color w:val="auto"/>
                <w:w w:val="99"/>
              </w:rPr>
              <w:t>In thousands, except percentage and store</w:t>
            </w:r>
          </w:p>
        </w:tc>
        <w:tc>
          <w:tcPr>
            <w:tcW w:w="112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Fiscal Year</w:t>
            </w:r>
          </w:p>
        </w:tc>
        <w:tc>
          <w:tcPr>
            <w:tcW w:w="104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Fiscal Year</w:t>
            </w:r>
          </w:p>
        </w:tc>
        <w:tc>
          <w:tcPr>
            <w:tcW w:w="9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Fiscal Year</w:t>
            </w:r>
          </w:p>
        </w:tc>
        <w:tc>
          <w:tcPr>
            <w:tcW w:w="9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Fiscal Year</w:t>
            </w: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Year 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Year 2015</w:t>
            </w:r>
          </w:p>
        </w:tc>
        <w:tc>
          <w:tcPr>
            <w:tcW w:w="580" w:type="dxa"/>
            <w:vAlign w:val="bottom"/>
            <w:tcBorders>
              <w:bottom w:val="single" w:sz="8" w:color="auto"/>
            </w:tcBorders>
          </w:tcPr>
          <w:p>
            <w:pPr>
              <w:spacing w:after="0"/>
              <w:rPr>
                <w:sz w:val="16"/>
                <w:szCs w:val="16"/>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1000" w:type="dxa"/>
            <w:vAlign w:val="bottom"/>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452"/>
              <w:spacing w:after="0"/>
              <w:rPr>
                <w:sz w:val="20"/>
                <w:szCs w:val="20"/>
                <w:color w:val="auto"/>
              </w:rPr>
            </w:pPr>
            <w:r>
              <w:rPr>
                <w:rFonts w:ascii="Arial" w:cs="Arial" w:eastAsia="Arial" w:hAnsi="Arial"/>
                <w:sz w:val="18"/>
                <w:szCs w:val="18"/>
                <w:color w:val="auto"/>
              </w:rPr>
              <w:t>714,431</w:t>
            </w:r>
          </w:p>
        </w:tc>
        <w:tc>
          <w:tcPr>
            <w:tcW w:w="58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601,241</w:t>
            </w:r>
          </w:p>
        </w:tc>
        <w:tc>
          <w:tcPr>
            <w:tcW w:w="5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133,979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117,919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100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452"/>
              <w:spacing w:after="0"/>
              <w:rPr>
                <w:sz w:val="20"/>
                <w:szCs w:val="20"/>
                <w:color w:val="auto"/>
              </w:rPr>
            </w:pPr>
            <w:r>
              <w:rPr>
                <w:rFonts w:ascii="Arial" w:cs="Arial" w:eastAsia="Arial" w:hAnsi="Arial"/>
                <w:sz w:val="18"/>
                <w:szCs w:val="18"/>
                <w:color w:val="auto"/>
              </w:rPr>
              <w:t>26,444</w:t>
            </w:r>
          </w:p>
        </w:tc>
        <w:tc>
          <w:tcPr>
            <w:tcW w:w="5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25,288</w:t>
            </w:r>
          </w:p>
        </w:tc>
        <w:tc>
          <w:tcPr>
            <w:tcW w:w="5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14,554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14,877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Owned &amp; host segment total</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889,408</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759,325</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71 %</w:t>
            </w: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152,210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155,013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27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Corporate/Other</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tcPr>
          <w:p>
            <w:pPr>
              <w:jc w:val="right"/>
              <w:ind w:right="452"/>
              <w:spacing w:after="0"/>
              <w:rPr>
                <w:sz w:val="20"/>
                <w:szCs w:val="20"/>
                <w:color w:val="auto"/>
              </w:rPr>
            </w:pPr>
            <w:r>
              <w:rPr>
                <w:rFonts w:ascii="Arial" w:cs="Arial" w:eastAsia="Arial" w:hAnsi="Arial"/>
                <w:sz w:val="18"/>
                <w:szCs w:val="18"/>
                <w:color w:val="auto"/>
              </w:rPr>
              <w:t>168,616</w:t>
            </w:r>
          </w:p>
        </w:tc>
        <w:tc>
          <w:tcPr>
            <w:tcW w:w="5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164,262</w:t>
            </w:r>
          </w:p>
        </w:tc>
        <w:tc>
          <w:tcPr>
            <w:tcW w:w="5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Reconciliations</w:t>
            </w:r>
          </w:p>
        </w:tc>
        <w:tc>
          <w:tcPr>
            <w:tcW w:w="11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(14,039)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(16,072)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2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color w:val="auto"/>
              </w:rPr>
              <w:t>1,196,195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color w:val="auto"/>
                <w:w w:val="89"/>
              </w:rPr>
              <w:t>1,062,528</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189"/>
        </w:trPr>
        <w:tc>
          <w:tcPr>
            <w:tcW w:w="27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Adjusted comparable store sales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57"/>
        </w:trPr>
        <w:tc>
          <w:tcPr>
            <w:tcW w:w="27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growth</w:t>
            </w:r>
            <w:r>
              <w:rPr>
                <w:rFonts w:ascii="Arial" w:cs="Arial" w:eastAsia="Arial" w:hAnsi="Arial"/>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jc w:val="both"/>
        <w:ind w:left="340" w:hanging="332"/>
        <w:spacing w:after="0" w:line="24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included in Part II. Item 8. of this Form 10-K,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0.4% and 2.0% from total comparable store sales growth based on consolidated net revenue for fiscal year 2016 and fiscal year 2015, respectively, and (ii) adjusted comparable store sales growth includes retail sales to the legacy partner’s customers (rather than the revenues recognized consistent with the management &amp; services agreement), resulting in a decrease of 0.4% and 0.4% from total comparable store sales growth based on consolidated net revenue for fiscal year 2016 and fiscal year 2015, respectively.</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$1,196.2 million for fiscal year 2016 increased $133.7 million, or 12.6%, from $1,062.5 million for fiscal year 2015. This increase was driven approximately 50% by new stores, approximately 45% by comparable store sales growth and approximately 5% by increased AC Lens order volume paired with a decrease in recognized deferred revenue.</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fiscal year 2016, we opened 86 new stores, including 69 new America’s Best stores, nine new Eyeglass World stores and eight new Vista Optical locations on military bases. Overall, store count grew 9.9% (net of one America’s Best store closure in fiscal year 2016) from the end of fiscal year 2015 to the end of fiscal year 2016. Secondarily, adjusted comparable store sales growth of 6.1% contributed to our sales growth. Overall comparable store sales growth is driven primarily by comparable store sales growth in new stores (stores opened between 13 months to five years) compared to mature stores (stores opened longer than five years), as well as other factors impacting retail foot traffic such as advertising and expansion of our participation in managed care programs. Net revenue for our owned &amp; host segment grew $130.1 million, or 17.1%, impacted by new stores and comparable store sales growth as previously described. Within our owned &amp; host segment, net revenue from our Vista Optical locations in Fred Meyer stores declined $0.3 million, or 2.2%, as a result of lower overall customer transaction volume. Net revenue for our legacy segment decreased by $2.8 million, or 1.8%, driven by customer transaction volume. Other net revenue activities increased $4.4 million, or 2.7%, driven by unit growth in our wholesale order fulfillment business, partially offset by contractual rate concessions.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product sales increased $110.5 million, or 12.7%, compared to fiscal year 2015, driven primarily by strong eyeglass sales. Net sales of services and plans increased $23.2 million, or 12.1%, driven primarily by strong eye exam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Eyecare Club sales in our owned &amp; host segment. The eye exam increase was driven primarily by our expanding participation in managed care programs. The increase in Eyecare Club sales was driven by increased sales in our America’s Best brand.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Reconciliations includes increases in deferred revenue of $9.6 million (12.3%) and $13.7 million (21.3%), and increases in unearned revenue of $4.5 million (21.5%) and $2.4 million (13.1%) for fiscal year 2016 and fiscal year 2015, respectively. The 2014 purchase accounting adjustment in connection with the KKR Acquisition contributed to the increases in deferred revenue by $3.0 million and $7.4 million for fiscal year 2016 and fiscal year 2015, respectively, resulting in larger increases in deferred revenue compared to corresponding periods. Absent the impact of the KKR Acquisition, increases in deferred revenue for each respective period is consistent with our growth in overall net sales of services and plans. The increases in unearned revenue were the result of overall increases in cash basis sales of prescription eyewear in our stores during the last week of fiscal year 2016 compared to the last week of fiscal year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applicable to revenue of $544.8 million for fiscal year 2016 increased $53.7 million, or 10.9%, from $491.1 million for fiscal year 2015. We analyze the costs applicable to revenue as a percentage of net revenue.</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percentage of net revenue, costs applicable to revenue improved from 46.2% for fiscal year 2015 to 45.5% for fiscal year 2016. Costs of products as a percentage of net product sales improved from 40.7% for fiscal year 2015 to 39.8% for fiscal year 2016, primarily driven by favorable product mix. During fiscal year 2016 compared to the prior year, we sold a higher mix of eyeglasses, which generate higher product margin, compared to other product categories. Over the past few years, we have invested in new technology in our optical laboratories equipment, improving capacity and efficiency. Additionally, increased sales resulting from new stores and comparable store sales growth drove improved utilization of capacity and scale improvements in our optical laboratories.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owned &amp; host segment, costs of products as a percentage of net product sales was 29.0% for both fiscal years 2015 and 2016. In the legacy segment, costs of products as a percentage of net product sales improved from 47.7% for fiscal year 2015 to 46.4% for fiscal year 2016, driven primarily by favorable eyeglass product mix.</w:t>
      </w:r>
    </w:p>
    <w:p>
      <w:pPr>
        <w:spacing w:after="0" w:line="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Costs of services and plans as a percentage of net sales of services and plans increased from 71.4% for fiscal year 2015 to 71.7% for fiscal year 2016. The increase was primarily driven by higher optometrist costs in our legacy segment and warranty expense, partially offset by favorable HMO claims expense.</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improved from 81.6% for fiscal year 2015 to 80.6% for fiscal year 2016, driven primarily by favorable optometrist wages, partially offset by unfavorable warranty expense and optometrist health care costs. In the legacy segment, costs of services and plans as a percentage of net sales of services and plans increased from 21.2% for fiscal year 2015 to 23.7% for fiscal year 2016 driven primarily by fixed optometrist labor costs with declining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of $524.2 million for fiscal year 2016 increased $50.2 million, or 10.6%, from fiscal year 2015. As a percentage of net revenue, SG&amp;A improved from 44.6% for fiscal year 2015 to 43.8% for fiscal year 2016 driven primarily by a $3.4 million expense incurred in fiscal year 2015 related to our agreement with the Boys and Girls Clubs of America and associated cash contributions promised over a three-year period. Stock option compensation expense and corporate performance-based incentive compensation also contributed to favorability as a percentage of net revenue. We recorded lower stock option compensation expense in fiscal year 2016 when compared to fiscal year 2015 as a result of declining amortization of grant date fair value due to the use of graded vesting (i.e. accelerated method). We incurred lower performance-based incentive compensation expense in fiscal year 2016 compared to fiscal year 2015. Unfavorable store associate wage pressure in fiscal year 2016 partially offset the favorable variances.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owned &amp; host segment, SG&amp;A as a percentage of net revenue was 38.7% for both fiscal years 2015 and 2016. In the legacy segment, SG&amp;A as a percentage of net revenue increased from 34.1% for fiscal year 2015 to 34.8% for fiscal year 2016 driven primarily by fixed store associate labor costs paired with declining revenue.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year 2015 and 2014, in order to support the growth in our business, we invested in headcount and related infrastructure at our corporate resource center driving higher SG&amp;A costs as a percentage of net revenue compared to the previous year. This investment relative to net revenue growth subsided in fiscal year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of $52.0 million for fiscal year 2016 increased $7.9 million, or 18.0%, from $44.1 million for fiscal year 2015. The increase is substantially reflective of depreciation resulting from new store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openings, purchases of new information technology infrastructure, optical laboratories equipment and our expanded distribution center. Our property and equipment balance increased $49.2 million on a net basis from 2015 to 2016, reflective of $94.0 million in purchases of property and equipment, less $42.8 million in deprecation expense, less $2.0 million in impairment and other adjustments.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other long-lived assets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Impairment expenses of $7.1 million were recorded for fiscal year 2016 compared to $7.7 million for fiscal year 2015. See “—Critical Accounting Policies and Estimates” below for details regarding specific testing performed on various long-lived assets. The majority of the impairment charges are associated with our AC Lens business, primarily as a result of competitive pressure in the e-commerce contact lens business. We recorded impairment charges of $5.8 million related to AC Lens for fiscal year 2016. Impairment charges of $1.2 million related to our retail store long-lived assets were recorded for fiscal year 2016, resulting from decreased cash flow projections at individual stores.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net, of $39.1 million for fiscal year 2016 increased $2.4 million, or 6.4%, from $36.7 million for fiscal year 2015. On June 1, 2015, we declared a recapitalization dividend to our stockholders. The dividend was funded with $150.0 million of incremental term loans under our first lien credit agreement. The borrowing rate was consistent with the initial term loans under the first lien credit agreement. Therefore, the increase in interest expense, net, is primarily the result of the additional principal outstanding under the first lien credit agreement for the entire fiscal year 2016, compared to fiscal year 2015, where the additional principal was only outstanding from June 1, 2015 to January 2,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$2.6 million in fees associated with the incurrence of additional term loans under the first lien credit agreement discussed above during fiscal year 2015. No such transaction occurred in fiscal year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income tax rate for fiscal year 2016 was 45.9%. The effective income tax rate for fiscal year 2015 was 32.8%. During fiscal year 2016 our income tax provision differed from the statutory rate as a result of $1.0 million valuation allowance for deferred income tax assets recorded in association with cumulative losses on our equity method investment, and $1.0 million income tax impact of non-deductible permanent items in the normal course of business, offset by $0.5 million in federal employment credits. During fiscal year 2015, our income tax provision differed from the statutory rate primarily as a result of decreases in deferred tax asset valuation allowances and Federal employment credits, providing income tax benefits of $0.5 million and $0.2 million, respectively, offset by the impact to the provision of $0.3 million related to non-deductible items.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Adjusted Net Income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define EBITDA as net income, plus interest expense, income tax provision (benefit)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and other expenses. We describe these adjustments reconciling 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amortization of acquisition intangibles and deferred financing costs and other expenses, tax legislation adjustment, less the tax effect of these adjustments. We describe these adjustments reconciling net income to Adjusted Net Income in the tables below.</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Adjusted EBITDA and Adjusted Net Income should not be considered as measures of discretionary cash available to invest in business growth or to reduce indebtedness.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64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5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820" w:type="dxa"/>
            <w:vAlign w:val="bottom"/>
            <w:gridSpan w:val="8"/>
          </w:tcPr>
          <w:p>
            <w:pPr>
              <w:spacing w:after="0"/>
              <w:rPr>
                <w:sz w:val="20"/>
                <w:szCs w:val="20"/>
                <w:color w:val="auto"/>
              </w:rPr>
            </w:pPr>
            <w:r>
              <w:rPr>
                <w:rFonts w:ascii="Arial" w:cs="Arial" w:eastAsia="Arial" w:hAnsi="Arial"/>
                <w:sz w:val="18"/>
                <w:szCs w:val="18"/>
                <w:color w:val="auto"/>
                <w:w w:val="96"/>
              </w:rPr>
              <w:t>The following table reconciles our net income to EBITDA, Adjusted EBITDA and Adjusted Net Income for the periods presented:</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Fiscal Year</w:t>
            </w:r>
          </w:p>
        </w:tc>
        <w:tc>
          <w:tcPr>
            <w:tcW w:w="260" w:type="dxa"/>
            <w:vAlign w:val="bottom"/>
          </w:tcPr>
          <w:p>
            <w:pPr>
              <w:spacing w:after="0"/>
              <w:rPr>
                <w:sz w:val="24"/>
                <w:szCs w:val="24"/>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64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55,536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36,741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61,115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44,069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86,195</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159,721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137,774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112,585</w:t>
            </w: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and deferred financing costs </w:t>
            </w:r>
            <w:r>
              <w:rPr>
                <w:rFonts w:ascii="Arial" w:cs="Arial" w:eastAsia="Arial" w:hAnsi="Arial"/>
                <w:sz w:val="25"/>
                <w:szCs w:val="25"/>
                <w:color w:val="auto"/>
                <w:vertAlign w:val="superscript"/>
              </w:rPr>
              <w:t>(j)</w:t>
            </w:r>
          </w:p>
        </w:tc>
        <w:tc>
          <w:tcPr>
            <w:tcW w:w="26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14,481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legislation adjustment </w:t>
            </w:r>
            <w:r>
              <w:rPr>
                <w:rFonts w:ascii="Arial" w:cs="Arial" w:eastAsia="Arial" w:hAnsi="Arial"/>
                <w:sz w:val="25"/>
                <w:szCs w:val="25"/>
                <w:color w:val="auto"/>
                <w:vertAlign w:val="superscript"/>
              </w:rPr>
              <w:t>(k)</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(l)</w:t>
            </w: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(15,044)</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26,184</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5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280" w:type="dxa"/>
            <w:vAlign w:val="bottom"/>
            <w:vMerge w:val="continue"/>
          </w:tcPr>
          <w:p>
            <w:pPr>
              <w:spacing w:after="0"/>
              <w:rPr>
                <w:sz w:val="13"/>
                <w:szCs w:val="13"/>
                <w:color w:val="auto"/>
              </w:rPr>
            </w:pPr>
          </w:p>
        </w:tc>
        <w:tc>
          <w:tcPr>
            <w:tcW w:w="5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fiscal year 2017, includes $2.7 million of fees associated with the borrowing of $175.0 million in additional principal under our first lien credit agreement and $1.8 million of fees associated with the refinancing of our first lien credit agreement. For fiscal year 2015, includes $2.6 million of fees associated with the borrowing of $150.0 million in additional principal under our first lien credit agreement.</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write-off of a cost basis investment, and write-off of capitalized software and property and equipment for the fiscal year 2017. Non-cash charges related to impairment of long-lived assets, primarily goodwill in our Fred Meyer brand and our AC Lens business during fiscal years 2016 and 2015.</w:t>
      </w: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 that could not be sold and required disposal.</w:t>
      </w:r>
    </w:p>
    <w:p>
      <w:pPr>
        <w:spacing w:after="0" w:line="1" w:lineRule="exact"/>
        <w:rPr>
          <w:rFonts w:ascii="Arial" w:cs="Arial" w:eastAsia="Arial" w:hAnsi="Arial"/>
          <w:sz w:val="14"/>
          <w:szCs w:val="14"/>
          <w:color w:val="auto"/>
        </w:rPr>
      </w:pPr>
    </w:p>
    <w:p>
      <w:pPr>
        <w:jc w:val="both"/>
        <w:ind w:left="420" w:hanging="412"/>
        <w:spacing w:after="0" w:line="248"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in October 2017 and we paid termination fees of approximately $3.6 million and $0.8 million to KKR Sponsor and Berkshire,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08"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left="420" w:hanging="412"/>
        <w:spacing w:after="0" w:line="246"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jc w:val="both"/>
        <w:ind w:left="420" w:hanging="412"/>
        <w:spacing w:after="0" w:line="260" w:lineRule="auto"/>
        <w:tabs>
          <w:tab w:leader="none" w:pos="4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ind w:left="420" w:hanging="412"/>
        <w:spacing w:after="0" w:line="241"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Part I. Item 3. “Legal Proceedings” and Note 12. “Commitments and Contingencies” in our consolidated financial statements included in Part II. Item 8. of this Form 10-K for further details.</w:t>
      </w:r>
    </w:p>
    <w:p>
      <w:pPr>
        <w:jc w:val="both"/>
        <w:ind w:left="420" w:hanging="412"/>
        <w:spacing w:after="0" w:line="260" w:lineRule="auto"/>
        <w:tabs>
          <w:tab w:leader="none" w:pos="4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$1.0 million, $1.4 million, and $0.9 million for the fiscal years 2017, 2016 and 2015, respectively; the amortization impact of the KKR Acquisition-related adjustments (e.g., fair value of leasehold interests) of $(0.3) million, $(0.7) million, and $(1.3) million for the fiscal years 2017, 2016, and 2015, respectively; expenses related to preparation for being an SEC registrant that were not directly attributable to our IPO and therefore not charged to equity of $1.8 million, $2.0 million, and $0.5 million for the fiscal years 2017, 2016 and 2015, respectively; differences between the timing of expense versus cash payments related to contributions to charitable organizations of $(1.0) million, $(1.0) million, and $3.0 million for the fiscal years 2017, 2016 and 2015, respectively; costs of severance and relocation of $1.4 million, $1.1 million, and $0.5 million, for the fiscal years 2017, 2016, and 2015, respectively; non-cash write-down of property and equipment of $0.4 million, $0.2 million, and $0.2 million for the fiscal years 2017, 2016 and 2015, respectively; and other expenses and adjustments totaling $0.6 million, $0.6 million and $0.8 million for the fiscal years 2017, 2016 and 2015, respectively.</w:t>
      </w:r>
    </w:p>
    <w:p>
      <w:pPr>
        <w:jc w:val="both"/>
        <w:ind w:left="420" w:hanging="412"/>
        <w:spacing w:after="0" w:line="241"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definite-lived intangible assets resulting from the application of purchase accounting to the KKR Acquisition of $7.4 million for each of the fiscal years 2017, 2016 and 2015; and 2) Amortization of debt discounts associated with the March 2014 term loan borrowings in connection with the KKR Acquisition and, to a lesser extent, amortization of debt discounts associated with the May 2015 and February 2017 incremental first lien term loans and the November 2017 first lien term loan refinancing, aggregating to $7.1 million, $3.9 million, and $3.8 million of additional expense for fiscal years 2017, 2016 and 2015, respectively. The $7.1 million additional expense for fiscal year 2017 includes a $3.3 million write-off of debt discounts associated with the repayment of the entire $125.0 million second lien term loan balance.</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Part II. Item 8. of this Form 10-K for additional information regarding the Tax Legislation.</w:t>
      </w: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estimated effective tax rate.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$100.0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when we recognize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fiscal year 2017, we had $4.2 million in cash and cash equivalents and $88.8 million of availability under our revolving credit facility, which reflects $11.2 million in outstanding letters of credit.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spent $93.2 million in capital expenditures during fiscal year 2017, including $41.9 million in connection with new store growth and store improvement plans, $23.3 million for laboratories, distribution centers, and optometric equipment, and $28.1 million for maintenance and infrastructure. Approximately 80% of our capital spend is related to our expected growth (i.e. new stores, optometric equipment, additional capacity in our optical laboratories and distribution centers, and our IT infrastructure). Our working capital requirements for inventory will increase as we continue to open additional stores. We primarily fund our working capital needs using cash provided by operations.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net cash provided by (used for) operating activities, investing activities and financing activities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40" w:type="dxa"/>
            <w:vAlign w:val="bottom"/>
          </w:tcPr>
          <w:p>
            <w:pPr>
              <w:jc w:val="right"/>
              <w:ind w:right="61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for):</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90,252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97,588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83,131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(80,051)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and amortization, asset impairment, deferred income taxes, non-cash stock option compensation, non-cash inventory adjustments, debt issuance costs, and changes in operating assets and liabilities.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decreased $7.3 million, or 7.5%, during the fiscal year 2017 compared to fiscal year 2016. Net cash provided by operating activities was $90.3 million for the fiscal year 2017, as non-cash items of $57.0 million and $45.8 million of net income were partially offset by an increase in net working capital and other assets and liabilities of $12.5 million. Net cash provided by operating activities was $97.6 million for fiscal year 2016, which consisted of non-cash items of $85.3 million, $14.8 million of net income and an increase in net working capital and other assets and liabilities of $2.5 million.</w:t>
      </w:r>
    </w:p>
    <w:p>
      <w:pPr>
        <w:spacing w:after="0" w:line="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increase in net working capital and other assets and liabilities during the fiscal year 2017 was primarily due to an increase in inventories of $9.6 million, accounts receivable of $16.9 million, other assets of $2.1 million and a decrease in accounts payable of $3.7 million. Increases in accounts receivable primarily reflect our overall net revenue growth, and decreases in accounts payable reflect the timing of payments to vendors. Increases in inventory are generally expected each period, and reflect our growth in sales of products, including product replenishment needs at existing stores and inventory needed to outfit new stores. The increase in other assets is also reflective of overall Company growth. These changes were partially offset by an increase in accrued expenses and other liabilities of $10.7 million and deferred and unearned revenues of $8.9 million. Increases in accrued expenses and other liabilities were primarily due to new store growth. We opened 76 new stores during fiscal year 2017, with six closures. Liabilities for deferred and unearned revenues represent cash basis sales that are deferred until we meet our performance obligations to deliver products and provide services. Increases in deferred and unearned revenues are consistent with increased overall net revenue resulting from new store growth and comparable store sales growth.</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net working capital and other assets and liabilities during fiscal year 2016 was due to an increase in inventories of $13.8 million, accounts receivable of $9.1 million, and prepaid expenses and other assets of $4.1 million, offset by an increase in deferred and unearned revenue of $14.3 million, accounts payable of $5.6 million, and accrued expenses and other liabilities of $4.6 million. Consistent growth in the number of stores and positive comparable store sales has resulted in consistent increases in deferred and unearned revenue. We opened 86 new stores, with one closure during fiscal year 2016, which also drove an increase in accrued expenses and other liabilities as our scale increases with store growth. Increases in accounts receivable and inventories from year to year are also reflective of our growth as new stores are added. Increases in accounts payable primarily reflect timing of payments to vendors.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operating activities was $83.1 million for fiscal year 2015, as non-cash items of $72.2 million were combined with $3.6 million of net income and a decrease in net working capital and other assets and liabilities of $7.3 million. The decrease in net working capital and other assets and liabilities during fiscal year 2015 was due to an increase in deferred and unearned revenue of $16.2 million and accrued expenses and other liabilities of $13.2 million, offset by an increase in inventories of $10.7 million, accounts receivable of $6.9 million, and prepaid expenses and other assets of $4.6 million. Consistent with 2016 discussed above, increases in assets and liabilities are consistent with overall growth in the number of stores and positive comparable store sales. We opened 70 new stores and closed four stores during fiscal year 2015.</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increased by $3.2 million, to $94.8 million, during fiscal year ended 2017 from $91.7 million during fiscal year 2016. The change in cash used for investing activities included an increase of $3.2 million in purchases of property and equipment driven by timing of purchases. During fiscal year 2017, we made an investment of $1.5 million in the form of a secured convertible promissory note. Comparatively, during fiscal year, 2016, we purchased an investment for $1.0 million.</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for investing activities increased by $11.6 million, to $91.7 million, during fiscal year 2016 from $80.1 million during fiscal year 2015. The change in cash used for investing activities included an increase of $12.9 million in purchases of property and equipment to support our growth, including new stores, improvements to our optical laboratories and distribution centers, and continued development of our IT infrastructure. Partially offsetting the increase in capital expenditures was a decrease of $1.9 million in purchases of investments from fiscal year 2015 to fiscal year 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was $3.8 million for fiscal year 2017 and net cash used for financing activities was $6.6 million for fiscal year 2016. Net cash provided by financing activities in 2017 were primarily related to the proceeds received from our IPO of $370.9 million, which were used to repay outstanding long-term debt of $367.7 million and pay associated debt financing costs of $1.8 million during fiscal year 2017. This was partially offset by $1.1 million in proceeds related to the exercise of stock options during fiscal year 2017. In addition to the IPO, we received $1.0 million in proceeds from the issuance of common stock during fiscal year 2017.</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2, 2017, we declared a recapitalization dividend to our stockholders. The dividend was funded with $175.0 million of incremental term loans under our first lien credit agreement. Proceeds from the additional first lien term loans were $174.9 million, net of discounts and fees, offset by the dividend payment of $171.0 million and $2.7 million in debt issuance costs. No such transactions occurred during fiscal year 2016.</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for financing activities increased by $2.3 million, to $6.6 million, during fiscal year 2016 from $4.3 million during fiscal year 2015. The primary driver of the overall cash used for financing activities is quarterly principal payments required under our first lien credit agreement. We paid $6.5 million and $6.1 million in principal payments during fiscal years 2016 and 2015, respectively. Also, on June 1, 2015, we declared a recapitalization dividend to our stockholders. The dividend was funded with $150.0 million of incremental term loans under our first lien credit agreement. Proceeds from the additional first lien term loans were $145.6 million net of discounts and fees, offset by the dividend payment of $145.7 million. The increase in net cash used for financing activities in fiscal year 2016 was primarily the result of a decrease of $1.4 million in net cash provided by transactions in our outstanding equity, including purchases of stock by employees, exercises of stock options by employees, and the related income tax benefit of stock option exercises.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used proceeds from its IPO to repay $125.0 million in outstanding aggregate amount of our second lien term loans, and accrued and unpaid interest thereon, which terminated the second lien credit agreement. Additional IPO proceeds were used to repay $235.0 million in outstanding aggregate amount of our first lien term loans, and accrued and unpaid interest thereon.</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31, 2017 and November 20, 2017 the credit agreement dated as of March 13, 2014, among Nautilus Acquisition Holdings, Inc., a wholly-owned subsidiary of the Company, NVI, as borrower, Goldman Sachs Bank USA, as administrative agent, collateral agent, and letter of credit issuer, and the lenders from time to time party thereto and the other parties thereto (as amended, restated, supplemented or otherwise modified from time to time, the “first lien credit agreement”), was amended pursuant to separate joinder and amendment agreements (collectively, the “Amendments”) to, among other things, (a) establish new first lien term loans in an aggregate principal amount of $570.0 million to refinance all of the first lien term loans outstanding immediately prior to the amendment, (b) extend the maturity of such term loans to November 20, 2024 and (c) reprice the rates applicable to such term loans by amending the definitions of ABR, Applicable Margin and LIBOR Rate (each, as defined in the first lien credit agreement). The first lien credit agreement also provide for a $100.0 million revolving credit facility, which matures on October 15, 2022. A portion of the revolving credit facility is available for letters of credit and swingline loans. As of the end of fiscal year 2017, we had $88.8 million of availability under our revolving credit facility, which reflects $11.2 million in outstanding letters of credit.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Amendments, the initial new Applicable Margins are (i) 2.75% for the new first lien term loans that are LIBOR Loans (as defined in the first lien credit agreement), which is 25 basis points lower than the previous interest rate margin and (ii) 1.75% for the new first lien term loans that are ABR Loans (as defined in the first lien credit agreement), which is 25 basis points lower than the previous interest rate margin. The Amendments further provide that the above Applicable Margins for the new term loans will be based on NVI’s public corporate credit rating from Moody’s as follows: (i) if NVI’s rating is lower than Ba3 (stable), the Applicable Margin will be 2.75% for LIBOR Loans and 1.75% for ABR Loans and (ii) if NVI’s rating is Ba3 (stable) or better, the Applicable Margin will step down to 2.50% for LIBOR Loans and 1.5% for ABR Loans, as specified in the Amendments.</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principal under the first lien credit agreement is payable in equal installments of $1.4 million on the last business day of each of our fiscal quarters. We are required to prepay an amount equal to 50% of the preceding fiscal year’s excess cash flow, as defined in the agreement. The required prepayment is reduced to 25% of the preceding year’s excess cash flow if our consolidated earnings before interest, tax, depreciation and amortization (“Credit Agreement EBITDA”) ratio, as defined in the agreement, is less than or equal to 4.25 to 1.00. No prepayment is required if such ratio is less than or equal to 4.00 to 1.00. We have not been required to make a prepayment related to our first lien credit agreement.</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amounts owed under our first lien credit agreement and the effective interest rate on such outstanding amount, and the amount available for additional borrowing thereunder, as of the end of fiscal year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Amount Available for</w:t>
            </w:r>
          </w:p>
        </w:tc>
        <w:tc>
          <w:tcPr>
            <w:tcW w:w="0" w:type="dxa"/>
            <w:vAlign w:val="bottom"/>
          </w:tcPr>
          <w:p>
            <w:pPr>
              <w:spacing w:after="0"/>
              <w:rPr>
                <w:sz w:val="1"/>
                <w:szCs w:val="1"/>
                <w:color w:val="auto"/>
              </w:rPr>
            </w:pPr>
          </w:p>
        </w:tc>
      </w:tr>
      <w:tr>
        <w:trPr>
          <w:trHeight w:val="230"/>
        </w:trPr>
        <w:tc>
          <w:tcPr>
            <w:tcW w:w="53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percentage data</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rPr>
              <w:t>Effective Interest Rate</w:t>
            </w:r>
          </w:p>
        </w:tc>
        <w:tc>
          <w:tcPr>
            <w:tcW w:w="18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Amount Outstanding</w:t>
            </w:r>
          </w:p>
        </w:tc>
        <w:tc>
          <w:tcPr>
            <w:tcW w:w="160" w:type="dxa"/>
            <w:vAlign w:val="bottom"/>
          </w:tcPr>
          <w:p>
            <w:pPr>
              <w:spacing w:after="0"/>
              <w:rPr>
                <w:sz w:val="20"/>
                <w:szCs w:val="20"/>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w w:val="96"/>
              </w:rPr>
              <w:t>Additional Borrowing</w:t>
            </w:r>
          </w:p>
        </w:tc>
        <w:tc>
          <w:tcPr>
            <w:tcW w:w="0" w:type="dxa"/>
            <w:vAlign w:val="bottom"/>
          </w:tcPr>
          <w:p>
            <w:pPr>
              <w:spacing w:after="0"/>
              <w:rPr>
                <w:sz w:val="1"/>
                <w:szCs w:val="1"/>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lien term loans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First lien revolving credit facility</w:t>
            </w:r>
            <w:r>
              <w:rPr>
                <w:rFonts w:ascii="Arial" w:cs="Arial" w:eastAsia="Arial" w:hAnsi="Arial"/>
                <w:sz w:val="25"/>
                <w:szCs w:val="25"/>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88,800</w:t>
            </w:r>
          </w:p>
        </w:tc>
        <w:tc>
          <w:tcPr>
            <w:tcW w:w="0" w:type="dxa"/>
            <w:vAlign w:val="bottom"/>
          </w:tcPr>
          <w:p>
            <w:pPr>
              <w:spacing w:after="0"/>
              <w:rPr>
                <w:sz w:val="1"/>
                <w:szCs w:val="1"/>
                <w:color w:val="auto"/>
              </w:rPr>
            </w:pPr>
          </w:p>
        </w:tc>
      </w:tr>
      <w:tr>
        <w:trPr>
          <w:trHeight w:val="257"/>
        </w:trPr>
        <w:tc>
          <w:tcPr>
            <w:tcW w:w="53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568,575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88,800</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0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At December 30, 2017, the amount available under our revolving credit facility reflected a reduction of $11.2 million of letters of credit outstanding.</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first lien credit agreement also provides for a $100.0 million revolving credit facility, which matures on October 15, 2022. A portion of the revolving credit facility is available for letters of credit and swingline loans. Amounts borrowed under the revolving credit facility bear interest, at our election, at either 2.0% over ABR or 3.0% over LIBOR. These interest rate spreads will decline to 1.75% and 2.75%, respectively, if our Credit Agreement EBITDA ratio declines to 4.25 to 1.00 or less, and the spreads will further decline to 1.50% and 2.50%, respectively, if such ratio declines to 3.75 to 1.00 or less. We may use up to $20 million of the revolving credit facility to issue letters of credit. Letter of Credit fees accrue at the same rate as the then-applicable LIBOR spread. Our first lien credit agreement also provides that, if aggregate borrowings (inclusive of certain letters of credit) under our revolving credit facility exceed 30% of the total revolving commitment, the ratio of debt under our first lien credit agreement to Credit Agreement EBITDA may not, on the last day of the applicable measurement period, exceed 7.75 to 1.00.</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first lien credit agreement contain covenants that, among other things, limit our ability to incur additional debt, create liens against our assets, make acquisitions, pay dividends or distributions on our stock, merge or consolidate with another entity and transfer or sell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7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ind w:left="400"/>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24"/>
                <w:szCs w:val="24"/>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24"/>
                <w:szCs w:val="24"/>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Fiscal Year</w:t>
            </w: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2015</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stores (owned brands)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Laboratories, distribution centers and optometric equipment</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23,269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17,996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15,264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and infrastructure</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28,612</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93,219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90,026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77,157</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54"/>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fiscal year end 2017, our lease commitments and contractual obligations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loans</w:t>
            </w:r>
            <w:r>
              <w:rPr>
                <w:rFonts w:ascii="Arial" w:cs="Arial" w:eastAsia="Arial" w:hAnsi="Arial"/>
                <w:sz w:val="21"/>
                <w:szCs w:val="21"/>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540,075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568,575</w:t>
            </w:r>
          </w:p>
        </w:tc>
        <w:tc>
          <w:tcPr>
            <w:tcW w:w="0" w:type="dxa"/>
            <w:vAlign w:val="bottom"/>
          </w:tcPr>
          <w:p>
            <w:pPr>
              <w:spacing w:after="0"/>
              <w:rPr>
                <w:sz w:val="1"/>
                <w:szCs w:val="1"/>
                <w:color w:val="auto"/>
              </w:rPr>
            </w:pP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Revolving credit facility</w:t>
            </w:r>
            <w:r>
              <w:rPr>
                <w:rFonts w:ascii="Arial" w:cs="Arial" w:eastAsia="Arial" w:hAnsi="Arial"/>
                <w:sz w:val="21"/>
                <w:szCs w:val="21"/>
                <w:color w:val="auto"/>
                <w:vertAlign w:val="superscript"/>
              </w:rPr>
              <w:t>(b)</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Estimated interest</w:t>
            </w:r>
            <w:r>
              <w:rPr>
                <w:rFonts w:ascii="Arial" w:cs="Arial" w:eastAsia="Arial" w:hAnsi="Arial"/>
                <w:sz w:val="21"/>
                <w:szCs w:val="21"/>
                <w:color w:val="auto"/>
                <w:vertAlign w:val="superscript"/>
              </w:rPr>
              <w:t>(c)</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29,503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174,116</w:t>
            </w:r>
          </w:p>
        </w:tc>
        <w:tc>
          <w:tcPr>
            <w:tcW w:w="0" w:type="dxa"/>
            <w:vAlign w:val="bottom"/>
          </w:tcPr>
          <w:p>
            <w:pPr>
              <w:spacing w:after="0"/>
              <w:rPr>
                <w:sz w:val="1"/>
                <w:szCs w:val="1"/>
                <w:color w:val="auto"/>
              </w:rPr>
            </w:pP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Non-cancelable operating leases</w:t>
            </w:r>
            <w:r>
              <w:rPr>
                <w:rFonts w:ascii="Arial" w:cs="Arial" w:eastAsia="Arial" w:hAnsi="Arial"/>
                <w:sz w:val="21"/>
                <w:szCs w:val="21"/>
                <w:color w:val="auto"/>
                <w:vertAlign w:val="superscript"/>
              </w:rPr>
              <w:t>(d)</w:t>
            </w:r>
          </w:p>
        </w:tc>
        <w:tc>
          <w:tcPr>
            <w:tcW w:w="20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81,939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73,745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60,843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46,574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34,782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86,151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384,034</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 leases</w:t>
            </w:r>
            <w:r>
              <w:rPr>
                <w:rFonts w:ascii="Arial" w:cs="Arial" w:eastAsia="Arial" w:hAnsi="Arial"/>
                <w:sz w:val="21"/>
                <w:szCs w:val="21"/>
                <w:color w:val="auto"/>
                <w:vertAlign w:val="superscript"/>
              </w:rPr>
              <w:t>(e)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18,178</w:t>
            </w:r>
          </w:p>
        </w:tc>
        <w:tc>
          <w:tcPr>
            <w:tcW w:w="0" w:type="dxa"/>
            <w:vAlign w:val="bottom"/>
          </w:tcPr>
          <w:p>
            <w:pPr>
              <w:spacing w:after="0"/>
              <w:rPr>
                <w:sz w:val="1"/>
                <w:szCs w:val="1"/>
                <w:color w:val="auto"/>
              </w:rPr>
            </w:pP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Other commitments</w:t>
            </w:r>
            <w:r>
              <w:rPr>
                <w:rFonts w:ascii="Arial" w:cs="Arial" w:eastAsia="Arial" w:hAnsi="Arial"/>
                <w:sz w:val="21"/>
                <w:szCs w:val="21"/>
                <w:color w:val="auto"/>
                <w:vertAlign w:val="superscript"/>
              </w:rPr>
              <w:t>(f)</w:t>
            </w:r>
          </w:p>
        </w:tc>
        <w:tc>
          <w:tcPr>
            <w:tcW w:w="20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7,600</w:t>
            </w:r>
          </w:p>
        </w:tc>
        <w:tc>
          <w:tcPr>
            <w:tcW w:w="0" w:type="dxa"/>
            <w:vAlign w:val="bottom"/>
          </w:tcPr>
          <w:p>
            <w:pPr>
              <w:spacing w:after="0"/>
              <w:rPr>
                <w:sz w:val="1"/>
                <w:szCs w:val="1"/>
                <w:color w:val="auto"/>
              </w:rPr>
            </w:pPr>
          </w:p>
        </w:tc>
      </w:tr>
      <w:tr>
        <w:trPr>
          <w:trHeight w:val="244"/>
        </w:trPr>
        <w:tc>
          <w:tcPr>
            <w:tcW w:w="4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83,653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665,755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1,152,503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Principal under the first lien credit agreement is payable in equal installments of $1.4 million on the last business day of each of our fiscal quarters.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fiscal year 2017, we had no outstanding revolving loan obligation and had $11.2 million in outstanding letters of credit under our first lien revolving credit facility.</w:t>
      </w:r>
    </w:p>
    <w:p>
      <w:pPr>
        <w:spacing w:after="0" w:line="1" w:lineRule="exact"/>
        <w:rPr>
          <w:rFonts w:ascii="Arial" w:cs="Arial" w:eastAsia="Arial" w:hAnsi="Arial"/>
          <w:sz w:val="14"/>
          <w:szCs w:val="14"/>
          <w:color w:val="auto"/>
        </w:rPr>
      </w:pPr>
    </w:p>
    <w:p>
      <w:pPr>
        <w:jc w:val="both"/>
        <w:ind w:left="420" w:right="20" w:hanging="412"/>
        <w:spacing w:after="0" w:line="241"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loans based on our current interest elections described in “Liquidity and Capital Resources.” Amounts and timing may be different from our estimated interest payments due to potential voluntary prepayments, borrowings and interest rate fluctuations. Expected obligations on our hedging instruments are excluded from estimated interest presented in the table above.</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leases classified as capital leases, the capital lease asset is recorded as property and equipment and a corresponding amount is recorded as a long-term debt obligation in the consolidated balance sheets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 Capital lease amounts above represent required contractual cash payments in the periods presented.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commitments include contributions made to our philanthropic endeavors and marketing and promotional agreements.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are not a party to any other off-balance sheet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our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has evaluated the accounting policies used in the preparation of the Company’s consolidated financial statements and related notes and believe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included in Part II. Item 8. of this Form 10-K.</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P&amp;E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evaluate long-lived tangible store assets at an individual store level, which is the lowest level at which independent cash flows can be identified, when events or conditions indicate the carrying value of such assets 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a discounted cash flow analysis is not appropriate for assessing impairment of P&amp;E, we use a liquidation approach, whereby we estimate the fair value of the subject assets based on the expected sales value that a market participant would be willing to pay for the assets in their current location and condition, net of expected cost to remove and transport the assets to the buyer where applicable.</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assess non-store tangible assets, including capitalized software costs in use or under development, for impairment if events or changes in circumstances indicate that the carrying value of those assets may not be recoverable.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then measure impairment based on a discounted cash flow model (Level 3 inputs) and record an impairment charge as the difference between carrying value and estimated fair value.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 non-amortizing trademarks and tradenames for impairment annually or whenever events or changes in circumstances indicate that those assets may be impaired.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(Level 3 inputs). We record an impairment charge as the excess of carrying value over estimated fair value.</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Goodwill impairment is present if a reporting unit’s carrying value exceeds its fair value, not to exceed the carrying value of goodwill.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 flow analysis are based on financial forecasts developed internally by management (Level 3 inputs) and require significant judgment. We record an impairment charge for the amount by which a reporting unit’s carrying value exceeds its fair value, not to exceed the carrying amount of goodwill. See Note 3. “Goodwill and Intangible Assets” to our consolidated financial statements included in Part II. Item 8. of this Form 10-K. for further detail on goodwill impairment.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revenues include sales of prescription and non-prescription eyewear, contact lenses, and related accessories to retail customers and sales of inventory in which our customer is another retail entity. Revenues from services and plans include eye exams, eye-care club membership fees, product protection plans (i.e. warranties), and HMO membership fees. Service revenue also includes fees we earn for managing certain vision centers and performing laboratory processing services for our legacy partner.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delivery times throughout the concurrent month and generally ranges from four to 10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lead offer is two pairs of eyeglasses and a free eye exam for one low price (“two-pair deal”). The Company has determined that the eye exam included in the two-pair deal represents a separate unit of accounting, and therefore, the offer represents a multiple element arrangement. However, the arrangement with the customer requires delivery of acceptable prescription eyeglasses. Otherwise the Company refunds the entire price of the two-pair deal. As a result, we do not allocate revenue to the eye exam associated with the two-pair deal, and we record all revenue associated with the offer in net product sales when the customer has received and accepted the merchandise.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extended warranty plans that generally provide for repair and replacement of eyeglasses for a one- or two-year period after purchase. We offer three-and five-year eye-care club memberships to our contact lens customers. In California, we offer 12-month HMO memberships through our FirstSight subsidiary. We recognize service revenue under these programs on a straight-line basis over the warranty or service period. Amounts collected in advance for these programs are reported as deferred revenue in the accompanying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our retail stores, optometric examination offices, distribution centers, vehicles, office space and optical labs, with the exception of our St. Cloud, Minnesota lab, which we own. Rent expense on operating leases is recorded in SG&amp;A on a straight-line basis over the term of the lease, commencing on the date the Company takes possession of the leased property. Generally, the Company is required to pay base rent, real estate taxes, maintenance, and insurance. Certain of our lease agreements include rent holidays and rent escalation provisions and may include contingent rent provisions for percentage of sales in excess of specified levels. The Company recognizes rent holidays, including the time period during which the Company has control of the property prior to the opening of the store, as well as escalating rent provisions, as deferred rent expense and amortizes these balances on a straight-line basis over the term of the lease.</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leases classified as capital leases, the capital lease asset is recorded as P&amp;E and a corresponding amount is recorded as a long-term debt obligation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Tenant improvement allowances (“TIAs”) are contractual amounts received by a lessee from a lessor for improvements made to leased properties by the lessee, and are amortized as a reduction in rental expense over the life of the respective leases.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event a leased store is closed before the expiration of the lease, the discounted remaining lease obligation less estimated sublease rental income, asset impairment charges related to improvements and fixtures, inventory write-downs, and other miscellaneous expenses are recognized when the store closes.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6. “Income Taxes” to our consolidated financial statements included in Part II. Item 8 of this Form 10-K.</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2017 Tax Cuts and Jobs Act (the “Tax Legislation”) was enacted into law. We are required to recognize the effect of tax law changes in the period of enactment, such as re-measuring our U.S. deferred tax assets and liabilities as well as reassessing the net realizability of our deferred tax assets and liabilities. In December 2017, the SEC staff issued Staff Accounting Bulletin No. 118, Income Tax Accounting Implications of the Tax Cuts and Jobs Act (“SAB 118”), which allows us to record provisional amounts during a measurement period not to extend beyond one year of the enactment date. Since the Tax Legislation was passed late in the fourth quarter of 2017, and ongoing guidance and accounting interpretation is expected over the next 12 months, we consider the deferred tax re-measurements and other items to be incomplete due to the forthcoming guidance and our ongoing analysis of final year end data and tax positions. We expect to complete our analysis within the measurement period in accordance with SAB 118. See Note 6. “Income Taxes” to our consolidated financial statements included in Part II. Item 8 of this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(“NRV”). Manufacturing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Shrinkage is estimated and recorded throughout the period as a percentage of cost of sales based on historical results and current inventory levels. Actual shrinkage is recorded throughout the year based upon periodic physical counts.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gain or loss resulting from fair value adjustments on cash flow hedges are recorded in accumulated other comprehensive loss (“AOCL”) in the accompanying consolidated balance sheets until the hedged item is recognized as interest expense in the consolidated statements of operations. We perform periodic assessments of the effectiveness of our derivative contracts designated as hedges, including the possibility of counterparty default.</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instruments. We do not have any credit risk-related contingent features or collateral requirements associated with our derivative contracts.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No.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FASB issued additional ASUs to clarify certain aspects of ASU No. 2014-09, including ASU No. 2016-08, </w:t>
      </w:r>
      <w:r>
        <w:rPr>
          <w:rFonts w:ascii="Arial" w:cs="Arial" w:eastAsia="Arial" w:hAnsi="Arial"/>
          <w:sz w:val="18"/>
          <w:szCs w:val="18"/>
          <w:i w:val="1"/>
          <w:iCs w:val="1"/>
          <w:color w:val="auto"/>
        </w:rPr>
        <w:t>Principal versus Agent Considerations (Reporting Revenue Gross versus Net)</w:t>
      </w:r>
      <w:r>
        <w:rPr>
          <w:rFonts w:ascii="Arial" w:cs="Arial" w:eastAsia="Arial" w:hAnsi="Arial"/>
          <w:sz w:val="18"/>
          <w:szCs w:val="18"/>
          <w:color w:val="auto"/>
        </w:rPr>
        <w:t xml:space="preserve"> in March 2016, and ASU No. 2016-10, </w:t>
      </w:r>
      <w:r>
        <w:rPr>
          <w:rFonts w:ascii="Arial" w:cs="Arial" w:eastAsia="Arial" w:hAnsi="Arial"/>
          <w:sz w:val="18"/>
          <w:szCs w:val="18"/>
          <w:i w:val="1"/>
          <w:iCs w:val="1"/>
          <w:color w:val="auto"/>
        </w:rPr>
        <w:t>Identifying Performance Obligations and Licensing</w:t>
      </w:r>
      <w:r>
        <w:rPr>
          <w:rFonts w:ascii="Arial" w:cs="Arial" w:eastAsia="Arial" w:hAnsi="Arial"/>
          <w:sz w:val="18"/>
          <w:szCs w:val="18"/>
          <w:color w:val="auto"/>
        </w:rPr>
        <w:t xml:space="preserve"> in April 2016. This new guidance is effective for fiscal years beginning after December 15, 2017, and interim reporting periods within that fiscal year. The Company will adopt this new guidance in the first quarter of 2018 using the modified retrospective method.</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revenue arrangements generally consist of a single performance obligation to transfer promised goods or services. Based on our evaluation process and review of our contracts with customers, the timing and amount of revenue recognized under the new guidance for those single performance obligation arrangements will be consistent with our current revenue recognition policy. Those revenues will be recognized at a point in time either at the point of sale or upon delivery and customer acceptance.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remaining revenues are recognized over time, including product protection plans (i.e. warranties), eye care club memberships, and HMO memberships. Under current guidance, we recognize revenue ratably on a straight-line basis over the contract period for these programs. Under the new guidance we expect the timing of revenue recognition for membership programs to be accelerated since a significant amount of the membership services are transferred to the customer early in the contract period. Membership programs comprise approximately 3% of our consolidated net revenue. Absent a significant increase or decrease in the number of memberships sold each period, this change is not expected to have a significant impact on our on-going consolidated results of operations.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modified retrospective transition method, periods prior to the date of adoption are not retrospectively revised, but a cumulative effect of adoption will be recognized for the impact on uncompleted contracts at the date of adoption.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preparation of adopting this new guidance, we have implemented the necessary changes to our business processes, systems and controls to support recognition and disclosure upon adoption on December 31, 2017, which is the first day of our fiscal year 2018. We drafted our accounting policy for this new guidance based on a detailed review of our business and contracts. Except for the earlier recognition of revenue related to our membership programs, we do not currently expect that the adoption of the new guidance will have a material impact on our revenues, results of operations or financial position. We expect to make additional disclosures related to the nature, amount, timing and uncertainty of revenue and cash flows arising from contracts with customers as required by the new guidance.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This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This new guidance is effective for fiscal years beginning after December 15, 2018, and interim reporting periods within that fiscal year. A cumulative transition approach in adjusting to the opening balance of retained earnings can be applied. The Company will adopt this new guidance in the first quarter of 2019. We expect that adoption will have a material impact to the Company’s total assets and liabilities since we have a significant number of operating leases not currently recognized on our consolidated balance sheets.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recently issued accounting pronouncements, see Note 1. “Business and Significant Accounting Policies” to our consolidated financial statements included in Part II. Item 8 of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10. “Fair Value Measurement of Financial Assets and Liabilities” to our consolidated financial statements included in Part II. Item 8 of this Form 10-K.</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consolidated balance sheets.</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fiscal year 2017, all of our $568.6 million in term loan debt was subject to variable interest rates, with a weighted average borrowing rate of 4.3%. After inclusion of the notional amount of $500.0 million of interest rate swaps fixing a portion of the variable rate debt, $68.6 million, or 12.1% of our debt, is subject to variable rates. Assuming an increase to market rates of 1.0% as of December 30, 2017, we would incur an annual increase to interest expense of approximately $0.7 million related to debt subject to variable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086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80"/>
        </w:trPr>
        <w:tc>
          <w:tcPr>
            <w:tcW w:w="10860" w:type="dxa"/>
            <w:vAlign w:val="bottom"/>
            <w:gridSpan w:val="11"/>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0"/>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40" w:type="dxa"/>
            <w:vAlign w:val="bottom"/>
            <w:gridSpan w:val="7"/>
          </w:tcPr>
          <w:p>
            <w:pPr>
              <w:jc w:val="center"/>
              <w:ind w:right="2640"/>
              <w:spacing w:after="0"/>
              <w:rPr>
                <w:sz w:val="20"/>
                <w:szCs w:val="20"/>
                <w:color w:val="auto"/>
              </w:rPr>
            </w:pPr>
            <w:r>
              <w:rPr>
                <w:rFonts w:ascii="Arial" w:cs="Arial" w:eastAsia="Arial" w:hAnsi="Arial"/>
                <w:sz w:val="18"/>
                <w:szCs w:val="18"/>
                <w:b w:val="1"/>
                <w:bCs w:val="1"/>
                <w:color w:val="auto"/>
              </w:rPr>
              <w:t>INDEX TO CONSOLIDATED FINANCIAL STATEMENTS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4240" w:type="dxa"/>
            <w:vAlign w:val="bottom"/>
            <w:gridSpan w:val="4"/>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Report of Independent Registered Public Accounting Firm</w:t>
              </w:r>
            </w:hyperlink>
          </w:p>
        </w:tc>
        <w:tc>
          <w:tcPr>
            <w:tcW w:w="6560" w:type="dxa"/>
            <w:vAlign w:val="bottom"/>
            <w:gridSpan w:val="6"/>
          </w:tcPr>
          <w:p>
            <w:pPr>
              <w:spacing w:after="0"/>
              <w:rPr>
                <w:sz w:val="19"/>
                <w:szCs w:val="19"/>
                <w:color w:val="auto"/>
              </w:rPr>
            </w:pPr>
          </w:p>
        </w:tc>
        <w:tc>
          <w:tcPr>
            <w:tcW w:w="54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5680" w:type="dxa"/>
            <w:vAlign w:val="bottom"/>
            <w:gridSpan w:val="6"/>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Balance Sheets as of December 30, 2017 and December 31, 2016</w:t>
              </w:r>
            </w:hyperlink>
          </w:p>
        </w:tc>
        <w:tc>
          <w:tcPr>
            <w:tcW w:w="5120" w:type="dxa"/>
            <w:vAlign w:val="bottom"/>
            <w:gridSpan w:val="4"/>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6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Operations and Comprehensive Income (Loss) for the Fiscal Years Ended December 30, 2017, December 31, 2016, and</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120" w:type="dxa"/>
            <w:vAlign w:val="bottom"/>
          </w:tcPr>
          <w:p>
            <w:pPr>
              <w:spacing w:after="0" w:line="196" w:lineRule="exact"/>
              <w:rPr>
                <w:rFonts w:ascii="Arial" w:cs="Arial" w:eastAsia="Arial" w:hAnsi="Arial"/>
                <w:sz w:val="18"/>
                <w:szCs w:val="18"/>
                <w:color w:val="0000EE"/>
                <w:w w:val="85"/>
              </w:rPr>
            </w:pPr>
            <w:hyperlink w:anchor="page76">
              <w:r>
                <w:rPr>
                  <w:rFonts w:ascii="Arial" w:cs="Arial" w:eastAsia="Arial" w:hAnsi="Arial"/>
                  <w:sz w:val="18"/>
                  <w:szCs w:val="18"/>
                  <w:color w:val="0000EE"/>
                  <w:w w:val="85"/>
                </w:rPr>
                <w:t>January 2, 2016</w:t>
              </w:r>
            </w:hyperlink>
          </w:p>
        </w:tc>
        <w:tc>
          <w:tcPr>
            <w:tcW w:w="9680" w:type="dxa"/>
            <w:vAlign w:val="bottom"/>
            <w:gridSpan w:val="9"/>
          </w:tcPr>
          <w:p>
            <w:pPr>
              <w:spacing w:after="0"/>
              <w:rPr>
                <w:sz w:val="17"/>
                <w:szCs w:val="17"/>
                <w:color w:val="auto"/>
              </w:rPr>
            </w:pPr>
          </w:p>
        </w:tc>
        <w:tc>
          <w:tcPr>
            <w:tcW w:w="540" w:type="dxa"/>
            <w:vAlign w:val="bottom"/>
            <w:gridSpan w:val="3"/>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Stockholders’ Equity for the Fiscal Years Ended December 30, 2017, December 31, 2016, and January 2, 2016</w:t>
              </w:r>
            </w:hyperlink>
          </w:p>
        </w:tc>
        <w:tc>
          <w:tcPr>
            <w:tcW w:w="820" w:type="dxa"/>
            <w:vAlign w:val="bottom"/>
            <w:gridSpan w:val="2"/>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9300" w:type="dxa"/>
            <w:vAlign w:val="bottom"/>
            <w:gridSpan w:val="7"/>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 for the Fiscal Years Ended December 30, 2017, December 31, 2016, and January 2, 2016</w:t>
              </w:r>
            </w:hyperlink>
          </w:p>
        </w:tc>
        <w:tc>
          <w:tcPr>
            <w:tcW w:w="68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3160" w:type="dxa"/>
            <w:vAlign w:val="bottom"/>
            <w:gridSpan w:val="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Notes to Consolidated Financial Statements</w:t>
              </w:r>
            </w:hyperlink>
          </w:p>
        </w:tc>
        <w:tc>
          <w:tcPr>
            <w:tcW w:w="6140" w:type="dxa"/>
            <w:vAlign w:val="bottom"/>
            <w:gridSpan w:val="4"/>
          </w:tcPr>
          <w:p>
            <w:pPr>
              <w:spacing w:after="0"/>
              <w:rPr>
                <w:sz w:val="24"/>
                <w:szCs w:val="24"/>
                <w:color w:val="auto"/>
              </w:rPr>
            </w:pPr>
          </w:p>
        </w:tc>
        <w:tc>
          <w:tcPr>
            <w:tcW w:w="1500" w:type="dxa"/>
            <w:vAlign w:val="bottom"/>
            <w:gridSpan w:val="3"/>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800" w:type="dxa"/>
            <w:vAlign w:val="bottom"/>
            <w:gridSpan w:val="1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Schedule I – Condensed Financial Information of Registrant</w:t>
              </w:r>
            </w:hyperlink>
          </w:p>
        </w:tc>
        <w:tc>
          <w:tcPr>
            <w:tcW w:w="540" w:type="dxa"/>
            <w:vAlign w:val="bottom"/>
            <w:gridSpan w:val="3"/>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723"/>
        </w:trPr>
        <w:tc>
          <w:tcPr>
            <w:tcW w:w="60" w:type="dxa"/>
            <w:vAlign w:val="bottom"/>
          </w:tcPr>
          <w:p>
            <w:pPr>
              <w:spacing w:after="0"/>
              <w:rPr>
                <w:sz w:val="24"/>
                <w:szCs w:val="24"/>
                <w:color w:val="auto"/>
              </w:rPr>
            </w:pPr>
          </w:p>
        </w:tc>
        <w:tc>
          <w:tcPr>
            <w:tcW w:w="4360" w:type="dxa"/>
            <w:vAlign w:val="bottom"/>
            <w:tcBorders>
              <w:top w:val="single" w:sz="8" w:color="0000EE"/>
            </w:tcBorders>
            <w:gridSpan w:val="5"/>
          </w:tcPr>
          <w:p>
            <w:pPr>
              <w:spacing w:after="0"/>
              <w:rPr>
                <w:sz w:val="24"/>
                <w:szCs w:val="24"/>
                <w:color w:val="auto"/>
              </w:rPr>
            </w:pPr>
          </w:p>
        </w:tc>
        <w:tc>
          <w:tcPr>
            <w:tcW w:w="4940" w:type="dxa"/>
            <w:vAlign w:val="bottom"/>
            <w:gridSpan w:val="2"/>
          </w:tcPr>
          <w:p>
            <w:pPr>
              <w:jc w:val="right"/>
              <w:ind w:right="3560"/>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National Vision Holdings, Inc. and subsidiaries (the "Company") as of December 30, 2017 and December 31, 2016, the related consolidated statements of operations and comprehensive income (loss), stockholders' equity, and cash flows, for each of the three years in the period ended December 30, 2017, and the related notes and the schedule listed in the Index at Item 15 (collectively referred to as the "financial statements"). In our opinion, the financial statements present fairly, in all material respects, the financial position of the Company as of December 30, 2017 and December 31, 2016, and the results of its operations and its cash flows for each of the three years in the period ended December 30, 2017, in conformity with accounting principles generally accepted in the United States of America.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440" w:type="dxa"/>
            <w:vAlign w:val="bottom"/>
            <w:gridSpan w:val="2"/>
          </w:tcPr>
          <w:p>
            <w:pPr>
              <w:jc w:val="center"/>
              <w:ind w:left="233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700" w:type="dxa"/>
            <w:vAlign w:val="bottom"/>
          </w:tcPr>
          <w:p>
            <w:pPr>
              <w:jc w:val="center"/>
              <w:ind w:left="3090"/>
              <w:spacing w:after="0"/>
              <w:rPr>
                <w:sz w:val="20"/>
                <w:szCs w:val="20"/>
                <w:color w:val="auto"/>
              </w:rPr>
            </w:pPr>
            <w:r>
              <w:rPr>
                <w:rFonts w:ascii="Arial" w:cs="Arial" w:eastAsia="Arial" w:hAnsi="Arial"/>
                <w:sz w:val="18"/>
                <w:szCs w:val="18"/>
                <w:b w:val="1"/>
                <w:bCs w:val="1"/>
                <w:color w:val="auto"/>
                <w:w w:val="87"/>
              </w:rPr>
              <w:t>Consolidated Balance Sheets</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440" w:type="dxa"/>
            <w:vAlign w:val="bottom"/>
            <w:gridSpan w:val="2"/>
          </w:tcPr>
          <w:p>
            <w:pPr>
              <w:jc w:val="center"/>
              <w:ind w:left="2350"/>
              <w:spacing w:after="0"/>
              <w:rPr>
                <w:sz w:val="20"/>
                <w:szCs w:val="20"/>
                <w:color w:val="auto"/>
              </w:rPr>
            </w:pPr>
            <w:r>
              <w:rPr>
                <w:rFonts w:ascii="Arial" w:cs="Arial" w:eastAsia="Arial" w:hAnsi="Arial"/>
                <w:sz w:val="18"/>
                <w:szCs w:val="18"/>
                <w:b w:val="1"/>
                <w:bCs w:val="1"/>
                <w:color w:val="auto"/>
                <w:w w:val="89"/>
              </w:rPr>
              <w:t>As of December 30, 2017 and December 31, 2016</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5700" w:type="dxa"/>
            <w:vAlign w:val="bottom"/>
          </w:tcPr>
          <w:p>
            <w:pPr>
              <w:jc w:val="center"/>
              <w:ind w:left="3090"/>
              <w:spacing w:after="0"/>
              <w:rPr>
                <w:sz w:val="20"/>
                <w:szCs w:val="20"/>
                <w:color w:val="auto"/>
              </w:rPr>
            </w:pPr>
            <w:r>
              <w:rPr>
                <w:rFonts w:ascii="Arial" w:cs="Arial" w:eastAsia="Arial" w:hAnsi="Arial"/>
                <w:sz w:val="18"/>
                <w:szCs w:val="18"/>
                <w:i w:val="1"/>
                <w:iCs w:val="1"/>
                <w:color w:val="auto"/>
                <w:w w:val="89"/>
              </w:rPr>
              <w:t>In Thousands, Except Par Value</w:t>
            </w: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740" w:type="dxa"/>
            <w:vAlign w:val="bottom"/>
          </w:tcPr>
          <w:p>
            <w:pPr>
              <w:spacing w:after="0"/>
              <w:rPr>
                <w:sz w:val="24"/>
                <w:szCs w:val="24"/>
                <w:color w:val="auto"/>
              </w:rPr>
            </w:pPr>
          </w:p>
        </w:tc>
        <w:tc>
          <w:tcPr>
            <w:tcW w:w="1540" w:type="dxa"/>
            <w:vAlign w:val="bottom"/>
            <w:gridSpan w:val="2"/>
          </w:tcPr>
          <w:p>
            <w:pPr>
              <w:jc w:val="center"/>
              <w:ind w:right="8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6980" w:type="dxa"/>
            <w:vAlign w:val="bottom"/>
            <w:gridSpan w:val="2"/>
            <w:vMerge w:val="continue"/>
          </w:tcPr>
          <w:p>
            <w:pPr>
              <w:spacing w:after="0"/>
              <w:rPr>
                <w:sz w:val="10"/>
                <w:szCs w:val="10"/>
                <w:color w:val="auto"/>
              </w:rPr>
            </w:pPr>
          </w:p>
        </w:tc>
        <w:tc>
          <w:tcPr>
            <w:tcW w:w="22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89"/>
              </w:rPr>
              <w:t>December 30, 2017</w:t>
            </w:r>
          </w:p>
        </w:tc>
        <w:tc>
          <w:tcPr>
            <w:tcW w:w="240" w:type="dxa"/>
            <w:vAlign w:val="bottom"/>
          </w:tcPr>
          <w:p>
            <w:pPr>
              <w:spacing w:after="0"/>
              <w:rPr>
                <w:sz w:val="10"/>
                <w:szCs w:val="10"/>
                <w:color w:val="auto"/>
              </w:rPr>
            </w:pPr>
          </w:p>
        </w:tc>
        <w:tc>
          <w:tcPr>
            <w:tcW w:w="1920" w:type="dxa"/>
            <w:vAlign w:val="bottom"/>
            <w:vMerge w:val="restart"/>
          </w:tcPr>
          <w:p>
            <w:pPr>
              <w:jc w:val="right"/>
              <w:ind w:right="290"/>
              <w:spacing w:after="0"/>
              <w:rPr>
                <w:sz w:val="20"/>
                <w:szCs w:val="20"/>
                <w:color w:val="auto"/>
              </w:rPr>
            </w:pPr>
            <w:r>
              <w:rPr>
                <w:rFonts w:ascii="Arial" w:cs="Arial" w:eastAsia="Arial" w:hAnsi="Arial"/>
                <w:sz w:val="18"/>
                <w:szCs w:val="18"/>
                <w:color w:val="auto"/>
                <w:w w:val="96"/>
              </w:rPr>
              <w:t>December 31, 2016</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91,151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87,064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20,880</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162,477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147,259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5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256,414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792,744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793,229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net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72,903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81,338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1,421,314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1,383,858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1,583,791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1,531,117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5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35,708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39,400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payables and accrued expenses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69,402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Unearned revenue</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57,996</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Current maturities of long-term debt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7,285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199,683</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738,340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50,497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111,278</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Arial" w:cs="Arial" w:eastAsia="Arial" w:hAnsi="Arial"/>
                <w:sz w:val="18"/>
                <w:szCs w:val="18"/>
                <w:color w:val="auto"/>
              </w:rPr>
              <w:t>Total other non-current liabilities</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150,914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191,207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(See Note 12)</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shd w:val="clear" w:color="auto" w:fill="CCEEFF"/>
              </w:rPr>
              <w:t>Common stock, $0.01 par value; 200,000 shares authorized; 74,654 and 56,202 shares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shd w:val="clear" w:color="auto" w:fill="CCEEFF"/>
              </w:rPr>
              <w:t>issued and outstanding as of December 30, 2017 and December 31, 2016, respectively</w:t>
            </w:r>
          </w:p>
        </w:tc>
        <w:tc>
          <w:tcPr>
            <w:tcW w:w="7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631,798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424,789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Retained earnings (accumulated deficit)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37,145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8"/>
              </w:rPr>
              <w:t>Treasury stock, at cost; 28 shares as of December 30, 2017 and December 31, 2016</w:t>
            </w:r>
          </w:p>
        </w:tc>
        <w:tc>
          <w:tcPr>
            <w:tcW w:w="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659,588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401,887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1,583,791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1,531,117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08"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60"/>
        <w:spacing w:after="0" w:line="261"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Operations and Comprehensive Income (Loss) For the Years Ended December 30, 2017, December 31, 2016, and January 2, 2016 </w:t>
      </w:r>
      <w:r>
        <w:rPr>
          <w:rFonts w:ascii="Arial" w:cs="Arial" w:eastAsia="Arial" w:hAnsi="Arial"/>
          <w:sz w:val="18"/>
          <w:szCs w:val="18"/>
          <w:i w:val="1"/>
          <w:iCs w:val="1"/>
          <w:color w:val="auto"/>
        </w:rPr>
        <w:t>In Thousands, Except Earnings Per Share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1,129,313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980,953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870,463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245,995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192,065</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1,375,308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1,196,195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1,062,528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Costs applicable to revenue (exclusive of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456,078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390,369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353,894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137,206</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636,966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544,781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491,100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597,924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524,238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474,053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44,069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7,716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671,106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585,030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526,751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66,384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44,677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2,551</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62,035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55,962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Change in unrealized gain (loss) on hedge instruments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(7,065)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 (provision) benefit of change in unrealized gain (loss) on hedge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instruments</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50,508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60"/>
        <w:spacing w:after="0" w:line="263"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Stockholders' Equity For the Years Ended December 30, 2017, December 31, 2016, and January 2, 2016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860" w:type="dxa"/>
            <w:vAlign w:val="bottom"/>
            <w:gridSpan w:val="3"/>
            <w:vMerge w:val="restart"/>
          </w:tcPr>
          <w:p>
            <w:pPr>
              <w:jc w:val="right"/>
              <w:ind w:right="25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Retained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8"/>
                <w:szCs w:val="18"/>
                <w:color w:val="auto"/>
              </w:rPr>
            </w:pPr>
          </w:p>
        </w:tc>
        <w:tc>
          <w:tcPr>
            <w:tcW w:w="1860" w:type="dxa"/>
            <w:vAlign w:val="bottom"/>
            <w:tcBorders>
              <w:bottom w:val="single" w:sz="8" w:color="auto"/>
            </w:tcBorders>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Earnings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6"/>
                <w:szCs w:val="16"/>
                <w:color w:val="auto"/>
              </w:rPr>
            </w:pPr>
          </w:p>
        </w:tc>
        <w:tc>
          <w:tcPr>
            <w:tcW w:w="14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Comprehensive</w:t>
            </w:r>
          </w:p>
        </w:tc>
        <w:tc>
          <w:tcPr>
            <w:tcW w:w="160" w:type="dxa"/>
            <w:vAlign w:val="bottom"/>
          </w:tcPr>
          <w:p>
            <w:pPr>
              <w:spacing w:after="0"/>
              <w:rPr>
                <w:sz w:val="16"/>
                <w:szCs w:val="16"/>
                <w:color w:val="auto"/>
              </w:rPr>
            </w:pPr>
          </w:p>
        </w:tc>
        <w:tc>
          <w:tcPr>
            <w:tcW w:w="12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6"/>
                <w:szCs w:val="16"/>
                <w:color w:val="auto"/>
              </w:rPr>
            </w:pPr>
          </w:p>
        </w:tc>
        <w:tc>
          <w:tcPr>
            <w:tcW w:w="76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Treasury</w:t>
            </w:r>
          </w:p>
        </w:tc>
        <w:tc>
          <w:tcPr>
            <w:tcW w:w="160" w:type="dxa"/>
            <w:vAlign w:val="bottom"/>
          </w:tcPr>
          <w:p>
            <w:pPr>
              <w:spacing w:after="0"/>
              <w:rPr>
                <w:sz w:val="16"/>
                <w:szCs w:val="16"/>
                <w:color w:val="auto"/>
              </w:rPr>
            </w:pPr>
          </w:p>
        </w:tc>
        <w:tc>
          <w:tcPr>
            <w:tcW w:w="122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Balances at January 3, 2015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55,831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557,142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(7,056)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523,594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to stockholders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(145,667)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(145,667)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Tax benefit of dividend</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Issuance of common stock, net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compensation</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 in unrealized loss on hedge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(4,228)</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Balances at January 2, 2016</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56,088</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420,386</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(23,433)</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386,230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impact of stock option exercises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compensation</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Repurchase of stock options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 in unrealized loss on hedge</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(3,272)</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instruments</w:t>
            </w: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108"/>
        </w:trPr>
        <w:tc>
          <w:tcPr>
            <w:tcW w:w="32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Balances at December 31, 2016</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56,202</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424,789</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401,887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to stockholders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(170,983)</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(170,983)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net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371,750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371,932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 option compensation</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5,152</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unrealized gain on hedge</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45,820</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45,820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30, 2017</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631,798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659,588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6620" w:type="dxa"/>
            <w:vAlign w:val="bottom"/>
            <w:gridSpan w:val="5"/>
          </w:tcPr>
          <w:p>
            <w:pPr>
              <w:jc w:val="center"/>
              <w:ind w:left="215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6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8440" w:type="dxa"/>
            <w:vAlign w:val="bottom"/>
            <w:gridSpan w:val="8"/>
          </w:tcPr>
          <w:p>
            <w:pPr>
              <w:jc w:val="center"/>
              <w:ind w:left="350"/>
              <w:spacing w:after="0"/>
              <w:rPr>
                <w:sz w:val="20"/>
                <w:szCs w:val="20"/>
                <w:color w:val="auto"/>
              </w:rPr>
            </w:pPr>
            <w:r>
              <w:rPr>
                <w:rFonts w:ascii="Arial" w:cs="Arial" w:eastAsia="Arial" w:hAnsi="Arial"/>
                <w:sz w:val="18"/>
                <w:szCs w:val="18"/>
                <w:b w:val="1"/>
                <w:bCs w:val="1"/>
                <w:color w:val="auto"/>
                <w:w w:val="90"/>
              </w:rPr>
              <w:t>For the Years Ended December 30, 2017, December 31, 2016, and January 2, 2016</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20" w:type="dxa"/>
            <w:vAlign w:val="bottom"/>
            <w:gridSpan w:val="2"/>
          </w:tcPr>
          <w:p>
            <w:pPr>
              <w:jc w:val="center"/>
              <w:ind w:left="830"/>
              <w:spacing w:after="0"/>
              <w:rPr>
                <w:sz w:val="20"/>
                <w:szCs w:val="20"/>
                <w:color w:val="auto"/>
              </w:rPr>
            </w:pPr>
            <w:r>
              <w:rPr>
                <w:rFonts w:ascii="Arial" w:cs="Arial" w:eastAsia="Arial" w:hAnsi="Arial"/>
                <w:sz w:val="18"/>
                <w:szCs w:val="18"/>
                <w:i w:val="1"/>
                <w:iCs w:val="1"/>
                <w:color w:val="auto"/>
                <w:w w:val="89"/>
              </w:rPr>
              <w:t>In Thousands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3,617</w:t>
            </w:r>
          </w:p>
        </w:tc>
      </w:tr>
      <w:tr>
        <w:trPr>
          <w:trHeight w:val="27"/>
        </w:trPr>
        <w:tc>
          <w:tcPr>
            <w:tcW w:w="128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Depreciation of property and equipment</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52,680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34,859</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9,210</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Amortization of loan costs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3,816</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Deferred income tax (benefit) expense</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1,528</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Non-cash stock option compensation</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Non-cash inventory adjustments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2,056</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3,816</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2,551</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(10,664)</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13,678</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12,879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15,784</w:t>
            </w:r>
          </w:p>
        </w:tc>
      </w:tr>
      <w:tr>
        <w:trPr>
          <w:trHeight w:val="27"/>
        </w:trPr>
        <w:tc>
          <w:tcPr>
            <w:tcW w:w="12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83,131</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(77,157)</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Purchase of investments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(2,850)</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(80,051)</w:t>
            </w:r>
          </w:p>
        </w:tc>
      </w:tr>
      <w:tr>
        <w:trPr>
          <w:trHeight w:val="27"/>
        </w:trPr>
        <w:tc>
          <w:tcPr>
            <w:tcW w:w="12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174,924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148,185</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1,762</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Principal payments on long-term debt</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 to stockholders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(145,667)</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12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6,832</w:t>
            </w:r>
          </w:p>
        </w:tc>
      </w:tr>
      <w:tr>
        <w:trPr>
          <w:trHeight w:val="297"/>
        </w:trPr>
        <w:tc>
          <w:tcPr>
            <w:tcW w:w="41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end of year</w:t>
            </w:r>
          </w:p>
        </w:tc>
        <w:tc>
          <w:tcPr>
            <w:tcW w:w="19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4,208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5,595</w:t>
            </w:r>
          </w:p>
        </w:tc>
      </w:tr>
      <w:tr>
        <w:trPr>
          <w:trHeight w:val="257"/>
        </w:trPr>
        <w:tc>
          <w:tcPr>
            <w:tcW w:w="128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cash flow information ($000’s):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Cash paid (received) for taxes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accrued at the end of the period</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w w:val="96"/>
              </w:rPr>
              <w:t>Fixed assets acquired under capital lease obligations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1,073</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issuance of common shares</w:t>
            </w:r>
          </w:p>
        </w:tc>
        <w:tc>
          <w:tcPr>
            <w:tcW w:w="1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Non-cash repurchase of common shares</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66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08" w:right="239" w:bottom="663"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direct wholly owned subsidiaries.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leading value retailer of eyeglasses and contact lenses in the United States. We operated 1,013 and 943 retail optical locations in the United States and its territories as of the fiscal years ended December 30, 2017 and December 31, 2016, respectively, through our five store brands, including America’s Best Contacts and Eyeglasses (“America’s Best”), Eyeglass World, Vista Optical locations on U.S. Army/Air Force military bases (“Military”) and within Fred Meyer (“Fred Meyer”) stores, and our management and services arrangement with Walmart (“legacy”).</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sell contact lenses and optical accessory products to retail customers through our wholly owned e-commerce subsidiary, Arlington Contact Lens Service, Inc. (“AC Lens”). AC Lens operates several of its own proprietary retail web sites as well as web sites on behalf of certain independent retailers and insurance companies. AC Lens also distributes contact lenses to Walmart and Sam's Club under fee for services arrangements. Under the associated agreements, AC Lens sells contact lens products to Walmart and Sam’s Club store locations at its cost, and earns a fulfillment fee per order shipped.</w:t>
      </w:r>
    </w:p>
    <w:p>
      <w:pPr>
        <w:spacing w:after="0" w:line="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wholly-owned subsidiary specialized health maintenance organization (“HMO”), FirstSight Vision Services, Inc. (“FirstSight”), that is licensed as a single-service health plan under California law, issues individual vision care benefit plans in connection with our America’s Best operations in California, provides or arranges for the provision of optometric services at almost all of the optometric offices next to Walmart and Sam’s Club stores in California and also sells contact lenses to its members in certain locations. As of December 30, 2017, FirstSight operated 124 optometric offices in Walmart locations in California, of which 20 are adjacent to vision centers we manage and that FirstSight subleases from us and 104 that are leased directly from Walmart.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References herein to “fiscal year 2017,” “fiscal year 2016,” and “fiscal year 2015,” relate to the 52 weeks ended December 30, 2017, December 31, 2016, and January 2, 2016, respectively. Unless otherwise stated, references to years in this report relate to fiscal years rather than calendar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30, 2017, we completed an initial public offering of our common stock (“IPO”) in which we issued and sold 18,170,000 shares, including 2,370,000 shares pursuant to the exercise in full of the underwriters’ option to purchase additional shares. The shares sold in the offering were registered under the Securities Act pursuant to our Registration Statement on Form S-1 (File No. 333-220719), which was declared effective by the Securities and Exchange Commission on October 25, 2017. The shares were sold at an initial offering price of $22.00 per share, which generated net proceeds of approximately $375.8 million to the Company, after deducting underwriting discounts and commissions of approximately $24.0 million which included $0.7 million paid to KKR Capital Markets LLC (“KCM”), an affiliate of Kohlberg Kravis Roberts &amp; Co. (“KKR Sponsor”), for underwriting services in connection with the IPO.</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primarily used the proceeds from the IPO to repay $125.0 million in outstanding aggregate principal amount of our second lien term loans and approximately $235.0 million of the outstanding principal amount of our first lien term loans and accrued and unpaid interest thereon. The repayment resulted in a retirement of debt in the amount of $353.3 million. Additionally, we paid $4.8 million of transaction related costs which are recorded as a charge against additional paid-in capital included in the consolidated balance sheets. The remaining $11.0 million of the proceeds was used for general corporate purposes, and payment of the termination fees described below.</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NVI was party to a Monitoring Agreement, dated as of March 14, 2014, with KKR Sponsor and Berkshire Partners LLC (“Berkshire”), which was terminated automatically in accordance with its terms upon the completion of the IPO. The Company paid termination fees of approximately $3.6 million and $0.8 million to KKR Sponsor and Berkshire, respectively, recorded in selling, general and administrative expenses in the consolidated statements of operations. Affiliates of KKR Sponsor and Berkshire retained 58.2% and 13.6% ownership interest, respectively, in the Company after the IPO.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Certificate of Incorporation and Bylaws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Company’s Second Amended and Restated Certificate of Incorporation became effective in connection with the completion of the IPO on October 30, 2017, which among other things, provides that the Company’s authorized capital stock consists of 200,000,000 shares of Common Stock and 50,000,000 shares of preferred stock, par value $0.01 per share. The Company’s bylaws were also amended and restated as of October 30,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12, 2017, the Company’s Board of Directors approved a 1.96627-for-one reverse stock split of the Company’s common stock, effective October 24, 2017. The accompanying consolidated financial statements and notes thereto give retroactive effect to the reverse stock split for all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the cost and related accumulated depreciation are removed from the accounts and any gain or loss on sale of such assets is included in selling, general, and administrative (“SG&amp;A”) expenses in the consolidated statements of operations. Major replacements, remodeling, or betterments are capitalized. Expenditures for maintenance and repairs are charged to SG&amp;A.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P&amp;E is depreciated for financial accounting purposes using the straight-line method over the following estimated useful lives:</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years</w:t>
            </w:r>
          </w:p>
        </w:tc>
      </w:tr>
      <w:tr>
        <w:trPr>
          <w:trHeight w:val="270"/>
        </w:trPr>
        <w:tc>
          <w:tcPr>
            <w:tcW w:w="4340" w:type="dxa"/>
            <w:vAlign w:val="bottom"/>
          </w:tcPr>
          <w:p>
            <w:pPr>
              <w:ind w:left="20"/>
              <w:spacing w:after="0" w:line="270" w:lineRule="exact"/>
              <w:rPr>
                <w:sz w:val="20"/>
                <w:szCs w:val="20"/>
                <w:color w:val="auto"/>
              </w:rPr>
            </w:pPr>
            <w:r>
              <w:rPr>
                <w:rFonts w:ascii="Arial" w:cs="Arial" w:eastAsia="Arial" w:hAnsi="Arial"/>
                <w:sz w:val="18"/>
                <w:szCs w:val="18"/>
                <w:color w:val="auto"/>
              </w:rPr>
              <w:t>Land improvements</w:t>
            </w:r>
            <w:r>
              <w:rPr>
                <w:rFonts w:ascii="Arial" w:cs="Arial" w:eastAsia="Arial" w:hAnsi="Arial"/>
                <w:sz w:val="25"/>
                <w:szCs w:val="25"/>
                <w:color w:val="auto"/>
                <w:vertAlign w:val="superscript"/>
              </w:rPr>
              <w:t>(a)</w:t>
            </w:r>
          </w:p>
        </w:tc>
        <w:tc>
          <w:tcPr>
            <w:tcW w:w="366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70"/>
        </w:trPr>
        <w:tc>
          <w:tcPr>
            <w:tcW w:w="43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Equipment</w:t>
            </w:r>
            <w:r>
              <w:rPr>
                <w:rFonts w:ascii="Arial" w:cs="Arial" w:eastAsia="Arial" w:hAnsi="Arial"/>
                <w:sz w:val="25"/>
                <w:szCs w:val="25"/>
                <w:color w:val="auto"/>
                <w:vertAlign w:val="superscript"/>
              </w:rPr>
              <w:t>(b)</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Information systems hardware and software</w:t>
            </w:r>
          </w:p>
        </w:tc>
        <w:tc>
          <w:tcPr>
            <w:tcW w:w="3660" w:type="dxa"/>
            <w:vAlign w:val="bottom"/>
          </w:tcPr>
          <w:p>
            <w:pPr>
              <w:jc w:val="right"/>
              <w:spacing w:after="0"/>
              <w:rPr>
                <w:sz w:val="20"/>
                <w:szCs w:val="20"/>
                <w:color w:val="auto"/>
              </w:rPr>
            </w:pPr>
            <w:r>
              <w:rPr>
                <w:rFonts w:ascii="Arial" w:cs="Arial" w:eastAsia="Arial" w:hAnsi="Arial"/>
                <w:sz w:val="18"/>
                <w:szCs w:val="18"/>
                <w:color w:val="auto"/>
              </w:rPr>
              <w:t>2 - 5 years</w:t>
            </w:r>
          </w:p>
        </w:tc>
      </w:tr>
      <w:tr>
        <w:trPr>
          <w:trHeight w:val="27"/>
        </w:trPr>
        <w:tc>
          <w:tcPr>
            <w:tcW w:w="43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years</w:t>
            </w:r>
          </w:p>
        </w:tc>
      </w:tr>
      <w:tr>
        <w:trPr>
          <w:trHeight w:val="270"/>
        </w:trPr>
        <w:tc>
          <w:tcPr>
            <w:tcW w:w="4340" w:type="dxa"/>
            <w:vAlign w:val="bottom"/>
          </w:tcPr>
          <w:p>
            <w:pPr>
              <w:ind w:left="20"/>
              <w:spacing w:after="0" w:line="270" w:lineRule="exact"/>
              <w:rPr>
                <w:sz w:val="20"/>
                <w:szCs w:val="20"/>
                <w:color w:val="auto"/>
              </w:rPr>
            </w:pPr>
            <w:r>
              <w:rPr>
                <w:rFonts w:ascii="Arial" w:cs="Arial" w:eastAsia="Arial" w:hAnsi="Arial"/>
                <w:sz w:val="18"/>
                <w:szCs w:val="18"/>
                <w:color w:val="auto"/>
              </w:rPr>
              <w:t>Leasehold improvements</w:t>
            </w:r>
            <w:r>
              <w:rPr>
                <w:rFonts w:ascii="Arial" w:cs="Arial" w:eastAsia="Arial" w:hAnsi="Arial"/>
                <w:sz w:val="25"/>
                <w:szCs w:val="25"/>
                <w:color w:val="auto"/>
                <w:vertAlign w:val="superscript"/>
              </w:rPr>
              <w:t>(a)</w:t>
            </w:r>
          </w:p>
        </w:tc>
        <w:tc>
          <w:tcPr>
            <w:tcW w:w="366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P&amp;E under capital leases</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191"/>
        </w:trPr>
        <w:tc>
          <w:tcPr>
            <w:tcW w:w="4340" w:type="dxa"/>
            <w:vAlign w:val="bottom"/>
          </w:tcPr>
          <w:p>
            <w:pPr>
              <w:ind w:left="20"/>
              <w:spacing w:after="0"/>
              <w:rPr>
                <w:sz w:val="20"/>
                <w:szCs w:val="20"/>
                <w:color w:val="auto"/>
              </w:rPr>
            </w:pPr>
            <w:r>
              <w:rPr>
                <w:rFonts w:ascii="Arial" w:cs="Arial" w:eastAsia="Arial" w:hAnsi="Arial"/>
                <w:sz w:val="14"/>
                <w:szCs w:val="14"/>
                <w:color w:val="auto"/>
              </w:rPr>
              <w:t>____________</w:t>
            </w:r>
          </w:p>
        </w:tc>
        <w:tc>
          <w:tcPr>
            <w:tcW w:w="3660" w:type="dxa"/>
            <w:vAlign w:val="bottom"/>
          </w:tcPr>
          <w:p>
            <w:pPr>
              <w:spacing w:after="0"/>
              <w:rPr>
                <w:sz w:val="16"/>
                <w:szCs w:val="16"/>
                <w:color w:val="auto"/>
              </w:rPr>
            </w:pPr>
          </w:p>
        </w:tc>
      </w:tr>
    </w:tbl>
    <w:p>
      <w:pPr>
        <w:spacing w:after="0" w:line="74" w:lineRule="exact"/>
        <w:rPr>
          <w:sz w:val="20"/>
          <w:szCs w:val="20"/>
          <w:color w:val="auto"/>
        </w:rPr>
      </w:pPr>
    </w:p>
    <w:p>
      <w:pPr>
        <w:ind w:left="1740" w:right="1820" w:firstLine="3"/>
        <w:spacing w:after="0" w:line="238" w:lineRule="auto"/>
        <w:tabs>
          <w:tab w:leader="none" w:pos="2064"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Depreciation of land and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20" w:lineRule="exact"/>
        <w:rPr>
          <w:rFonts w:ascii="Arial" w:cs="Arial" w:eastAsia="Arial" w:hAnsi="Arial"/>
          <w:sz w:val="14"/>
          <w:szCs w:val="14"/>
          <w:color w:val="auto"/>
        </w:rPr>
      </w:pPr>
    </w:p>
    <w:p>
      <w:pPr>
        <w:ind w:left="1740" w:right="1980" w:firstLine="3"/>
        <w:spacing w:after="0" w:line="253" w:lineRule="auto"/>
        <w:tabs>
          <w:tab w:leader="none" w:pos="2064"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equipment.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Indefinite-lived, non-amortizing intangible assets include goodwill and our trademarks and tradenames and are evaluated annually for impairment. Our annual testing date for impairment of goodwill and indefinite-lived intangible assets is the first day of the fourth fiscal quarter, which for fiscal years 2017 and 2016 was October 1, 2017, and October 2, 2016, respectively.</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Definite-lived, amortizing intangible assets primarily consist of our contracts and relationships with certain retailers, and also our customer database tool. We amortize definite-lived intangible assets on a straight-line basis over their estimated useful lives, ranging from four to 23 years. Amortization expense associated with definite-lived intangible assets is included in depreciation and amortization in the accompanying consolidated statements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Assets and Liabilities (Non-Recurring Basis)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P&amp;E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evaluate impairment of long-lived tangible store assets at an individual store level, which is the lowest level at which independent cash flows can be identified, when events or conditions indicate the carrying value of such assets may not be recoverable. If the store's projected undiscounted cash flows expected to be generated by the related assets over the remaining useful life are less than the carrying value of the related assets, we then measure impairment based on a discounted cash flow model (Level 3 inputs) and record an impairment charge as the difference between carrying value and estimated fair value.</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a discounted cash flow analysis is not appropriate for assessing impairment of P&amp;E, we use a liquidation approach, whereby we estimate the fair value of the subject assets based on the expected sales value that a market participant would be willing to pay for the assets in their current location and condition, net of expected cost to remove and transport the assets to the buyer where applicable.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our tests for impairment of our long-lived tangible store assets classified as held and used, impairment of $1.6 million, $1.2 million, and $2.4 million was recorded for fiscal year 2017, 2016, and 2015, respectively. There was no remaining fair value of the assets that were impaired during fiscal years 2017 and 2016.</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non-store tangible assets, including capitalized software costs in use or under development, for impairment if events or changes in circumstances indicate that the carrying value of those assets may not be recoverable. During fiscal year 2017 we recorded $1.5 million in impairment charges associated with capitalized software costs. There was no impairment of capitalized software costs during fiscal year 2016. An impairment charge of $0.5 million was recorded during fiscal year 2015 associated with software that was replaced during the year.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Goodwill and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then measure impairment based on a discounted cash flow model (Level 3 inputs) and record an impairment charge as the difference between carrying value and estimated fair value.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 non-amortizing trademarks and tradenames for impairment annually or whenever events or changes in circumstances indicate that those assets may be impaired.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(Level 3 inputs). We record an impairment charge as the excess of carrying value over estimated fair value.</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impairment is present if a reporting unit’s carrying value exceeds its fair value, not to exceed the carrying value of goodwill. We consider each of our operating segments to be separate reporting units. We estimate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 flow analysis are based on financial forecasts developed internally by management (Level 3 inputs) and require significant judgment. We record an impairment charge for the amount by which a reporting unit’s carrying value exceeds its fair value, not to exceed the carrying amount of goodwill. See Note 3. “Goodwill and Intangible Assets” for further detail on impairment of goodwill and intangible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Investment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an investment in a private start-up company whose principal business is licensing software to eyeglass retailers. We evaluate the recoverability of our investment by first reviewing the investment for any indicators of impairment. If indicators are present, we estimate the fair value of the investment. If the carrying value of the investment is greater than the estimated fair value, we make an assessment of whether the impairment is other-than-temporary (“OTTI”). In making this assessment, we consider the length of time and the extent to which fair value has been less than cost and our intent and ability to retain our interest long enough for a recovery in market value. Based on our current year assessment, we did not identify OTTI in our equity method investment. See Note 9. “Equity in Net Assets of Non-Consolidated Affiliates,” for further discussion relating to this investment.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Method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fiscal year end 2016, the Company had a $1.0 million cost method investment in a private start-up entity whose principal business is creating eyeglasses through three dimensional printing. During the second quarter of fiscal year 2017, management determined that it is unlikely that the business will be able to continue operations for the foreseeable future. Therefore, we have recorded an impairment charge for the entire amount of the investment in asset impairment in the consolidated statement of operations for fiscal year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revenues include sales of prescription and non-prescription eyewear, contact lenses, and related accessories to retail customers (including those covered by managed care) and sales of inventory in which our customer is another retail entity. Revenues from services and plans include eye exams, eye-care club membership fees, product protection plans (i.e. warranties), and HMO membership fees. Service revenue also includes fees we earn for managing certain vision centers and performing laboratory processing services for our legacy partner.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delivery times throughout the current month and generally ranges from four to 10 days. For sales of in-store non-prescription eyewear and related accessories, and paid eye exams, we recognize revenue at the point of sale. Revenue is recognized net of sales taxes and returns. The returns allowance is based on historical return patterns.</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our America’s Best brand, our lead offer is two pairs of eyeglasses and a free eye exam for one low price (“two-pair deal”). The Company has determined that the eye exam included in the two-pair deal represents a separate unit of accounting, and therefore, the offer represents a multiple element arrangement. However, the arrangement with the customer requires delivery of acceptable prescription eyeglasses. Otherwise the Company refunds the entire price of</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two-pair deal. As a result, we do not allocate revenue to the eye exam associated with the two-pair deal, and we record all revenue associated with the offer in net product sales when the customer has received and accepted the merchandise.</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extended warranty plans that generally provide for repair and replacement of eyeglasses for a one- or two-year period after purchase. We offer three-and five-year eye-care club memberships to our contact lens customers. In California, we offer 12-month HMO memberships through our FirstSight subsidiary. We recognize service revenue under these programs on a straight-line basis over the warranty or service period. Amounts collected in advance for these programs are reported as deferred revenue in the accompanying consolidated balance sheets. Refer to Note 11. “Deferred Revenue” for further details.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eye-care club memberships, HMO memberships, eye-care practitioner and eye exam technician payroll, taxes, and benefits, and optometric and other service costs. Depreciation and amortization are excluded from costs applicable to revenue and are presented as separate items on the consolidated statements of operations.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component of the Company's consolidated procurement program, the Company frequently enters into contracts with its vendors that provide for payments of rebates or other allowances. These vendor payments are reflected in the carrying value of the inventory when earned or as progress is made toward earning the rebate or allowance and as a component of cost of products as the inventory is sold.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SG&amp;A includes store associate payroll, taxes, and benefits, store occupancy, advertising and promotion, field supervision, and corporate support. Advertising and promotion costs, including online marketing arrangements, newspaper, direct mail, television and radio, are recorded in SG&amp;A and expensed at the time the advertising first occurs. Production costs of future media advertising and related promotional campaigns are deferred until the advertising events occur.</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expenses were $93.2 million, $85.4 million and $77.0 million for fiscal years 2017, 2016, and 2015, respectively. Non-capital expenditures associated with opening new stores, including rent, store remodels, marketing expenses, travel and relocation costs, and training costs, are recorded in SG&amp;A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lease our retail stores, optometric examination offices, distribution centers, vehicles, office space and optical labs, with the exception of our St. Cloud, Minnesota lab, which we own. Rent expense on operating leases is recorded in SG&amp;A on a straight-line basis over the term of the lease, commencing on the date the Company takes possession of the leased property. Generally, the Company is required to pay base rent, real estate taxes, maintenance, and insurance. Certain of our lease agreements include rent holidays and rent escalation provisions and may include contingent rent provisions for sales in excess of specified levels. The Company recognizes rent holidays, including the time period during which the Company has control of the property prior to the opening of the store, as well as escalating rent provisions, as deferred rent expense and amortizes these balances on a straight-line basis over the term of the lease. Deferred rent is included in non-current other liabilities on the accompanying consolidated balance sheets.</w:t>
      </w:r>
    </w:p>
    <w:p>
      <w:pPr>
        <w:spacing w:after="0" w:line="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capital leases, a lease asset is recorded as P&amp;E and a corresponding amount is recorded as a long-term debt obligation at an amount equal to the lesser of the net present value of minimum lease payments to be made over the lease term or the fair value of the property. The Company allocates capital lease payments to reductions in the lease obligation and interest expense using the effective interest method.</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4. “Long-term Debt” for further details related to our capital lease commitments and Note 12. “Commitments and Contingencies” for further details related to our operating lease commitments.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Tenant improvement allowances (“TIAs”) are contractual amounts received by a lessee from a lessor for improvements made to leased properties by the lessee. TIAs are recorded in other non-current liabilities in the accompanying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balance sheets, and are amortized as a reduction in rental expense over the life of the respective leases. Receivables for TIA’s are recorded in accounts receivable in the accompanying consolidated balance sheets.</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event a leased store is closed before the expiration of the lease, the discounted remaining lease obligation less estimated sublease rental income, asset impairment charges related to improvements and fixtures, inventory write-downs, and other miscellaneous expenses are recognized when the store closes. Accruals for store closure costs are recorded in current and non-current other liabilities in the accompanying consolidated balance sheets and are not material.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measure stock-based compensation cost, which consists of grants of stock options, restricted stock units and restricted shares to employees, consultants and non-employee directors, based on the estimated grant date fair value of the awards. We recognize compensation expense for service-based vesting awards over the requisite service period. For awards that are subject to performance conditions, we recognize compensation expense once achievement of the conditions is considered to be probable. See Note 5. “Stock Incentive Plan” for further details related to our stock-based compensation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6. “Income Taxes” for further details.</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2017 Tax Cuts and Jobs Act (the “Tax Legislation”) was enacted into law. We are required to recognize the effect of tax law changes in the period of enactment, such as re-measuring and reassessing the net realizability of our deferred tax assets and liabilities. In December 2017, the SEC staff issued Staff Accounting Bulletin No. 118, Income Tax Accounting Implications of the Tax Cuts and Jobs Act (“SAB 118”), which allows us to record provisional amounts during a measurement period not to extend beyond one year of the enactment date. Since the Tax Legislation was passed late in the fourth quarter of 2017, and ongoing guidance and accounting interpretation is expected over the next 12 months, we consider the deferred tax re-measurements and other items to be incomplete due to the forthcoming guidance and our ongoing analysis of final year end data and tax positions. We expect to complete our analysis within the measurement period in accordance with SAB 118. See Note 6. “Income Taxes” for additional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consists of currency and demand deposits with banks. We consider all highly liquid investments with an original maturity of three months or less at the date of purchase to be cash equivalents. We maintain the majority of our cash and cash equivalents in one large national banking institution. Such amounts are in excess of federally insured limits.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review cash balances on a bank by bank basis to identify book overdrafts. Book overdrafts occur when the amount of outstanding checks exceed the cash deposited at a bank. We reclassify book overdrafts, if any, to accounts payable.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consists primarily of credit card receivables and receivables from health care plans and programs located throughout the United States (“managed care”). Accounts receivable are reduced by allowances for amounts that may become uncollectible. Estimates of our allowance for uncollectible accounts are based on our historical and current operating, billing, and collection trends.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Receivables from managed care represents 47% of accounts receivable, net, presented in the accompanying consolidated balance sheets as of fiscal year end 2017. A relatively small number of payors comprise the majority of our managed care receivables, which potentially subjects us to concentration of credit risk. We monitor the financial condition of managed care payors and establish an allowance for doubtful accounts for balances estimated to be uncollectible.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 of inventory is determined using the weighted average cost method. Inventories at retail stores are comprised of finished goods and are valued at the lower of cost or estimated net realizable value (“NRV”). Manufacturing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Shrinkage is estimated and recorded throughout the period as a percentage of cost of sales based on historical results and current inventory levels. Actual shrinkage is recorded throughout the year based upon periodic physical counts. See Note 2. “Details of Certain Balance Sheet Accounts” for further details.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inventory purchasing consists primarily of contact lenses, eyeglass frames, and unprocessed eyeglass lenses. Our inventory is supplied by a small number of key vendors. During fiscal year 2017 , three vendors supplied 94% of contact lenses, four vendors supplied 56% of frames, and two vendors provided 91% of lenses. This exposes us to concentration of vendor risk.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Prepaid expenses and other current assets include primarily prepaid software maintenance and licensing fees, prepaid rent, prepaid insurance, and income taxes receivable.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 and Loan Discounts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incurred in connection with long-term debt which are paid directly to the Company’s lenders and to third parties are treated as a debt discount. Loan discounts are amortized over the term of the related financing agreement and included in interest expense in the accompanying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Non-Current Assets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non-current assets consist primarily of our equity method investment, below market leases, security deposits associated with leased properties, and other long-term prepaid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Accruals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periodically update our estimates and record such adjustments in the period in which such determination is made. Self-insurance reserves are recorded in other payables and accrued expenses (current portion) and other non-current liabilities on an undiscounted basis in the accompanying consolidated balance sheets.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reinsure worker’s compensation and medical claims above our retention levels of $0.3 million per claim and $0.2 million per individual, respectively. Estimated recoveries from reinsurance are included in prepaid expenses and other current assets in the amounts of $0.6 million and $0.4 million (current portion) as of fiscal year end 2017 and fiscal year end 2016, respectively, and other assets in the amounts of $1.0 million and $0.7 million (non-current portion) as of fiscal year end 2017 and fiscal year end 2016, respectively, in the accompanying consolidated balance sheets. The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obligation for self-insurance programs was $6.9 million and $7.2 million (current portion) and $4.6 million and $3.9 million (non-current portion) as of fiscal year end 2017 and fiscal year end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gain or loss resulting from fair value adjustments on cash flow hedges are recorded in accumulated other comprehensive loss (“AOCL”) in the accompanying consolidated balance sheets until the hedged item is recognized as interest expense in the consolidated statements of operations. We perform periodic assessments of the effectiveness of our derivative contracts designated as hedges, including the possibility of counterparty default.</w:t>
      </w:r>
    </w:p>
    <w:p>
      <w:pPr>
        <w:spacing w:after="0" w:line="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instruments. We do not have any credit risk-related contingent features or collateral requirements associated with our derivative contracts. See Note 7. “Interest Rate Derivatives” for further details.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AOCL is defined as the change in equity of a business enterprise during a period from transactions and other events and circumstances from non-owner sources. Accumulated other comprehensive loss, net of income tax, is entirely comprised of the cumulative change in the fair value of our hedging instruments. See Note 15. “Accumulated Other Comprehensive Loss” for further details of reclassifications out of AOCL.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Correction of an Error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2017, we identified an error in our previously issued 2016 consolidated financial statements related to contact lens inventories that were expired or expiring and could not be sold as of December 31, 2016. Fiscal year 2016 costs applicable to revenue (products) was understated by $2.1 million, and net income was overstated by $1.3 million. We corrected the error in the second quarter of fiscal year 2017. We concluded that the error was not material to the 2016 or the 2017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No.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FASB issued additional ASUs to clarify certain aspects of ASU No. 2014-09, including ASU No. 2016-08, </w:t>
      </w:r>
      <w:r>
        <w:rPr>
          <w:rFonts w:ascii="Arial" w:cs="Arial" w:eastAsia="Arial" w:hAnsi="Arial"/>
          <w:sz w:val="18"/>
          <w:szCs w:val="18"/>
          <w:i w:val="1"/>
          <w:iCs w:val="1"/>
          <w:color w:val="auto"/>
        </w:rPr>
        <w:t>Principal versus Agent Considerations (Reporting Revenue Gross versus Net)</w:t>
      </w:r>
      <w:r>
        <w:rPr>
          <w:rFonts w:ascii="Arial" w:cs="Arial" w:eastAsia="Arial" w:hAnsi="Arial"/>
          <w:sz w:val="18"/>
          <w:szCs w:val="18"/>
          <w:color w:val="auto"/>
        </w:rPr>
        <w:t xml:space="preserve"> in March 2016, and ASU No. 2016-10, </w:t>
      </w:r>
      <w:r>
        <w:rPr>
          <w:rFonts w:ascii="Arial" w:cs="Arial" w:eastAsia="Arial" w:hAnsi="Arial"/>
          <w:sz w:val="18"/>
          <w:szCs w:val="18"/>
          <w:i w:val="1"/>
          <w:iCs w:val="1"/>
          <w:color w:val="auto"/>
        </w:rPr>
        <w:t>Identifying Performance Obligations and Licensing</w:t>
      </w:r>
      <w:r>
        <w:rPr>
          <w:rFonts w:ascii="Arial" w:cs="Arial" w:eastAsia="Arial" w:hAnsi="Arial"/>
          <w:sz w:val="18"/>
          <w:szCs w:val="18"/>
          <w:color w:val="auto"/>
        </w:rPr>
        <w:t xml:space="preserve"> in April 2016. This new guidance is effective for fiscal years beginning after December 15, 2017, and interim reporting periods within that fiscal year. The Company will adopt this new guidance in the first quarter of 2018 using the modified retrospective method.</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revenue arrangements generally consist of a single performance obligation to transfer promised goods or services. Based on our evaluation process and review of our contracts with customers, the timing and amount of revenue recognized under the new guidance for those single performance obligation arrangements will be consistent with our current revenue recognition policy. Those revenues will be recognized at a point in time either at the point of sale or upon delivery and customer acceptance.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remaining revenues are recognized over time, including product protection plans (i.e. warranties), eye care club memberships, and HMO memberships. Under current guidance, we recognize revenue ratably on a straight-line basis over the contract period for these programs. Under the new guidance we expect the timing of revenue recognition for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 (continued)</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membership programs to be accelerated since a significant amount of the membership services are transferred to the customer early in the contract period. Membership programs comprise approximately 3% of our consolidated net revenue. Absent a significant increase or decrease in the number of memberships sold each period, this change is not expected to have a significant impact on our on-going consolidated results of operations.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modified retrospective transition method, periods prior to the date of adoption are not retrospectively revised, but a cumulative effect of adoption will be recognized for the impact on uncompleted contracts at the date of adoption.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preparation of adopting this new guidance, we have implemented the necessary changes to our business processes, systems and controls to support recognition and disclosure upon adoption on December 31, 2017, which is the first day of our fiscal year 2018. We drafted our accounting policy for this new guidance based on a detailed review of our business and contracts. Except for the earlier recognition of revenue related to our membership programs, we do not currently expect that the adoption of the new guidance will have a material impact on our revenues, results of operations or financial position. We expect to make additional disclosures related to the nature, amount, timing and uncertainty of revenue and cash flows arising from contracts with customers as required by the new guidance.</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This new guidance is effective for fiscal years beginning after December 15, 2018, and interim reporting periods within that fiscal year. The guidance allows a cumulative transition approach in adjusting the opening balance of retained earnings. The Company will adopt this new guidance in the first quarter of 2019. We expect that adoption will have a material impact on the Company’s total assets and liabilities since we have a significant number of operating leases not currently recognized on our consolidated balance sheets.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new guidance simplifies the accounting for share-based payment transactions, including income tax consequences, classification of certain items on the statement of cash flows, forfeitures, and minimum statutory withholding requirements. We adopted this new guidance in the first quarter of 2017. The adoption of this new guidance did not have a material effect on the Company’s financial condition, results of operations, or cash flows.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This new guidance removes Step 2 of the goodwill impairment test. A goodwill impairment will now be the amount by which a reporting unit’s carrying value exceeds its fair value, not to exceed the carrying amount of goodwill. We adopted this new guidance during the first quarter of 2017. The adoption of this new guidance did not have a material effect on the Company’s financial condition, results of operations, or cash flows.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Targeted Improvements to Accounting for Hedging Activities.</w:t>
      </w:r>
      <w:r>
        <w:rPr>
          <w:rFonts w:ascii="Arial" w:cs="Arial" w:eastAsia="Arial" w:hAnsi="Arial"/>
          <w:sz w:val="18"/>
          <w:szCs w:val="18"/>
          <w:color w:val="auto"/>
        </w:rPr>
        <w:t xml:space="preserve"> This new guidance better aligns an entity’s risk management activities and financial reporting for hedging relationships through changes to both the designation and measurement guidance for qualifying hedging relationships and the presentation of hedge results. Under the new guidance, the application of hedge accounting is simplified. Specifically, the guidance eliminates the requirement to separately measure and report hedge ineffectiveness. For cash flow hedges, the entire change in the fair value of the hedging instrument included in the assessment of hedge effectiveness will be recorded in AOCL and will be reclassified to earnings in the same income statement line item that is used to present the earnings effect of the hedged item when the hedged item affects earnings. We adopted this new guidance during fiscal year 2017. The adoption of this new guidance did not have a material effect on the Company’s financial condition, results of operations, or cash flows.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w:t>
            </w:r>
          </w:p>
        </w:tc>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64"/>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As of</w:t>
            </w:r>
          </w:p>
        </w:tc>
        <w:tc>
          <w:tcPr>
            <w:tcW w:w="340" w:type="dxa"/>
            <w:vAlign w:val="bottom"/>
          </w:tcPr>
          <w:p>
            <w:pPr>
              <w:spacing w:after="0"/>
              <w:rPr>
                <w:sz w:val="24"/>
                <w:szCs w:val="24"/>
                <w:color w:val="auto"/>
              </w:rPr>
            </w:pPr>
          </w:p>
        </w:tc>
        <w:tc>
          <w:tcPr>
            <w:tcW w:w="2180" w:type="dxa"/>
            <w:vAlign w:val="bottom"/>
          </w:tcPr>
          <w:p>
            <w:pPr>
              <w:jc w:val="right"/>
              <w:ind w:right="970"/>
              <w:spacing w:after="0"/>
              <w:rPr>
                <w:sz w:val="20"/>
                <w:szCs w:val="20"/>
                <w:color w:val="auto"/>
              </w:rPr>
            </w:pPr>
            <w:r>
              <w:rPr>
                <w:rFonts w:ascii="Arial" w:cs="Arial" w:eastAsia="Arial" w:hAnsi="Arial"/>
                <w:sz w:val="18"/>
                <w:szCs w:val="18"/>
                <w:color w:val="auto"/>
              </w:rPr>
              <w:t>As of</w:t>
            </w: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December 30, 2017</w:t>
            </w:r>
          </w:p>
        </w:tc>
        <w:tc>
          <w:tcPr>
            <w:tcW w:w="340" w:type="dxa"/>
            <w:vAlign w:val="bottom"/>
          </w:tcPr>
          <w:p>
            <w:pPr>
              <w:spacing w:after="0"/>
              <w:rPr>
                <w:sz w:val="20"/>
                <w:szCs w:val="20"/>
                <w:color w:val="auto"/>
              </w:rPr>
            </w:pPr>
          </w:p>
        </w:tc>
        <w:tc>
          <w:tcPr>
            <w:tcW w:w="2180" w:type="dxa"/>
            <w:vAlign w:val="bottom"/>
          </w:tcPr>
          <w:p>
            <w:pPr>
              <w:jc w:val="right"/>
              <w:ind w:right="450"/>
              <w:spacing w:after="0"/>
              <w:rPr>
                <w:sz w:val="20"/>
                <w:szCs w:val="20"/>
                <w:color w:val="auto"/>
              </w:rPr>
            </w:pPr>
            <w:r>
              <w:rPr>
                <w:rFonts w:ascii="Arial" w:cs="Arial" w:eastAsia="Arial" w:hAnsi="Arial"/>
                <w:sz w:val="18"/>
                <w:szCs w:val="18"/>
                <w:color w:val="auto"/>
              </w:rPr>
              <w:t>December 31, 2016</w:t>
            </w:r>
          </w:p>
        </w:tc>
      </w:tr>
      <w:tr>
        <w:trPr>
          <w:trHeight w:val="27"/>
        </w:trPr>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28,862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20,817</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9,398</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Tenant improvement allowances receivable</w:t>
            </w:r>
          </w:p>
        </w:tc>
        <w:tc>
          <w:tcPr>
            <w:tcW w:w="3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3,308</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Allowance for uncollectible accounts</w:t>
            </w:r>
          </w:p>
        </w:tc>
        <w:tc>
          <w:tcPr>
            <w:tcW w:w="3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7"/>
        </w:trPr>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70"/>
        </w:trPr>
        <w:tc>
          <w:tcPr>
            <w:tcW w:w="62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43,953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42,266</w:t>
            </w: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44,798</w:t>
            </w:r>
          </w:p>
        </w:tc>
      </w:tr>
      <w:tr>
        <w:trPr>
          <w:trHeight w:val="237"/>
        </w:trPr>
        <w:tc>
          <w:tcPr>
            <w:tcW w:w="6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9" w:lineRule="exact"/>
        <w:rPr>
          <w:sz w:val="20"/>
          <w:szCs w:val="20"/>
          <w:color w:val="auto"/>
        </w:rPr>
      </w:pPr>
    </w:p>
    <w:p>
      <w:pPr>
        <w:ind w:left="40" w:right="40" w:hanging="5"/>
        <w:spacing w:after="0" w:line="253" w:lineRule="auto"/>
        <w:tabs>
          <w:tab w:leader="none" w:pos="244" w:val="left"/>
        </w:tabs>
        <w:numPr>
          <w:ilvl w:val="0"/>
          <w:numId w:val="34"/>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-211455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equipment, net: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Land and building</w:t>
            </w:r>
          </w:p>
        </w:tc>
        <w:tc>
          <w:tcPr>
            <w:tcW w:w="32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220,088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161,714</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2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42,708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36,046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155,369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121,963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28,099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under capital leases</w:t>
            </w:r>
          </w:p>
        </w:tc>
        <w:tc>
          <w:tcPr>
            <w:tcW w:w="2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451,904</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354,673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2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147,772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98,259</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304,132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256,414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vMerge w:val="restart"/>
          </w:tcPr>
          <w:p>
            <w:pPr>
              <w:jc w:val="right"/>
              <w:ind w:right="390"/>
              <w:spacing w:after="0"/>
              <w:rPr>
                <w:sz w:val="20"/>
                <w:szCs w:val="20"/>
                <w:color w:val="auto"/>
              </w:rPr>
            </w:pPr>
            <w:r>
              <w:rPr>
                <w:rFonts w:ascii="Arial" w:cs="Arial" w:eastAsia="Arial" w:hAnsi="Arial"/>
                <w:sz w:val="18"/>
                <w:szCs w:val="18"/>
                <w:color w:val="auto"/>
              </w:rPr>
              <w:t>88</w:t>
            </w: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 (continued)</w:t>
            </w: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607"/>
        </w:trPr>
        <w:tc>
          <w:tcPr>
            <w:tcW w:w="6060" w:type="dxa"/>
            <w:vAlign w:val="bottom"/>
          </w:tcPr>
          <w:p>
            <w:pPr>
              <w:spacing w:after="0"/>
              <w:rPr>
                <w:sz w:val="24"/>
                <w:szCs w:val="24"/>
                <w:color w:val="auto"/>
              </w:rPr>
            </w:pP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As of</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jc w:val="right"/>
              <w:ind w:right="1030"/>
              <w:spacing w:after="0"/>
              <w:rPr>
                <w:sz w:val="20"/>
                <w:szCs w:val="20"/>
                <w:color w:val="auto"/>
              </w:rPr>
            </w:pPr>
            <w:r>
              <w:rPr>
                <w:rFonts w:ascii="Arial" w:cs="Arial" w:eastAsia="Arial" w:hAnsi="Arial"/>
                <w:sz w:val="18"/>
                <w:szCs w:val="18"/>
                <w:color w:val="auto"/>
              </w:rPr>
              <w:t>As of</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Pr>
          <w:p>
            <w:pPr>
              <w:jc w:val="right"/>
              <w:spacing w:after="0"/>
              <w:rPr>
                <w:sz w:val="20"/>
                <w:szCs w:val="20"/>
                <w:color w:val="auto"/>
              </w:rPr>
            </w:pPr>
            <w:r>
              <w:rPr>
                <w:rFonts w:ascii="Arial" w:cs="Arial" w:eastAsia="Arial" w:hAnsi="Arial"/>
                <w:sz w:val="18"/>
                <w:szCs w:val="18"/>
                <w:color w:val="auto"/>
              </w:rPr>
              <w:t>December 30, 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jc w:val="right"/>
              <w:ind w:right="510"/>
              <w:spacing w:after="0"/>
              <w:rPr>
                <w:sz w:val="20"/>
                <w:szCs w:val="20"/>
                <w:color w:val="auto"/>
              </w:rPr>
            </w:pPr>
            <w:r>
              <w:rPr>
                <w:rFonts w:ascii="Arial" w:cs="Arial" w:eastAsia="Arial" w:hAnsi="Arial"/>
                <w:sz w:val="18"/>
                <w:szCs w:val="18"/>
                <w:color w:val="auto"/>
              </w:rPr>
              <w:t>December 31, 2016</w:t>
            </w:r>
          </w:p>
        </w:tc>
      </w:tr>
      <w:tr>
        <w:trPr>
          <w:trHeight w:val="27"/>
        </w:trPr>
        <w:tc>
          <w:tcPr>
            <w:tcW w:w="60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payables and accrued expenses:</w:t>
            </w:r>
          </w:p>
        </w:tc>
        <w:tc>
          <w:tcPr>
            <w:tcW w:w="2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2020" w:type="dxa"/>
            <w:vAlign w:val="bottom"/>
          </w:tcPr>
          <w:p>
            <w:pPr>
              <w:jc w:val="right"/>
              <w:ind w:right="18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21,134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19,009</w:t>
            </w: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Self-insurance reserves</w:t>
            </w:r>
          </w:p>
        </w:tc>
        <w:tc>
          <w:tcPr>
            <w:tcW w:w="2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10,782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9,202</w:t>
            </w: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2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Reserves for customer returns and remakes</w:t>
            </w:r>
          </w:p>
        </w:tc>
        <w:tc>
          <w:tcPr>
            <w:tcW w:w="2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4,565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4,611</w:t>
            </w: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Legacy management and services agreement</w:t>
            </w:r>
          </w:p>
        </w:tc>
        <w:tc>
          <w:tcPr>
            <w:tcW w:w="2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2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8,218</w:t>
            </w: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expenses</w:t>
            </w:r>
          </w:p>
        </w:tc>
        <w:tc>
          <w:tcPr>
            <w:tcW w:w="2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Sales and use taxes</w:t>
            </w:r>
          </w:p>
        </w:tc>
        <w:tc>
          <w:tcPr>
            <w:tcW w:w="2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954</w:t>
            </w: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payable to charitable organizations</w:t>
            </w:r>
          </w:p>
        </w:tc>
        <w:tc>
          <w:tcPr>
            <w:tcW w:w="2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Supplies and other store support expenses</w:t>
            </w:r>
          </w:p>
        </w:tc>
        <w:tc>
          <w:tcPr>
            <w:tcW w:w="2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3,489</w:t>
            </w: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w:t>
            </w:r>
          </w:p>
        </w:tc>
        <w:tc>
          <w:tcPr>
            <w:tcW w:w="2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7,467</w:t>
            </w:r>
          </w:p>
        </w:tc>
      </w:tr>
      <w:tr>
        <w:trPr>
          <w:trHeight w:val="27"/>
        </w:trPr>
        <w:tc>
          <w:tcPr>
            <w:tcW w:w="60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77,611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69,402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2020" w:type="dxa"/>
            <w:vAlign w:val="bottom"/>
          </w:tcPr>
          <w:p>
            <w:pPr>
              <w:jc w:val="right"/>
              <w:ind w:right="18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9,155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15,518</w:t>
            </w: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Tenant improvements </w:t>
            </w:r>
            <w:r>
              <w:rPr>
                <w:rFonts w:ascii="Arial" w:cs="Arial" w:eastAsia="Arial" w:hAnsi="Arial"/>
                <w:sz w:val="25"/>
                <w:szCs w:val="25"/>
                <w:color w:val="auto"/>
                <w:vertAlign w:val="superscript"/>
              </w:rPr>
              <w:t>(2)</w:t>
            </w:r>
          </w:p>
        </w:tc>
        <w:tc>
          <w:tcPr>
            <w:tcW w:w="20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22,894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21,089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Deferred rental expenses</w:t>
            </w:r>
          </w:p>
        </w:tc>
        <w:tc>
          <w:tcPr>
            <w:tcW w:w="2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6,256</w:t>
            </w:r>
          </w:p>
        </w:tc>
      </w:tr>
      <w:tr>
        <w:trPr>
          <w:trHeight w:val="27"/>
        </w:trPr>
        <w:tc>
          <w:tcPr>
            <w:tcW w:w="6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7,634</w:t>
            </w:r>
          </w:p>
        </w:tc>
      </w:tr>
      <w:tr>
        <w:trPr>
          <w:trHeight w:val="237"/>
        </w:trPr>
        <w:tc>
          <w:tcPr>
            <w:tcW w:w="6060" w:type="dxa"/>
            <w:vAlign w:val="bottom"/>
          </w:tcPr>
          <w:p>
            <w:pPr>
              <w:spacing w:after="0"/>
              <w:rPr>
                <w:sz w:val="20"/>
                <w:szCs w:val="20"/>
                <w:color w:val="auto"/>
              </w:rPr>
            </w:pPr>
          </w:p>
        </w:tc>
        <w:tc>
          <w:tcPr>
            <w:tcW w:w="2020" w:type="dxa"/>
            <w:vAlign w:val="bottom"/>
            <w:tcBorders>
              <w:top w:val="single" w:sz="8" w:color="auto"/>
            </w:tcBorders>
          </w:tcPr>
          <w:p>
            <w:pPr>
              <w:jc w:val="right"/>
              <w:ind w:right="18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46,044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9" w:lineRule="exact"/>
        <w:rPr>
          <w:sz w:val="20"/>
          <w:szCs w:val="20"/>
          <w:color w:val="auto"/>
        </w:rPr>
      </w:pPr>
    </w:p>
    <w:p>
      <w:pPr>
        <w:ind w:left="240" w:hanging="205"/>
        <w:spacing w:after="0"/>
        <w:tabs>
          <w:tab w:leader="none" w:pos="2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life of the respective leases.</w:t>
      </w:r>
    </w:p>
    <w:p>
      <w:pPr>
        <w:spacing w:after="0" w:line="231" w:lineRule="exact"/>
        <w:rPr>
          <w:rFonts w:ascii="Arial" w:cs="Arial" w:eastAsia="Arial" w:hAnsi="Arial"/>
          <w:sz w:val="14"/>
          <w:szCs w:val="14"/>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-376555</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 goodwill impairment was identified during fiscal year 2017. Fair value exceeded carrying value by a substantial margin (in excess of 75%) for each reporting unit except Fred Meyer, to which fair value exceeded carrying value by 5.0%. Fred Meyer goodwill comprises less than 5.0% of total consolidated goodwill. A goodwill impairment of $3.3 million and $4.8 million was identified at the AC Lens reporting unit for fiscal year 2016 and 2015, respectively, as a result of performing our annual impairment tests. The primary reason for the impairment charges in each year was due to competitive pressure in the e-commerce contact lens business. As of fiscal year end 2016, there was no remaining goodwill at the AC Lens reporting unit.</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impairment of indefinite-lived or definite-lived intangible assets was identified during fiscal year 2017. We recorded impairment of $1.3 million in definite-lived intangible assets and $1.2 million in P&amp;E during fiscal year 2016 at AC Lens. There was no remaining fair value of definite-lived intangible assets after the impairment charges, and the remaining fair value of the P&amp;E was $0.3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 of our goodwill during fiscal year 2015, fiscal year 2016, and fiscal year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6360" w:type="dxa"/>
            <w:vAlign w:val="bottom"/>
            <w:gridSpan w:val="2"/>
          </w:tcPr>
          <w:p>
            <w:pPr>
              <w:jc w:val="right"/>
              <w:ind w:right="2540"/>
              <w:spacing w:after="0"/>
              <w:rPr>
                <w:sz w:val="20"/>
                <w:szCs w:val="20"/>
                <w:color w:val="auto"/>
              </w:rPr>
            </w:pPr>
            <w:r>
              <w:rPr>
                <w:rFonts w:ascii="Arial" w:cs="Arial" w:eastAsia="Arial" w:hAnsi="Arial"/>
                <w:sz w:val="18"/>
                <w:szCs w:val="18"/>
                <w:b w:val="1"/>
                <w:bCs w:val="1"/>
                <w:color w:val="auto"/>
                <w:w w:val="94"/>
              </w:rPr>
              <w:t>National Vision Holdings, Inc. and Subsidiaries</w:t>
            </w:r>
          </w:p>
        </w:tc>
        <w:tc>
          <w:tcPr>
            <w:tcW w:w="136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6360" w:type="dxa"/>
            <w:vAlign w:val="bottom"/>
            <w:gridSpan w:val="2"/>
          </w:tcPr>
          <w:p>
            <w:pPr>
              <w:jc w:val="right"/>
              <w:ind w:right="2680"/>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1360" w:type="dxa"/>
            <w:vAlign w:val="bottom"/>
          </w:tcPr>
          <w:p>
            <w:pPr>
              <w:spacing w:after="0"/>
              <w:rPr>
                <w:sz w:val="20"/>
                <w:szCs w:val="20"/>
                <w:color w:val="auto"/>
              </w:rPr>
            </w:pPr>
          </w:p>
        </w:tc>
      </w:tr>
      <w:tr>
        <w:trPr>
          <w:trHeight w:val="324"/>
        </w:trPr>
        <w:tc>
          <w:tcPr>
            <w:tcW w:w="3700" w:type="dxa"/>
            <w:vAlign w:val="bottom"/>
          </w:tcPr>
          <w:p>
            <w:pPr>
              <w:spacing w:after="0"/>
              <w:rPr>
                <w:sz w:val="20"/>
                <w:szCs w:val="20"/>
                <w:color w:val="auto"/>
              </w:rPr>
            </w:pPr>
            <w:r>
              <w:rPr>
                <w:rFonts w:ascii="Arial" w:cs="Arial" w:eastAsia="Arial" w:hAnsi="Arial"/>
                <w:sz w:val="18"/>
                <w:szCs w:val="18"/>
                <w:b w:val="1"/>
                <w:bCs w:val="1"/>
                <w:color w:val="auto"/>
                <w:w w:val="94"/>
              </w:rPr>
              <w:t>3. Goodwill and Intangible Assets (continued)</w:t>
            </w:r>
          </w:p>
        </w:tc>
        <w:tc>
          <w:tcPr>
            <w:tcW w:w="5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21"/>
        </w:trPr>
        <w:tc>
          <w:tcPr>
            <w:tcW w:w="3700" w:type="dxa"/>
            <w:vAlign w:val="bottom"/>
          </w:tcPr>
          <w:p>
            <w:pPr>
              <w:ind w:left="40"/>
              <w:spacing w:after="0"/>
              <w:rPr>
                <w:sz w:val="20"/>
                <w:szCs w:val="20"/>
                <w:color w:val="auto"/>
              </w:rPr>
            </w:pPr>
            <w:r>
              <w:rPr>
                <w:rFonts w:ascii="Arial" w:cs="Arial" w:eastAsia="Arial" w:hAnsi="Arial"/>
                <w:sz w:val="18"/>
                <w:szCs w:val="18"/>
                <w:color w:val="auto"/>
              </w:rPr>
              <w:t>Balance as of January 2, 2016</w:t>
            </w:r>
          </w:p>
        </w:tc>
        <w:tc>
          <w:tcPr>
            <w:tcW w:w="5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3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6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805,562</w:t>
            </w: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5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(8,989)</w:t>
            </w:r>
          </w:p>
        </w:tc>
      </w:tr>
      <w:tr>
        <w:trPr>
          <w:trHeight w:val="27"/>
        </w:trPr>
        <w:tc>
          <w:tcPr>
            <w:tcW w:w="370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5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796,573</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5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805,562</w:t>
            </w: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5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(12,333)</w:t>
            </w:r>
          </w:p>
        </w:tc>
      </w:tr>
      <w:tr>
        <w:trPr>
          <w:trHeight w:val="27"/>
        </w:trPr>
        <w:tc>
          <w:tcPr>
            <w:tcW w:w="370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5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793,229</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Balance as of December 30, 2017</w:t>
            </w:r>
          </w:p>
        </w:tc>
        <w:tc>
          <w:tcPr>
            <w:tcW w:w="5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805,562</w:t>
            </w: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Other</w:t>
            </w:r>
          </w:p>
        </w:tc>
        <w:tc>
          <w:tcPr>
            <w:tcW w:w="5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370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gross goodwill</w:t>
            </w:r>
          </w:p>
        </w:tc>
        <w:tc>
          <w:tcPr>
            <w:tcW w:w="5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805,077</w:t>
            </w: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5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(12,333)</w:t>
            </w:r>
          </w:p>
        </w:tc>
      </w:tr>
      <w:tr>
        <w:trPr>
          <w:trHeight w:val="27"/>
        </w:trPr>
        <w:tc>
          <w:tcPr>
            <w:tcW w:w="370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6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792,744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Goodwill in our reportable segments (see Note 14. “Segment Reporting”) as of the fiscal year end 2017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Owned &amp; Host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Segment</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Legacy Segment</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Corporate/Other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805,077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Accumulated impairment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(12,333)</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as of December 30, 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732,675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792,744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non-amortizing intangible assets by major asset class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As of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gridSpan w:val="5"/>
          </w:tcPr>
          <w:p>
            <w:pPr>
              <w:ind w:left="200"/>
              <w:spacing w:after="0"/>
              <w:rPr>
                <w:sz w:val="20"/>
                <w:szCs w:val="20"/>
                <w:color w:val="auto"/>
              </w:rPr>
            </w:pPr>
            <w:r>
              <w:rPr>
                <w:rFonts w:ascii="Arial" w:cs="Arial" w:eastAsia="Arial" w:hAnsi="Arial"/>
                <w:sz w:val="18"/>
                <w:szCs w:val="18"/>
                <w:color w:val="auto"/>
              </w:rPr>
              <w:t>December 30, 2017</w:t>
            </w:r>
          </w:p>
        </w:tc>
        <w:tc>
          <w:tcPr>
            <w:tcW w:w="160" w:type="dxa"/>
            <w:vAlign w:val="bottom"/>
          </w:tcPr>
          <w:p>
            <w:pPr>
              <w:spacing w:after="0"/>
              <w:rPr>
                <w:sz w:val="20"/>
                <w:szCs w:val="20"/>
                <w:color w:val="auto"/>
              </w:rPr>
            </w:pPr>
          </w:p>
        </w:tc>
        <w:tc>
          <w:tcPr>
            <w:tcW w:w="166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December 31, 2016</w:t>
            </w:r>
          </w:p>
        </w:tc>
        <w:tc>
          <w:tcPr>
            <w:tcW w:w="0" w:type="dxa"/>
            <w:vAlign w:val="bottom"/>
          </w:tcPr>
          <w:p>
            <w:pPr>
              <w:spacing w:after="0"/>
              <w:rPr>
                <w:sz w:val="1"/>
                <w:szCs w:val="1"/>
                <w:color w:val="auto"/>
              </w:rPr>
            </w:pPr>
          </w:p>
        </w:tc>
      </w:tr>
      <w:tr>
        <w:trPr>
          <w:trHeight w:val="27"/>
        </w:trPr>
        <w:tc>
          <w:tcPr>
            <w:tcW w:w="2300" w:type="dxa"/>
            <w:vAlign w:val="bottom"/>
            <w:gridSpan w:val="2"/>
            <w:vMerge w:val="restart"/>
          </w:tcPr>
          <w:p>
            <w:pPr>
              <w:ind w:left="180"/>
              <w:spacing w:after="0"/>
              <w:rPr>
                <w:sz w:val="20"/>
                <w:szCs w:val="20"/>
                <w:color w:val="auto"/>
              </w:rPr>
            </w:pPr>
            <w:r>
              <w:rPr>
                <w:rFonts w:ascii="Arial" w:cs="Arial" w:eastAsia="Arial" w:hAnsi="Arial"/>
                <w:sz w:val="18"/>
                <w:szCs w:val="18"/>
                <w:color w:val="auto"/>
                <w:w w:val="88"/>
              </w:rPr>
              <w:t>Trademarks and tradenames:</w:t>
            </w: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America's Best Contacts and Eyeglasses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200,547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200,547</w:t>
            </w:r>
          </w:p>
        </w:tc>
        <w:tc>
          <w:tcPr>
            <w:tcW w:w="0" w:type="dxa"/>
            <w:vAlign w:val="bottom"/>
          </w:tcPr>
          <w:p>
            <w:pPr>
              <w:spacing w:after="0"/>
              <w:rPr>
                <w:sz w:val="1"/>
                <w:szCs w:val="1"/>
                <w:color w:val="auto"/>
              </w:rPr>
            </w:pPr>
          </w:p>
        </w:tc>
      </w:tr>
      <w:tr>
        <w:trPr>
          <w:trHeight w:val="243"/>
        </w:trPr>
        <w:tc>
          <w:tcPr>
            <w:tcW w:w="2180" w:type="dxa"/>
            <w:vAlign w:val="bottom"/>
          </w:tcPr>
          <w:p>
            <w:pPr>
              <w:ind w:left="280"/>
              <w:spacing w:after="0"/>
              <w:rPr>
                <w:sz w:val="20"/>
                <w:szCs w:val="20"/>
                <w:color w:val="auto"/>
              </w:rPr>
            </w:pPr>
            <w:r>
              <w:rPr>
                <w:rFonts w:ascii="Arial" w:cs="Arial" w:eastAsia="Arial" w:hAnsi="Arial"/>
                <w:sz w:val="18"/>
                <w:szCs w:val="18"/>
                <w:color w:val="auto"/>
              </w:rPr>
              <w:t>Eyeglass World</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gridSpan w:val="9"/>
            <w:vMerge w:val="restart"/>
          </w:tcPr>
          <w:p>
            <w:pPr>
              <w:jc w:val="center"/>
              <w:ind w:right="1200"/>
              <w:spacing w:after="0"/>
              <w:rPr>
                <w:sz w:val="20"/>
                <w:szCs w:val="20"/>
                <w:color w:val="auto"/>
              </w:rPr>
            </w:pPr>
            <w:r>
              <w:rPr>
                <w:rFonts w:ascii="Arial" w:cs="Arial" w:eastAsia="Arial" w:hAnsi="Arial"/>
                <w:sz w:val="18"/>
                <w:szCs w:val="18"/>
                <w:color w:val="auto"/>
                <w:w w:val="91"/>
              </w:rPr>
              <w:t>Definite-lived, amortizing intangible assets by major asset class are as follows:</w:t>
            </w: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900" w:type="dxa"/>
            <w:vAlign w:val="bottom"/>
            <w:gridSpan w:val="9"/>
            <w:vMerge w:val="continue"/>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As of</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As of</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w w:val="93"/>
              </w:rPr>
              <w:t>December 30, 2017</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7"/>
          </w:tcPr>
          <w:p>
            <w:pPr>
              <w:jc w:val="center"/>
              <w:ind w:right="135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Gross Carrying</w:t>
            </w:r>
          </w:p>
        </w:tc>
        <w:tc>
          <w:tcPr>
            <w:tcW w:w="20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96"/>
              </w:rPr>
              <w:t>Accumulated</w:t>
            </w:r>
          </w:p>
        </w:tc>
        <w:tc>
          <w:tcPr>
            <w:tcW w:w="120" w:type="dxa"/>
            <w:vAlign w:val="bottom"/>
          </w:tcPr>
          <w:p>
            <w:pPr>
              <w:spacing w:after="0"/>
              <w:rPr>
                <w:sz w:val="19"/>
                <w:szCs w:val="19"/>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Remaining Life</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Gross Carrying</w:t>
            </w:r>
          </w:p>
        </w:tc>
        <w:tc>
          <w:tcPr>
            <w:tcW w:w="18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w w:val="94"/>
              </w:rPr>
              <w:t>Accumulated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Remaining Life</w:t>
            </w: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(Years)</w:t>
            </w:r>
          </w:p>
        </w:tc>
        <w:tc>
          <w:tcPr>
            <w:tcW w:w="240" w:type="dxa"/>
            <w:vAlign w:val="bottom"/>
          </w:tcPr>
          <w:p>
            <w:pPr>
              <w:spacing w:after="0"/>
              <w:rPr>
                <w:sz w:val="20"/>
                <w:szCs w:val="20"/>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w w:val="95"/>
              </w:rPr>
              <w:t>Amortization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Contracts and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280"/>
              <w:spacing w:after="0"/>
              <w:rPr>
                <w:sz w:val="20"/>
                <w:szCs w:val="20"/>
                <w:color w:val="auto"/>
              </w:rPr>
            </w:pPr>
            <w:r>
              <w:rPr>
                <w:rFonts w:ascii="Arial" w:cs="Arial" w:eastAsia="Arial" w:hAnsi="Arial"/>
                <w:sz w:val="18"/>
                <w:szCs w:val="18"/>
                <w:color w:val="auto"/>
              </w:rPr>
              <w:t>Legacy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22,470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16,582</w:t>
            </w:r>
          </w:p>
        </w:tc>
        <w:tc>
          <w:tcPr>
            <w:tcW w:w="1660" w:type="dxa"/>
            <w:vAlign w:val="bottom"/>
            <w:gridSpan w:val="3"/>
          </w:tcPr>
          <w:p>
            <w:pPr>
              <w:jc w:val="center"/>
              <w:ind w:left="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Fred Meyer</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5,787</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660" w:type="dxa"/>
            <w:vAlign w:val="bottom"/>
            <w:tcBorders>
              <w:bottom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Customer database</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3,347</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2,470</w:t>
            </w:r>
          </w:p>
        </w:tc>
        <w:tc>
          <w:tcPr>
            <w:tcW w:w="1660" w:type="dxa"/>
            <w:vAlign w:val="bottom"/>
            <w:gridSpan w:val="3"/>
          </w:tcPr>
          <w:p>
            <w:pPr>
              <w:jc w:val="center"/>
              <w:ind w:left="9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6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8"/>
              </w:rPr>
              <w:t>1 - 2</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105,138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32,235</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105,138</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23,800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80" w:type="dxa"/>
            <w:vAlign w:val="bottom"/>
            <w:gridSpan w:val="2"/>
            <w:vMerge w:val="restart"/>
          </w:tcPr>
          <w:p>
            <w:pPr>
              <w:jc w:val="right"/>
              <w:ind w:right="89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amortization expense is included in depreciation and amortization in the accompanying consolidated statements of operations. Aggregate future estimated amortization expense is shown in the following table:</w:t>
      </w:r>
    </w:p>
    <w:p>
      <w:pPr>
        <w:spacing w:after="0" w:line="224"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6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7,598</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7,405</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r>
      <w:tr>
        <w:trPr>
          <w:trHeight w:val="243"/>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34,577</w:t>
            </w:r>
          </w:p>
        </w:tc>
      </w:tr>
      <w:tr>
        <w:trPr>
          <w:trHeight w:val="27"/>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72,903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30, 2017</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2016</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lien term loans, due November 20, 2024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633,598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Second lien term loans</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125,000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 before unamortized discount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758,598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discount</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(15,661)</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742,937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(6,515)</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 - non-current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736,422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Capitalized lease obligations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2,688</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Long-term debt, less current portion and unamortized debt discount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561,980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738,340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proceeds from the IPO to repay $125.0 million in outstanding aggregate amount of our second lien term loans, $235.0 million in outstanding amount of our first lien term loans, and accrued and unpaid interest thereon.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dividend discussed in Note 8. “Related Party Transactions” was funded with $175.0 million in borrowed funds under the Company’s first lien credit agreement which was then repaid with IPO proceeds, as discussed in Note 1. “Description of Business and Basis of Presentation.”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Scheduled annual maturities of debt are as follows:</w:t>
      </w:r>
    </w:p>
    <w:p>
      <w:pPr>
        <w:spacing w:after="0" w:line="279"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6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5,700</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5,700</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r>
      <w:tr>
        <w:trPr>
          <w:trHeight w:val="243"/>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540,075</w:t>
            </w:r>
          </w:p>
        </w:tc>
      </w:tr>
      <w:tr>
        <w:trPr>
          <w:trHeight w:val="27"/>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568,575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Credit Agreement - Joinder and Amendment Agreement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30, 2017 and November 20, 2017, the credit agreement dated as of March 13, 2014, among Nautilus Acquisition Holdings, Inc., a wholly-owned subsidiary of the Company, NVI, as borrower, Goldman Sachs Bank USA, as administrative agent, collateral agent, swingline lender and letter of credit issuer, and the lenders from time to time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party thereto and the other parties thereto (the “first lien credit agreement”) was amended pursuant to joinder and amendment agreements (the “Amendments”) to (a) establish new first lien term loans in an aggregate principal amount of $570.0 million to refinance all of the first lien term loans outstanding immediately prior to the amendment, (b) extend the maturity of such term loans to November 24, 2024 and (c) reprice the rates applicable to such term loans by amending the definitions of ABR, Applicable Margin and LIBOR Rate (each, as defined in the first lien credit agreement). Pursuant to the Amendments, the initial new Applicable Margins are (i) 2.75% for the new first lien term loans that are LIBOR Loans (as defined in the first lien credit agreement), which is 25 basis points lower than the previous interest rate margin and (ii) 1.75% for the new first lien term loans that are ABR Loans (as defined in the first lien credit agreement), which is 25 basis points lower than the previous interest rate margin. The Amendments further provide that the above Applicable Margins for the new term loans will be based on NVI’s public corporate credit rating from Moody’s as follows: (i) if NVI’s rating is lower than Ba3 (stable), the Applicable Margin will be 2.75% for LIBOR Loans and 1.75% for ABR Loans and (ii) if NVI’s rating is Ba3 (stable) or better, the Applicable Margin will step down to 2.50% for LIBOR Loans and 1.5% for ABR Loans, as specified in the Amendments.</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principal under the first lien credit agreement is payable in equal installments of $1.4 million on the last business day of each of our fiscal quarters. We are required to prepay an amount equal to 50% of the preceding fiscal year’s excess cash flow, as defined in the agreement. The required prepayment is reduced to 25% of the preceding year’s excess cash flow if our consolidated earnings before interest, tax, depreciation and amortization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first lien credit agreement contains covenants that limit our ability to incur additional debt, create liens against our assets, make acquisitions, pay dividends or distributions on our stock, merge or consolidate with another entity, and transfer or sell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 Joinder and Amendment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first lien credit agreement provides for a revolving credit facility which was amended in October 2017 pursuant to a joinder and amendment agreement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increase the size of the credit facility from $75.0 million to $100.0 million and (b) extend the maturity of such facility to October 15, 2022.</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Amounts borrowed under the revolving credit facility bear interest, at our election, at either 2.0% over ABR or 3.0% over LIBOR. These interest rate spreads will decline to 1.75% and 2.75%, respectively, if our Credit Agreement EBITDA ratio declines to 4.25 to 1.00 or less, and the spreads will further decline to 1.50% and 2.50%, respectively, if such ratio declines to 3.75 to 1.00 or less. We may use up to $20.0 million of the revolving credit facility to issue letters of credit. Letter of credit fees accrue at the same rate as the then-applicable LIBOR spread. Our credit agreement also provides that, if aggregate borrowings (inclusive of certain letters of credit) under our revolving credit facility exceed 30% of the total revolving commitment, the ratio of debt under our first lien credit agreement to Credit Agreement EBITDA may not, on the last day of the applicable measurement period, exceed 7.75 to 1.00.</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obligations under capital leases are included in the consolidated balance sheets as long-term debt, less current portion and debt discount (non-current portion) and current maturities of long-term debt (current portion). Future minimum lease payments required under our capital leases as of fiscal year end 2017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4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606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608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w:t>
            </w:r>
          </w:p>
        </w:tc>
      </w:tr>
      <w:tr>
        <w:trPr>
          <w:trHeight w:val="243"/>
        </w:trPr>
        <w:tc>
          <w:tcPr>
            <w:tcW w:w="9480" w:type="dxa"/>
            <w:vAlign w:val="bottom"/>
            <w:gridSpan w:val="2"/>
          </w:tcPr>
          <w:p>
            <w:pPr>
              <w:ind w:left="608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2,297</w:t>
            </w:r>
          </w:p>
        </w:tc>
      </w:tr>
      <w:tr>
        <w:trPr>
          <w:trHeight w:val="27"/>
        </w:trPr>
        <w:tc>
          <w:tcPr>
            <w:tcW w:w="60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60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w:t>
            </w:r>
          </w:p>
        </w:tc>
      </w:tr>
      <w:tr>
        <w:trPr>
          <w:trHeight w:val="243"/>
        </w:trPr>
        <w:tc>
          <w:tcPr>
            <w:tcW w:w="9480" w:type="dxa"/>
            <w:vAlign w:val="bottom"/>
            <w:gridSpan w:val="2"/>
          </w:tcPr>
          <w:p>
            <w:pPr>
              <w:ind w:left="60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60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60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r>
      <w:tr>
        <w:trPr>
          <w:trHeight w:val="243"/>
        </w:trPr>
        <w:tc>
          <w:tcPr>
            <w:tcW w:w="606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7,461</w:t>
            </w:r>
          </w:p>
        </w:tc>
      </w:tr>
      <w:tr>
        <w:trPr>
          <w:trHeight w:val="27"/>
        </w:trPr>
        <w:tc>
          <w:tcPr>
            <w:tcW w:w="60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18,178</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Less: Amount representing interest</w:t>
            </w: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(6,193)</w:t>
            </w:r>
          </w:p>
        </w:tc>
      </w:tr>
      <w:tr>
        <w:trPr>
          <w:trHeight w:val="27"/>
        </w:trPr>
        <w:tc>
          <w:tcPr>
            <w:tcW w:w="60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Present value of net minimum lease payments</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11,985</w:t>
            </w:r>
          </w:p>
        </w:tc>
      </w:tr>
      <w:tr>
        <w:trPr>
          <w:trHeight w:val="243"/>
        </w:trPr>
        <w:tc>
          <w:tcPr>
            <w:tcW w:w="9600" w:type="dxa"/>
            <w:vAlign w:val="bottom"/>
            <w:gridSpan w:val="3"/>
          </w:tcPr>
          <w:p>
            <w:pPr>
              <w:ind w:left="40"/>
              <w:spacing w:after="0"/>
              <w:rPr>
                <w:sz w:val="20"/>
                <w:szCs w:val="20"/>
                <w:color w:val="auto"/>
              </w:rPr>
            </w:pPr>
            <w:r>
              <w:rPr>
                <w:rFonts w:ascii="Arial" w:cs="Arial" w:eastAsia="Arial" w:hAnsi="Arial"/>
                <w:sz w:val="18"/>
                <w:szCs w:val="18"/>
                <w:color w:val="auto"/>
              </w:rPr>
              <w:t>Less: Current maturities of capital lease obligations</w:t>
            </w: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7"/>
        </w:trPr>
        <w:tc>
          <w:tcPr>
            <w:tcW w:w="60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 obligations - non-current portion</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10,427</w:t>
            </w:r>
          </w:p>
        </w:tc>
      </w:tr>
      <w:tr>
        <w:trPr>
          <w:trHeight w:val="20"/>
        </w:trPr>
        <w:tc>
          <w:tcPr>
            <w:tcW w:w="60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Incentive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2014, our Board of Directors and stockholders of the Company approved the 2014 Stock Incentive Plan for Key Employees of National Vision Holdings, Inc. (formerly known as Nautilus Parent, Inc.) and its Subsidiaries (the “2014 Stock Incentive Plan”). Only stock options to purchase common stock of NVHI have been granted under the 2014 Stock Incentive Plan. The Board of Directors determined the exercise price of service-based and performance-based options on the basis of the fair value of the common stock as of the grant date. Due to the limited number of participants in the plan and high levels of retention among participants, forfeitures of outstanding service-based options are not expected to be material. Therefore, all service-based options outstanding at fiscal year end 2017 are expected to vest.</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10,988,827 stock options available for issuance pursuant to the 2014 Stock Incentive Plan, of which 10,347,067 are issued and outstanding, and 69,452 are authorized but unissued as of fiscal year end 2017.</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Vesting of performance-based options is conditional upon the achievement by KKR Sponsor, with respect to its investment in the Company, of both a minimum internal rate of return and a minimum multiple of invested capital and then increases proportionally as the multiple of invested capital increases up to a defined target. No compensation expense has been recorded relating to performance based options since achievement of vesting conditions has not been deemed to be probable as of the fiscal years ended 2017, 2016 and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roll-forward of performance-based options:</w:t>
      </w:r>
    </w:p>
    <w:p>
      <w:pPr>
        <w:spacing w:after="0" w:line="267" w:lineRule="exact"/>
        <w:rPr>
          <w:sz w:val="20"/>
          <w:szCs w:val="20"/>
          <w:color w:val="auto"/>
        </w:rPr>
      </w:pPr>
    </w:p>
    <w:tbl>
      <w:tblPr>
        <w:tblLayout w:type="fixed"/>
        <w:tblInd w:w="166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at January 3, 2015</w:t>
            </w:r>
          </w:p>
        </w:tc>
        <w:tc>
          <w:tcPr>
            <w:tcW w:w="2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5,135,945</w:t>
            </w:r>
          </w:p>
        </w:tc>
      </w:tr>
      <w:tr>
        <w:trPr>
          <w:trHeight w:val="243"/>
        </w:trPr>
        <w:tc>
          <w:tcPr>
            <w:tcW w:w="5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544,032</w:t>
            </w:r>
          </w:p>
        </w:tc>
      </w:tr>
      <w:tr>
        <w:trPr>
          <w:trHeight w:val="27"/>
        </w:trPr>
        <w:tc>
          <w:tcPr>
            <w:tcW w:w="59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(62,032)</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Outstanding options at January 2, 2016</w:t>
            </w:r>
          </w:p>
        </w:tc>
        <w:tc>
          <w:tcPr>
            <w:tcW w:w="2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5,617,945</w:t>
            </w:r>
          </w:p>
        </w:tc>
      </w:tr>
      <w:tr>
        <w:trPr>
          <w:trHeight w:val="27"/>
        </w:trPr>
        <w:tc>
          <w:tcPr>
            <w:tcW w:w="59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396,690</w:t>
            </w:r>
          </w:p>
        </w:tc>
      </w:tr>
      <w:tr>
        <w:trPr>
          <w:trHeight w:val="243"/>
        </w:trPr>
        <w:tc>
          <w:tcPr>
            <w:tcW w:w="59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200" w:type="dxa"/>
            <w:vAlign w:val="bottom"/>
          </w:tcPr>
          <w:p>
            <w:pPr>
              <w:jc w:val="right"/>
              <w:spacing w:after="0"/>
              <w:rPr>
                <w:sz w:val="20"/>
                <w:szCs w:val="20"/>
                <w:color w:val="auto"/>
              </w:rPr>
            </w:pPr>
            <w:r>
              <w:rPr>
                <w:rFonts w:ascii="Arial" w:cs="Arial" w:eastAsia="Arial" w:hAnsi="Arial"/>
                <w:sz w:val="18"/>
                <w:szCs w:val="18"/>
                <w:color w:val="auto"/>
              </w:rPr>
              <w:t>(249,479)</w:t>
            </w:r>
          </w:p>
        </w:tc>
      </w:tr>
      <w:tr>
        <w:trPr>
          <w:trHeight w:val="27"/>
        </w:trPr>
        <w:tc>
          <w:tcPr>
            <w:tcW w:w="59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December 31, 2016</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5,765,156</w:t>
            </w:r>
          </w:p>
        </w:tc>
      </w:tr>
      <w:tr>
        <w:trPr>
          <w:trHeight w:val="243"/>
        </w:trPr>
        <w:tc>
          <w:tcPr>
            <w:tcW w:w="5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758,996</w:t>
            </w:r>
          </w:p>
        </w:tc>
      </w:tr>
      <w:tr>
        <w:trPr>
          <w:trHeight w:val="27"/>
        </w:trPr>
        <w:tc>
          <w:tcPr>
            <w:tcW w:w="59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920" w:type="dxa"/>
            <w:vAlign w:val="bottom"/>
          </w:tcPr>
          <w:p>
            <w:pPr>
              <w:ind w:left="20"/>
              <w:spacing w:after="0"/>
              <w:rPr>
                <w:sz w:val="20"/>
                <w:szCs w:val="20"/>
                <w:color w:val="auto"/>
              </w:rPr>
            </w:pPr>
            <w:r>
              <w:rPr>
                <w:rFonts w:ascii="Arial" w:cs="Arial" w:eastAsia="Arial" w:hAnsi="Arial"/>
                <w:sz w:val="18"/>
                <w:szCs w:val="18"/>
                <w:color w:val="auto"/>
              </w:rPr>
              <w:t>Outstanding options at December 30, 2017</w:t>
            </w: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6,524,152</w:t>
            </w:r>
          </w:p>
        </w:tc>
      </w:tr>
      <w:tr>
        <w:trPr>
          <w:trHeight w:val="20"/>
        </w:trPr>
        <w:tc>
          <w:tcPr>
            <w:tcW w:w="59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associated with service-based stock options is included in SG&amp;A in the accompanying consolidated statements of operations. Service-based options have a contractual maturity of 10 years. The following table summarizes service-based stock option activity during the fiscal years ended 2017, 2016 and 2015 (amounts reflect the effects of modifications to exercise prices resulting from the recapitalization dividend discussed in Note 8. “Related Party Transactions”):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Number of Options</w:t>
            </w:r>
          </w:p>
        </w:tc>
        <w:tc>
          <w:tcPr>
            <w:tcW w:w="12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8"/>
                <w:szCs w:val="18"/>
                <w:color w:val="auto"/>
              </w:rPr>
              <w:t>Weighted Average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Remaining Contractual</w:t>
            </w:r>
          </w:p>
        </w:tc>
        <w:tc>
          <w:tcPr>
            <w:tcW w:w="120" w:type="dxa"/>
            <w:vAlign w:val="bottom"/>
          </w:tcPr>
          <w:p>
            <w:pPr>
              <w:spacing w:after="0"/>
              <w:rPr>
                <w:sz w:val="18"/>
                <w:szCs w:val="18"/>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7"/>
              </w:rPr>
              <w:t>Aggregate Intrinsic</w:t>
            </w:r>
          </w:p>
        </w:tc>
      </w:tr>
      <w:tr>
        <w:trPr>
          <w:trHeight w:val="230"/>
        </w:trPr>
        <w:tc>
          <w:tcPr>
            <w:tcW w:w="378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920" w:type="dxa"/>
            <w:vAlign w:val="bottom"/>
            <w:gridSpan w:val="2"/>
          </w:tcPr>
          <w:p>
            <w:pPr>
              <w:ind w:left="260"/>
              <w:spacing w:after="0"/>
              <w:rPr>
                <w:sz w:val="20"/>
                <w:szCs w:val="20"/>
                <w:color w:val="auto"/>
              </w:rPr>
            </w:pPr>
            <w:r>
              <w:rPr>
                <w:rFonts w:ascii="Arial" w:cs="Arial" w:eastAsia="Arial" w:hAnsi="Arial"/>
                <w:sz w:val="18"/>
                <w:szCs w:val="18"/>
                <w:color w:val="auto"/>
              </w:rPr>
              <w:t>Exercise Price ($)</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Life (Years)</w:t>
            </w:r>
          </w:p>
        </w:tc>
        <w:tc>
          <w:tcPr>
            <w:tcW w:w="12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w w:val="89"/>
              </w:rPr>
              <w:t>Value (In Thousands)</w:t>
            </w: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January 3, 2015</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3,423,962</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362,688</w:t>
            </w: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(211,891)</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(41,354)</w:t>
            </w: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January 2, 2016</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3,533,405</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264,460</w:t>
            </w: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(142,402)</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840" w:type="dxa"/>
            <w:vAlign w:val="bottom"/>
          </w:tcPr>
          <w:p>
            <w:pPr>
              <w:jc w:val="right"/>
              <w:spacing w:after="0"/>
              <w:rPr>
                <w:sz w:val="20"/>
                <w:szCs w:val="20"/>
                <w:color w:val="auto"/>
              </w:rPr>
            </w:pPr>
            <w:r>
              <w:rPr>
                <w:rFonts w:ascii="Arial" w:cs="Arial" w:eastAsia="Arial" w:hAnsi="Arial"/>
                <w:sz w:val="18"/>
                <w:szCs w:val="18"/>
                <w:color w:val="auto"/>
              </w:rPr>
              <w:t>(22,333)</w:t>
            </w: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(104,605)</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Outstanding options at December 31, 2016</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3,528,525</w:t>
            </w: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505,958</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840" w:type="dxa"/>
            <w:vAlign w:val="bottom"/>
          </w:tcPr>
          <w:p>
            <w:pPr>
              <w:jc w:val="right"/>
              <w:spacing w:after="0"/>
              <w:rPr>
                <w:sz w:val="20"/>
                <w:szCs w:val="20"/>
                <w:color w:val="auto"/>
              </w:rPr>
            </w:pPr>
            <w:r>
              <w:rPr>
                <w:rFonts w:ascii="Arial" w:cs="Arial" w:eastAsia="Arial" w:hAnsi="Arial"/>
                <w:sz w:val="18"/>
                <w:szCs w:val="18"/>
                <w:color w:val="auto"/>
              </w:rPr>
              <w:t>(211,568)</w:t>
            </w: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at December 30, 2017</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3,822,915</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127,641</w:t>
            </w:r>
          </w:p>
        </w:tc>
      </w:tr>
      <w:tr>
        <w:trPr>
          <w:trHeight w:val="324"/>
        </w:trPr>
        <w:tc>
          <w:tcPr>
            <w:tcW w:w="3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and exercisable at December 30, 2017</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1,631,023</w:t>
            </w: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55,229</w:t>
            </w:r>
          </w:p>
        </w:tc>
      </w:tr>
      <w:tr>
        <w:trPr>
          <w:trHeight w:val="27"/>
        </w:trPr>
        <w:tc>
          <w:tcPr>
            <w:tcW w:w="37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Substantially all service-based options vest in 20% annual increments on each of the first five anniversaries of the grant date. The Company has selected an accelerated method of recording compensation expense associated with service-based options, whereby the total grant-date fair value of the awards is amortized 46%, 25%, 16%, 9%, and 4% for years one through five, respectively.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service-based stock option grants was estimated at the grant date using the Black-Scholes-Merton option pricing model. The following assumptions were used in our estimate:</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000" w:type="dxa"/>
            <w:vAlign w:val="bottom"/>
            <w:gridSpan w:val="2"/>
          </w:tcPr>
          <w:p>
            <w:pPr>
              <w:ind w:left="540"/>
              <w:spacing w:after="0"/>
              <w:rPr>
                <w:sz w:val="20"/>
                <w:szCs w:val="20"/>
                <w:color w:val="auto"/>
              </w:rPr>
            </w:pPr>
            <w:r>
              <w:rPr>
                <w:rFonts w:ascii="Arial" w:cs="Arial" w:eastAsia="Arial" w:hAnsi="Arial"/>
                <w:sz w:val="18"/>
                <w:szCs w:val="18"/>
                <w:color w:val="auto"/>
              </w:rPr>
              <w:t>Fiscal Year</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Fiscal Year</w:t>
            </w:r>
          </w:p>
        </w:tc>
      </w:tr>
      <w:tr>
        <w:trPr>
          <w:trHeight w:val="230"/>
        </w:trPr>
        <w:tc>
          <w:tcPr>
            <w:tcW w:w="626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Arial" w:cs="Arial" w:eastAsia="Arial" w:hAnsi="Arial"/>
                <w:sz w:val="18"/>
                <w:szCs w:val="18"/>
                <w:color w:val="auto"/>
              </w:rPr>
              <w:t>2016</w:t>
            </w:r>
          </w:p>
        </w:tc>
      </w:tr>
      <w:tr>
        <w:trPr>
          <w:trHeight w:val="27"/>
        </w:trPr>
        <w:tc>
          <w:tcPr>
            <w:tcW w:w="62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20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6.5 years</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 years</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7"/>
        </w:trPr>
        <w:tc>
          <w:tcPr>
            <w:tcW w:w="6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 to 2.0%</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expected term was based on the mid-point between the weighted average time to vesting and the contractual time to maturity. Since all options granted in the 2014 Stock Incentive Plan were issued prior to the IPO, expected volatility was based on the volatility of comparable publicly traded companies. The risk-free interest rate was based on the U.S. Treasury yield curve. The dividend yield was based on our expectation of not paying dividends on the common stock of NVHI for the foreseeable future.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the 2014 Stock Incentive Plan service-based options outstanding as of fiscal year end 2017: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Aggregate</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Remaining</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Weighted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Grant Date Fair</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Unrecognized</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Non-Vested</w:t>
            </w:r>
          </w:p>
        </w:tc>
        <w:tc>
          <w:tcPr>
            <w:tcW w:w="12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6"/>
              </w:rPr>
              <w:t>Fair Value Of</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Average Grant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 (In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Service Cost (In</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Requisite Service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w w:val="87"/>
              </w:rPr>
              <w:t>Options Vested</w:t>
            </w: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92"/>
              </w:rPr>
              <w:t>Grants During:</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Date Fair Value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Options Granted</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Thousands)</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Thousands)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Period (Years)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w w:val="89"/>
              </w:rPr>
              <w:t>(In Thousands)</w:t>
            </w:r>
          </w:p>
        </w:tc>
      </w:tr>
      <w:tr>
        <w:trPr>
          <w:trHeight w:val="27"/>
        </w:trPr>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Fiscal Year</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362,688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264,460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211,568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Fiscal Year</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505,958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505,958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of service-based options exercised was $1.5 million for the fiscal year ended December 30, 2017 and $0.3 million for the fiscal year ended December 31,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Holding Corp. Amended and Restated 2013 Equity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fiscal year end 2017, there were 169,049 options to purchase common shares of NVHI vested and outstanding under the Vision Holding Corp.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2013 Equity Incentive Plan, at a weighted average exercise price of $1.66.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Omnibus Incentive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IPO, on October 23, 2017 the Company’s Board of Directors adopted, and its stockholders approved, the National Vision Holdings, Inc. 2017 Omnibus Incentive Plan (the “2017 Omnibus Incentive Plan”). The total number of shares of common stock that may be issued under the plan is 4,000,000. Under the plan, we may grant stock options, stock appreciation rights, restricted stock, restricted stock units, other equity-based awards and other cash-based awards to our employees, directors, officers, consultants and advisers.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October 25, 2017, we granted stock options to purchase 92,443 shares of our common stock at an exercise price of $22.00 per share to an employee under the 2017 Omnibus Incentive Plan. The fair value of the award was $0.8 million on the grant date, with three year vesting. As of fiscal year-end 2017, none of the options had vested, the remaining contractual life was 9.82 years, the intrinsic value of the award was $1.7 million, the remaining unrecognized service cost was $0.8 million, and the remaining requisite service period was 2.82 years.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October 26, 2017, we granted an aggregate of 182,138 restricted stock units, net of forfeitures, to certain employees under the 2017 Omnibus Incentive Plan. Restricted stock units of 59,800 vest in two equal installments on the first and second anniversaries of the grant date, and 122,338 restricted stock units vest in three equal installments on the first, second and third anniversaries of the grant date. The fair value of the awards on the grant date were $1.3 million and $2.7 million for the two and three year awards, respectively. The remaining unrecognized service cost was $1.2 million and $2.5 million for the two and three year awards, respectively. The remaining requisite service period was 1.82 years and 2.82 years for the two and three year awards,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(benefit) provision consists of: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6. Income Taxes (continued)</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0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income tax:</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income tax (benefit) provision differs from the amounts computed by multiplying earnings before income taxes by the statutory federal income tax rate as shown in the following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Fiscal Year</w:t>
            </w:r>
          </w:p>
        </w:tc>
      </w:tr>
      <w:tr>
        <w:trPr>
          <w:trHeight w:val="230"/>
        </w:trPr>
        <w:tc>
          <w:tcPr>
            <w:tcW w:w="58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2015</w:t>
            </w:r>
          </w:p>
        </w:tc>
      </w:tr>
      <w:tr>
        <w:trPr>
          <w:trHeight w:val="27"/>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 provision at statutory rate of 35%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1,885</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w:t>
            </w:r>
          </w:p>
        </w:tc>
        <w:tc>
          <w:tcPr>
            <w:tcW w:w="32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211</w:t>
            </w:r>
          </w:p>
        </w:tc>
      </w:tr>
      <w:tr>
        <w:trPr>
          <w:trHeight w:val="27"/>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deferred tax asset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Benefit of tax legislation</w:t>
            </w:r>
          </w:p>
        </w:tc>
        <w:tc>
          <w:tcPr>
            <w:tcW w:w="32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(42,965)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r>
      <w:tr>
        <w:trPr>
          <w:trHeight w:val="297"/>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tax (benefit) provision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(38,647)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12,534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1,768</w:t>
            </w:r>
          </w:p>
        </w:tc>
      </w:tr>
      <w:tr>
        <w:trPr>
          <w:trHeight w:val="230"/>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5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Legislation signed into law on December 22, 2017 makes broad and complex changes to the U.S. tax code including, but not limited to: (1) reducing the U.S. federal rate from 35% to 21%, effective January 1, 2018; (2) eliminating the corporate alternative minimum tax (“AMT”) and changing how the credits can be realized; (3) creating new limitations on deductions for interest expense; (4) changing rules related to limitations of net operating loss (“NOL”) carryforwards, and (5) enhancing and extending through 2026 the option to claim accelerated depreciation deductions on qualified property.</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effects of new legislation are required to be recognized upon enactment. Accordingly, recognition of the tax effects of the legislation is required in the annual period that includes December 22, 2017. The Company recorded a tax benefit of $43.0 million due to a re-measurement of deferred tax assets and liabilities in fiscal year 2017.</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guidance within SAB 118, as of December 30, 2017, the Company recognized the provisional effects of the enactment of the Tax Legislation for which measurement could be reasonably estimated. Although we continue to analyze certain aspects of the new legislation and refine our assessment, the ultimate impact of the legislation may differ from these estimates due to our continued analysis or further regulatory guidance that may be issued as a result of the legislation. Adjustments to the provisional amounts recorded by the Company as of December 30, 2017 that are identified within a subsequent measurement period of up to one year from the enactment date will be included as an adjustment to tax expense from continuing operations in the period the amounts are determined.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18"/>
                <w:szCs w:val="18"/>
                <w:color w:val="auto"/>
              </w:rPr>
            </w:pPr>
          </w:p>
        </w:tc>
        <w:tc>
          <w:tcPr>
            <w:tcW w:w="208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30, 2017</w:t>
            </w:r>
          </w:p>
        </w:tc>
        <w:tc>
          <w:tcPr>
            <w:tcW w:w="320" w:type="dxa"/>
            <w:vAlign w:val="bottom"/>
          </w:tcPr>
          <w:p>
            <w:pPr>
              <w:spacing w:after="0"/>
              <w:rPr>
                <w:sz w:val="20"/>
                <w:szCs w:val="20"/>
                <w:color w:val="auto"/>
              </w:rPr>
            </w:pPr>
          </w:p>
        </w:tc>
        <w:tc>
          <w:tcPr>
            <w:tcW w:w="2080" w:type="dxa"/>
            <w:vAlign w:val="bottom"/>
          </w:tcPr>
          <w:p>
            <w:pPr>
              <w:jc w:val="right"/>
              <w:ind w:right="390"/>
              <w:spacing w:after="0"/>
              <w:rPr>
                <w:sz w:val="20"/>
                <w:szCs w:val="20"/>
                <w:color w:val="auto"/>
              </w:rPr>
            </w:pPr>
            <w:r>
              <w:rPr>
                <w:rFonts w:ascii="Arial" w:cs="Arial" w:eastAsia="Arial" w:hAnsi="Arial"/>
                <w:sz w:val="18"/>
                <w:szCs w:val="18"/>
                <w:color w:val="auto"/>
                <w:w w:val="99"/>
              </w:rPr>
              <w:t>December 31, 2016</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NOL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3,195</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AMT payment and employment credits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10,751</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reserves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Loss on equity and cost method investments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Unrealized losses on hedging instruments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9,180</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5,171</w:t>
            </w: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Subtotal</w:t>
            </w: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53,700</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allowances</w:t>
            </w: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Total net deferred tax assets</w:t>
            </w: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52,569</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3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(38,355)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(41,872)</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(120,346)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(163,847)</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(111,278)</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fiscal year end 2017, we had available U.S. federal NOL carry-forwards aggregating to $26.1 million that can be utilized to reduce future federal income taxes. If not utilized, $5.1 million, $3.3 million and $17.7 million of these carry-forward losses expire at the end of fiscal year 2020, fiscal year 2033 and fiscal year 2037, respectively. In addition, we have NOL carry-forwards in varying amounts and with varying expiration dates in various states in which we operate. We believe it is more-likely-than-not that we will realize a tax benefit for these NOL’s in the future.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fiscal year end 2017, we also have non-expiring federal and state AMT carry-forward credits and employment credits totaling $3.7 million available to offset certain future taxes.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$0.9 million deferred income tax asset for non-deductible losses that are associated with our equity method non-consolidated affiliate and a $0.3 million deferred income tax asset for capital losses associated with the impairment of a cost method investment. We do not expect to generate significant capital gains from these investments, or other sources, in the near future. Therefore, we believe it is more-likely-than-not that we will not realize a tax benefit for these deferred income tax assets, and accordingly we have established a full valuation allowance for those amounts.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our utilization of NOL carry-forwards to reduce or eliminate subsequent years’ tax obligations, our federal and a substantial number of our state income tax returns for fiscal years 2001 through 2016 remain open for examination by the tax authorities. We had no uncertain tax positions or unrecognized tax benefits as of fiscal year 2017 and fiscal year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Derivatives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party to three pay-fixed and receive-floating interest rate swap agreements to offset the variability of cash flows in LIBOR-indexed debt interest payments, subject to a 1.0% floor, attributable to changes in the benchmark interest rate from March 13, 2017 to March 13, 2021 related to its current first lien credit agreement. The fixed rates associated with the first derivative (“Derivative 1”) notional amount of $175.0 million and the second derivative (“Derivative 2”) notional amount of $225.0 million were 3.4063% and 3.5125% , respectively. The fixed rate associated with the third derivative (“Derivative 3”) notional amount of $100.0 million was 2.6000%. Derivative 1 will hedge the first amount of LIBOR-based interest payments up to its applicable notional amount and Derivative 2 will hedge the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Derivatives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next amount (i.e., the first amount not already hedged by Derivative 1) up to its applicable notional amount. Derivative 3 will hedge interest payments not already hedged by Derivatives 1 and 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cash flows of each derivative are expected to be highly effective in offsetting the changes in interest payments on a principal balance equal to the derivative’s notional amount, attributable to the hedged risk.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Other Payables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Final Maturity</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and Accrued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w w:val="95"/>
              </w:rPr>
              <w:t>AOCL, Net of</w:t>
            </w: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Notional Amount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Expenses</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Tax</w:t>
            </w:r>
          </w:p>
        </w:tc>
      </w:tr>
      <w:tr>
        <w:trPr>
          <w:trHeight w:val="27"/>
        </w:trPr>
        <w:tc>
          <w:tcPr>
            <w:tcW w:w="2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As of</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2016</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March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14,556</w:t>
            </w:r>
          </w:p>
        </w:tc>
      </w:tr>
      <w:tr>
        <w:trPr>
          <w:trHeight w:val="229"/>
        </w:trPr>
        <w:tc>
          <w:tcPr>
            <w:tcW w:w="2360" w:type="dxa"/>
            <w:vAlign w:val="bottom"/>
          </w:tcPr>
          <w:p>
            <w:pPr>
              <w:jc w:val="center"/>
              <w:spacing w:after="0"/>
              <w:rPr>
                <w:sz w:val="20"/>
                <w:szCs w:val="20"/>
                <w:color w:val="auto"/>
              </w:rPr>
            </w:pPr>
            <w:r>
              <w:rPr>
                <w:rFonts w:ascii="Arial" w:cs="Arial" w:eastAsia="Arial" w:hAnsi="Arial"/>
                <w:sz w:val="18"/>
                <w:szCs w:val="18"/>
                <w:color w:val="auto"/>
                <w:w w:val="92"/>
              </w:rPr>
              <w:t>As of</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360" w:type="dxa"/>
            <w:vAlign w:val="bottom"/>
          </w:tcPr>
          <w:p>
            <w:pPr>
              <w:jc w:val="center"/>
              <w:spacing w:after="0"/>
              <w:rPr>
                <w:sz w:val="20"/>
                <w:szCs w:val="20"/>
                <w:color w:val="auto"/>
              </w:rPr>
            </w:pPr>
            <w:r>
              <w:rPr>
                <w:rFonts w:ascii="Arial" w:cs="Arial" w:eastAsia="Arial" w:hAnsi="Arial"/>
                <w:sz w:val="18"/>
                <w:szCs w:val="18"/>
                <w:color w:val="auto"/>
                <w:w w:val="89"/>
              </w:rPr>
              <w:t>December 30, 2017</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March 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9,155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9,868</w:t>
            </w: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30, 2017, the Company expects to reclassify $7.0 million of AOCL into earnings in the next 12 months. See Note 15. “Accumulated Other Comprehensive Loss” for further detail regarding AOCL.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Equity Sponsors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certain agreements we have entered into with our equity sponsors, we recorded the following expenses:</w:t>
      </w:r>
    </w:p>
    <w:p>
      <w:pPr>
        <w:spacing w:after="0" w:line="279"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Fiscal Year</w:t>
            </w:r>
          </w:p>
        </w:tc>
        <w:tc>
          <w:tcPr>
            <w:tcW w:w="380" w:type="dxa"/>
            <w:vAlign w:val="bottom"/>
          </w:tcPr>
          <w:p>
            <w:pPr>
              <w:spacing w:after="0"/>
              <w:rPr>
                <w:sz w:val="18"/>
                <w:szCs w:val="18"/>
                <w:color w:val="auto"/>
              </w:rPr>
            </w:pPr>
          </w:p>
        </w:tc>
        <w:tc>
          <w:tcPr>
            <w:tcW w:w="1800" w:type="dxa"/>
            <w:vAlign w:val="bottom"/>
            <w:gridSpan w:val="2"/>
          </w:tcPr>
          <w:p>
            <w:pPr>
              <w:ind w:left="260"/>
              <w:spacing w:after="0"/>
              <w:rPr>
                <w:sz w:val="20"/>
                <w:szCs w:val="20"/>
                <w:color w:val="auto"/>
              </w:rPr>
            </w:pPr>
            <w:r>
              <w:rPr>
                <w:rFonts w:ascii="Arial" w:cs="Arial" w:eastAsia="Arial" w:hAnsi="Arial"/>
                <w:sz w:val="18"/>
                <w:szCs w:val="18"/>
                <w:color w:val="auto"/>
              </w:rPr>
              <w:t>Fiscal Year</w:t>
            </w:r>
          </w:p>
        </w:tc>
        <w:tc>
          <w:tcPr>
            <w:tcW w:w="380" w:type="dxa"/>
            <w:vAlign w:val="bottom"/>
          </w:tcPr>
          <w:p>
            <w:pPr>
              <w:spacing w:after="0"/>
              <w:rPr>
                <w:sz w:val="18"/>
                <w:szCs w:val="18"/>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Fiscal Year</w:t>
            </w: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color w:val="auto"/>
              </w:rPr>
              <w:t>2015</w:t>
            </w:r>
          </w:p>
        </w:tc>
      </w:tr>
      <w:tr>
        <w:trPr>
          <w:trHeight w:val="27"/>
        </w:trPr>
        <w:tc>
          <w:tcPr>
            <w:tcW w:w="2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KKR Sponsor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Berkshire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Fees paid to equity sponsors include retainer fees and certain other on-going project-oriented initiatives and are presented in SG&amp;A in the accompanying consolidated statements of operations, except KKR Sponsor fees during the fiscal year 2017 include $2.3 million presented in debt issuance costs. Fiscal year 2017 expenses also include the monitoring agreement termination fee discussed in Note 1. “Description of Business and Basis of Presentation.”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&amp; Stockholders’ Equity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 2017, the Company declared a recapitalization dividend to its stockholders. Common stockholders received a dividend per common share of $1.51. There were 110.5 million common shares outstanding and eligible for the dividend. Vested and roll-over option holders received an additional cash payment of $1.51 per option, for an aggregate payment of $3.7 million. The income tax benefit of the additional cash payment was $1.4 million. The exercise price of unvested options was reduced by $1.51 per option. Since the Company was in an accumulated deficit position on the date of declaration, according to our accounting policy the combined total cash payment of $171.0 million was recorded as a reduction to additional paid-in capital in the accompanying consolidated balance sheet.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 Net Assets of Non-Consolidated Affiliates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From time to time the Company invests in technological innovators across the optical retail industry. One of these investments is </w:t>
      </w:r>
      <w:r>
        <w:rPr>
          <w:rFonts w:ascii="Arial" w:cs="Arial" w:eastAsia="Arial" w:hAnsi="Arial"/>
          <w:sz w:val="18"/>
          <w:szCs w:val="18"/>
          <w:color w:val="252525"/>
        </w:rPr>
        <w:t>a nonconsolidated affiliate</w:t>
      </w:r>
      <w:r>
        <w:rPr>
          <w:rFonts w:ascii="Arial" w:cs="Arial" w:eastAsia="Arial" w:hAnsi="Arial"/>
          <w:sz w:val="18"/>
          <w:szCs w:val="18"/>
          <w:color w:val="auto"/>
        </w:rPr>
        <w:t xml:space="preserve"> </w:t>
      </w:r>
      <w:r>
        <w:rPr>
          <w:rFonts w:ascii="Arial" w:cs="Arial" w:eastAsia="Arial" w:hAnsi="Arial"/>
          <w:sz w:val="18"/>
          <w:szCs w:val="18"/>
          <w:color w:val="252525"/>
        </w:rPr>
        <w:t xml:space="preserve">(the “affiliate”) in which an equity ownership interest is maintained and for which the equity method of accounting is used due to our ability to exert significant influence over decisions relating to the affiliate’s operating and financial affairs. </w:t>
      </w:r>
      <w:r>
        <w:rPr>
          <w:rFonts w:ascii="Arial" w:cs="Arial" w:eastAsia="Arial" w:hAnsi="Arial"/>
          <w:sz w:val="18"/>
          <w:szCs w:val="18"/>
          <w:color w:val="000000"/>
        </w:rPr>
        <w:t>We hold a 28% equity interest in the affiliate as of fiscal year end</w:t>
      </w:r>
      <w:r>
        <w:rPr>
          <w:rFonts w:ascii="Arial" w:cs="Arial" w:eastAsia="Arial" w:hAnsi="Arial"/>
          <w:sz w:val="18"/>
          <w:szCs w:val="18"/>
          <w:color w:val="252525"/>
        </w:rPr>
        <w:t xml:space="preserve"> </w:t>
      </w:r>
      <w:r>
        <w:rPr>
          <w:rFonts w:ascii="Arial" w:cs="Arial" w:eastAsia="Arial" w:hAnsi="Arial"/>
          <w:sz w:val="18"/>
          <w:szCs w:val="18"/>
          <w:color w:val="000000"/>
        </w:rPr>
        <w:t>2017.</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52525"/>
        </w:rPr>
        <w:t xml:space="preserve">Revenues and expenses of the affiliate are not consolidated into our financial statements; rather, our proportionate share of the earnings or losses of the affiliate is reflected as equity income or loss </w:t>
      </w:r>
      <w:r>
        <w:rPr>
          <w:rFonts w:ascii="Arial" w:cs="Arial" w:eastAsia="Arial" w:hAnsi="Arial"/>
          <w:sz w:val="17"/>
          <w:szCs w:val="17"/>
          <w:color w:val="000000"/>
        </w:rPr>
        <w:t>in other expense, net in our consolidated statements of operations</w:t>
      </w:r>
      <w:r>
        <w:rPr>
          <w:rFonts w:ascii="Arial" w:cs="Arial" w:eastAsia="Arial" w:hAnsi="Arial"/>
          <w:sz w:val="17"/>
          <w:szCs w:val="17"/>
          <w:color w:val="252525"/>
        </w:rPr>
        <w:t xml:space="preserve">. We have determined that we should not consolidate our affiliate because, although it is a variable interest entity, we are not the primary beneficiary. </w:t>
      </w:r>
      <w:r>
        <w:rPr>
          <w:rFonts w:ascii="Arial" w:cs="Arial" w:eastAsia="Arial" w:hAnsi="Arial"/>
          <w:sz w:val="17"/>
          <w:szCs w:val="17"/>
          <w:color w:val="000000"/>
        </w:rPr>
        <w:t>After adjusting the carrying value of our interest</w:t>
      </w:r>
      <w:r>
        <w:rPr>
          <w:rFonts w:ascii="Arial" w:cs="Arial" w:eastAsia="Arial" w:hAnsi="Arial"/>
          <w:sz w:val="17"/>
          <w:szCs w:val="17"/>
          <w:color w:val="252525"/>
        </w:rPr>
        <w:t xml:space="preserve"> </w:t>
      </w:r>
      <w:r>
        <w:rPr>
          <w:rFonts w:ascii="Arial" w:cs="Arial" w:eastAsia="Arial" w:hAnsi="Arial"/>
          <w:sz w:val="17"/>
          <w:szCs w:val="17"/>
          <w:color w:val="000000"/>
        </w:rPr>
        <w:t>in the affiliate’s reported net losses, our investment balance in the business was $2.3 million and $3.3 million at the end of fiscal years 2017 and 2016, respectively, which is included in other assets in the accompanying consolidated balance sheets.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 Net Assets of Non-Consolidated Affiliates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 for 2017 was December 30, 2017. Our affiliate's year-end date was December 31, 2017. The Company's fiscal year end for 2015 was January 2, 2016. Our affiliate's year-end date was December 31, 2015. No material transactions occurred on December 31, 2017 or from January 1, 2016 to January 2, 2016 requiring adjustment to the our affiliate's or our results as presented in the tables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Summarized balance sheet information for our affiliate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As of</w:t>
            </w: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30, 2017</w:t>
            </w: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324"/>
        </w:trPr>
        <w:tc>
          <w:tcPr>
            <w:tcW w:w="5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324"/>
        </w:trPr>
        <w:tc>
          <w:tcPr>
            <w:tcW w:w="53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w:t>
            </w:r>
          </w:p>
        </w:tc>
        <w:tc>
          <w:tcPr>
            <w:tcW w:w="1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w w:val="94"/>
              </w:rPr>
              <w:t>Summarized income statement information for our affiliate is as follows:</w:t>
            </w: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3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3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Fiscal Year</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Fiscal Year</w:t>
            </w:r>
          </w:p>
        </w:tc>
        <w:tc>
          <w:tcPr>
            <w:tcW w:w="200" w:type="dxa"/>
            <w:vAlign w:val="bottom"/>
          </w:tcPr>
          <w:p>
            <w:pPr>
              <w:spacing w:after="0"/>
              <w:rPr>
                <w:sz w:val="24"/>
                <w:szCs w:val="24"/>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88"/>
              </w:rPr>
              <w:t>Fiscal Year</w:t>
            </w:r>
          </w:p>
        </w:tc>
        <w:tc>
          <w:tcPr>
            <w:tcW w:w="0" w:type="dxa"/>
            <w:vAlign w:val="bottom"/>
          </w:tcPr>
          <w:p>
            <w:pPr>
              <w:spacing w:after="0"/>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(3,433)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National Vision’s share of net loss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ordinary course of business we are a licensee of our affiliate. Additionally, on August 29, 2017, the affiliate issued a secured convertible promissory note to the Company, in the principal amount of $1.5 million, due on August 29, 2020. The note bears interest at a fixed rate of 5.00% with an additional variable interest component based on the base rate of the Bank of England, as published on the first day of each calendar year, which is 0.25% for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our non-consolidated affiliate included in our consolidated statements of operations and balance sheets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Fiscal Year</w:t>
            </w: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88"/>
              </w:rPr>
              <w:t>Fiscal Year</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color w:val="auto"/>
                <w:w w:val="88"/>
              </w:rPr>
              <w:t>Fiscal Year</w:t>
            </w: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760" w:type="dxa"/>
            <w:vAlign w:val="bottom"/>
          </w:tcPr>
          <w:p>
            <w:pPr>
              <w:jc w:val="center"/>
              <w:ind w:right="1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2015</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Licensing fees (SG&amp;A)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1,061</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5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29"/>
        </w:trPr>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7"/>
              </w:rPr>
              <w:t>As of</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30, 2017</w:t>
            </w: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color w:val="auto"/>
                <w:w w:val="89"/>
              </w:rPr>
              <w:t>December 31, 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182"/>
        </w:trPr>
        <w:tc>
          <w:tcPr>
            <w:tcW w:w="5380" w:type="dxa"/>
            <w:vAlign w:val="bottom"/>
          </w:tcPr>
          <w:p>
            <w:pPr>
              <w:spacing w:after="0"/>
              <w:rPr>
                <w:sz w:val="20"/>
                <w:szCs w:val="20"/>
                <w:color w:val="auto"/>
              </w:rPr>
            </w:pPr>
            <w:r>
              <w:rPr>
                <w:rFonts w:ascii="Arial" w:cs="Arial" w:eastAsia="Arial" w:hAnsi="Arial"/>
                <w:sz w:val="14"/>
                <w:szCs w:val="14"/>
                <w:color w:val="auto"/>
              </w:rPr>
              <w:t>____________</w:t>
            </w: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1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assets include loan receivable and accrued interest receivable of $1.5 million and $18.0 thousand, respectively as of December 30, 2017.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 of Financial Assets and Liabilities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and cash equivalents approximates fair value due to the short 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doubtful accounts.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First Lien Credit Agreements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under our first lien credit agreement are traded in private markets on a less-than-daily basis. Fair value is based on the average of trading prices and bid/ask quotes around period-end (Level 2 inputs). The estimated fair values of our first lien term loans were $570.2 million and $753.0 million as of fiscal year end 2017 and 2016, respectively, compared to carrying values of $557.3 million and $742.9 million, respectively, which includes the current portion, and is net of unamortized discounts and deferred debt issuance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Capital Leases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capital lease obligations is based on estimated future contractual cash flows discounted at an appropriate market rate of interest (Level 2 inputs). The estimated fair values of our capital leases were $14.0 million and $2.9 million as of fiscal year end 2017 and 2016, respectively, compared to carrying values of $12.0 million and $2.7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swaps prior to their scheduled expiration dates. The fair value was based on information that is model-driven and whose inputs were observable (Level 2 inputs). See Note 7. “Interest Rate Derivatives” for further details.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Deferred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depicts a roll-forward of deferred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00" w:type="dxa"/>
            <w:vAlign w:val="bottom"/>
            <w:gridSpan w:val="5"/>
          </w:tcPr>
          <w:p>
            <w:pPr>
              <w:ind w:left="1000"/>
              <w:spacing w:after="0"/>
              <w:rPr>
                <w:sz w:val="20"/>
                <w:szCs w:val="20"/>
                <w:color w:val="auto"/>
              </w:rPr>
            </w:pPr>
            <w:r>
              <w:rPr>
                <w:rFonts w:ascii="Arial" w:cs="Arial" w:eastAsia="Arial" w:hAnsi="Arial"/>
                <w:sz w:val="18"/>
                <w:szCs w:val="18"/>
                <w:color w:val="auto"/>
              </w:rPr>
              <w:t>Fiscal Year 2017</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Eye Care</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w w:val="99"/>
              </w:rPr>
              <w:t>Product Protection Plans</w:t>
            </w:r>
          </w:p>
        </w:tc>
        <w:tc>
          <w:tcPr>
            <w:tcW w:w="36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Clubs</w:t>
            </w:r>
          </w:p>
        </w:tc>
        <w:tc>
          <w:tcPr>
            <w:tcW w:w="18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HMO Memberships</w:t>
            </w: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year</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87,428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Sold</w:t>
            </w:r>
          </w:p>
        </w:tc>
        <w:tc>
          <w:tcPr>
            <w:tcW w:w="7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54,028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7,926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108,397</w:t>
            </w:r>
          </w:p>
        </w:tc>
      </w:tr>
      <w:tr>
        <w:trPr>
          <w:trHeight w:val="27"/>
        </w:trPr>
        <w:tc>
          <w:tcPr>
            <w:tcW w:w="3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7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(101,610)</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year</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26,731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67,430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94,215</w:t>
            </w:r>
          </w:p>
        </w:tc>
      </w:tr>
      <w:tr>
        <w:trPr>
          <w:trHeight w:val="311"/>
        </w:trPr>
        <w:tc>
          <w:tcPr>
            <w:tcW w:w="3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Current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26,312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36,627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62,993</w:t>
            </w:r>
          </w:p>
        </w:tc>
      </w:tr>
      <w:tr>
        <w:trPr>
          <w:trHeight w:val="27"/>
        </w:trPr>
        <w:tc>
          <w:tcPr>
            <w:tcW w:w="3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7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r>
      <w:tr>
        <w:trPr>
          <w:trHeight w:val="237"/>
        </w:trPr>
        <w:tc>
          <w:tcPr>
            <w:tcW w:w="334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26,731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94,215</w:t>
            </w:r>
          </w:p>
        </w:tc>
      </w:tr>
      <w:tr>
        <w:trPr>
          <w:trHeight w:val="27"/>
        </w:trPr>
        <w:tc>
          <w:tcPr>
            <w:tcW w:w="3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00" w:type="dxa"/>
            <w:vAlign w:val="bottom"/>
            <w:gridSpan w:val="5"/>
          </w:tcPr>
          <w:p>
            <w:pPr>
              <w:ind w:left="1000"/>
              <w:spacing w:after="0"/>
              <w:rPr>
                <w:sz w:val="20"/>
                <w:szCs w:val="20"/>
                <w:color w:val="auto"/>
              </w:rPr>
            </w:pPr>
            <w:r>
              <w:rPr>
                <w:rFonts w:ascii="Arial" w:cs="Arial" w:eastAsia="Arial" w:hAnsi="Arial"/>
                <w:sz w:val="18"/>
                <w:szCs w:val="18"/>
                <w:color w:val="auto"/>
              </w:rPr>
              <w:t>Fiscal Year 2016</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Eye Care</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tcPr>
          <w:p>
            <w:pPr>
              <w:ind w:left="80"/>
              <w:spacing w:after="0"/>
              <w:rPr>
                <w:sz w:val="20"/>
                <w:szCs w:val="20"/>
                <w:color w:val="auto"/>
              </w:rPr>
            </w:pPr>
            <w:r>
              <w:rPr>
                <w:rFonts w:ascii="Arial" w:cs="Arial" w:eastAsia="Arial" w:hAnsi="Arial"/>
                <w:sz w:val="18"/>
                <w:szCs w:val="18"/>
                <w:color w:val="auto"/>
                <w:w w:val="99"/>
              </w:rPr>
              <w:t>Product Protection Plans</w:t>
            </w:r>
          </w:p>
        </w:tc>
        <w:tc>
          <w:tcPr>
            <w:tcW w:w="36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Clubs</w:t>
            </w:r>
          </w:p>
        </w:tc>
        <w:tc>
          <w:tcPr>
            <w:tcW w:w="18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HMO Memberships</w:t>
            </w: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year</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77,878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Sold</w:t>
            </w:r>
          </w:p>
        </w:tc>
        <w:tc>
          <w:tcPr>
            <w:tcW w:w="7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48,021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43,767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102,703</w:t>
            </w:r>
          </w:p>
        </w:tc>
      </w:tr>
      <w:tr>
        <w:trPr>
          <w:trHeight w:val="27"/>
        </w:trPr>
        <w:tc>
          <w:tcPr>
            <w:tcW w:w="3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7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(93,153)</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year</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23,855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63,478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87,428</w:t>
            </w:r>
          </w:p>
        </w:tc>
      </w:tr>
      <w:tr>
        <w:trPr>
          <w:trHeight w:val="311"/>
        </w:trPr>
        <w:tc>
          <w:tcPr>
            <w:tcW w:w="3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Current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23,437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34,464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57,996</w:t>
            </w:r>
          </w:p>
        </w:tc>
      </w:tr>
      <w:tr>
        <w:trPr>
          <w:trHeight w:val="27"/>
        </w:trPr>
        <w:tc>
          <w:tcPr>
            <w:tcW w:w="3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7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29,432</w:t>
            </w:r>
          </w:p>
        </w:tc>
      </w:tr>
      <w:tr>
        <w:trPr>
          <w:trHeight w:val="237"/>
        </w:trPr>
        <w:tc>
          <w:tcPr>
            <w:tcW w:w="334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23,855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87,428</w:t>
            </w:r>
          </w:p>
        </w:tc>
      </w:tr>
      <w:tr>
        <w:trPr>
          <w:trHeight w:val="27"/>
        </w:trPr>
        <w:tc>
          <w:tcPr>
            <w:tcW w:w="3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gridSpan w:val="5"/>
          </w:tcPr>
          <w:p>
            <w:pPr>
              <w:jc w:val="right"/>
              <w:ind w:right="390"/>
              <w:spacing w:after="0"/>
              <w:rPr>
                <w:sz w:val="20"/>
                <w:szCs w:val="20"/>
                <w:color w:val="auto"/>
              </w:rPr>
            </w:pPr>
            <w:r>
              <w:rPr>
                <w:rFonts w:ascii="Arial" w:cs="Arial" w:eastAsia="Arial" w:hAnsi="Arial"/>
                <w:sz w:val="18"/>
                <w:szCs w:val="18"/>
                <w:color w:val="auto"/>
                <w:w w:val="90"/>
              </w:rPr>
              <w:t>Deferred revenue recorded as of fiscal year end 2017 is expected to be reflected in future operating results as follows: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04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24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43"/>
        </w:trPr>
        <w:tc>
          <w:tcPr>
            <w:tcW w:w="3720" w:type="dxa"/>
            <w:vAlign w:val="bottom"/>
            <w:gridSpan w:val="2"/>
          </w:tcPr>
          <w:p>
            <w:pPr>
              <w:ind w:left="1060"/>
              <w:spacing w:after="0"/>
              <w:rPr>
                <w:sz w:val="20"/>
                <w:szCs w:val="20"/>
                <w:color w:val="auto"/>
              </w:rPr>
            </w:pPr>
            <w:r>
              <w:rPr>
                <w:rFonts w:ascii="Arial" w:cs="Arial" w:eastAsia="Arial" w:hAnsi="Arial"/>
                <w:sz w:val="18"/>
                <w:szCs w:val="18"/>
                <w:color w:val="auto"/>
              </w:rPr>
              <w:t>2019</w:t>
            </w:r>
          </w:p>
        </w:tc>
        <w:tc>
          <w:tcPr>
            <w:tcW w:w="4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23,021</w:t>
            </w:r>
          </w:p>
        </w:tc>
        <w:tc>
          <w:tcPr>
            <w:tcW w:w="0" w:type="dxa"/>
            <w:vAlign w:val="bottom"/>
          </w:tcPr>
          <w:p>
            <w:pPr>
              <w:spacing w:after="0"/>
              <w:rPr>
                <w:sz w:val="1"/>
                <w:szCs w:val="1"/>
                <w:color w:val="auto"/>
              </w:rPr>
            </w:pPr>
          </w:p>
        </w:tc>
      </w:tr>
      <w:tr>
        <w:trPr>
          <w:trHeight w:val="27"/>
        </w:trPr>
        <w:tc>
          <w:tcPr>
            <w:tcW w:w="3720" w:type="dxa"/>
            <w:vAlign w:val="bottom"/>
            <w:gridSpan w:val="2"/>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43"/>
        </w:trPr>
        <w:tc>
          <w:tcPr>
            <w:tcW w:w="3720" w:type="dxa"/>
            <w:vAlign w:val="bottom"/>
            <w:gridSpan w:val="2"/>
          </w:tcPr>
          <w:p>
            <w:pPr>
              <w:ind w:left="1060"/>
              <w:spacing w:after="0"/>
              <w:rPr>
                <w:sz w:val="20"/>
                <w:szCs w:val="20"/>
                <w:color w:val="auto"/>
              </w:rPr>
            </w:pPr>
            <w:r>
              <w:rPr>
                <w:rFonts w:ascii="Arial" w:cs="Arial" w:eastAsia="Arial" w:hAnsi="Arial"/>
                <w:sz w:val="18"/>
                <w:szCs w:val="18"/>
                <w:color w:val="auto"/>
              </w:rPr>
              <w:t>2021</w:t>
            </w:r>
          </w:p>
        </w:tc>
        <w:tc>
          <w:tcPr>
            <w:tcW w:w="4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3720" w:type="dxa"/>
            <w:vAlign w:val="bottom"/>
            <w:gridSpan w:val="2"/>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00" w:type="dxa"/>
            <w:vAlign w:val="bottom"/>
            <w:gridSpan w:val="2"/>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94,215</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600" w:type="dxa"/>
            <w:vAlign w:val="bottom"/>
            <w:vMerge w:val="restart"/>
          </w:tcPr>
          <w:p>
            <w:pPr>
              <w:jc w:val="right"/>
              <w:ind w:right="239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rental expenses related to operating leases were approximately $77.1 million, $69.7 million, and $60.4 million in the fiscal years ended 2017, 2016 and 2015, respectively. Total rental expense includes percentage rent of approximately $6.1 million, $6.3 million, and $4.6 million during the fiscal years ended 2017, 2016 and 2015,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fiscal year end 2017, aggregate future minimum rental payments under our operating leases are as follows:</w:t>
      </w:r>
    </w:p>
    <w:p>
      <w:pPr>
        <w:spacing w:after="0" w:line="27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5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7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81,939</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73,745</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60,843</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46,574</w:t>
            </w: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34,782</w:t>
            </w:r>
          </w:p>
        </w:tc>
      </w:tr>
      <w:tr>
        <w:trPr>
          <w:trHeight w:val="243"/>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86,151</w:t>
            </w: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384,034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Agreements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multi-year marketing agreement with a term from January 2017 through December 2019, with no renewal provision. The Company has committed to pay a total fee of $9.9 million over the term of the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18"/>
                <w:szCs w:val="18"/>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Fiscal Year</w:t>
            </w: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600" w:type="dxa"/>
            <w:vAlign w:val="bottom"/>
          </w:tcPr>
          <w:p>
            <w:pPr>
              <w:jc w:val="right"/>
              <w:ind w:right="7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2016</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obligation</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26,806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23,857</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End of year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1,343</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sponsors a 401(k) plan into which employees may defer a portion of their wages. We match a portion of such deferred wages. The expense for the plan was $3.1 million, $2.6 million, and $2.2 million in the fiscal years ended 2017, 2016 and 2015, respectively. Expense associated with our 401(k) plan is presented in SG&amp;A in the accompanying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29, 2016, FirstSight,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FirstSight participated in arrangements that caused the illegal delivery of eye examinations to the plaintiffs, and that FirstSight thereby violated, among other statutes, the Unfair Competition and False Advertising laws of California. In March 2017, the Court granted a motion to dismiss previously filed by FirstSight. The plaintiffs have appealed to the U.S. Court of Appeals for the Ninth Circuit. The Company believes that the claim against it is without merit and intends to vigorously defend the litigation.</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2017, a complaint (the “1-800 Contacts Matter”) was filed against the Company and other defendants alleging, on behalf of a proposed class of consumers who purchased contact lenses online, that 1-800 Contacts, Inc. entered into a series of agreements with the other defendants, including AC Lens, the Company’s subsidiary, to suppress certain online advertising and that each defendant thereby engaged in anticompetitive conduct in violation of the Sherman Antitrust Act. The Company has settled the 1-800 Contacts Matter for $7.0 million, without admitting liability. Accordingly, the Company recorded a charge for this amount in litigation settlement in the accompanying consolidated statement of operations during the second quarter of fiscal year 2017.</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with the terms of the settlement agreement and any further order of the court.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exercise of stock options and vesting of restricted stock units. Potentially dilutive securities are excluded from the computation of diluted EPS if their effect is anti-dilutive. A reconciliation of the numerators and denominators of the basic and diluted EPS calculations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Fiscal Year</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w:t>
            </w: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basic EPS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59,895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55,962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for diluted EPS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Anti-dilutive options outstanding excluded from EPS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887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 (continued)</w:t>
      </w:r>
    </w:p>
    <w:p>
      <w:pPr>
        <w:spacing w:after="0" w:line="256" w:lineRule="exact"/>
        <w:rPr>
          <w:rFonts w:ascii="Arial" w:cs="Arial" w:eastAsia="Arial" w:hAnsi="Arial"/>
          <w:sz w:val="18"/>
          <w:szCs w:val="18"/>
          <w:b w:val="1"/>
          <w:bCs w:val="1"/>
          <w:color w:val="auto"/>
        </w:rPr>
      </w:pPr>
    </w:p>
    <w:p>
      <w:pPr>
        <w:jc w:val="both"/>
        <w:ind w:left="660" w:hanging="328"/>
        <w:spacing w:after="0" w:line="255"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primarily feature independent optometrists to perform eye exams and on-site laboratories. Our two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Legacy - The Company manages the operations of, and supplies inventory and lab processing services to, 227 legacy retail vision centers. Under our legacy agreements, our responsibilities include development of annual operating budgets, providing managers and staff at each location, training personnel, ordering and maintaining merchandise inventory at the locations, providing sales receipts to customers, and owning and maintaining store furniture, fixtures and equipment.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During fiscal year 2017, sales associated with our legacy partner arrangement represented 11.2% of consolidated net revenue. This exposes us to concentration of customer risk.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Revenues associated with managing operations of our legacy partner were $36.7 million, $38.3 million and $40.6 million for fiscal years ended 2017, 2016 and 2015, respectively.</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“Corporate/Other” category includes the results of operations of our other operating segments AC Lens, FirstSight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operating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Revenues from the Corporate/Other segments are attributable to the AC Lens and FirstSight operating segments and the Company’s corporate function. AC Lens sells contact lenses and optical accessory products to retail customers through e-commerce. AC Lens also distributes contact lenses to Walmart and Sam’s Club under fee for services arrangements. FirstSight issues individual vision care benefit plans in connection with our America’s Best operations in California, issues individual vision care benefit plans in connection with our America’s Best operations in California, provides or arranges for the provision of optometric services at almost all of the optometric offices next to Walmart and Sam’s Club stores in California and also sells contact lenses to its members in certain locations. None of those segments met the quantitative thresholds for determining reportable segments for any of the periods presented.</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reportable segment profit measure is earnings before interest, tax, depreciation and amortization (“EBITDA”), excluding asset impairment, debt issuance costs, litigation settlement, and other expense, net.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consolidated financial statements, except for net revenue, which is presented on a cash basis, excluding the effects of unearned and deferred revenue, consistent with what the CODM regularly reviews. Asset information is not included in the following summary since the CODM does not regularly review such information for the reportable segments. In addition, impairments are treated in the same manner and are not presented in the reportable segment columns. See Note 1. “Business and Significant Accounting Policies” for discussion regarding retail store long-lived assets and Note 3. “Goodwill and Intangible Assets” for discussion regarding goodwill on a reportable segment level.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w w:val="90"/>
              </w:rPr>
              <w:t>Fiscal Year 2017</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1,129,313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190,701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49,955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245,995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1,375,308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248,548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48,275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456,078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180,888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402,239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170,362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597,924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234,566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36,238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123,824</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55,536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auto"/>
                <w:w w:val="90"/>
              </w:rPr>
              <w:t>Fiscal Year 2016</w:t>
            </w: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980,953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158,667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48,592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215,242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1,196,195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212,208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48,097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390,369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127,904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154,412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340,112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146,255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544,781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343,838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205,458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39,678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118,377</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51,993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39,092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ind w:right="7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4"/>
          </w:tcPr>
          <w:p>
            <w:pPr>
              <w:ind w:left="220"/>
              <w:spacing w:after="0"/>
              <w:rPr>
                <w:sz w:val="20"/>
                <w:szCs w:val="20"/>
                <w:color w:val="auto"/>
              </w:rPr>
            </w:pPr>
            <w:r>
              <w:rPr>
                <w:rFonts w:ascii="Arial" w:cs="Arial" w:eastAsia="Arial" w:hAnsi="Arial"/>
                <w:sz w:val="18"/>
                <w:szCs w:val="18"/>
                <w:color w:val="auto"/>
                <w:w w:val="88"/>
              </w:rPr>
              <w:t>Fiscal Year 2015</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Legacy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color w:val="auto"/>
              </w:rPr>
              <w:t>Corporate/Other</w:t>
            </w:r>
          </w:p>
        </w:tc>
        <w:tc>
          <w:tcPr>
            <w:tcW w:w="20" w:type="dxa"/>
            <w:vAlign w:val="bottom"/>
          </w:tcPr>
          <w:p>
            <w:pPr>
              <w:spacing w:after="0"/>
              <w:rPr>
                <w:sz w:val="20"/>
                <w:szCs w:val="20"/>
                <w:color w:val="auto"/>
              </w:rPr>
            </w:pPr>
          </w:p>
        </w:tc>
        <w:tc>
          <w:tcPr>
            <w:tcW w:w="1700" w:type="dxa"/>
            <w:vAlign w:val="bottom"/>
            <w:gridSpan w:val="4"/>
          </w:tcPr>
          <w:p>
            <w:pPr>
              <w:jc w:val="right"/>
              <w:ind w:right="190"/>
              <w:spacing w:after="0"/>
              <w:rPr>
                <w:sz w:val="20"/>
                <w:szCs w:val="20"/>
                <w:color w:val="auto"/>
              </w:rPr>
            </w:pPr>
            <w:r>
              <w:rPr>
                <w:rFonts w:ascii="Arial" w:cs="Arial" w:eastAsia="Arial" w:hAnsi="Arial"/>
                <w:sz w:val="18"/>
                <w:szCs w:val="18"/>
                <w:color w:val="auto"/>
              </w:rPr>
              <w:t>Reconciliations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104,218</w:t>
            </w:r>
          </w:p>
        </w:tc>
        <w:tc>
          <w:tcPr>
            <w:tcW w:w="74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145,794</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870,463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136,480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50,795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18,468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(13,678)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192,065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759,325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164,262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(16,072)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1,062,528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180,847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49,701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123,771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353,894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111,383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15,064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137,206</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292,230</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60,460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138,835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491,100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293,700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127,429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474,053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7,716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2,551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173,395</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7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(113,182)</w:t>
            </w: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(15,647)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86,195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36,741</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i w:val="1"/>
                <w:iCs w:val="1"/>
                <w:color w:val="auto"/>
                <w:w w:val="99"/>
              </w:rPr>
              <w:t>Consolidated Net Product Revenue Information</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7"/>
          </w:tcPr>
          <w:p>
            <w:pPr>
              <w:spacing w:after="0"/>
              <w:rPr>
                <w:sz w:val="20"/>
                <w:szCs w:val="20"/>
                <w:color w:val="auto"/>
              </w:rPr>
            </w:pPr>
            <w:r>
              <w:rPr>
                <w:rFonts w:ascii="Arial" w:cs="Arial" w:eastAsia="Arial" w:hAnsi="Arial"/>
                <w:sz w:val="18"/>
                <w:szCs w:val="18"/>
                <w:color w:val="auto"/>
              </w:rPr>
              <w:t>The following table presents our consolidated net product revenue information: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4"/>
          </w:tcPr>
          <w:p>
            <w:pPr>
              <w:jc w:val="right"/>
              <w:ind w:right="490"/>
              <w:spacing w:after="0"/>
              <w:rPr>
                <w:sz w:val="20"/>
                <w:szCs w:val="20"/>
                <w:color w:val="auto"/>
              </w:rPr>
            </w:pPr>
            <w:r>
              <w:rPr>
                <w:rFonts w:ascii="Arial" w:cs="Arial" w:eastAsia="Arial" w:hAnsi="Arial"/>
                <w:sz w:val="18"/>
                <w:szCs w:val="18"/>
                <w:color w:val="auto"/>
              </w:rPr>
              <w:t>Fiscal Year</w:t>
            </w:r>
          </w:p>
        </w:tc>
        <w:tc>
          <w:tcPr>
            <w:tcW w:w="100" w:type="dxa"/>
            <w:vAlign w:val="bottom"/>
          </w:tcPr>
          <w:p>
            <w:pPr>
              <w:spacing w:after="0"/>
              <w:rPr>
                <w:sz w:val="24"/>
                <w:szCs w:val="24"/>
                <w:color w:val="auto"/>
              </w:rPr>
            </w:pPr>
          </w:p>
        </w:tc>
        <w:tc>
          <w:tcPr>
            <w:tcW w:w="1840" w:type="dxa"/>
            <w:vAlign w:val="bottom"/>
            <w:gridSpan w:val="4"/>
          </w:tcPr>
          <w:p>
            <w:pPr>
              <w:jc w:val="right"/>
              <w:ind w:right="370"/>
              <w:spacing w:after="0"/>
              <w:rPr>
                <w:sz w:val="20"/>
                <w:szCs w:val="20"/>
                <w:color w:val="auto"/>
              </w:rPr>
            </w:pPr>
            <w:r>
              <w:rPr>
                <w:rFonts w:ascii="Arial" w:cs="Arial" w:eastAsia="Arial" w:hAnsi="Arial"/>
                <w:sz w:val="18"/>
                <w:szCs w:val="18"/>
                <w:color w:val="auto"/>
              </w:rPr>
              <w:t>Fiscal Year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gridSpan w:val="3"/>
          </w:tcPr>
          <w:p>
            <w:pPr>
              <w:jc w:val="right"/>
              <w:ind w:right="470"/>
              <w:spacing w:after="0"/>
              <w:rPr>
                <w:sz w:val="20"/>
                <w:szCs w:val="20"/>
                <w:color w:val="auto"/>
              </w:rPr>
            </w:pPr>
            <w:r>
              <w:rPr>
                <w:rFonts w:ascii="Arial" w:cs="Arial" w:eastAsia="Arial" w:hAnsi="Arial"/>
                <w:sz w:val="18"/>
                <w:szCs w:val="18"/>
                <w:color w:val="auto"/>
                <w:w w:val="99"/>
              </w:rPr>
              <w:t>Fiscal Year</w:t>
            </w: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5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color w:val="auto"/>
                <w:w w:val="99"/>
              </w:rPr>
              <w:t>2015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Product Sales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Eyeglasses and sunglasses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w w:val="95"/>
              </w:rPr>
              <w:t>763,268</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663,253</w:t>
            </w:r>
          </w:p>
        </w:tc>
        <w:tc>
          <w:tcPr>
            <w:tcW w:w="66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574,969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Contact lenses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358,808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310,322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288,570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Accessories and other</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7,237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product revenues</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1,129,313</w:t>
            </w:r>
          </w:p>
        </w:tc>
        <w:tc>
          <w:tcPr>
            <w:tcW w:w="8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980,953</w:t>
            </w:r>
          </w:p>
        </w:tc>
        <w:tc>
          <w:tcPr>
            <w:tcW w:w="6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870,463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Cumulative unrealized losses on the Company’s cash flow hedge derivative instruments are recorded in AOCL. The following table presents the change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AOCL, net of tax during the fiscal years 2017, 2016, and 2015,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18"/>
                <w:szCs w:val="18"/>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Fiscal Year</w:t>
            </w: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620" w:type="dxa"/>
            <w:vAlign w:val="bottom"/>
          </w:tcPr>
          <w:p>
            <w:pPr>
              <w:jc w:val="right"/>
              <w:ind w:right="7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2015</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hedging activity</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(7,056)</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before reclassification</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(7,065)</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Tax effect of other comprehensive loss before reclassification</w:t>
            </w:r>
          </w:p>
        </w:tc>
        <w:tc>
          <w:tcPr>
            <w:tcW w:w="3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2,837</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 reclassified from AOCL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Tax effect of amount reclassified from AOCL</w:t>
            </w:r>
          </w:p>
        </w:tc>
        <w:tc>
          <w:tcPr>
            <w:tcW w:w="3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Net current period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end of fiscal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(11,284)</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Amounts reclassified from AOCL to earnings are included in interest expense, net in the accompanying consolidated statements of operations.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Information (Unaudited)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quarterly financial information reflects all normal and recurring accruals and adjustments necessary for a fair presentation of net income for interim periods. Quarterly results are not necessarily indicative of a full year’s operations because of various factors. The following tables present unaudited quarterly financial information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920"/>
              <w:spacing w:after="0"/>
              <w:rPr>
                <w:sz w:val="20"/>
                <w:szCs w:val="20"/>
                <w:color w:val="auto"/>
              </w:rPr>
            </w:pPr>
            <w:r>
              <w:rPr>
                <w:rFonts w:ascii="Arial" w:cs="Arial" w:eastAsia="Arial" w:hAnsi="Arial"/>
                <w:sz w:val="18"/>
                <w:szCs w:val="18"/>
                <w:color w:val="auto"/>
              </w:rPr>
              <w:t>Fiscal Year 2017</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Fourth Quarter</w:t>
            </w:r>
          </w:p>
        </w:tc>
        <w:tc>
          <w:tcPr>
            <w:tcW w:w="22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Third Quarter</w:t>
            </w:r>
          </w:p>
        </w:tc>
        <w:tc>
          <w:tcPr>
            <w:tcW w:w="220" w:type="dxa"/>
            <w:vAlign w:val="bottom"/>
          </w:tcPr>
          <w:p>
            <w:pPr>
              <w:spacing w:after="0"/>
              <w:rPr>
                <w:sz w:val="19"/>
                <w:szCs w:val="19"/>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Second Quarter</w:t>
            </w:r>
          </w:p>
        </w:tc>
        <w:tc>
          <w:tcPr>
            <w:tcW w:w="260" w:type="dxa"/>
            <w:vAlign w:val="bottom"/>
          </w:tcPr>
          <w:p>
            <w:pPr>
              <w:spacing w:after="0"/>
              <w:rPr>
                <w:sz w:val="19"/>
                <w:szCs w:val="19"/>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3"/>
              </w:rPr>
              <w:t>First Quarter</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color w:val="auto"/>
                <w:w w:val="88"/>
              </w:rPr>
              <w:t>Ended</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30,</w:t>
            </w:r>
          </w:p>
        </w:tc>
        <w:tc>
          <w:tcPr>
            <w:tcW w:w="2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July 1,</w:t>
            </w:r>
          </w:p>
        </w:tc>
        <w:tc>
          <w:tcPr>
            <w:tcW w:w="2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9"/>
              </w:rPr>
              <w:t>April 1,</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w:t>
            </w:r>
          </w:p>
        </w:tc>
        <w:tc>
          <w:tcPr>
            <w:tcW w:w="2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89"/>
              </w:rPr>
              <w:t>2017</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369,859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(2,818)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13,772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39,722</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3"/>
              </w:rPr>
              <w:t>Weighted-average shares used in computing basic EPS</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70,454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56,414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56,261</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Weighted-average shares used in computing diluted EPS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57,934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Basic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486"/>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5"/>
          </w:tcPr>
          <w:p>
            <w:pPr>
              <w:ind w:left="920"/>
              <w:spacing w:after="0"/>
              <w:rPr>
                <w:sz w:val="20"/>
                <w:szCs w:val="20"/>
                <w:color w:val="auto"/>
              </w:rPr>
            </w:pPr>
            <w:r>
              <w:rPr>
                <w:rFonts w:ascii="Arial" w:cs="Arial" w:eastAsia="Arial" w:hAnsi="Arial"/>
                <w:sz w:val="18"/>
                <w:szCs w:val="18"/>
                <w:color w:val="auto"/>
              </w:rPr>
              <w:t>Fiscal Year 2016</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Fourth Quarter</w:t>
            </w:r>
          </w:p>
        </w:tc>
        <w:tc>
          <w:tcPr>
            <w:tcW w:w="22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Third Quarter</w:t>
            </w:r>
          </w:p>
        </w:tc>
        <w:tc>
          <w:tcPr>
            <w:tcW w:w="220" w:type="dxa"/>
            <w:vAlign w:val="bottom"/>
          </w:tcPr>
          <w:p>
            <w:pPr>
              <w:spacing w:after="0"/>
              <w:rPr>
                <w:sz w:val="19"/>
                <w:szCs w:val="19"/>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Second Quarter</w:t>
            </w:r>
          </w:p>
        </w:tc>
        <w:tc>
          <w:tcPr>
            <w:tcW w:w="260" w:type="dxa"/>
            <w:vAlign w:val="bottom"/>
          </w:tcPr>
          <w:p>
            <w:pPr>
              <w:spacing w:after="0"/>
              <w:rPr>
                <w:sz w:val="19"/>
                <w:szCs w:val="19"/>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3"/>
              </w:rPr>
              <w:t>First Quarter</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2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color w:val="auto"/>
                <w:w w:val="88"/>
              </w:rPr>
              <w:t>Ended</w:t>
            </w: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31,</w:t>
            </w:r>
          </w:p>
        </w:tc>
        <w:tc>
          <w:tcPr>
            <w:tcW w:w="2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October 1,</w:t>
            </w: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July 2,</w:t>
            </w:r>
          </w:p>
        </w:tc>
        <w:tc>
          <w:tcPr>
            <w:tcW w:w="2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9"/>
              </w:rPr>
              <w:t>April 2,</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w:t>
            </w:r>
          </w:p>
        </w:tc>
        <w:tc>
          <w:tcPr>
            <w:tcW w:w="2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89"/>
              </w:rPr>
              <w:t>2016</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326,809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15,737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39,685</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3"/>
              </w:rPr>
              <w:t>Weighted-average shares used in computing basic EPS</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56,210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56,210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56,107</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Weighted-average shares used in computing diluted EPS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Basic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891"/>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785"/>
        </w:trPr>
        <w:tc>
          <w:tcPr>
            <w:tcW w:w="1280" w:type="dxa"/>
            <w:vAlign w:val="bottom"/>
            <w:tcBorders>
              <w:top w:val="single" w:sz="8" w:color="0000EE"/>
            </w:tcBorders>
          </w:tcPr>
          <w:p>
            <w:pPr>
              <w:spacing w:after="0"/>
              <w:rPr>
                <w:sz w:val="24"/>
                <w:szCs w:val="24"/>
                <w:color w:val="auto"/>
              </w:rPr>
            </w:pPr>
          </w:p>
        </w:tc>
        <w:tc>
          <w:tcPr>
            <w:tcW w:w="786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86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w w:val="91"/>
              </w:rPr>
              <w:t>National Vision Holdings, Inc. and Subsidiaries (Parent Company Only)</w:t>
            </w: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5460" w:type="dxa"/>
            <w:vAlign w:val="bottom"/>
          </w:tcPr>
          <w:p>
            <w:pPr>
              <w:jc w:val="center"/>
              <w:ind w:left="3330"/>
              <w:spacing w:after="0"/>
              <w:rPr>
                <w:sz w:val="20"/>
                <w:szCs w:val="20"/>
                <w:color w:val="auto"/>
              </w:rPr>
            </w:pPr>
            <w:r>
              <w:rPr>
                <w:rFonts w:ascii="Arial" w:cs="Arial" w:eastAsia="Arial" w:hAnsi="Arial"/>
                <w:sz w:val="18"/>
                <w:szCs w:val="18"/>
                <w:b w:val="1"/>
                <w:bCs w:val="1"/>
                <w:color w:val="auto"/>
                <w:w w:val="86"/>
              </w:rPr>
              <w:t>Condensed Balance Sheets</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5740" w:type="dxa"/>
            <w:vAlign w:val="bottom"/>
            <w:gridSpan w:val="2"/>
          </w:tcPr>
          <w:p>
            <w:pPr>
              <w:jc w:val="center"/>
              <w:ind w:left="3050"/>
              <w:spacing w:after="0"/>
              <w:rPr>
                <w:sz w:val="20"/>
                <w:szCs w:val="20"/>
                <w:color w:val="auto"/>
              </w:rPr>
            </w:pPr>
            <w:r>
              <w:rPr>
                <w:rFonts w:ascii="Arial" w:cs="Arial" w:eastAsia="Arial" w:hAnsi="Arial"/>
                <w:sz w:val="18"/>
                <w:szCs w:val="18"/>
                <w:i w:val="1"/>
                <w:iCs w:val="1"/>
                <w:color w:val="auto"/>
                <w:w w:val="89"/>
              </w:rPr>
              <w:t>In Thousands, Except Par Value</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As of</w:t>
            </w:r>
          </w:p>
        </w:tc>
        <w:tc>
          <w:tcPr>
            <w:tcW w:w="280" w:type="dxa"/>
            <w:vAlign w:val="bottom"/>
          </w:tcPr>
          <w:p>
            <w:pPr>
              <w:spacing w:after="0"/>
              <w:rPr>
                <w:sz w:val="24"/>
                <w:szCs w:val="24"/>
                <w:color w:val="auto"/>
              </w:rPr>
            </w:pPr>
          </w:p>
        </w:tc>
        <w:tc>
          <w:tcPr>
            <w:tcW w:w="2000" w:type="dxa"/>
            <w:vAlign w:val="bottom"/>
          </w:tcPr>
          <w:p>
            <w:pPr>
              <w:jc w:val="right"/>
              <w:ind w:right="850"/>
              <w:spacing w:after="0"/>
              <w:rPr>
                <w:sz w:val="20"/>
                <w:szCs w:val="20"/>
                <w:color w:val="auto"/>
              </w:rPr>
            </w:pPr>
            <w:r>
              <w:rPr>
                <w:rFonts w:ascii="Arial" w:cs="Arial" w:eastAsia="Arial" w:hAnsi="Arial"/>
                <w:sz w:val="18"/>
                <w:szCs w:val="18"/>
                <w:color w:val="auto"/>
              </w:rPr>
              <w:t>As of</w:t>
            </w:r>
          </w:p>
        </w:tc>
      </w:tr>
      <w:tr>
        <w:trPr>
          <w:trHeight w:val="230"/>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December 30, 2017</w:t>
            </w:r>
          </w:p>
        </w:tc>
        <w:tc>
          <w:tcPr>
            <w:tcW w:w="28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color w:val="auto"/>
                <w:w w:val="97"/>
              </w:rPr>
              <w:t>December 31, 2016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659,536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401,704</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non-current assets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659,840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401,916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659,863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401,928</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32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Common stock, $0.01 par value; 200,000 shares authorized; 74,654 and 56,202 shares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issued and outstanding as of December 30, 2017 and December 31, 2016,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631,798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424,789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Retained earnings (accumulated deficit)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37,145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(8,675)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Treasury stock, at cost; 28 shares as of December 30, 2017 and December 31, 2016</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659,588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401,887</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659,863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401,928</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08"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18"/>
                <w:szCs w:val="18"/>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Fiscal Year</w:t>
            </w:r>
          </w:p>
        </w:tc>
      </w:tr>
      <w:tr>
        <w:trPr>
          <w:trHeight w:val="230"/>
        </w:trPr>
        <w:tc>
          <w:tcPr>
            <w:tcW w:w="5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right"/>
              <w:ind w:right="7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2015</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applicable to revenue</w:t>
            </w:r>
          </w:p>
        </w:tc>
        <w:tc>
          <w:tcPr>
            <w:tcW w:w="34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Loss before equity in net income of subsidiaries</w:t>
            </w:r>
          </w:p>
        </w:tc>
        <w:tc>
          <w:tcPr>
            <w:tcW w:w="3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of subsidiaries</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45,820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14,758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3,617</w:t>
            </w:r>
          </w:p>
        </w:tc>
      </w:tr>
      <w:tr>
        <w:trPr>
          <w:trHeight w:val="311"/>
        </w:trPr>
        <w:tc>
          <w:tcPr>
            <w:tcW w:w="5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Change in unrealized gain (loss) on hedge instruments</w:t>
            </w:r>
          </w:p>
        </w:tc>
        <w:tc>
          <w:tcPr>
            <w:tcW w:w="3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(7,065)</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Tax (provision) benefit of change in unrealized gain (loss) on hedge</w:t>
            </w: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50,508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color w:val="auto"/>
              </w:rPr>
              <w:t>Fiscal Year</w:t>
            </w:r>
          </w:p>
        </w:tc>
        <w:tc>
          <w:tcPr>
            <w:tcW w:w="32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Fiscal Year</w:t>
            </w:r>
          </w:p>
        </w:tc>
      </w:tr>
      <w:tr>
        <w:trPr>
          <w:trHeight w:val="230"/>
        </w:trPr>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color w:val="auto"/>
              </w:rPr>
              <w:t>2015</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cash provided by (used for)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Dividend from subsidiary</w:t>
            </w: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170,983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145,667</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144,486</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1,762</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Dividend to stockholders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(170,983)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(145,667)</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202,041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(143,391)</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Guarantees and Restrictions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 2017, the Company declared a recapitalization dividend to its stockholders. The dividend was funded with $175.0 million in new term loans under NVI’s first lien credit agreement.</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described in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xml:space="preserve"> section included in Note 1. “Description of Business and Basis of Presentation,” to the NVHI consolidated financial statements, NVI used proceeds from the NVHI IPO to repay all $125.0 million outstanding aggregate amount of its second lien term loans and approximately $235.0 million of the outstanding amount of its first lien term loans and accrued and unpaid interest thereon. As of December 30, 2017, NVI had $568.6 million of principal amount of long-term debt outstanding under its first lien term loans. Pursuant to the joinder and amendment agreements, as described in Note 4. “Long-term Debt,” to the NVHI consolidated financial statements, the first lien credit agreement also provides for up to $100.0 million in revolving loans (“revolving credit facility”). As of fiscal year end 2017, NVI had no outstanding revolving loan obligations and had $11.2 million in outstanding letters of credit related to the revolving credit facility.</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first lien credit agreement contains covenants that, among other things, limit NVI’s ability to incur additional debt, create liens against our assets, make acquisitions, pay dividends or distributions on our stock, merge or consolidate with another entity, and transfer or sell assets. Under the agreement, provided no event of default has occurred and is continuing, NVI is permitted to pay dividends to NVHI with certain restrictions as stated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CEO and our CFO, evaluated the effectiveness of the design and operation of our disclosure controls and procedures as of the end of the period covered by this Form 10-K. Based on their evaluation, our CEO and CFO concluded that, because the previously identified material weaknesses in our internal control over financial reporting described below had not been remediated by the end of the period covered by this Form 10-K, our disclosure controls and procedures were not effective as of the end of the period covered by this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and Status of Material Weakness Remediation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our prospectus, dated October 25, 2017 filed with the SEC on October 27, 2017, we had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Remediation Plan </w:t>
      </w:r>
      <w:r>
        <w:rPr>
          <w:rFonts w:ascii="Arial" w:cs="Arial" w:eastAsia="Arial" w:hAnsi="Arial"/>
          <w:sz w:val="18"/>
          <w:szCs w:val="18"/>
          <w:color w:val="auto"/>
        </w:rPr>
        <w:t>- We have designed and are implementing controls to remediate these material weaknesses, which include the following new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and internal controls:</w:t>
      </w:r>
    </w:p>
    <w:p>
      <w:pPr>
        <w:spacing w:after="0" w:line="62" w:lineRule="exact"/>
        <w:rPr>
          <w:sz w:val="20"/>
          <w:szCs w:val="20"/>
          <w:color w:val="auto"/>
        </w:rPr>
      </w:pPr>
    </w:p>
    <w:p>
      <w:pPr>
        <w:jc w:val="both"/>
        <w:ind w:left="66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Removed higher obsolescence risk contact lenses from our stores to our Distribution Center in order to better manage inventory turns and related obsolescence potential and established a policy requiring stores to return all contact lenses expiring within the next twelve months to our central distribution center.</w:t>
      </w:r>
    </w:p>
    <w:p>
      <w:pPr>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Changed our store inventory observation procedures to monitor the compliance with the policy described above, in order to allow for the Company to sell or exchange products with respective vendors for newer products with similar value.</w:t>
      </w:r>
    </w:p>
    <w:p>
      <w:pPr>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Implemented an automated reporting system to report financial results consistent with Regulation S-X and to provide reconciliations between internal and external reporting, highlighting any changes in reporting and business requirements.</w:t>
      </w:r>
    </w:p>
    <w:p>
      <w:pPr>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Established a disclosure committee, consisting of certain key members of management, to assist in formalizing our disclosure, risk assessment, internal controls and procedures.</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Established an internal audit department that reports directly to the Audit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Added additional resources to enhance the overall control environment.</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maintaining a strong internal control environment, and we expect to continue our efforts to remediate the material weaknesses described above. However, the material weaknesses cannot be considered remediated until the applicable remedial controls operate for a sufficient period of time and management has concluded, through testing, that these controls are operating effectively.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Form 10-K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no changes in our internal control over financial reporting (as that term is defined in Rules 13a-15(f) and 15d-15(f) of the Exchange Act) that occurred during the fourth quarter of fiscal year 2017 that have materially affected, or are reasonably likely to materially affect, our internal control over financial reporting, other than as described above under “Material Weakness and Status of Material Weakness Remediation.”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directors and officers as of March 8,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Age</w:t>
            </w:r>
          </w:p>
        </w:tc>
        <w:tc>
          <w:tcPr>
            <w:tcW w:w="5600" w:type="dxa"/>
            <w:vAlign w:val="bottom"/>
          </w:tcPr>
          <w:p>
            <w:pPr>
              <w:ind w:left="40"/>
              <w:spacing w:after="0"/>
              <w:rPr>
                <w:sz w:val="20"/>
                <w:szCs w:val="20"/>
                <w:color w:val="auto"/>
              </w:rPr>
            </w:pPr>
            <w:r>
              <w:rPr>
                <w:rFonts w:ascii="Arial" w:cs="Arial" w:eastAsia="Arial" w:hAnsi="Arial"/>
                <w:sz w:val="18"/>
                <w:szCs w:val="18"/>
                <w:color w:val="auto"/>
              </w:rPr>
              <w:t>Position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Nathaniel H. Taylor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Chairman and Director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Felix Gernburd</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Virginia A. Hepner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Randolph Peeler</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David M. Tehle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Operating Officer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Patrick R. Moore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Senior Vice President, Chief Financial Officer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Mitchell Goodman</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John Vaught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Senior Vice President, Chief Information Officer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Chris Beasley</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Accounting, and Controller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Jeff Busbee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Senior Vice President, Chief Human Resources Officer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Charlie Foell</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21"/>
                <w:szCs w:val="21"/>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Manufacturing &amp; Distribution</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L. Reade Fahs </w:t>
      </w:r>
      <w:r>
        <w:rPr>
          <w:rFonts w:ascii="Arial" w:cs="Arial" w:eastAsia="Arial" w:hAnsi="Arial"/>
          <w:sz w:val="17"/>
          <w:szCs w:val="17"/>
          <w:color w:val="auto"/>
        </w:rPr>
        <w:t>has served as the Chief Executive Officer of NVI since January 2003, having joined NVI in April 2002 as the President and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Nathaniel H. Taylor </w:t>
      </w:r>
      <w:r>
        <w:rPr>
          <w:rFonts w:ascii="Arial" w:cs="Arial" w:eastAsia="Arial" w:hAnsi="Arial"/>
          <w:sz w:val="16"/>
          <w:szCs w:val="16"/>
          <w:color w:val="auto"/>
        </w:rPr>
        <w:t>has been a director since February 2014 and has served as Chairman of the Board since October 2017. Mr. Taylor joined KKR &amp; Co.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2005 and currently heads the Americas Consumer Retail team. Mr. Taylor also helped establish KKR &amp; Co.’s Indian operations. Mr. Taylor has been involved with many investments at KKR &amp; Co. and currently sits on the board of directors of Academy Sports + Outdoors, Mills Fleet Farm, and Nature’s Bounty Company. Before joining KKR &amp; Co., Mr. Taylor was with Bain Capital, where he was involved in the execution of investments in the retail, health care and technology sectors. Mr. Taylor holds a B.A. from Dartmouth College and an M.B.A. from Stanford University Graduate School of Business.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Felix Gernburd </w:t>
      </w:r>
      <w:r>
        <w:rPr>
          <w:rFonts w:ascii="Arial" w:cs="Arial" w:eastAsia="Arial" w:hAnsi="Arial"/>
          <w:sz w:val="17"/>
          <w:szCs w:val="17"/>
          <w:color w:val="auto"/>
        </w:rPr>
        <w:t>has been a director since September 2015. Mr. Gernburd joined KKR &amp; Co. in 2010 and is currently a Director, Private Equity and a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Retail and Consumer industry team. At KKR &amp; Co., Mr. Gernburd has been involved with many investments and currently sits on the board of directors of Channel Control Merchants, LLC, Mills Fleet Farm and The Nature’s Bounty Company. Before joining KKR &amp; Co., Mr. Gernburd was with Goldman, Sachs &amp; Co., where he was involved in a variety of merger, acquisition and financing transactions in the consumer, retail and industrials sectors. Mr. Gernburd holds an Honors B.A. with distinction from the Richard Ivey School of Business, University of Western Ontario.</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Virginia A. Hepner </w:t>
      </w:r>
      <w:r>
        <w:rPr>
          <w:rFonts w:ascii="Arial" w:cs="Arial" w:eastAsia="Arial" w:hAnsi="Arial"/>
          <w:sz w:val="17"/>
          <w:szCs w:val="17"/>
          <w:color w:val="auto"/>
        </w:rPr>
        <w:t>has been a director since January 2018. Ms. Hepner is the former President and Chief Executive Officer of The Woodruff Arts Center,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Ms. Hepner has been a member of the board of directors of State Bank Financial Corporation, serving on its audit committee and independent director committee, and a director of its subsidiary bank, State Bank and Trust Company, since 2010. Additionally, Ms. Hepner has been a member of the board of directors of Oxford Industries, Inc. since 2016, serving on its nominating, compensation and governance committee. Ms. Hepner holds a bachelor’s degree in finance from The Wharton School of the University of Pennsylvania.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D. Randolph Peeler </w:t>
      </w:r>
      <w:r>
        <w:rPr>
          <w:rFonts w:ascii="Arial" w:cs="Arial" w:eastAsia="Arial" w:hAnsi="Arial"/>
          <w:sz w:val="16"/>
          <w:szCs w:val="16"/>
          <w:color w:val="auto"/>
        </w:rPr>
        <w:t>has been a director since March 2014. Mr. Peeler joined Berkshire in 1996 and became a Managing Director in 2000. Before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 Inc., Curriculum Associates, LLC, Husky Injection Molding Systems Ltd. and Lightower Fiber Networks. Mr. Peeler has an A.B. from Duke University and an M.B.A. from Harvard Business School.</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David M. Tehle </w:t>
      </w:r>
      <w:r>
        <w:rPr>
          <w:rFonts w:ascii="Arial" w:cs="Arial" w:eastAsia="Arial" w:hAnsi="Arial"/>
          <w:sz w:val="16"/>
          <w:szCs w:val="16"/>
          <w:color w:val="auto"/>
        </w:rPr>
        <w:t>has been a director since July 2017. Mr. Tehle retired from Dollar General Corporation in July 2015 as Executive Vice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having served in that role since 2004. Dollar General Corporation is a value discount retailer. Mr. Tehle has been a director of Jack in the Box Inc. since December 2004, serving on the audit and finance committees. Additionally, he joined the board of directors of Genesco, Inc. in 2016, serving on the audit committee, and the board of directors of US Foods Holding Corp. in 2016, serving on the audit and compensation committees. Mr. Tehle holds a B.S. from the University of Wisconsin-Oshkosh and an M.B.A. from the University of Michigan’s Ross School of Business.</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Jeff McAllister </w:t>
      </w:r>
      <w:r>
        <w:rPr>
          <w:rFonts w:ascii="Arial" w:cs="Arial" w:eastAsia="Arial" w:hAnsi="Arial"/>
          <w:sz w:val="17"/>
          <w:szCs w:val="17"/>
          <w:color w:val="auto"/>
        </w:rPr>
        <w:t>has served as the Chief Operating Officer of NVI since August 2017, and was appointed the Chief Operating Officer of National 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Holdings, Inc. in October 2017. Prior to joining NVI, Mr. McAllister was Senior Vice President, Next Generation Supply Chain for Walmart U.S., a position he had held since January 2015. A Navy Veteran, Mr. McAllister joined Walmart in 1998 as Vice President of Logistics Engineering and Planning, and he has since served in a variety of supply chain and operations capacities, including Vice President of Walmart’s Global Supply Chain, Chief Operating Officer for Walmart Japan, and Senior Vice President for Optical. In addition, he has led operations for Walmart’s Health and Wellness Group. Immediately prior to his current role, Mr. McAllister served as Senior Vice President, Store Operations, Texas and then as Senior Vice President, Innovations from February 2011 until January 2015. Prior to joining Walmart, Mr. McAllister managed logistics for Saks Fifth Avenue and The May Department Stores Company. Mr. McAllister holds a B.S. in Industrial Engineering from the University of Michigan.</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Patrick R. Moore </w:t>
      </w:r>
      <w:r>
        <w:rPr>
          <w:rFonts w:ascii="Arial" w:cs="Arial" w:eastAsia="Arial" w:hAnsi="Arial"/>
          <w:sz w:val="17"/>
          <w:szCs w:val="17"/>
          <w:color w:val="auto"/>
        </w:rPr>
        <w:t>has served as the Senior Vice President, Chief Financial Officer of NVI since September 2014, and was appointed the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in Mechanical Engineering, as well as an MBA from the University of Alabama. Mr. Moore also attended the Stanford Executive program in 2002.</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Mitchell Goodman </w:t>
      </w:r>
      <w:r>
        <w:rPr>
          <w:rFonts w:ascii="Arial" w:cs="Arial" w:eastAsia="Arial" w:hAnsi="Arial"/>
          <w:sz w:val="18"/>
          <w:szCs w:val="18"/>
          <w:color w:val="auto"/>
        </w:rPr>
        <w:t>has served as the Senior Vice President, General Counsel and Secretary of NVI since May 1998, and was appointed the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General Counsel and Secretary of National Vision Holdings, Inc. in March 2014. Mr. Goodman joined NVI in 1992 as General Counsel and was named a Vice President in November 1993. Prior to joining NVI, Mr. Goodman was Vice President, General Counsel for NuVision, Inc. Mr. Goodman holds a B.A. degree in philosophy from the University of Pennsylvania, an M.Litt. in philosophy from Oxford University, and a J.D. degree from Wayne State University Law School.</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John Vaught </w:t>
      </w:r>
      <w:r>
        <w:rPr>
          <w:rFonts w:ascii="Arial" w:cs="Arial" w:eastAsia="Arial" w:hAnsi="Arial"/>
          <w:sz w:val="17"/>
          <w:szCs w:val="17"/>
          <w:color w:val="auto"/>
        </w:rPr>
        <w:t>has served as the Senior Vice President, Chief Information Officer of NVI since joining National Vision in 2005, and was appointed the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Chief Information Officer of National Vision Holdings, Inc. in June 2017. Mr. Vaught has been involved in all acquisition integrations and growth at National Vision beginning with the acquisition of America’s Best in 2005. Mr. Vaught has 45 years of retail and manufacturing information technology experience, and has held technical and IT management positions at Revco Drug Stores (CVS), Invacare, and Office Depot.</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Chris Beasley </w:t>
      </w:r>
      <w:r>
        <w:rPr>
          <w:rFonts w:ascii="Arial" w:cs="Arial" w:eastAsia="Arial" w:hAnsi="Arial"/>
          <w:sz w:val="18"/>
          <w:szCs w:val="18"/>
          <w:color w:val="auto"/>
        </w:rPr>
        <w:t>has served as the Senior Vice President, Accounting of NVI since July 2015 and as the Controller since May 2017, and was appointed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Accounting of National Vision Holdings, Inc. in April 2016 and as the Controller in May 2017. Prior to joining NVI, Mr. Beasley served as Chief Financial Officer of Sierra-Cedar Holdings Inc., a private equity owned information technology consulting company, from July 2014 to July 2015. Prior to that role, Mr. Beasley served as Sierra-Cedar’s Global Controller and Vice President of Finance from January 2012 to July 2014. Prior to joining Sierra-Cedar, Mr. Beasley served as Corporate Controller at Eclipsys Corporation and Director of Financial Reporting for BellSouth Corporation (now AT&amp;T). Mr. Beasley began his career with PricewaterhouseCoopers as an audit manager. Mr. Beasley holds a B.B.A. in Accounting from the University of Georgia and is a Certified Public Accountant.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Jeff Busbee </w:t>
      </w:r>
      <w:r>
        <w:rPr>
          <w:rFonts w:ascii="Arial" w:cs="Arial" w:eastAsia="Arial" w:hAnsi="Arial"/>
          <w:sz w:val="18"/>
          <w:szCs w:val="18"/>
          <w:color w:val="auto"/>
        </w:rPr>
        <w:t>has served as the Senior Vice President, Chief Human Resources Officer of NVI since January 2010, and was appointed the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Human Resources Officer of National Vision Holdings, Inc. in June 2017. Mr. Busbee joined NVI in November 1995 as Director, Human Resources. Prior to joining NVI, Mr. Busbee held various positions at General Motors Company, Hitachi, Ltd., Delta Airlines and the Coca Cola Export Corporation, Belgium. Mr. Busbee holds a B.B.A degree in Management from Georgia State University.</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Charlie Foell </w:t>
      </w:r>
      <w:r>
        <w:rPr>
          <w:rFonts w:ascii="Arial" w:cs="Arial" w:eastAsia="Arial" w:hAnsi="Arial"/>
          <w:sz w:val="17"/>
          <w:szCs w:val="17"/>
          <w:color w:val="auto"/>
        </w:rPr>
        <w:t>has served as the Senior Vice President, Manufacturing and Distribution of NVI since April 2009, and was appointed the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and Distribution of National Vision Holdings, Inc. in June 2017. Mr. Foell joined NVI in 1998 as Director of Distribution and was appointed to Vice President, Manufacturing and Distribution of NVI in 2003. Prior to joining NVI, Mr. Foell spent 25 years in various management roles supporting independently owned retail locations. Mr. Foell holds a Business Logistics degree from Penn State University.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Exception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date of this report, the Sponsors beneficially own shares representing more than 50% of the voting power of our shares eligible to vote in the election of directors. As a result, we are a “controlled company” within the meaning of the NASDAQ Listing Rules. Under such corporate governance standards, a company of which more than 50% of the voting power is held by an individual, group or another company is a “controlled company” and may elect not to comply with certain corporate governance standards, including the requirements that (1) a majority of our Board of Directors consist of independent directors, (2) our Board of Directors have a compensation committee that is composed entirely of independent directors with a written charter addressing the committee’s purpose and responsibilities, and (3) that our director nominations be made, or recommended to the full Board of Directors, by our independent directors or by a nominating committee that is composed entirely of independent directors and that we adopt a written charter or board resolution addressing the nominations process.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at least some period, we intend to utilize these exemptions. As a result, we do not have a majority of independent directors on our Board of Directors, do not have a compensation committee that is composed entirely of independent directors and our director nominations are not made, or recommended to the full Board of Directors, by our independent directors or by a nominating/corporate governance committee that is composed entirely of independent directors. Accordingly, our stockholders do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business and affairs are managed under the direction of our Board of Directors. Our Board of Directors currently consists of six directors, of whom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Tehle and Ms. Hepner have been affirmatively determined to be independent.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certificate of incorporation provides for a classified board of directors consisting of three classes of directors, each serving staggered three-year terms, as follows:</w:t>
      </w:r>
    </w:p>
    <w:p>
      <w:pPr>
        <w:spacing w:after="0" w:line="6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Class I directors are Nathaniel H. Taylor and L. Reade Fahs, and their terms will expire at the annual meeting of stockholders to be held in 2018.</w:t>
      </w:r>
    </w:p>
    <w:p>
      <w:pPr>
        <w:spacing w:after="0" w:line="46"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Class II directors are D. Randolph Peeler and Felix Gernburd, and their terms will expire at the annual meeting of stockholders to be held in 2019.</w:t>
      </w:r>
    </w:p>
    <w:p>
      <w:pPr>
        <w:ind w:left="66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Class III directors are David M. Tehle and Virginia A. Hepner, and their terms will expire at the annual meeting of stockholders to be held in 2020.</w:t>
      </w:r>
    </w:p>
    <w:p>
      <w:pPr>
        <w:spacing w:after="0" w:line="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each annual meeting of stockholders, the successors to directors whose terms then expire will be elected to serve from the time of election and qualification until the third annual meeting following election. Our amended and restated certificate of incorporation provides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pursuant to a stockholders agreement entered into in connection with our initial public offering, each of the Sponsors have the right to designate nominees to our Board of Directors subject to the maintenance of certain ownership requirements in us. See “Certain Relationships and Related Party Transactions—Stockholders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Experience of Directors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members of our Board of Directors considered the following important characteristics, among others:</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Fahs, our Chief Executive Officer, has many years of executive experience in the optical retail industry.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Taylor and Mr. Gernburd each have significant financial, investment and operational experience from their involvement with numerous portfolio companies of KKR &amp; Co. and its affiliated funds and have played active roles in overseeing those businesses.</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Peeler has significant experience and expertise in private equity investments through his involvement in Berkshire’s investments.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Tehle has many years of experience as the chief financial officer of a publicly held company and as a director of publicly held companies and has significant knowledge of financial reporting, internal controls and procedures and risk management.</w:t>
      </w:r>
    </w:p>
    <w:p>
      <w:pPr>
        <w:jc w:val="both"/>
        <w:ind w:left="660" w:right="20" w:hanging="328"/>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Hepner has leadership experience as the president and chief executive officer of a nationally-esteemed arts center, has significant financial expertise in corporate banking and capital markets having served as a senior officer with financial oversight responsibilities and has served as a director of publicly held companies.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our Board of Directors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amended and restated bylaws provide our Board of Directors with flexibility to combine or separate the positions of Chairman of the Board and Chief Executive Officer in accordance with its determination that utilizing one or the other structure would be in the best interests of our Company. Currently, these positions are separated, with Mr. Taylor serving as Chairman of the Board and Mr. Fahs serving as our Chief Executive Officer and also as a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of Directors in Risk Oversight</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of Directors has extensive involvement in the oversight of risk management. The Board and the audit committee receive regular reports from management to help ensure effective and efficient oversight of our activities and to assist in proper risk management, including with respect to cybersecurity, and the ongoing evaluation of management controls. Through its regular meetings with management, including the finance, legal, internal audit, and compliance functions, the audit committee reviews and discusses significant areas of our business, including areas of risk and appropriate mitigating factors. Internal audit reports functionally and administratively to our Chief Financial Officer and directly to the audit committee. We believe that the leadership structure of our Board of Directors provides appropriate risk oversight of our activities given the controlling interests held by the Sponsors.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Board of Directors has an audit committee and a compensation committee, each of which operates under a charter that has been approved by our Board of Directors. Copies of each committee’s charter are posted in the investors section of our website, </w:t>
      </w:r>
      <w:r>
        <w:rPr>
          <w:rFonts w:ascii="Arial" w:cs="Arial" w:eastAsia="Arial" w:hAnsi="Arial"/>
          <w:sz w:val="18"/>
          <w:szCs w:val="18"/>
          <w:i w:val="1"/>
          <w:iCs w:val="1"/>
          <w:color w:val="auto"/>
        </w:rPr>
        <w:t>www.nationalvision.com</w:t>
      </w:r>
      <w:r>
        <w:rPr>
          <w:rFonts w:ascii="Arial" w:cs="Arial" w:eastAsia="Arial" w:hAnsi="Arial"/>
          <w:sz w:val="18"/>
          <w:szCs w:val="18"/>
          <w:color w:val="auto"/>
        </w:rPr>
        <w:t>. The reference to our website address does not constitute incorporation by reference of the information contained at or available through our website, and you should not consider it to be a part of this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 committee consists of David M. Tehle, who serves as the Chair, Virginia A. Hepner and Felix Gernburd. Mr. Tehle and Ms. Hepner each qualifies as an independent director under NASDAQ corporate governance standards and the independence requirements of Rule 10A-3 of the Exchange Act. Our Board of Directors has determined that Mr. Tehle and Ms. Hepner each qualifies as an “audit committee financial expert” as such term is defined in Item 407(d)(5) of Regulation S-K. The audit committee is responsible for, among other things, preparing the audit committee report required by the SEC to be included in our proxy statement and assisting our Board of Directors with respect to its oversight of (1) our risk management policies and procedures, (2) the audits and integrity of our financial statements, and the effectiveness of internal control over financial reporting, (3) our compliance with legal and regulatory requirements, (4) the qualifications, performance and independence of the outside auditors and (5) the performance of our internal audit function.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compensation committee consists of Nathaniel H. Taylor, who serves as the Chair, and Felix Gernburd. The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a written code of ethics that applies to our directors, officers and employees, including our principal executive officer, principal financial officer, principal accounting officer or controller, or persons performing similar functions, which we call our Code of Conduct. Our Code of Conduct is a “code of ethics” as defined in item 406(b) of Regulation S-K under the Securities Act and is posted in the investors section of our website, </w:t>
      </w:r>
      <w:r>
        <w:rPr>
          <w:rFonts w:ascii="Arial" w:cs="Arial" w:eastAsia="Arial" w:hAnsi="Arial"/>
          <w:sz w:val="18"/>
          <w:szCs w:val="18"/>
          <w:i w:val="1"/>
          <w:iCs w:val="1"/>
          <w:color w:val="auto"/>
        </w:rPr>
        <w:t>www.nationalvision.com</w:t>
      </w:r>
      <w:r>
        <w:rPr>
          <w:rFonts w:ascii="Arial" w:cs="Arial" w:eastAsia="Arial" w:hAnsi="Arial"/>
          <w:sz w:val="18"/>
          <w:szCs w:val="18"/>
          <w:color w:val="auto"/>
        </w:rPr>
        <w:t>. We intend to make any legally required disclosures regarding amendments to, or waivers of, provisions of our Code of Conduct on our website. The reference to our website address does not constitute incorporation by reference of the information contained at or available through our website, and you should not consider it to be a part of this Form 10-K.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2017 all reports required by Section 16(a) were timely filed.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Overview</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executive compensation program is designed to attract and retain individuals with the skills and qualifications to manage and lead the Company effectively. The overarching goal of our programs is to motivate our leaders to contribute to the achievement of our financial goals and to focus on long-term value creation for our stockholders.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section contains a discussion of the material elements of compensation awarded to, earned by or paid to our named executive officers, or NEOs, which include our Chief Executive Officer, Chief Financial Officer and each of our three other most highly compensated executive officers who served in such capacities for the fiscal year ended December 30, 2017. In addition, our former President, who retired from such position as of September 1, 2017, also qualifies as an NEO for 2017. Our NEOs for 2017 were: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Patrick R. Moore</w:t>
            </w:r>
          </w:p>
        </w:tc>
        <w:tc>
          <w:tcPr>
            <w:tcW w:w="6700" w:type="dxa"/>
            <w:vAlign w:val="bottom"/>
          </w:tcPr>
          <w:p>
            <w:pPr>
              <w:ind w:left="40"/>
              <w:spacing w:after="0"/>
              <w:rPr>
                <w:sz w:val="20"/>
                <w:szCs w:val="20"/>
                <w:color w:val="auto"/>
              </w:rPr>
            </w:pPr>
            <w:r>
              <w:rPr>
                <w:rFonts w:ascii="Arial" w:cs="Arial" w:eastAsia="Arial" w:hAnsi="Arial"/>
                <w:sz w:val="18"/>
                <w:szCs w:val="18"/>
                <w:color w:val="auto"/>
              </w:rPr>
              <w:t>Senior Vice President, Chief Financial Officer</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0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Operating Officer</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Mitchell Goodman</w:t>
            </w:r>
          </w:p>
        </w:tc>
        <w:tc>
          <w:tcPr>
            <w:tcW w:w="670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0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Chief Information Officer</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J. Bruce Steffey*</w:t>
            </w:r>
          </w:p>
        </w:tc>
        <w:tc>
          <w:tcPr>
            <w:tcW w:w="6700" w:type="dxa"/>
            <w:vAlign w:val="bottom"/>
          </w:tcPr>
          <w:p>
            <w:pPr>
              <w:ind w:left="40"/>
              <w:spacing w:after="0"/>
              <w:rPr>
                <w:sz w:val="20"/>
                <w:szCs w:val="20"/>
                <w:color w:val="auto"/>
              </w:rPr>
            </w:pPr>
            <w:r>
              <w:rPr>
                <w:rFonts w:ascii="Arial" w:cs="Arial" w:eastAsia="Arial" w:hAnsi="Arial"/>
                <w:sz w:val="18"/>
                <w:szCs w:val="18"/>
                <w:color w:val="auto"/>
              </w:rPr>
              <w:t>Former President</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____________</w:t>
            </w:r>
          </w:p>
        </w:tc>
        <w:tc>
          <w:tcPr>
            <w:tcW w:w="100" w:type="dxa"/>
            <w:vAlign w:val="bottom"/>
          </w:tcPr>
          <w:p>
            <w:pPr>
              <w:spacing w:after="0"/>
              <w:rPr>
                <w:sz w:val="23"/>
                <w:szCs w:val="23"/>
                <w:color w:val="auto"/>
              </w:rPr>
            </w:pPr>
          </w:p>
        </w:tc>
        <w:tc>
          <w:tcPr>
            <w:tcW w:w="6700" w:type="dxa"/>
            <w:vAlign w:val="bottom"/>
          </w:tcPr>
          <w:p>
            <w:pPr>
              <w:spacing w:after="0"/>
              <w:rPr>
                <w:sz w:val="23"/>
                <w:szCs w:val="23"/>
                <w:color w:val="auto"/>
              </w:rPr>
            </w:pPr>
          </w:p>
        </w:tc>
      </w:tr>
    </w:tbl>
    <w:p>
      <w:pPr>
        <w:ind w:left="440" w:hanging="162"/>
        <w:spacing w:after="0" w:line="181" w:lineRule="auto"/>
        <w:tabs>
          <w:tab w:leader="none" w:pos="440" w:val="left"/>
        </w:tabs>
        <w:numPr>
          <w:ilvl w:val="0"/>
          <w:numId w:val="43"/>
        </w:numPr>
        <w:rPr>
          <w:rFonts w:ascii="Arial" w:cs="Arial" w:eastAsia="Arial" w:hAnsi="Arial"/>
          <w:sz w:val="25"/>
          <w:szCs w:val="25"/>
          <w:color w:val="auto"/>
          <w:vertAlign w:val="subscript"/>
        </w:rPr>
      </w:pPr>
      <w:r>
        <w:rPr>
          <w:rFonts w:ascii="Arial" w:cs="Arial" w:eastAsia="Arial" w:hAnsi="Arial"/>
          <w:sz w:val="12"/>
          <w:szCs w:val="12"/>
          <w:color w:val="auto"/>
        </w:rPr>
        <w:t>Mr. McAllister joined NVI in August 2017. Mr Steffey retired from his President position in September 2017 and remains employed in a part-time capacity.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 and Approach</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executive team to possess and demonstrate strong leadership and management capabilities. To reward and retain our leaders, including our NEOs, we have designed a total compensation approach that rewards both short-term and long-term success.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for executives is currently designed to support the following objectives: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align executive compensation with achievement of our overall business goals;</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overall levels of compensation that are competitive to attract, retain and motivate highly-qualified executives to continue to enhance long-term equity value; and</w:t>
      </w:r>
    </w:p>
    <w:p>
      <w:pPr>
        <w:ind w:left="660" w:right="16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foster a strong relationship between stockholder value and executive compensation by having a portion of compensation composed of equity-based incentive awards.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Program Design</w:t>
      </w:r>
      <w:r>
        <w:rPr>
          <w:rFonts w:ascii="Arial" w:cs="Arial" w:eastAsia="Arial" w:hAnsi="Arial"/>
          <w:sz w:val="18"/>
          <w:szCs w:val="18"/>
          <w:color w:val="auto"/>
        </w:rPr>
        <w:t>. Our executive compensation program has three main components: (1) base salary; (2) annual cash incentive compensation; and (3) long-term incentive awards. Each component is designed to be consistent with the Company’s compensation philosophy.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compensation packages are designed to promote integrity, leadership, teamwork, ownership and initiative by our employees whose performance and responsibilities directly affect our results of operations. We strive to create competitive compensation packages for all employees that encourage them to achieve our long-term business goals without taking unnecessary risks. We believe that, to attract and retain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have recently transitioned from being privately held to publicly traded, we intend to critically evaluate our executive compensation program as frequently as circumstances require, to ensure that we maintain a competitive environment for talent and that our incentive programs are achieving their desired results. Consistent with prior practice, we do not intend to adhere to rigid formulas or react to short-term changes in business performance in determining the amount and mix of compensation elements.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Annual Compensation-Setting Process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Our Board of Directors and the NVI Board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our IPO, our executive compensation and related issues were administered by our full Board of Directors and the board of NVI (the “NVI Board”). Our Board of Directors was responsible for determining and approving equity compensation grants while the NVI Board determined other aspects of compensation, including base salaries, and administered our Management Incentive Plan (“MIP”). Our Board of Directors and the NVI Board were responsible for determining the compensation of our CEO and for reviewing and approving the compensation of other executive officers, as recommended by our CEO and Senior Vice President, Chief Human Resources Officer, (the “Chief Human Resources Officer”). At the beginning of each performance cycle, our Board of Directors or the NVI Board, as applicable, approved financial goals designed to align executive pay with company performance and stockholder interests, provide competitive pay opportunities dependent on performance, retain talent, create optimal stockholder value and mitigate material risk.</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IPO, our Board of Directors established a compensation committee that, going forward, has responsibility for overseeing the executive compensation program, including (but not limited to) executive salaries, goals and payouts under the MIP, the size and structure of equity awards and any executive perquisites or other benefits.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requires otherwise, the term “Board of Directors” as used in this “Compensation Discussion and Analysis” section refers to the Board of Directors of National Vision Holdings,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setting executive compensation for 2017, our CEO and our Chief Human Resources Officer worked closely with the NVI Board in managing the executive compensation program and attended meetings of our Board of Directors. Our CEO made recommendations to the NVI Board regarding compensation for the executive officers other than himself. Our CEO and CFO also provided input in discussions regarding the financial goals for which annual incentive payouts under our MIP could be earned. Following our IPO, the compensation committee of our Board of Directors assumed the responsibility that the NVI Board had in approving compensation decisions with respect to our NEOs.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early 2016, our Board of Directors retained Meridian Compensation Partners, LLC (“Meridian”), an independent compensation consulting firm, to assist our Board of Directors regarding various executive compensation matters. Since 2016, Meridian has assisted with the development of our compensation peer group, conducted compensation benchmarking studies for our senior executives using both the peer group and survey data, consulted on various matters related to the annual and long-term incentive programs and consulted on various matters related to compensation of our independent directors.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early 2018, the compensation committee engaged Meridian to serve as its independent compensation consulting firm. In connection with this appointment, the compensation committee assessed Meridian’s independence, including considering the factors specified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NASDAQ listing standards and receiving confirmation by Meridian of its independent status. The compensation committee believes that Meridian is independent and that there is no conflict of interest between Meridian and the compensation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Comparative Market Data</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aim to compensate our executive officers competitively in the market for executive talent. To gain a general understanding of current market compensation practices, our Board of Directors has reviewed the findings as presented in a market study conducted by Meridian. The external market data reviewed included proxy data from the peer group companies described below, and a broad cross-section of general industry survey data.</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peer group was approved by the Board of Directors in October 2016. The criteria used to select the peer group focused on industry, business model, scope of operations (as measured by annual revenue and market capitalization), and performance results (as indicated by various earnings metrics). We believe it is appropriate for the peer group to reflect the health care aspects of our business yet retain a “retail” component. The peer group consists of the following 15 companies:</w:t>
      </w:r>
    </w:p>
    <w:p>
      <w:pPr>
        <w:spacing w:after="0" w:line="241"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3300" w:type="dxa"/>
            <w:vAlign w:val="bottom"/>
          </w:tcPr>
          <w:p>
            <w:pPr>
              <w:jc w:val="center"/>
              <w:ind w:right="1330"/>
              <w:spacing w:after="0"/>
              <w:rPr>
                <w:sz w:val="20"/>
                <w:szCs w:val="20"/>
                <w:color w:val="auto"/>
              </w:rPr>
            </w:pPr>
            <w:r>
              <w:rPr>
                <w:rFonts w:ascii="Arial" w:cs="Arial" w:eastAsia="Arial" w:hAnsi="Arial"/>
                <w:sz w:val="18"/>
                <w:szCs w:val="18"/>
                <w:color w:val="auto"/>
                <w:w w:val="93"/>
              </w:rPr>
              <w:t>Alere, Inc.</w:t>
            </w:r>
          </w:p>
        </w:tc>
        <w:tc>
          <w:tcPr>
            <w:tcW w:w="4140" w:type="dxa"/>
            <w:vAlign w:val="bottom"/>
          </w:tcPr>
          <w:p>
            <w:pPr>
              <w:jc w:val="center"/>
              <w:ind w:left="1350"/>
              <w:spacing w:after="0"/>
              <w:rPr>
                <w:sz w:val="20"/>
                <w:szCs w:val="20"/>
                <w:color w:val="auto"/>
              </w:rPr>
            </w:pPr>
            <w:r>
              <w:rPr>
                <w:rFonts w:ascii="Arial" w:cs="Arial" w:eastAsia="Arial" w:hAnsi="Arial"/>
                <w:sz w:val="18"/>
                <w:szCs w:val="18"/>
                <w:color w:val="auto"/>
                <w:w w:val="90"/>
              </w:rPr>
              <w:t>Kate Spade &amp; Co.</w:t>
            </w:r>
          </w:p>
        </w:tc>
      </w:tr>
      <w:tr>
        <w:trPr>
          <w:trHeight w:val="270"/>
        </w:trPr>
        <w:tc>
          <w:tcPr>
            <w:tcW w:w="3300" w:type="dxa"/>
            <w:vAlign w:val="bottom"/>
          </w:tcPr>
          <w:p>
            <w:pPr>
              <w:jc w:val="center"/>
              <w:ind w:right="1310"/>
              <w:spacing w:after="0"/>
              <w:rPr>
                <w:sz w:val="20"/>
                <w:szCs w:val="20"/>
                <w:color w:val="auto"/>
              </w:rPr>
            </w:pPr>
            <w:r>
              <w:rPr>
                <w:rFonts w:ascii="Arial" w:cs="Arial" w:eastAsia="Arial" w:hAnsi="Arial"/>
                <w:sz w:val="18"/>
                <w:szCs w:val="18"/>
                <w:color w:val="auto"/>
                <w:w w:val="94"/>
              </w:rPr>
              <w:t>Align Technology Inc.</w:t>
            </w:r>
          </w:p>
        </w:tc>
        <w:tc>
          <w:tcPr>
            <w:tcW w:w="4140" w:type="dxa"/>
            <w:vAlign w:val="bottom"/>
          </w:tcPr>
          <w:p>
            <w:pPr>
              <w:jc w:val="center"/>
              <w:ind w:left="1370"/>
              <w:spacing w:after="0"/>
              <w:rPr>
                <w:sz w:val="20"/>
                <w:szCs w:val="20"/>
                <w:color w:val="auto"/>
              </w:rPr>
            </w:pPr>
            <w:r>
              <w:rPr>
                <w:rFonts w:ascii="Arial" w:cs="Arial" w:eastAsia="Arial" w:hAnsi="Arial"/>
                <w:sz w:val="18"/>
                <w:szCs w:val="18"/>
                <w:color w:val="auto"/>
                <w:w w:val="89"/>
              </w:rPr>
              <w:t>Surgery Partners Inc.</w:t>
            </w:r>
          </w:p>
        </w:tc>
      </w:tr>
      <w:tr>
        <w:trPr>
          <w:trHeight w:val="270"/>
        </w:trPr>
        <w:tc>
          <w:tcPr>
            <w:tcW w:w="3300" w:type="dxa"/>
            <w:vAlign w:val="bottom"/>
          </w:tcPr>
          <w:p>
            <w:pPr>
              <w:jc w:val="center"/>
              <w:ind w:right="1350"/>
              <w:spacing w:after="0"/>
              <w:rPr>
                <w:sz w:val="20"/>
                <w:szCs w:val="20"/>
                <w:color w:val="auto"/>
              </w:rPr>
            </w:pPr>
            <w:r>
              <w:rPr>
                <w:rFonts w:ascii="Arial" w:cs="Arial" w:eastAsia="Arial" w:hAnsi="Arial"/>
                <w:sz w:val="18"/>
                <w:szCs w:val="18"/>
                <w:color w:val="auto"/>
                <w:w w:val="91"/>
              </w:rPr>
              <w:t>Amsurg Corp.</w:t>
            </w:r>
          </w:p>
        </w:tc>
        <w:tc>
          <w:tcPr>
            <w:tcW w:w="4140" w:type="dxa"/>
            <w:vAlign w:val="bottom"/>
          </w:tcPr>
          <w:p>
            <w:pPr>
              <w:jc w:val="center"/>
              <w:ind w:left="1350"/>
              <w:spacing w:after="0"/>
              <w:rPr>
                <w:sz w:val="20"/>
                <w:szCs w:val="20"/>
                <w:color w:val="auto"/>
              </w:rPr>
            </w:pPr>
            <w:r>
              <w:rPr>
                <w:rFonts w:ascii="Arial" w:cs="Arial" w:eastAsia="Arial" w:hAnsi="Arial"/>
                <w:sz w:val="18"/>
                <w:szCs w:val="18"/>
                <w:color w:val="auto"/>
                <w:w w:val="93"/>
              </w:rPr>
              <w:t>Surgical Care Affiliates Inc.</w:t>
            </w:r>
          </w:p>
        </w:tc>
      </w:tr>
      <w:tr>
        <w:trPr>
          <w:trHeight w:val="270"/>
        </w:trPr>
        <w:tc>
          <w:tcPr>
            <w:tcW w:w="3300" w:type="dxa"/>
            <w:vAlign w:val="bottom"/>
          </w:tcPr>
          <w:p>
            <w:pPr>
              <w:jc w:val="center"/>
              <w:ind w:right="1350"/>
              <w:spacing w:after="0"/>
              <w:rPr>
                <w:sz w:val="20"/>
                <w:szCs w:val="20"/>
                <w:color w:val="auto"/>
              </w:rPr>
            </w:pPr>
            <w:r>
              <w:rPr>
                <w:rFonts w:ascii="Arial" w:cs="Arial" w:eastAsia="Arial" w:hAnsi="Arial"/>
                <w:sz w:val="18"/>
                <w:szCs w:val="18"/>
                <w:color w:val="auto"/>
                <w:w w:val="90"/>
              </w:rPr>
              <w:t>Columbia Sportswear Co.</w:t>
            </w:r>
          </w:p>
        </w:tc>
        <w:tc>
          <w:tcPr>
            <w:tcW w:w="4140" w:type="dxa"/>
            <w:vAlign w:val="bottom"/>
          </w:tcPr>
          <w:p>
            <w:pPr>
              <w:jc w:val="center"/>
              <w:ind w:left="1350"/>
              <w:spacing w:after="0"/>
              <w:rPr>
                <w:sz w:val="20"/>
                <w:szCs w:val="20"/>
                <w:color w:val="auto"/>
              </w:rPr>
            </w:pPr>
            <w:r>
              <w:rPr>
                <w:rFonts w:ascii="Arial" w:cs="Arial" w:eastAsia="Arial" w:hAnsi="Arial"/>
                <w:sz w:val="18"/>
                <w:szCs w:val="18"/>
                <w:color w:val="auto"/>
                <w:w w:val="89"/>
              </w:rPr>
              <w:t>Ulta Salon Cosmetics and Fragrances</w:t>
            </w:r>
          </w:p>
        </w:tc>
      </w:tr>
      <w:tr>
        <w:trPr>
          <w:trHeight w:val="270"/>
        </w:trPr>
        <w:tc>
          <w:tcPr>
            <w:tcW w:w="3300" w:type="dxa"/>
            <w:vAlign w:val="bottom"/>
          </w:tcPr>
          <w:p>
            <w:pPr>
              <w:jc w:val="center"/>
              <w:ind w:right="1350"/>
              <w:spacing w:after="0"/>
              <w:rPr>
                <w:sz w:val="20"/>
                <w:szCs w:val="20"/>
                <w:color w:val="auto"/>
              </w:rPr>
            </w:pPr>
            <w:r>
              <w:rPr>
                <w:rFonts w:ascii="Arial" w:cs="Arial" w:eastAsia="Arial" w:hAnsi="Arial"/>
                <w:sz w:val="18"/>
                <w:szCs w:val="18"/>
                <w:color w:val="auto"/>
                <w:w w:val="89"/>
              </w:rPr>
              <w:t>Cooper Companies Inc.</w:t>
            </w:r>
          </w:p>
        </w:tc>
        <w:tc>
          <w:tcPr>
            <w:tcW w:w="4140" w:type="dxa"/>
            <w:vAlign w:val="bottom"/>
          </w:tcPr>
          <w:p>
            <w:pPr>
              <w:jc w:val="center"/>
              <w:ind w:left="1350"/>
              <w:spacing w:after="0"/>
              <w:rPr>
                <w:sz w:val="20"/>
                <w:szCs w:val="20"/>
                <w:color w:val="auto"/>
              </w:rPr>
            </w:pPr>
            <w:r>
              <w:rPr>
                <w:rFonts w:ascii="Arial" w:cs="Arial" w:eastAsia="Arial" w:hAnsi="Arial"/>
                <w:sz w:val="18"/>
                <w:szCs w:val="18"/>
                <w:color w:val="auto"/>
                <w:w w:val="91"/>
              </w:rPr>
              <w:t>U.S. Physical Therapy Inc.</w:t>
            </w:r>
          </w:p>
        </w:tc>
      </w:tr>
      <w:tr>
        <w:trPr>
          <w:trHeight w:val="270"/>
        </w:trPr>
        <w:tc>
          <w:tcPr>
            <w:tcW w:w="3300" w:type="dxa"/>
            <w:vAlign w:val="bottom"/>
          </w:tcPr>
          <w:p>
            <w:pPr>
              <w:jc w:val="center"/>
              <w:ind w:right="1330"/>
              <w:spacing w:after="0"/>
              <w:rPr>
                <w:sz w:val="20"/>
                <w:szCs w:val="20"/>
                <w:color w:val="auto"/>
              </w:rPr>
            </w:pPr>
            <w:r>
              <w:rPr>
                <w:rFonts w:ascii="Arial" w:cs="Arial" w:eastAsia="Arial" w:hAnsi="Arial"/>
                <w:sz w:val="18"/>
                <w:szCs w:val="18"/>
                <w:color w:val="auto"/>
                <w:w w:val="90"/>
              </w:rPr>
              <w:t>Container Store Group</w:t>
            </w:r>
          </w:p>
        </w:tc>
        <w:tc>
          <w:tcPr>
            <w:tcW w:w="4140" w:type="dxa"/>
            <w:vAlign w:val="bottom"/>
          </w:tcPr>
          <w:p>
            <w:pPr>
              <w:jc w:val="center"/>
              <w:ind w:left="1350"/>
              <w:spacing w:after="0"/>
              <w:rPr>
                <w:sz w:val="20"/>
                <w:szCs w:val="20"/>
                <w:color w:val="auto"/>
              </w:rPr>
            </w:pPr>
            <w:r>
              <w:rPr>
                <w:rFonts w:ascii="Arial" w:cs="Arial" w:eastAsia="Arial" w:hAnsi="Arial"/>
                <w:sz w:val="18"/>
                <w:szCs w:val="18"/>
                <w:color w:val="auto"/>
                <w:w w:val="98"/>
              </w:rPr>
              <w:t>VCA Inc.</w:t>
            </w:r>
          </w:p>
        </w:tc>
      </w:tr>
      <w:tr>
        <w:trPr>
          <w:trHeight w:val="270"/>
        </w:trPr>
        <w:tc>
          <w:tcPr>
            <w:tcW w:w="3300" w:type="dxa"/>
            <w:vAlign w:val="bottom"/>
          </w:tcPr>
          <w:p>
            <w:pPr>
              <w:jc w:val="center"/>
              <w:ind w:right="1330"/>
              <w:spacing w:after="0"/>
              <w:rPr>
                <w:sz w:val="20"/>
                <w:szCs w:val="20"/>
                <w:color w:val="auto"/>
              </w:rPr>
            </w:pPr>
            <w:r>
              <w:rPr>
                <w:rFonts w:ascii="Arial" w:cs="Arial" w:eastAsia="Arial" w:hAnsi="Arial"/>
                <w:sz w:val="18"/>
                <w:szCs w:val="18"/>
                <w:color w:val="auto"/>
                <w:w w:val="91"/>
              </w:rPr>
              <w:t>Dentsply Sirona Inc.</w:t>
            </w:r>
          </w:p>
        </w:tc>
        <w:tc>
          <w:tcPr>
            <w:tcW w:w="4140" w:type="dxa"/>
            <w:vAlign w:val="bottom"/>
          </w:tcPr>
          <w:p>
            <w:pPr>
              <w:jc w:val="center"/>
              <w:ind w:left="1370"/>
              <w:spacing w:after="0"/>
              <w:rPr>
                <w:sz w:val="20"/>
                <w:szCs w:val="20"/>
                <w:color w:val="auto"/>
              </w:rPr>
            </w:pPr>
            <w:r>
              <w:rPr>
                <w:rFonts w:ascii="Arial" w:cs="Arial" w:eastAsia="Arial" w:hAnsi="Arial"/>
                <w:sz w:val="18"/>
                <w:szCs w:val="18"/>
                <w:color w:val="auto"/>
                <w:w w:val="89"/>
              </w:rPr>
              <w:t>West Pharmaceutical Services Inc.</w:t>
            </w:r>
          </w:p>
        </w:tc>
      </w:tr>
      <w:tr>
        <w:trPr>
          <w:trHeight w:val="270"/>
        </w:trPr>
        <w:tc>
          <w:tcPr>
            <w:tcW w:w="3300" w:type="dxa"/>
            <w:vAlign w:val="bottom"/>
          </w:tcPr>
          <w:p>
            <w:pPr>
              <w:jc w:val="center"/>
              <w:ind w:right="1330"/>
              <w:spacing w:after="0"/>
              <w:rPr>
                <w:sz w:val="20"/>
                <w:szCs w:val="20"/>
                <w:color w:val="auto"/>
              </w:rPr>
            </w:pPr>
            <w:r>
              <w:rPr>
                <w:rFonts w:ascii="Arial" w:cs="Arial" w:eastAsia="Arial" w:hAnsi="Arial"/>
                <w:sz w:val="18"/>
                <w:szCs w:val="18"/>
                <w:color w:val="auto"/>
                <w:w w:val="95"/>
              </w:rPr>
              <w:t>Five Below Inc.</w:t>
            </w:r>
          </w:p>
        </w:tc>
        <w:tc>
          <w:tcPr>
            <w:tcW w:w="4140" w:type="dxa"/>
            <w:vAlign w:val="bottom"/>
          </w:tcPr>
          <w:p>
            <w:pPr>
              <w:spacing w:after="0"/>
              <w:rPr>
                <w:sz w:val="23"/>
                <w:szCs w:val="23"/>
                <w:color w:val="auto"/>
              </w:rPr>
            </w:pP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more fully described below under “-Compensation Elements,” the NVI Board reviewed the compensation data provided by Meridian and set total compensation for our NEOs accordingly. The NVI Board did not target a specific percentile with respect to the peer group in determining our NEOs’ total compensation, nor did it establish a prescribed mix of pay for our executives.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it is important to provide a competitive fixed level of pay to attract and retain experienced and successful executives.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this approach, in April 2017, we adjusted the base salaries of Mr. Goodman from $330,000 to $350,000, Mr. Vaught from $280,000 to $288,000 and Mr. Steffey from $566,500 to $610,000; and in September 2017, we adjusted the base salary of Mr. Fahs from $610,000 to $900,000. Following Mr. Steffey’s retirement from the position of President in September 2017, his base salary was adjusted to $305,000. There were no changes made to the bases salaries of Messrs. Moore ($400,000) and McAllister ($562,000) in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Incentive Plan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executives participate in the MIP, which is an annual cash incentive program. The primary purpose of the MIP is to focus management on key measures that drive financial performance and to provide competitive bonus opportunities tied to the achievement of our annual financial and strategic growth objectives.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tying the NEOs’ bonuses to company-wide performance goals encourages collaboration across the executive leadership team. For fiscal 2017, MIP awards were based on achievement of a MIP EBITDA goal (with EBITDA for purposes of the MIP defined as Adjusted EBITDA (as defined in Part II. Item 7. “ Management’s Discussion and Analysis” of this Form 10-K), plus MIP expense, change in the margin on unearned revenue, change in deferred revenue, interest income and parent company items, less new store pre-opening expenses and non-cash rent). The compensation committee has reserved the ability to adjust the actual EBITDA results to exclude the effects of unplanned or unusual items (whether favorable or unfavorable).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NEO’s target annual bonus under the MIP is expressed as a percentage of base salary with the targets ranging from 32.5% to 100% for 2017. Actual MIP awards were calculated by multiplying each NEO’s base salary by his payout percentage. MIP awards are earned at 100% of target if the Company achieved 2017 MIP EBITDA of $169.1 million. For fiscal 2017, there was a threshold level and five additional levels of MIP EBITDA achievement under the MIP, with Tier I being the target achievement level and Tier V the maximum achievement level. Awards could be earned at more or less than target based on the pre-established scale set forth in the following table: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color w:val="auto"/>
              </w:rPr>
              <w:t>Tier I</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color w:val="auto"/>
              </w:rPr>
              <w:t>Tier V</w:t>
            </w: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Threshold</w:t>
            </w: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(Target)</w:t>
            </w: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Tier II</w:t>
            </w: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Tier III</w:t>
            </w: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Tier IV</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(Max)</w:t>
            </w:r>
          </w:p>
        </w:tc>
      </w:tr>
      <w:tr>
        <w:trPr>
          <w:trHeight w:val="250"/>
        </w:trPr>
        <w:tc>
          <w:tcPr>
            <w:tcW w:w="2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 Attainment of MIP EBITDA Target</w:t>
            </w:r>
          </w:p>
        </w:tc>
        <w:tc>
          <w:tcPr>
            <w:tcW w:w="1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102.7%</w:t>
            </w:r>
          </w:p>
        </w:tc>
        <w:tc>
          <w:tcPr>
            <w:tcW w:w="12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106.9%</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112.2%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64"/>
        </w:trPr>
        <w:tc>
          <w:tcPr>
            <w:tcW w:w="20" w:type="dxa"/>
            <w:vAlign w:val="bottom"/>
          </w:tcPr>
          <w:p>
            <w:pPr>
              <w:spacing w:after="0"/>
              <w:rPr>
                <w:sz w:val="22"/>
                <w:szCs w:val="22"/>
                <w:color w:val="auto"/>
              </w:rPr>
            </w:pP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Named Executive Officer</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4"/>
                <w:szCs w:val="14"/>
                <w:b w:val="1"/>
                <w:bCs w:val="1"/>
                <w:color w:val="auto"/>
              </w:rPr>
              <w:t>Payout Percentages</w:t>
            </w:r>
          </w:p>
        </w:tc>
        <w:tc>
          <w:tcPr>
            <w:tcW w:w="1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 Reade Fahs*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1/1/17-8/31/17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70%</w:t>
            </w:r>
          </w:p>
        </w:tc>
        <w:tc>
          <w:tcPr>
            <w:tcW w:w="12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90%</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9/1/17-12/30/17</w:t>
            </w:r>
          </w:p>
        </w:tc>
        <w:tc>
          <w:tcPr>
            <w:tcW w:w="1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110%</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130%</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150%</w:t>
            </w: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R. Moore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1/1/17-12/30/17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58.75%</w:t>
            </w:r>
          </w:p>
        </w:tc>
        <w:tc>
          <w:tcPr>
            <w:tcW w:w="12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76.25%</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93.75%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111.25%</w:t>
            </w: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Jeff McAllister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1/1/17-12/30/17</w:t>
            </w:r>
          </w:p>
        </w:tc>
        <w:tc>
          <w:tcPr>
            <w:tcW w:w="1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70%</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90%</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110%</w:t>
            </w: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Mitchell Goodman</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1/1/17-12/30/17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58.75%</w:t>
            </w:r>
          </w:p>
        </w:tc>
        <w:tc>
          <w:tcPr>
            <w:tcW w:w="12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76.25%</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93.75%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111.25%</w:t>
            </w: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John Vaught</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1/1/17-12/30/17</w:t>
            </w:r>
          </w:p>
        </w:tc>
        <w:tc>
          <w:tcPr>
            <w:tcW w:w="1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16.25%</w:t>
            </w: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40%</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55%</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 Bruce Steffey</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1/1/17-12/30/17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70%</w:t>
            </w:r>
          </w:p>
        </w:tc>
        <w:tc>
          <w:tcPr>
            <w:tcW w:w="12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90%</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155"/>
        </w:trPr>
        <w:tc>
          <w:tcPr>
            <w:tcW w:w="20" w:type="dxa"/>
            <w:vAlign w:val="bottom"/>
          </w:tcPr>
          <w:p>
            <w:pPr>
              <w:spacing w:after="0"/>
              <w:rPr>
                <w:sz w:val="13"/>
                <w:szCs w:val="13"/>
                <w:color w:val="auto"/>
              </w:rPr>
            </w:pPr>
          </w:p>
        </w:tc>
        <w:tc>
          <w:tcPr>
            <w:tcW w:w="1600" w:type="dxa"/>
            <w:vAlign w:val="bottom"/>
          </w:tcPr>
          <w:p>
            <w:pPr>
              <w:spacing w:after="0" w:line="155" w:lineRule="exact"/>
              <w:rPr>
                <w:sz w:val="20"/>
                <w:szCs w:val="20"/>
                <w:color w:val="auto"/>
              </w:rPr>
            </w:pPr>
            <w:r>
              <w:rPr>
                <w:rFonts w:ascii="Arial" w:cs="Arial" w:eastAsia="Arial" w:hAnsi="Arial"/>
                <w:sz w:val="14"/>
                <w:szCs w:val="14"/>
                <w:color w:val="auto"/>
              </w:rPr>
              <w:t>_________</w:t>
            </w: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ind w:left="180" w:right="320" w:hanging="172"/>
        <w:spacing w:after="0" w:line="255" w:lineRule="auto"/>
        <w:tabs>
          <w:tab w:leader="none" w:pos="1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Effective September 1, 2017, the Board of Directors approved updated target levels for Mr. Fahs for the remainder of fiscal 2017. In determining Mr. Fahs’ increased annual target bonus, the Board of Directors generally reviewed (without targeting a specific percentile) the target cash bonus opportunities of CEOs at the Company’s peer group.</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For performance percentages between the specified threshold, target, and other tier levels, payouts were interpolated on a straight-line basis.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the establishment of the MIP EBITDA goal and the scale for determining the resulting MIP awards earned, as described above, the compensation committee had the ability to exercise positive or negative discretion and award a greater or lesser amount to our NEOs than the amount determined by the scale above if it determined that circumstances so warranted. The compensation committee did not exercise such discretion in fiscal 2017.</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2017, the Company’s MIP EBITDA achieved was $171.8 million, resulting in a payout percentage of 66.12% of base salary for Mr. Fahs from January 1, 2017 to August 31, 2017 and 106.12% from September 1, 2017 and December 30, 2017, 55.35% of base salary for each of Messrs. Moore and Goodman, 66.12% of base salary for each of Messrs. McAllister and Steffey, and 37.09% of base salary for Mr. Vaught. Each of the NEOs earned MIP awards for fiscal 2017 as follows, which are included in the “Non-Equity Incentive Plan Compensation” column of the “Summary Compensation Table”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Achievement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Factor as a</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Named Executive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2017 Base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Target</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Target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Percentage of</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Actual MIP</w:t>
            </w:r>
          </w:p>
        </w:tc>
      </w:tr>
      <w:tr>
        <w:trPr>
          <w:trHeight w:val="230"/>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Salary</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Percentage</w:t>
            </w: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Target Amount</w:t>
            </w:r>
          </w:p>
        </w:tc>
        <w:tc>
          <w:tcPr>
            <w:tcW w:w="2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Award</w:t>
            </w:r>
          </w:p>
        </w:tc>
      </w:tr>
      <w:tr>
        <w:trPr>
          <w:trHeight w:val="27"/>
        </w:trPr>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98"/>
        </w:trPr>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1/1/17-8/31/17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422,308</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253,385</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279,209</w:t>
            </w:r>
          </w:p>
        </w:tc>
      </w:tr>
      <w:tr>
        <w:trPr>
          <w:trHeight w:val="243"/>
        </w:trPr>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w w:val="99"/>
              </w:rPr>
              <w:t>9/1/17-12/30/17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278,038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278,038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295,040</w:t>
            </w:r>
          </w:p>
        </w:tc>
      </w:tr>
      <w:tr>
        <w:trPr>
          <w:trHeight w:val="27"/>
        </w:trPr>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574,249</w:t>
            </w:r>
          </w:p>
        </w:tc>
      </w:tr>
      <w:tr>
        <w:trPr>
          <w:trHeight w:val="243"/>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Patrick R. Moore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221,403</w:t>
            </w: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227,164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136,298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150,189</w:t>
            </w:r>
          </w:p>
        </w:tc>
      </w:tr>
      <w:tr>
        <w:trPr>
          <w:trHeight w:val="243"/>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Mitchell Goodman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344,615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172,308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190,747</w:t>
            </w: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285,846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106,009</w:t>
            </w:r>
          </w:p>
        </w:tc>
      </w:tr>
      <w:tr>
        <w:trPr>
          <w:trHeight w:val="243"/>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J. Bruce Steffey</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504,442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302,665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333,512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Awards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IPO, our board of directors adopted, and our stockholders approved, the National Vision Holdings, Inc. 2017 Omnibus Incentive Plan (the “2017 Omnibus Incentive Plan”). The purpose of our 2017 Omnibus Incentive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2014, our Board of Directors and stockholders of the Company approved the 2014 Stock Incentive Plan for Key Employees of Nautilus Parent, Inc. and its Subsidiaries (the “2014 Stock Incentive Plan,” and together with the 2017 Omnibus Incentive Plan, the “Equity Incentive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2017, only stock options have been granted to any of the NEOs under our Equity Incentive Plans.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Pre-IPO Stock Option Grants. </w:t>
      </w:r>
      <w:r>
        <w:rPr>
          <w:rFonts w:ascii="Arial" w:cs="Arial" w:eastAsia="Arial" w:hAnsi="Arial"/>
          <w:sz w:val="17"/>
          <w:szCs w:val="17"/>
          <w:color w:val="auto"/>
        </w:rPr>
        <w:t>Each of our NEOs, except Mr. McAllister, received option grants in fiscal year 2014, which we refer to as the “2014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August 14, 2017, in connection with being hired by us, our Board of Directors granted Mr. McAllister an option to purchase 362,317 shares of our common stock pursuant to our 2014 Stock Incentive Plan, with an exercise price of $15.74 per share (the “McAllister 2017 Options,” and together with the 2014 Options, the “Pre-IPO Options”). The Pre-IPO Options consist of 40% time-based and 60% performance-based options. For additional information regarding stock options, see “Narrative to Summary Compensation Table and 2017 Grants of Plan-Based Awards-Equity Awards” below.</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Post-IPO Stock Option Grants. </w:t>
      </w:r>
      <w:r>
        <w:rPr>
          <w:rFonts w:ascii="Arial" w:cs="Arial" w:eastAsia="Arial" w:hAnsi="Arial"/>
          <w:sz w:val="18"/>
          <w:szCs w:val="18"/>
          <w:color w:val="auto"/>
        </w:rPr>
        <w:t>In connection with our IPO, on October 25, 2017, our Board of Directors granted Mr. Moore a time-based option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92,443 shares of our common stock pursuant to our 2017 Omnibus Incentive Plan, with an exercise price of $22.00 per share (the “2017 Post-IPO Options”). For additional information regarding stock options, see “Narrative to Summary Compensation Table and 2017 Grants of Plan-Based Awards-Equity Awards” below.</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Exercise Price Adjustment of Stock Options. </w:t>
      </w:r>
      <w:r>
        <w:rPr>
          <w:rFonts w:ascii="Arial" w:cs="Arial" w:eastAsia="Arial" w:hAnsi="Arial"/>
          <w:sz w:val="16"/>
          <w:szCs w:val="16"/>
          <w:color w:val="auto"/>
        </w:rPr>
        <w:t>As provided under the 2014 Stock Incentive Plan and related award agreements, the exercise price of options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reduction to reflect cash dividends paid after the grant date. In connection with extraordinary dividends paid in June 2015 and February 2017, the exercise prices of the options granted to our NEOs prior to such dates were reduced. In February 2017, our Board of Directors approved a cash dividend payable to holders of our common stock, which we refer to as the “2017 Dividend,” of $2.977 per share, which we refer to as the “2017 Dividend Amount.” To equitably reflect the impact of the 2017 Dividend on the holders of outstanding options, our Board of Directors approved cash payments to be made with respect to rollover options (as described below) and vested options and approved reductions of the exercise price for unvested options. Specifically, holders of vested options and rollover options received a one-time cash payment equal to the number of vested options and/or rollover options held by such holder, as applicable, multiplied by an amount equal to the 2017 Dividend Amount, less any applicable withholding taxes. The per share exercise prices of unvested options were reduced to $4.27, to the extent the per share exercise price could be reduced under applicable tax rules.</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Payments for Pre-Acquisition Options and Rollover Options</w:t>
      </w:r>
      <w:r>
        <w:rPr>
          <w:rFonts w:ascii="Arial" w:cs="Arial" w:eastAsia="Arial" w:hAnsi="Arial"/>
          <w:sz w:val="18"/>
          <w:szCs w:val="18"/>
          <w:color w:val="auto"/>
        </w:rPr>
        <w:t>. Certain outstanding options to acquire stock that were issued prior to our acquisition by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of KKR Sponsor in 2014, whether or not fully vested, became fully vested immediately prior to such acquisition and were either rolled over into options to purchase shares of our common stock or canceled and converted into cash payments, based on the difference between the change in control price and the option’s exercise price. Certain of our executives, including Mr. Vaught, rolled over a portion of their pre-acquisition outstanding options into options to purchase shares of our common stock. These “rollover options” were fully vested as of their date of grant and remain outstanding in accordance with the terms of the governing stock incentive plans and grant agreements and a separate rollover option agreement entered into with each of the individual option holders, including Mr. Vaught. However, in connection with our acquisition by affiliates of KKR Sponsor, the exercise price and number of shares underlying the rollover options were adjusted as a result of the acquisition, including for Mr. Vaught, whose exercise price for such options was adjusted to $2.42 per option.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Benefits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team members, including the NEOs, are eligible for specified benefits, such as group health, dental, disability and life insurance. These benefits are intended to provide competitive and adequate protection in case of sickness and the NEOs participate in these plans on the same basis as all other team members.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specified perquisites to our NEOs when appropriate, including relocation as required. We also provide our executives, including our NEOs, with additional basic life insurance coverage and supplemental long-term disability and accidental death insurance. In addition, we provide our CEO with tax accounting services and a Young Presidents’ Organization (“YPO”) membership. These perquisites are intended to enable us to attract and retain highly qualified employees for key positions and are believed to be reasonable and consistent with our overall compensation program. The value of these perquisites and other personal benefits are reflected in the “All Other Compensation” column to the “Summary Compensation Table” and the accompanying footnotes below.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eligible U.S. employees, including our NEOs, participate in the National Vision, Inc. 401(k) Retirement Savings Plan, or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Benefits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severance benefits to its executives in order to offer competitive total compensation packages and to be competitive in the Company’s executive attraction and retention efforts. The National Vision, Inc. Severance Plan, or the Severance Plan, in which all of our NEOs participate, provides for severance payments and benefits to executives upon a qualifying termination of employment. In addition, as of December 30, 2017, Messrs. Fahs, Moore and Goodman participate in the Executive Supplement to the Severance Plan.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“Potential Payments upon Termination or Change in Control,” which describes the payments to which each of the NEOs may be entitled under the Severance Plan and the Executive Supplement.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program intent.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162(m) of the Internal Revenue Code of 1986, as amended (the “Code”) generally disallows tax deductions to publicly-held companies for individual compensation over $1 million paid to certain executive officers in a taxable year. Historically, compensation above $1 million could be deducted if it was considered “performance-based compensation” within the meaning of the Code, but as a result of tax legislation enacted at the end of 2017, this exemption is no longer available.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but subject to final rules with respect to the new tax legislation, we are able to claim the benefit of a special exemption rule that applies to compensation paid (or compensation in respect of equity awards such as stock options or restricted stock granted) during a specified transition period under Section 162(m) for corporations that become publicly traded. This transition period may extend until the first annual stockholders meeting that occurs after the end of the third calendar year following the calendar year in which this offering occurs, unless the transition period is terminated earlier under the Section 162(m) post-offering transition rules. At such time as we are subject to the deduction limitations of Section 162(m), as a result of the elimination of the performance-based compensation exemption, as described above, we would not expect that the compensation committee will take the deductibility limitations of Section 162(m) into account in its compensation decisions.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the Form 10-K for the fiscal year ended December 30, 2017.</w:t>
      </w:r>
    </w:p>
    <w:p>
      <w:pPr>
        <w:spacing w:after="0" w:line="6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Nathaniel H. Taylor, Chair</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Felix Gernburd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NEOs for services rendered in all capacities for the fiscal year ended December 30, 2017.</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Change in Pension</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Non-Equity</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Value and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Incentive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Nonqualified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Stock</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Option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Plan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Deferred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All Other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Salary ($)</w:t>
            </w:r>
            <w:r>
              <w:rPr>
                <w:rFonts w:ascii="Arial" w:cs="Arial" w:eastAsia="Arial" w:hAnsi="Arial"/>
                <w:sz w:val="8"/>
                <w:szCs w:val="8"/>
                <w:color w:val="auto"/>
              </w:rPr>
              <w:t>(1)</w:t>
            </w:r>
          </w:p>
        </w:tc>
        <w:tc>
          <w:tcPr>
            <w:tcW w:w="1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Awards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 xml:space="preserve">Awards </w:t>
            </w:r>
            <w:r>
              <w:rPr>
                <w:rFonts w:ascii="Arial" w:cs="Arial" w:eastAsia="Arial" w:hAnsi="Arial"/>
                <w:sz w:val="8"/>
                <w:szCs w:val="8"/>
                <w:color w:val="auto"/>
                <w:w w:val="92"/>
              </w:rPr>
              <w:t>(2)</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Compensation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Compensation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Compensation</w:t>
            </w:r>
            <w:r>
              <w:rPr>
                <w:rFonts w:ascii="Arial" w:cs="Arial" w:eastAsia="Arial" w:hAnsi="Arial"/>
                <w:sz w:val="8"/>
                <w:szCs w:val="8"/>
                <w:color w:val="auto"/>
                <w:w w:val="93"/>
              </w:rPr>
              <w:t>(3)</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and Principal Position</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Year</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Bonus ($)</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 ($)</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 ($)</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 Reade Fahs</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700,346</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574,249</w:t>
            </w:r>
            <w:r>
              <w:rPr>
                <w:rFonts w:ascii="Arial" w:cs="Arial" w:eastAsia="Arial" w:hAnsi="Arial"/>
                <w:sz w:val="8"/>
                <w:szCs w:val="8"/>
                <w:color w:val="auto"/>
              </w:rPr>
              <w:t>(4)</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23,240</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1,297,835</w:t>
            </w:r>
          </w:p>
        </w:tc>
        <w:tc>
          <w:tcPr>
            <w:tcW w:w="0" w:type="dxa"/>
            <w:vAlign w:val="bottom"/>
          </w:tcPr>
          <w:p>
            <w:pPr>
              <w:spacing w:after="0"/>
              <w:rPr>
                <w:sz w:val="1"/>
                <w:szCs w:val="1"/>
                <w:color w:val="auto"/>
              </w:rPr>
            </w:pPr>
          </w:p>
        </w:tc>
      </w:tr>
      <w:tr>
        <w:trPr>
          <w:trHeight w:val="115"/>
        </w:trPr>
        <w:tc>
          <w:tcPr>
            <w:tcW w:w="2300" w:type="dxa"/>
            <w:vAlign w:val="bottom"/>
            <w:vMerge w:val="restart"/>
            <w:shd w:val="clear" w:color="auto" w:fill="CCEEFF"/>
          </w:tcPr>
          <w:p>
            <w:pPr>
              <w:ind w:left="280"/>
              <w:spacing w:after="0" w:line="154" w:lineRule="exact"/>
              <w:rPr>
                <w:sz w:val="20"/>
                <w:szCs w:val="20"/>
                <w:color w:val="auto"/>
              </w:rPr>
            </w:pPr>
            <w:r>
              <w:rPr>
                <w:rFonts w:ascii="Arial" w:cs="Arial" w:eastAsia="Arial" w:hAnsi="Arial"/>
                <w:sz w:val="14"/>
                <w:szCs w:val="14"/>
                <w:color w:val="auto"/>
              </w:rPr>
              <w:t>Chief</w:t>
            </w:r>
          </w:p>
        </w:tc>
        <w:tc>
          <w:tcPr>
            <w:tcW w:w="12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3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230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Executive</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605,221</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503,074</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16,911</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1,125,206</w:t>
            </w: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Patrick R. Moore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60"/>
              <w:spacing w:after="0" w:line="149" w:lineRule="exact"/>
              <w:rPr>
                <w:sz w:val="20"/>
                <w:szCs w:val="20"/>
                <w:color w:val="auto"/>
              </w:rPr>
            </w:pPr>
            <w:r>
              <w:rPr>
                <w:rFonts w:ascii="Arial" w:cs="Arial" w:eastAsia="Arial" w:hAnsi="Arial"/>
                <w:sz w:val="14"/>
                <w:szCs w:val="14"/>
                <w:color w:val="auto"/>
              </w:rPr>
              <w:t>Senior Vice</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2"/>
                <w:szCs w:val="12"/>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848,442</w:t>
            </w:r>
          </w:p>
        </w:tc>
        <w:tc>
          <w:tcPr>
            <w:tcW w:w="12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221,403</w:t>
            </w:r>
          </w:p>
        </w:tc>
        <w:tc>
          <w:tcPr>
            <w:tcW w:w="120" w:type="dxa"/>
            <w:vAlign w:val="bottom"/>
          </w:tcPr>
          <w:p>
            <w:pPr>
              <w:spacing w:after="0"/>
              <w:rPr>
                <w:sz w:val="12"/>
                <w:szCs w:val="12"/>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93,882</w:t>
            </w:r>
          </w:p>
        </w:tc>
        <w:tc>
          <w:tcPr>
            <w:tcW w:w="12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1,563,727</w:t>
            </w:r>
          </w:p>
        </w:tc>
        <w:tc>
          <w:tcPr>
            <w:tcW w:w="0" w:type="dxa"/>
            <w:vAlign w:val="bottom"/>
          </w:tcPr>
          <w:p>
            <w:pPr>
              <w:spacing w:after="0"/>
              <w:rPr>
                <w:sz w:val="1"/>
                <w:szCs w:val="1"/>
                <w:color w:val="auto"/>
              </w:rPr>
            </w:pPr>
          </w:p>
        </w:tc>
      </w:tr>
      <w:tr>
        <w:trPr>
          <w:trHeight w:val="149"/>
        </w:trPr>
        <w:tc>
          <w:tcPr>
            <w:tcW w:w="2300" w:type="dxa"/>
            <w:vAlign w:val="bottom"/>
          </w:tcPr>
          <w:p>
            <w:pPr>
              <w:ind w:left="260"/>
              <w:spacing w:after="0" w:line="149" w:lineRule="exact"/>
              <w:rPr>
                <w:sz w:val="20"/>
                <w:szCs w:val="20"/>
                <w:color w:val="auto"/>
              </w:rPr>
            </w:pPr>
            <w:r>
              <w:rPr>
                <w:rFonts w:ascii="Arial" w:cs="Arial" w:eastAsia="Arial" w:hAnsi="Arial"/>
                <w:sz w:val="14"/>
                <w:szCs w:val="14"/>
                <w:color w:val="auto"/>
              </w:rPr>
              <w:t>President and</w:t>
            </w: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60"/>
              <w:spacing w:after="0" w:line="149" w:lineRule="exact"/>
              <w:rPr>
                <w:sz w:val="20"/>
                <w:szCs w:val="20"/>
                <w:color w:val="auto"/>
              </w:rPr>
            </w:pPr>
            <w:r>
              <w:rPr>
                <w:rFonts w:ascii="Arial" w:cs="Arial" w:eastAsia="Arial" w:hAnsi="Arial"/>
                <w:sz w:val="14"/>
                <w:szCs w:val="14"/>
                <w:color w:val="auto"/>
              </w:rPr>
              <w:t>Chief</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60"/>
              <w:spacing w:after="0" w:line="149" w:lineRule="exact"/>
              <w:rPr>
                <w:sz w:val="20"/>
                <w:szCs w:val="20"/>
                <w:color w:val="auto"/>
              </w:rPr>
            </w:pPr>
            <w:r>
              <w:rPr>
                <w:rFonts w:ascii="Arial" w:cs="Arial" w:eastAsia="Arial" w:hAnsi="Arial"/>
                <w:sz w:val="14"/>
                <w:szCs w:val="14"/>
                <w:color w:val="auto"/>
              </w:rPr>
              <w:t>Financial</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378,950</w:t>
            </w:r>
          </w:p>
        </w:tc>
        <w:tc>
          <w:tcPr>
            <w:tcW w:w="120" w:type="dxa"/>
            <w:vAlign w:val="bottom"/>
          </w:tcPr>
          <w:p>
            <w:pPr>
              <w:spacing w:after="0"/>
              <w:rPr>
                <w:sz w:val="12"/>
                <w:szCs w:val="12"/>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266,144</w:t>
            </w:r>
          </w:p>
        </w:tc>
        <w:tc>
          <w:tcPr>
            <w:tcW w:w="120" w:type="dxa"/>
            <w:vAlign w:val="bottom"/>
          </w:tcPr>
          <w:p>
            <w:pPr>
              <w:spacing w:after="0"/>
              <w:rPr>
                <w:sz w:val="12"/>
                <w:szCs w:val="12"/>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9,380</w:t>
            </w:r>
          </w:p>
        </w:tc>
        <w:tc>
          <w:tcPr>
            <w:tcW w:w="12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654,474</w:t>
            </w:r>
          </w:p>
        </w:tc>
        <w:tc>
          <w:tcPr>
            <w:tcW w:w="0" w:type="dxa"/>
            <w:vAlign w:val="bottom"/>
          </w:tcPr>
          <w:p>
            <w:pPr>
              <w:spacing w:after="0"/>
              <w:rPr>
                <w:sz w:val="1"/>
                <w:szCs w:val="1"/>
                <w:color w:val="auto"/>
              </w:rPr>
            </w:pPr>
          </w:p>
        </w:tc>
      </w:tr>
      <w:tr>
        <w:trPr>
          <w:trHeight w:val="188"/>
        </w:trPr>
        <w:tc>
          <w:tcPr>
            <w:tcW w:w="2300" w:type="dxa"/>
            <w:vAlign w:val="bottom"/>
          </w:tcPr>
          <w:p>
            <w:pPr>
              <w:ind w:left="260"/>
              <w:spacing w:after="0"/>
              <w:rPr>
                <w:sz w:val="20"/>
                <w:szCs w:val="20"/>
                <w:color w:val="auto"/>
              </w:rPr>
            </w:pPr>
            <w:r>
              <w:rPr>
                <w:rFonts w:ascii="Arial" w:cs="Arial" w:eastAsia="Arial" w:hAnsi="Arial"/>
                <w:sz w:val="14"/>
                <w:szCs w:val="14"/>
                <w:color w:val="auto"/>
              </w:rPr>
              <w:t>Officer</w:t>
            </w: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Jeff McAllister*</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Chief Operating Officer</w:t>
            </w: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227,164</w:t>
            </w: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3,346,209</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150,189</w:t>
            </w: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3,729,863</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Mitchell Goodman</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3"/>
                <w:szCs w:val="13"/>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344,615</w:t>
            </w:r>
          </w:p>
        </w:tc>
        <w:tc>
          <w:tcPr>
            <w:tcW w:w="120" w:type="dxa"/>
            <w:vAlign w:val="bottom"/>
          </w:tcPr>
          <w:p>
            <w:pPr>
              <w:spacing w:after="0"/>
              <w:rPr>
                <w:sz w:val="13"/>
                <w:szCs w:val="13"/>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190,747</w:t>
            </w:r>
          </w:p>
        </w:tc>
        <w:tc>
          <w:tcPr>
            <w:tcW w:w="120" w:type="dxa"/>
            <w:vAlign w:val="bottom"/>
          </w:tcPr>
          <w:p>
            <w:pPr>
              <w:spacing w:after="0"/>
              <w:rPr>
                <w:sz w:val="13"/>
                <w:szCs w:val="13"/>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177,887</w:t>
            </w:r>
          </w:p>
        </w:tc>
        <w:tc>
          <w:tcPr>
            <w:tcW w:w="120" w:type="dxa"/>
            <w:vAlign w:val="bottom"/>
          </w:tcPr>
          <w:p>
            <w:pPr>
              <w:spacing w:after="0"/>
              <w:rPr>
                <w:sz w:val="13"/>
                <w:szCs w:val="13"/>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713,249</w:t>
            </w:r>
          </w:p>
        </w:tc>
        <w:tc>
          <w:tcPr>
            <w:tcW w:w="0" w:type="dxa"/>
            <w:vAlign w:val="bottom"/>
          </w:tcPr>
          <w:p>
            <w:pPr>
              <w:spacing w:after="0"/>
              <w:rPr>
                <w:sz w:val="1"/>
                <w:szCs w:val="1"/>
                <w:color w:val="auto"/>
              </w:rPr>
            </w:pPr>
          </w:p>
        </w:tc>
      </w:tr>
      <w:tr>
        <w:trPr>
          <w:trHeight w:val="149"/>
        </w:trPr>
        <w:tc>
          <w:tcPr>
            <w:tcW w:w="2300" w:type="dxa"/>
            <w:vAlign w:val="bottom"/>
          </w:tcPr>
          <w:p>
            <w:pPr>
              <w:ind w:left="260"/>
              <w:spacing w:after="0" w:line="149" w:lineRule="exact"/>
              <w:rPr>
                <w:sz w:val="20"/>
                <w:szCs w:val="20"/>
                <w:color w:val="auto"/>
              </w:rPr>
            </w:pPr>
            <w:r>
              <w:rPr>
                <w:rFonts w:ascii="Arial" w:cs="Arial" w:eastAsia="Arial" w:hAnsi="Arial"/>
                <w:sz w:val="14"/>
                <w:szCs w:val="14"/>
                <w:color w:val="auto"/>
              </w:rPr>
              <w:t>Senior Vice President,</w:t>
            </w: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260"/>
              <w:spacing w:after="0" w:line="149" w:lineRule="exact"/>
              <w:rPr>
                <w:sz w:val="20"/>
                <w:szCs w:val="20"/>
                <w:color w:val="auto"/>
              </w:rPr>
            </w:pPr>
            <w:r>
              <w:rPr>
                <w:rFonts w:ascii="Arial" w:cs="Arial" w:eastAsia="Arial" w:hAnsi="Arial"/>
                <w:sz w:val="14"/>
                <w:szCs w:val="14"/>
                <w:color w:val="auto"/>
              </w:rPr>
              <w:t>General Counsel and</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324,615</w:t>
            </w:r>
          </w:p>
        </w:tc>
        <w:tc>
          <w:tcPr>
            <w:tcW w:w="120" w:type="dxa"/>
            <w:vAlign w:val="bottom"/>
          </w:tcPr>
          <w:p>
            <w:pPr>
              <w:spacing w:after="0"/>
              <w:rPr>
                <w:sz w:val="12"/>
                <w:szCs w:val="12"/>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227,984</w:t>
            </w:r>
          </w:p>
        </w:tc>
        <w:tc>
          <w:tcPr>
            <w:tcW w:w="120" w:type="dxa"/>
            <w:vAlign w:val="bottom"/>
          </w:tcPr>
          <w:p>
            <w:pPr>
              <w:spacing w:after="0"/>
              <w:rPr>
                <w:sz w:val="12"/>
                <w:szCs w:val="12"/>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11,728</w:t>
            </w:r>
          </w:p>
        </w:tc>
        <w:tc>
          <w:tcPr>
            <w:tcW w:w="12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564,327</w:t>
            </w:r>
          </w:p>
        </w:tc>
        <w:tc>
          <w:tcPr>
            <w:tcW w:w="0" w:type="dxa"/>
            <w:vAlign w:val="bottom"/>
          </w:tcPr>
          <w:p>
            <w:pPr>
              <w:spacing w:after="0"/>
              <w:rPr>
                <w:sz w:val="1"/>
                <w:szCs w:val="1"/>
                <w:color w:val="auto"/>
              </w:rPr>
            </w:pPr>
          </w:p>
        </w:tc>
      </w:tr>
      <w:tr>
        <w:trPr>
          <w:trHeight w:val="188"/>
        </w:trPr>
        <w:tc>
          <w:tcPr>
            <w:tcW w:w="2300" w:type="dxa"/>
            <w:vAlign w:val="bottom"/>
          </w:tcPr>
          <w:p>
            <w:pPr>
              <w:ind w:left="260"/>
              <w:spacing w:after="0"/>
              <w:rPr>
                <w:sz w:val="20"/>
                <w:szCs w:val="20"/>
                <w:color w:val="auto"/>
              </w:rPr>
            </w:pPr>
            <w:r>
              <w:rPr>
                <w:rFonts w:ascii="Arial" w:cs="Arial" w:eastAsia="Arial" w:hAnsi="Arial"/>
                <w:sz w:val="14"/>
                <w:szCs w:val="14"/>
                <w:color w:val="auto"/>
              </w:rPr>
              <w:t>Secretary</w:t>
            </w: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Vaught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Senior Vice</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285,846</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106,009</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127,193</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519,048</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President and</w:t>
            </w:r>
          </w:p>
        </w:tc>
        <w:tc>
          <w:tcPr>
            <w:tcW w:w="12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Chief</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Information</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267,250</w:t>
            </w: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133,202</w:t>
            </w: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408,874</w:t>
            </w:r>
          </w:p>
        </w:tc>
        <w:tc>
          <w:tcPr>
            <w:tcW w:w="0" w:type="dxa"/>
            <w:vAlign w:val="bottom"/>
          </w:tcPr>
          <w:p>
            <w:pPr>
              <w:spacing w:after="0"/>
              <w:rPr>
                <w:sz w:val="1"/>
                <w:szCs w:val="1"/>
                <w:color w:val="auto"/>
              </w:rPr>
            </w:pPr>
          </w:p>
        </w:tc>
      </w:tr>
      <w:tr>
        <w:trPr>
          <w:trHeight w:val="197"/>
        </w:trPr>
        <w:tc>
          <w:tcPr>
            <w:tcW w:w="2300" w:type="dxa"/>
            <w:vAlign w:val="bottom"/>
          </w:tcPr>
          <w:p>
            <w:pPr>
              <w:ind w:left="40"/>
              <w:spacing w:after="0"/>
              <w:rPr>
                <w:sz w:val="20"/>
                <w:szCs w:val="20"/>
                <w:color w:val="auto"/>
              </w:rPr>
            </w:pPr>
            <w:r>
              <w:rPr>
                <w:rFonts w:ascii="Arial" w:cs="Arial" w:eastAsia="Arial" w:hAnsi="Arial"/>
                <w:sz w:val="14"/>
                <w:szCs w:val="14"/>
                <w:color w:val="auto"/>
              </w:rPr>
              <w:t>J. Bruce Steffey *</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504,442</w:t>
            </w:r>
          </w:p>
        </w:tc>
        <w:tc>
          <w:tcPr>
            <w:tcW w:w="12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333,512</w:t>
            </w:r>
          </w:p>
        </w:tc>
        <w:tc>
          <w:tcPr>
            <w:tcW w:w="120" w:type="dxa"/>
            <w:vAlign w:val="bottom"/>
          </w:tcPr>
          <w:p>
            <w:pPr>
              <w:spacing w:after="0"/>
              <w:rPr>
                <w:sz w:val="17"/>
                <w:szCs w:val="17"/>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367,804</w:t>
            </w:r>
          </w:p>
        </w:tc>
        <w:tc>
          <w:tcPr>
            <w:tcW w:w="1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1,205,758</w:t>
            </w:r>
          </w:p>
        </w:tc>
        <w:tc>
          <w:tcPr>
            <w:tcW w:w="0" w:type="dxa"/>
            <w:vAlign w:val="bottom"/>
          </w:tcPr>
          <w:p>
            <w:pPr>
              <w:spacing w:after="0"/>
              <w:rPr>
                <w:sz w:val="1"/>
                <w:szCs w:val="1"/>
                <w:color w:val="auto"/>
              </w:rPr>
            </w:pPr>
          </w:p>
        </w:tc>
      </w:tr>
      <w:tr>
        <w:trPr>
          <w:trHeight w:val="182"/>
        </w:trPr>
        <w:tc>
          <w:tcPr>
            <w:tcW w:w="2300" w:type="dxa"/>
            <w:vAlign w:val="bottom"/>
          </w:tcPr>
          <w:p>
            <w:pPr>
              <w:ind w:left="260"/>
              <w:spacing w:after="0"/>
              <w:rPr>
                <w:sz w:val="20"/>
                <w:szCs w:val="20"/>
                <w:color w:val="auto"/>
              </w:rPr>
            </w:pPr>
            <w:r>
              <w:rPr>
                <w:rFonts w:ascii="Arial" w:cs="Arial" w:eastAsia="Arial" w:hAnsi="Arial"/>
                <w:sz w:val="14"/>
                <w:szCs w:val="14"/>
                <w:color w:val="auto"/>
              </w:rPr>
              <w:t>Former President</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552,635</w:t>
            </w:r>
          </w:p>
        </w:tc>
        <w:tc>
          <w:tcPr>
            <w:tcW w:w="120" w:type="dxa"/>
            <w:vAlign w:val="bottom"/>
          </w:tcPr>
          <w:p>
            <w:pPr>
              <w:spacing w:after="0"/>
              <w:rPr>
                <w:sz w:val="15"/>
                <w:szCs w:val="15"/>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459,363</w:t>
            </w:r>
          </w:p>
        </w:tc>
        <w:tc>
          <w:tcPr>
            <w:tcW w:w="120" w:type="dxa"/>
            <w:vAlign w:val="bottom"/>
          </w:tcPr>
          <w:p>
            <w:pPr>
              <w:spacing w:after="0"/>
              <w:rPr>
                <w:sz w:val="15"/>
                <w:szCs w:val="15"/>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7,093</w:t>
            </w:r>
          </w:p>
        </w:tc>
        <w:tc>
          <w:tcPr>
            <w:tcW w:w="12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1,019,091</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340" w:hanging="251"/>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McAllister joined NVI in August 2017. Mr Steffey retired from his President position in September 2017 and remains employed by the Company in a part-time capacity.</w:t>
      </w:r>
    </w:p>
    <w:p>
      <w:pPr>
        <w:spacing w:after="0" w:line="1" w:lineRule="exact"/>
        <w:rPr>
          <w:sz w:val="20"/>
          <w:szCs w:val="20"/>
          <w:color w:val="auto"/>
        </w:rPr>
      </w:pPr>
    </w:p>
    <w:p>
      <w:pPr>
        <w:jc w:val="both"/>
        <w:ind w:left="340" w:hanging="332"/>
        <w:spacing w:after="0" w:line="24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in this column reflect the salary earned during the fiscal year. In April 2017, base salaries of each of Messrs. Goodman, Vaught and Steffey were increased and in September 2017, Mr. Fahs’ base salary was increased. Following Mr. Steffey’s retirement from the position of President in September 2017, his base salary was decreased. See “Compensation Discussion and Analysis-Compensation Elements-Base Salary” above.</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option awards calculated in accordance with Financial Accounting Standards Board Accounting Standards Codification Topic 718, </w:t>
      </w:r>
      <w:r>
        <w:rPr>
          <w:rFonts w:ascii="Arial" w:cs="Arial" w:eastAsia="Arial" w:hAnsi="Arial"/>
          <w:sz w:val="14"/>
          <w:szCs w:val="14"/>
          <w:i w:val="1"/>
          <w:iCs w:val="1"/>
          <w:color w:val="auto"/>
        </w:rPr>
        <w:t xml:space="preserve">Compensation - Stock Compensation </w:t>
      </w:r>
      <w:r>
        <w:rPr>
          <w:rFonts w:ascii="Arial" w:cs="Arial" w:eastAsia="Arial" w:hAnsi="Arial"/>
          <w:sz w:val="14"/>
          <w:szCs w:val="14"/>
          <w:color w:val="auto"/>
        </w:rPr>
        <w:t>(“Topic 718”) and utilizing the assumptions discussed in Note 5 to our consolidated financial statements for the year ended December 31, 2017 in this</w:t>
      </w:r>
      <w:r>
        <w:rPr>
          <w:rFonts w:ascii="Arial" w:cs="Arial" w:eastAsia="Arial" w:hAnsi="Arial"/>
          <w:sz w:val="14"/>
          <w:szCs w:val="14"/>
          <w:i w:val="1"/>
          <w:iCs w:val="1"/>
          <w:color w:val="auto"/>
        </w:rPr>
        <w:t xml:space="preserve"> </w:t>
      </w:r>
      <w:r>
        <w:rPr>
          <w:rFonts w:ascii="Arial" w:cs="Arial" w:eastAsia="Arial" w:hAnsi="Arial"/>
          <w:sz w:val="14"/>
          <w:szCs w:val="14"/>
          <w:color w:val="auto"/>
        </w:rPr>
        <w:t>Form 10-K.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All Other Compensation for 2017 included: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Employer 401 (k)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Disability and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Matching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Tax Services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AD&amp;D Insurance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Contributions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Reimbursement</w:t>
            </w:r>
          </w:p>
        </w:tc>
        <w:tc>
          <w:tcPr>
            <w:tcW w:w="1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Life Insurance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Premiums</w:t>
            </w:r>
          </w:p>
        </w:tc>
        <w:tc>
          <w:tcPr>
            <w:tcW w:w="1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Dividend</w:t>
            </w:r>
          </w:p>
        </w:tc>
        <w:tc>
          <w:tcPr>
            <w:tcW w:w="12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Other</w:t>
            </w:r>
          </w:p>
        </w:tc>
        <w:tc>
          <w:tcPr>
            <w:tcW w:w="112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Total</w:t>
            </w:r>
          </w:p>
        </w:tc>
      </w:tr>
      <w:tr>
        <w:trPr>
          <w:trHeight w:val="197"/>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NEO</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 (a)</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 (b)</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Premiums ($) (c)</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 (d)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Equivalent $ (e)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 (f)</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r>
      <w:tr>
        <w:trPr>
          <w:trHeight w:val="25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 Reade Fahs</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4,650</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2,516</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13,150</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23,240</w:t>
            </w:r>
          </w:p>
        </w:tc>
      </w:tr>
      <w:tr>
        <w:trPr>
          <w:trHeight w:val="26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Patrick R. Moore</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2,564</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90,838</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93,882</w:t>
            </w:r>
          </w:p>
        </w:tc>
      </w:tr>
      <w:tr>
        <w:trPr>
          <w:trHeight w:val="27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Jeff McAllister</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6,301</w:t>
            </w:r>
          </w:p>
        </w:tc>
      </w:tr>
      <w:tr>
        <w:trPr>
          <w:trHeight w:val="26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Mitchell Goodman</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2,564</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5,399</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169,564</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177,887</w:t>
            </w:r>
          </w:p>
        </w:tc>
      </w:tr>
      <w:tr>
        <w:trPr>
          <w:trHeight w:val="27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John Vaught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120,095</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127,193</w:t>
            </w:r>
          </w:p>
        </w:tc>
      </w:tr>
      <w:tr>
        <w:trPr>
          <w:trHeight w:val="258"/>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J. Bruce Steffey</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2,564</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363,351</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367,804</w:t>
            </w:r>
          </w:p>
        </w:tc>
      </w:tr>
      <w:tr>
        <w:trPr>
          <w:trHeight w:val="203"/>
        </w:trPr>
        <w:tc>
          <w:tcPr>
            <w:tcW w:w="1640" w:type="dxa"/>
            <w:vAlign w:val="bottom"/>
          </w:tcPr>
          <w:p>
            <w:pPr>
              <w:ind w:left="20"/>
              <w:spacing w:after="0"/>
              <w:rPr>
                <w:sz w:val="20"/>
                <w:szCs w:val="20"/>
                <w:color w:val="auto"/>
              </w:rPr>
            </w:pPr>
            <w:r>
              <w:rPr>
                <w:rFonts w:ascii="Arial" w:cs="Arial" w:eastAsia="Arial" w:hAnsi="Arial"/>
                <w:sz w:val="14"/>
                <w:szCs w:val="14"/>
                <w:color w:val="auto"/>
              </w:rPr>
              <w:t>_____________</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 w:lineRule="exact"/>
        <w:rPr>
          <w:sz w:val="20"/>
          <w:szCs w:val="20"/>
          <w:color w:val="auto"/>
        </w:rPr>
      </w:pPr>
    </w:p>
    <w:p>
      <w:pPr>
        <w:ind w:left="1000" w:hanging="398"/>
        <w:spacing w:after="0"/>
        <w:tabs>
          <w:tab w:leader="none" w:pos="10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401(k) plan provides for a 50% matching contribution on the first 3% of participants’ pre-tax contributions up to IRS limits.</w:t>
      </w:r>
    </w:p>
    <w:p>
      <w:pPr>
        <w:spacing w:after="0" w:line="41" w:lineRule="exact"/>
        <w:rPr>
          <w:rFonts w:ascii="Arial" w:cs="Arial" w:eastAsia="Arial" w:hAnsi="Arial"/>
          <w:sz w:val="14"/>
          <w:szCs w:val="14"/>
          <w:color w:val="auto"/>
        </w:rPr>
      </w:pPr>
    </w:p>
    <w:p>
      <w:pPr>
        <w:ind w:left="1000" w:hanging="398"/>
        <w:spacing w:after="0"/>
        <w:tabs>
          <w:tab w:leader="none" w:pos="10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With respect to each calendar year of employment, Mr. Fahs is entitled to be reimbursed by us for the reasonable cost of tax accounting services.</w:t>
      </w:r>
    </w:p>
    <w:p>
      <w:pPr>
        <w:spacing w:after="0" w:line="41" w:lineRule="exact"/>
        <w:rPr>
          <w:rFonts w:ascii="Arial" w:cs="Arial" w:eastAsia="Arial" w:hAnsi="Arial"/>
          <w:sz w:val="14"/>
          <w:szCs w:val="14"/>
          <w:color w:val="auto"/>
        </w:rPr>
      </w:pPr>
    </w:p>
    <w:p>
      <w:pPr>
        <w:ind w:left="1000" w:hanging="398"/>
        <w:spacing w:after="0"/>
        <w:tabs>
          <w:tab w:leader="none" w:pos="10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Each of our NEOs is entitled to basic life insurance coverage of up to two times base salary up to $500,000.</w:t>
      </w:r>
    </w:p>
    <w:p>
      <w:pPr>
        <w:spacing w:after="0" w:line="41" w:lineRule="exact"/>
        <w:rPr>
          <w:rFonts w:ascii="Arial" w:cs="Arial" w:eastAsia="Arial" w:hAnsi="Arial"/>
          <w:sz w:val="14"/>
          <w:szCs w:val="14"/>
          <w:color w:val="auto"/>
        </w:rPr>
      </w:pPr>
    </w:p>
    <w:p>
      <w:pPr>
        <w:ind w:left="600" w:right="1400" w:firstLine="2"/>
        <w:spacing w:after="0" w:line="281" w:lineRule="auto"/>
        <w:tabs>
          <w:tab w:leader="none" w:pos="1005" w:val="left"/>
        </w:tabs>
        <w:numPr>
          <w:ilvl w:val="0"/>
          <w:numId w:val="48"/>
        </w:numPr>
        <w:rPr>
          <w:rFonts w:ascii="Arial" w:cs="Arial" w:eastAsia="Arial" w:hAnsi="Arial"/>
          <w:sz w:val="13"/>
          <w:szCs w:val="13"/>
          <w:color w:val="auto"/>
        </w:rPr>
      </w:pPr>
      <w:r>
        <w:rPr>
          <w:rFonts w:ascii="Arial" w:cs="Arial" w:eastAsia="Arial" w:hAnsi="Arial"/>
          <w:sz w:val="13"/>
          <w:szCs w:val="13"/>
          <w:color w:val="auto"/>
        </w:rPr>
        <w:t>Each of our NEOs is entitled to supplemental long-term disability and accidental death insurance coverage. The total benefit maximum of both the basic and supplemental disability insurance coverage is $10,000 and the maximum accidental death benefit is up to the lessor of two times base salary or $500,000.</w:t>
      </w:r>
    </w:p>
    <w:p>
      <w:pPr>
        <w:spacing w:after="0" w:line="1" w:lineRule="exact"/>
        <w:rPr>
          <w:rFonts w:ascii="Arial" w:cs="Arial" w:eastAsia="Arial" w:hAnsi="Arial"/>
          <w:sz w:val="13"/>
          <w:szCs w:val="13"/>
          <w:color w:val="auto"/>
        </w:rPr>
      </w:pPr>
    </w:p>
    <w:p>
      <w:pPr>
        <w:ind w:left="600" w:right="680" w:firstLine="2"/>
        <w:spacing w:after="0" w:line="253" w:lineRule="auto"/>
        <w:tabs>
          <w:tab w:leader="none" w:pos="1005"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a one-time cash payment made to equitably reflect the impact of the 2017 Dividend on vested options, equal to the number of vested options multiplied by an amount equal to the 2017 Dividend Amount, less any applicable withholding taxes.</w:t>
      </w:r>
    </w:p>
    <w:p>
      <w:pPr>
        <w:spacing w:after="0" w:line="11" w:lineRule="exact"/>
        <w:rPr>
          <w:rFonts w:ascii="Arial" w:cs="Arial" w:eastAsia="Arial" w:hAnsi="Arial"/>
          <w:sz w:val="14"/>
          <w:szCs w:val="14"/>
          <w:color w:val="auto"/>
        </w:rPr>
      </w:pPr>
    </w:p>
    <w:p>
      <w:pPr>
        <w:ind w:left="1000" w:hanging="398"/>
        <w:spacing w:after="0"/>
        <w:tabs>
          <w:tab w:leader="none" w:pos="10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fees paid for Mr. Fahs’ YPO membership and fees paid for Mr. McAllister’s taxable relocation expenses.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line="273"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 shown reflects the proration of Mr. Fahs’ annual, performance-based cash bonus under the MIP for fiscal 2017 based on the increase in his target bonus percentage that took effect on September 1, 2017. See Part III. Item 10. “Compensation Elements - Management Incentive Plan” of this Form 10-K for additional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Grants of Plan-Based Awards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grants of plan-based awards to the NEOs during the fiscal year ended December 30,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8"/>
            <w:vMerge w:val="restart"/>
          </w:tcPr>
          <w:p>
            <w:pPr>
              <w:jc w:val="center"/>
              <w:ind w:right="100"/>
              <w:spacing w:after="0"/>
              <w:rPr>
                <w:sz w:val="20"/>
                <w:szCs w:val="20"/>
                <w:color w:val="auto"/>
              </w:rPr>
            </w:pPr>
            <w:r>
              <w:rPr>
                <w:rFonts w:ascii="Arial" w:cs="Arial" w:eastAsia="Arial" w:hAnsi="Arial"/>
                <w:sz w:val="14"/>
                <w:szCs w:val="14"/>
                <w:color w:val="auto"/>
                <w:w w:val="87"/>
              </w:rPr>
              <w:t>Estimated Possible Payouts Under Non-Equity</w:t>
            </w:r>
          </w:p>
        </w:tc>
        <w:tc>
          <w:tcPr>
            <w:tcW w:w="2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86"/>
              </w:rPr>
              <w:t>Estimated Possible Payouts Under Equity</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All other</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gridSpan w:val="8"/>
            <w:vMerge w:val="continue"/>
          </w:tcPr>
          <w:p>
            <w:pPr>
              <w:spacing w:after="0"/>
              <w:rPr>
                <w:sz w:val="6"/>
                <w:szCs w:val="6"/>
                <w:color w:val="auto"/>
              </w:rPr>
            </w:pPr>
          </w:p>
        </w:tc>
        <w:tc>
          <w:tcPr>
            <w:tcW w:w="292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4"/>
              </w:rPr>
              <w:t>option</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0" w:type="dxa"/>
            <w:vAlign w:val="bottom"/>
            <w:gridSpan w:val="5"/>
            <w:vMerge w:val="restart"/>
          </w:tcPr>
          <w:p>
            <w:pPr>
              <w:jc w:val="center"/>
              <w:spacing w:after="0" w:line="193" w:lineRule="exact"/>
              <w:rPr>
                <w:sz w:val="20"/>
                <w:szCs w:val="20"/>
                <w:color w:val="auto"/>
              </w:rPr>
            </w:pPr>
            <w:r>
              <w:rPr>
                <w:rFonts w:ascii="Arial" w:cs="Arial" w:eastAsia="Arial" w:hAnsi="Arial"/>
                <w:sz w:val="14"/>
                <w:szCs w:val="14"/>
                <w:color w:val="auto"/>
                <w:w w:val="86"/>
              </w:rPr>
              <w:t>Incentive Plan Awards</w:t>
            </w:r>
            <w:r>
              <w:rPr>
                <w:rFonts w:ascii="Arial" w:cs="Arial" w:eastAsia="Arial" w:hAnsi="Arial"/>
                <w:sz w:val="22"/>
                <w:szCs w:val="22"/>
                <w:b w:val="1"/>
                <w:bCs w:val="1"/>
                <w:color w:val="auto"/>
                <w:w w:val="86"/>
                <w:vertAlign w:val="superscript"/>
              </w:rPr>
              <w:t>(1)</w:t>
            </w: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20" w:type="dxa"/>
            <w:vAlign w:val="bottom"/>
            <w:gridSpan w:val="5"/>
            <w:vMerge w:val="restart"/>
          </w:tcPr>
          <w:p>
            <w:pPr>
              <w:jc w:val="center"/>
              <w:ind w:left="712"/>
              <w:spacing w:after="0"/>
              <w:rPr>
                <w:sz w:val="20"/>
                <w:szCs w:val="20"/>
                <w:color w:val="auto"/>
              </w:rPr>
            </w:pPr>
            <w:r>
              <w:rPr>
                <w:rFonts w:ascii="Arial" w:cs="Arial" w:eastAsia="Arial" w:hAnsi="Arial"/>
                <w:sz w:val="14"/>
                <w:szCs w:val="14"/>
                <w:color w:val="auto"/>
                <w:w w:val="88"/>
              </w:rPr>
              <w:t>Incentive Plan Awards</w:t>
            </w: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5"/>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Borders>
              <w:bottom w:val="single" w:sz="8" w:color="auto"/>
            </w:tcBorders>
            <w:gridSpan w:val="5"/>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80"/>
              <w:spacing w:after="0" w:line="113" w:lineRule="exact"/>
              <w:rPr>
                <w:sz w:val="20"/>
                <w:szCs w:val="20"/>
                <w:color w:val="auto"/>
              </w:rPr>
            </w:pPr>
            <w:r>
              <w:rPr>
                <w:rFonts w:ascii="Arial" w:cs="Arial" w:eastAsia="Arial" w:hAnsi="Arial"/>
                <w:sz w:val="12"/>
                <w:szCs w:val="12"/>
                <w:color w:val="auto"/>
                <w:w w:val="99"/>
              </w:rPr>
              <w:t>awards: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color w:val="auto"/>
                <w:w w:val="91"/>
              </w:rPr>
              <w:t>Number of</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securities</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Exercise or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7"/>
              </w:rPr>
              <w:t>Grant Date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underlying</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base price of</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Fair Value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2"/>
              <w:spacing w:after="0" w:line="144" w:lineRule="exact"/>
              <w:rPr>
                <w:sz w:val="20"/>
                <w:szCs w:val="20"/>
                <w:color w:val="auto"/>
              </w:rPr>
            </w:pPr>
            <w:r>
              <w:rPr>
                <w:rFonts w:ascii="Arial" w:cs="Arial" w:eastAsia="Arial" w:hAnsi="Arial"/>
                <w:sz w:val="14"/>
                <w:szCs w:val="14"/>
                <w:color w:val="auto"/>
              </w:rPr>
              <w:t>Threshold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60"/>
              <w:spacing w:after="0" w:line="144" w:lineRule="exact"/>
              <w:rPr>
                <w:sz w:val="20"/>
                <w:szCs w:val="20"/>
                <w:color w:val="auto"/>
              </w:rPr>
            </w:pPr>
            <w:r>
              <w:rPr>
                <w:rFonts w:ascii="Arial" w:cs="Arial" w:eastAsia="Arial" w:hAnsi="Arial"/>
                <w:sz w:val="14"/>
                <w:szCs w:val="14"/>
                <w:color w:val="auto"/>
                <w:w w:val="83"/>
              </w:rPr>
              <w:t>Target</w:t>
            </w:r>
          </w:p>
        </w:tc>
        <w:tc>
          <w:tcPr>
            <w:tcW w:w="920" w:type="dxa"/>
            <w:vAlign w:val="bottom"/>
            <w:gridSpan w:val="2"/>
          </w:tcPr>
          <w:p>
            <w:pPr>
              <w:ind w:left="60"/>
              <w:spacing w:after="0" w:line="144" w:lineRule="exact"/>
              <w:rPr>
                <w:sz w:val="20"/>
                <w:szCs w:val="20"/>
                <w:color w:val="auto"/>
              </w:rPr>
            </w:pPr>
            <w:r>
              <w:rPr>
                <w:rFonts w:ascii="Arial" w:cs="Arial" w:eastAsia="Arial" w:hAnsi="Arial"/>
                <w:sz w:val="14"/>
                <w:szCs w:val="14"/>
                <w:color w:val="auto"/>
              </w:rPr>
              <w:t>Maximum</w:t>
            </w:r>
          </w:p>
        </w:tc>
        <w:tc>
          <w:tcPr>
            <w:tcW w:w="1000" w:type="dxa"/>
            <w:vAlign w:val="bottom"/>
            <w:gridSpan w:val="2"/>
          </w:tcPr>
          <w:p>
            <w:pPr>
              <w:jc w:val="center"/>
              <w:ind w:right="120"/>
              <w:spacing w:after="0" w:line="144" w:lineRule="exact"/>
              <w:rPr>
                <w:sz w:val="20"/>
                <w:szCs w:val="20"/>
                <w:color w:val="auto"/>
              </w:rPr>
            </w:pPr>
            <w:r>
              <w:rPr>
                <w:rFonts w:ascii="Arial" w:cs="Arial" w:eastAsia="Arial" w:hAnsi="Arial"/>
                <w:sz w:val="14"/>
                <w:szCs w:val="14"/>
                <w:color w:val="auto"/>
                <w:w w:val="89"/>
              </w:rPr>
              <w:t>Threshold</w:t>
            </w:r>
          </w:p>
        </w:tc>
        <w:tc>
          <w:tcPr>
            <w:tcW w:w="1120" w:type="dxa"/>
            <w:vAlign w:val="bottom"/>
            <w:gridSpan w:val="3"/>
          </w:tcPr>
          <w:p>
            <w:pPr>
              <w:jc w:val="center"/>
              <w:ind w:right="220"/>
              <w:spacing w:after="0" w:line="144" w:lineRule="exact"/>
              <w:rPr>
                <w:sz w:val="20"/>
                <w:szCs w:val="20"/>
                <w:color w:val="auto"/>
              </w:rPr>
            </w:pPr>
            <w:r>
              <w:rPr>
                <w:rFonts w:ascii="Arial" w:cs="Arial" w:eastAsia="Arial" w:hAnsi="Arial"/>
                <w:sz w:val="14"/>
                <w:szCs w:val="14"/>
                <w:color w:val="auto"/>
                <w:w w:val="83"/>
              </w:rPr>
              <w:t>Target</w:t>
            </w:r>
          </w:p>
        </w:tc>
        <w:tc>
          <w:tcPr>
            <w:tcW w:w="800" w:type="dxa"/>
            <w:vAlign w:val="bottom"/>
          </w:tcPr>
          <w:p>
            <w:pPr>
              <w:jc w:val="center"/>
              <w:ind w:right="32"/>
              <w:spacing w:after="0" w:line="144" w:lineRule="exact"/>
              <w:rPr>
                <w:sz w:val="20"/>
                <w:szCs w:val="20"/>
                <w:color w:val="auto"/>
              </w:rPr>
            </w:pPr>
            <w:r>
              <w:rPr>
                <w:rFonts w:ascii="Arial" w:cs="Arial" w:eastAsia="Arial" w:hAnsi="Arial"/>
                <w:sz w:val="14"/>
                <w:szCs w:val="14"/>
                <w:color w:val="auto"/>
                <w:w w:val="95"/>
              </w:rPr>
              <w:t>Maximum</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4" w:lineRule="exact"/>
              <w:rPr>
                <w:sz w:val="20"/>
                <w:szCs w:val="20"/>
                <w:color w:val="auto"/>
              </w:rPr>
            </w:pPr>
            <w:r>
              <w:rPr>
                <w:rFonts w:ascii="Arial" w:cs="Arial" w:eastAsia="Arial" w:hAnsi="Arial"/>
                <w:sz w:val="14"/>
                <w:szCs w:val="14"/>
                <w:color w:val="auto"/>
                <w:w w:val="88"/>
              </w:rPr>
              <w:t>options</w:t>
            </w:r>
          </w:p>
        </w:tc>
        <w:tc>
          <w:tcPr>
            <w:tcW w:w="1020" w:type="dxa"/>
            <w:vAlign w:val="bottom"/>
            <w:gridSpan w:val="2"/>
          </w:tcPr>
          <w:p>
            <w:pPr>
              <w:jc w:val="center"/>
              <w:ind w:right="100"/>
              <w:spacing w:after="0" w:line="144" w:lineRule="exact"/>
              <w:rPr>
                <w:sz w:val="20"/>
                <w:szCs w:val="20"/>
                <w:color w:val="auto"/>
              </w:rPr>
            </w:pPr>
            <w:r>
              <w:rPr>
                <w:rFonts w:ascii="Arial" w:cs="Arial" w:eastAsia="Arial" w:hAnsi="Arial"/>
                <w:sz w:val="14"/>
                <w:szCs w:val="14"/>
                <w:color w:val="auto"/>
                <w:w w:val="87"/>
              </w:rPr>
              <w:t>option awards</w:t>
            </w:r>
          </w:p>
        </w:tc>
        <w:tc>
          <w:tcPr>
            <w:tcW w:w="900" w:type="dxa"/>
            <w:vAlign w:val="bottom"/>
          </w:tcPr>
          <w:p>
            <w:pPr>
              <w:jc w:val="center"/>
              <w:spacing w:after="0" w:line="144" w:lineRule="exact"/>
              <w:rPr>
                <w:sz w:val="20"/>
                <w:szCs w:val="20"/>
                <w:color w:val="auto"/>
              </w:rPr>
            </w:pPr>
            <w:r>
              <w:rPr>
                <w:rFonts w:ascii="Arial" w:cs="Arial" w:eastAsia="Arial" w:hAnsi="Arial"/>
                <w:sz w:val="14"/>
                <w:szCs w:val="14"/>
                <w:color w:val="auto"/>
                <w:w w:val="89"/>
              </w:rPr>
              <w:t>Option Award</w:t>
            </w:r>
          </w:p>
        </w:tc>
        <w:tc>
          <w:tcPr>
            <w:tcW w:w="0" w:type="dxa"/>
            <w:vAlign w:val="bottom"/>
          </w:tcPr>
          <w:p>
            <w:pPr>
              <w:spacing w:after="0"/>
              <w:rPr>
                <w:sz w:val="1"/>
                <w:szCs w:val="1"/>
                <w:color w:val="auto"/>
              </w:rPr>
            </w:pPr>
          </w:p>
        </w:tc>
      </w:tr>
      <w:tr>
        <w:trPr>
          <w:trHeight w:val="191"/>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Grant Date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22"/>
                <w:szCs w:val="22"/>
                <w:color w:val="auto"/>
                <w:w w:val="92"/>
                <w:vertAlign w:val="subscript"/>
              </w:rPr>
              <w:t>(#)</w:t>
            </w:r>
            <w:r>
              <w:rPr>
                <w:rFonts w:ascii="Arial" w:cs="Arial" w:eastAsia="Arial" w:hAnsi="Arial"/>
                <w:sz w:val="10"/>
                <w:szCs w:val="10"/>
                <w:color w:val="auto"/>
                <w:w w:val="92"/>
              </w:rPr>
              <w:t>(2)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($/Sh)</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22"/>
                <w:szCs w:val="22"/>
                <w:color w:val="auto"/>
                <w:w w:val="99"/>
                <w:vertAlign w:val="subscript"/>
              </w:rPr>
              <w:t>($)</w:t>
            </w:r>
            <w:r>
              <w:rPr>
                <w:rFonts w:ascii="Arial" w:cs="Arial" w:eastAsia="Arial" w:hAnsi="Arial"/>
                <w:sz w:val="10"/>
                <w:szCs w:val="10"/>
                <w:color w:val="auto"/>
                <w:w w:val="99"/>
              </w:rPr>
              <w:t>(3)</w:t>
            </w:r>
          </w:p>
        </w:tc>
        <w:tc>
          <w:tcPr>
            <w:tcW w:w="0" w:type="dxa"/>
            <w:vAlign w:val="bottom"/>
          </w:tcPr>
          <w:p>
            <w:pPr>
              <w:spacing w:after="0"/>
              <w:rPr>
                <w:sz w:val="1"/>
                <w:szCs w:val="1"/>
                <w:color w:val="auto"/>
              </w:rPr>
            </w:pPr>
          </w:p>
        </w:tc>
      </w:tr>
      <w:tr>
        <w:trPr>
          <w:trHeight w:val="26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 Reade Fahs</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265,712</w:t>
            </w:r>
            <w:r>
              <w:rPr>
                <w:rFonts w:ascii="Arial" w:cs="Arial" w:eastAsia="Arial" w:hAnsi="Arial"/>
                <w:sz w:val="22"/>
                <w:szCs w:val="22"/>
                <w:color w:val="auto"/>
                <w:vertAlign w:val="superscript"/>
              </w:rPr>
              <w:t>(4)</w:t>
            </w:r>
          </w:p>
        </w:tc>
        <w:tc>
          <w:tcPr>
            <w:tcW w:w="1160" w:type="dxa"/>
            <w:vAlign w:val="bottom"/>
            <w:gridSpan w:val="3"/>
            <w:shd w:val="clear" w:color="auto" w:fill="CCEEFF"/>
          </w:tcPr>
          <w:p>
            <w:pPr>
              <w:jc w:val="right"/>
              <w:ind w:right="52"/>
              <w:spacing w:after="0"/>
              <w:rPr>
                <w:sz w:val="20"/>
                <w:szCs w:val="20"/>
                <w:color w:val="auto"/>
              </w:rPr>
            </w:pPr>
            <w:r>
              <w:rPr>
                <w:rFonts w:ascii="Arial" w:cs="Arial" w:eastAsia="Arial" w:hAnsi="Arial"/>
                <w:sz w:val="14"/>
                <w:szCs w:val="14"/>
                <w:color w:val="auto"/>
              </w:rPr>
              <w:t>531,423</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84"/>
              </w:rPr>
              <w:t>1,021,665</w:t>
            </w:r>
            <w:r>
              <w:rPr>
                <w:rFonts w:ascii="Arial" w:cs="Arial" w:eastAsia="Arial" w:hAnsi="Arial"/>
                <w:sz w:val="22"/>
                <w:szCs w:val="22"/>
                <w:color w:val="auto"/>
                <w:w w:val="84"/>
                <w:vertAlign w:val="superscript"/>
              </w:rPr>
              <w:t>(4)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4"/>
                <w:szCs w:val="14"/>
                <w:color w:val="auto"/>
              </w:rPr>
              <w:t>Patrick R. Moore</w:t>
            </w:r>
          </w:p>
        </w:tc>
        <w:tc>
          <w:tcPr>
            <w:tcW w:w="1040" w:type="dxa"/>
            <w:vAlign w:val="bottom"/>
            <w:gridSpan w:val="2"/>
          </w:tcPr>
          <w:p>
            <w:pPr>
              <w:jc w:val="right"/>
              <w:ind w:right="92"/>
              <w:spacing w:after="0"/>
              <w:rPr>
                <w:sz w:val="20"/>
                <w:szCs w:val="20"/>
                <w:color w:val="auto"/>
              </w:rPr>
            </w:pPr>
            <w:r>
              <w:rPr>
                <w:rFonts w:ascii="Arial" w:cs="Arial" w:eastAsia="Arial" w:hAnsi="Arial"/>
                <w:sz w:val="14"/>
                <w:szCs w:val="14"/>
                <w:color w:val="auto"/>
              </w:rPr>
              <w:t>10/25/2017</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gridSpan w:val="2"/>
          </w:tcPr>
          <w:p>
            <w:pPr>
              <w:jc w:val="right"/>
              <w:ind w:right="55"/>
              <w:spacing w:after="0"/>
              <w:rPr>
                <w:sz w:val="20"/>
                <w:szCs w:val="20"/>
                <w:color w:val="auto"/>
              </w:rPr>
            </w:pPr>
            <w:r>
              <w:rPr>
                <w:rFonts w:ascii="Arial" w:cs="Arial" w:eastAsia="Arial" w:hAnsi="Arial"/>
                <w:sz w:val="14"/>
                <w:szCs w:val="14"/>
                <w:color w:val="auto"/>
              </w:rPr>
              <w:t>92,443</w:t>
            </w:r>
          </w:p>
        </w:tc>
        <w:tc>
          <w:tcPr>
            <w:tcW w:w="10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22.00</w:t>
            </w:r>
          </w:p>
        </w:tc>
        <w:tc>
          <w:tcPr>
            <w:tcW w:w="12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848,442</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1160" w:type="dxa"/>
            <w:vAlign w:val="bottom"/>
            <w:gridSpan w:val="3"/>
          </w:tcPr>
          <w:p>
            <w:pPr>
              <w:jc w:val="right"/>
              <w:ind w:right="52"/>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445,000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Jeff McAllister</w:t>
            </w:r>
          </w:p>
        </w:tc>
        <w:tc>
          <w:tcPr>
            <w:tcW w:w="1040" w:type="dxa"/>
            <w:vAlign w:val="bottom"/>
            <w:gridSpan w:val="2"/>
            <w:shd w:val="clear" w:color="auto" w:fill="CCEEFF"/>
          </w:tcPr>
          <w:p>
            <w:pPr>
              <w:jc w:val="right"/>
              <w:ind w:right="112"/>
              <w:spacing w:after="0"/>
              <w:rPr>
                <w:sz w:val="20"/>
                <w:szCs w:val="20"/>
                <w:color w:val="auto"/>
              </w:rPr>
            </w:pPr>
            <w:r>
              <w:rPr>
                <w:rFonts w:ascii="Arial" w:cs="Arial" w:eastAsia="Arial" w:hAnsi="Arial"/>
                <w:sz w:val="14"/>
                <w:szCs w:val="14"/>
                <w:color w:val="auto"/>
              </w:rPr>
              <w:t>8/14/2017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xml:space="preserve">43,478 </w:t>
            </w:r>
            <w:r>
              <w:rPr>
                <w:rFonts w:ascii="Arial" w:cs="Arial" w:eastAsia="Arial" w:hAnsi="Arial"/>
                <w:sz w:val="22"/>
                <w:szCs w:val="22"/>
                <w:color w:val="auto"/>
                <w:vertAlign w:val="superscript"/>
              </w:rPr>
              <w:t>(5)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217,390</w:t>
            </w:r>
            <w:r>
              <w:rPr>
                <w:rFonts w:ascii="Arial" w:cs="Arial" w:eastAsia="Arial" w:hAnsi="Arial"/>
                <w:sz w:val="22"/>
                <w:szCs w:val="22"/>
                <w:color w:val="auto"/>
                <w:vertAlign w:val="superscript"/>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144,927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15.74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3,346,209</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56,791</w:t>
            </w:r>
          </w:p>
        </w:tc>
        <w:tc>
          <w:tcPr>
            <w:tcW w:w="1160" w:type="dxa"/>
            <w:vAlign w:val="bottom"/>
            <w:gridSpan w:val="3"/>
            <w:shd w:val="clear" w:color="auto" w:fill="CCEEFF"/>
          </w:tcPr>
          <w:p>
            <w:pPr>
              <w:jc w:val="right"/>
              <w:ind w:right="52"/>
              <w:spacing w:after="0"/>
              <w:rPr>
                <w:sz w:val="20"/>
                <w:szCs w:val="20"/>
                <w:color w:val="auto"/>
              </w:rPr>
            </w:pPr>
            <w:r>
              <w:rPr>
                <w:rFonts w:ascii="Arial" w:cs="Arial" w:eastAsia="Arial" w:hAnsi="Arial"/>
                <w:sz w:val="14"/>
                <w:szCs w:val="14"/>
                <w:color w:val="auto"/>
              </w:rPr>
              <w:t>113,582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252,719</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40"/>
              <w:spacing w:after="0"/>
              <w:rPr>
                <w:sz w:val="20"/>
                <w:szCs w:val="20"/>
                <w:color w:val="auto"/>
              </w:rPr>
            </w:pPr>
            <w:r>
              <w:rPr>
                <w:rFonts w:ascii="Arial" w:cs="Arial" w:eastAsia="Arial" w:hAnsi="Arial"/>
                <w:sz w:val="14"/>
                <w:szCs w:val="14"/>
                <w:color w:val="auto"/>
                <w:w w:val="97"/>
              </w:rPr>
              <w:t>Mitchell Goodman</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86,154</w:t>
            </w:r>
          </w:p>
        </w:tc>
        <w:tc>
          <w:tcPr>
            <w:tcW w:w="1160" w:type="dxa"/>
            <w:vAlign w:val="bottom"/>
            <w:gridSpan w:val="3"/>
          </w:tcPr>
          <w:p>
            <w:pPr>
              <w:jc w:val="right"/>
              <w:ind w:right="52"/>
              <w:spacing w:after="0"/>
              <w:rPr>
                <w:sz w:val="20"/>
                <w:szCs w:val="20"/>
                <w:color w:val="auto"/>
              </w:rPr>
            </w:pPr>
            <w:r>
              <w:rPr>
                <w:rFonts w:ascii="Arial" w:cs="Arial" w:eastAsia="Arial" w:hAnsi="Arial"/>
                <w:sz w:val="14"/>
                <w:szCs w:val="14"/>
                <w:color w:val="auto"/>
              </w:rPr>
              <w:t>172,308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383,385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Vaught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46,450</w:t>
            </w:r>
          </w:p>
        </w:tc>
        <w:tc>
          <w:tcPr>
            <w:tcW w:w="1160" w:type="dxa"/>
            <w:vAlign w:val="bottom"/>
            <w:gridSpan w:val="3"/>
            <w:shd w:val="clear" w:color="auto" w:fill="CCEEFF"/>
          </w:tcPr>
          <w:p>
            <w:pPr>
              <w:jc w:val="right"/>
              <w:ind w:right="52"/>
              <w:spacing w:after="0"/>
              <w:rPr>
                <w:sz w:val="20"/>
                <w:szCs w:val="20"/>
                <w:color w:val="auto"/>
              </w:rPr>
            </w:pPr>
            <w:r>
              <w:rPr>
                <w:rFonts w:ascii="Arial" w:cs="Arial" w:eastAsia="Arial" w:hAnsi="Arial"/>
                <w:sz w:val="14"/>
                <w:szCs w:val="14"/>
                <w:color w:val="auto"/>
              </w:rPr>
              <w:t>92,900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242,969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160" w:type="dxa"/>
            <w:vAlign w:val="bottom"/>
          </w:tcPr>
          <w:p>
            <w:pPr>
              <w:ind w:left="40"/>
              <w:spacing w:after="0"/>
              <w:rPr>
                <w:sz w:val="20"/>
                <w:szCs w:val="20"/>
                <w:color w:val="auto"/>
              </w:rPr>
            </w:pPr>
            <w:r>
              <w:rPr>
                <w:rFonts w:ascii="Arial" w:cs="Arial" w:eastAsia="Arial" w:hAnsi="Arial"/>
                <w:sz w:val="14"/>
                <w:szCs w:val="14"/>
                <w:color w:val="auto"/>
              </w:rPr>
              <w:t>J. Bruce Steffey</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151,323</w:t>
            </w:r>
          </w:p>
        </w:tc>
        <w:tc>
          <w:tcPr>
            <w:tcW w:w="1160" w:type="dxa"/>
            <w:vAlign w:val="bottom"/>
            <w:gridSpan w:val="3"/>
          </w:tcPr>
          <w:p>
            <w:pPr>
              <w:jc w:val="right"/>
              <w:ind w:right="52"/>
              <w:spacing w:after="0"/>
              <w:rPr>
                <w:sz w:val="20"/>
                <w:szCs w:val="20"/>
                <w:color w:val="auto"/>
              </w:rPr>
            </w:pPr>
            <w:r>
              <w:rPr>
                <w:rFonts w:ascii="Arial" w:cs="Arial" w:eastAsia="Arial" w:hAnsi="Arial"/>
                <w:sz w:val="14"/>
                <w:szCs w:val="14"/>
                <w:color w:val="auto"/>
              </w:rPr>
              <w:t>302,665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655,775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20"/>
                <w:szCs w:val="20"/>
                <w:color w:val="auto"/>
              </w:rPr>
            </w:pPr>
            <w:r>
              <w:rPr>
                <w:rFonts w:ascii="Arial" w:cs="Arial" w:eastAsia="Arial" w:hAnsi="Arial"/>
                <w:sz w:val="14"/>
                <w:szCs w:val="14"/>
                <w:b w:val="1"/>
                <w:bCs w:val="1"/>
                <w:color w:val="auto"/>
              </w:rPr>
              <w:t>______________</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hanging="492"/>
        <w:spacing w:after="0" w:line="260" w:lineRule="auto"/>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Reflects the possible payouts of cash incentive compensation under the MIP. See “Compensation Discussion and Analysis-Compensation Elements-Management Incentive Plan” above for a description of the MIP. The actual amounts paid are described in the “Non-Equity Incentive Plan Compensation” column of the “Summary Compensation Table.”</w:t>
      </w:r>
    </w:p>
    <w:p>
      <w:pPr>
        <w:ind w:left="500" w:right="20" w:hanging="492"/>
        <w:spacing w:after="0" w:line="241"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Mr. Moore, reflects 2017 Post-IPO Options and for Mr. McAllister, represents the time-vesting portion of the McAllister 2017 Options, the terms of which are summarized under “Narrative to Summary Compensation Table and 2017 Grants of Plan-Based Awards” below.</w:t>
      </w:r>
    </w:p>
    <w:p>
      <w:pPr>
        <w:ind w:left="500" w:hanging="492"/>
        <w:spacing w:after="0" w:line="241"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the grant date fair value of the time-vesting options computed in accordance with Topic 718 and utilizing the assumptions discussed in Note 5 to our consolidated financial statements for the year ended December 31, 2017 in this Form 10-K.</w:t>
      </w:r>
    </w:p>
    <w:p>
      <w:pPr>
        <w:ind w:left="500" w:hanging="492"/>
        <w:spacing w:after="0" w:line="241"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shown reflect the net proration of Mr. Fahs’ possible payouts under the MIP based on the increase in his target bonus percentage that took effect on September 1, 2017. See “Compensation Discussion and Analysis - Compensation Elements - Management Incentive Plan” for additional information.</w:t>
      </w:r>
    </w:p>
    <w:p>
      <w:pPr>
        <w:ind w:left="500" w:hanging="492"/>
        <w:spacing w:after="0" w:line="255"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Reflects the performance-vesting portion of the McAllister 2017 Options, the terms of which are summarized under “Narrative to Summary Compensation Table and 2017 Grants of Plan-Based Awards”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 and 2017 Grants of Plan-Based Awards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Equity Awards. </w:t>
      </w:r>
      <w:r>
        <w:rPr>
          <w:rFonts w:ascii="Arial" w:cs="Arial" w:eastAsia="Arial" w:hAnsi="Arial"/>
          <w:sz w:val="18"/>
          <w:szCs w:val="18"/>
          <w:color w:val="auto"/>
        </w:rPr>
        <w:t>Each of our NEOs is party to a Management Stockholder’s Agreement with us. The Management Stockholder’s Agreement, along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Agreement and, with respect to Mr. Vaught, an Option Rollover Agreement, generally govern each NEO’s rights with respect to shares of common stock of the Company held by such NEO, such NEO’s stock options, and, with respect to Mr. Vaught, his rollover options, and contain certain rights and obligations of the parties thereto with respect to vesting, transfer restrictions, put and call rights, tag-along rights, drag-along rights, registration rights and rights of first refusal, and certain other matters.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Vesting Terms. </w:t>
      </w:r>
      <w:r>
        <w:rPr>
          <w:rFonts w:ascii="Arial" w:cs="Arial" w:eastAsia="Arial" w:hAnsi="Arial"/>
          <w:sz w:val="17"/>
          <w:szCs w:val="17"/>
          <w:color w:val="auto"/>
        </w:rPr>
        <w:t>The Pre-IPO Options consist of 40% time-based and 60% performance-based options. With respect to the 2014 Options, the time-based</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vest as to 20% of the shares subject to such option on each anniversary of the closing date of our acquisition by affiliates of KKR Sponsor, such that all of the shares subject to such time-based options will be vested and exercisable on March 13, 2019, the fifth anniversary of the closing date of our acquisition by affiliates of KKR Sponsor, subject to the holder continuing to provide services through such vesting date. The performance-based Pre-IPO Options are eligible to vest upon (i) a change in control (as defined in our 2014 Stock Incentive Plan), (ii) extraordinary dividend payment(s), (iii) a sale of shares by affiliates of KKR Sponsor into the public market or (iv) any other event or transaction (or series of events or transactions) wherein affiliates of KKR Sponsor receive cash, on a cumulative basis, in respect of their shares, which we refer to as a “Realization Event.” Upon each date that a Realization Event occurs, a percentage of the performance-based options will vest if affiliates of KKR Sponsor receive proceeds that result in the achievement of a cumulative internal rate of return equal to at least 20% and:</w:t>
      </w:r>
    </w:p>
    <w:p>
      <w:pPr>
        <w:spacing w:after="0" w:line="74" w:lineRule="exact"/>
        <w:rPr>
          <w:sz w:val="20"/>
          <w:szCs w:val="20"/>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multiple of invested capital, or MOIC, achieved is less than two times, no portion of the performance-based options will vest;</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MOIC achieved is equal to two times, then 25% of the performance-based options will vest; and</w:t>
      </w:r>
    </w:p>
    <w:p>
      <w:pPr>
        <w:spacing w:after="0" w:line="9" w:lineRule="exact"/>
        <w:rPr>
          <w:rFonts w:ascii="Arial" w:cs="Arial" w:eastAsia="Arial" w:hAnsi="Arial"/>
          <w:sz w:val="18"/>
          <w:szCs w:val="18"/>
          <w:color w:val="auto"/>
        </w:rPr>
      </w:pPr>
    </w:p>
    <w:p>
      <w:pPr>
        <w:jc w:val="both"/>
        <w:ind w:left="820" w:right="20" w:hanging="326"/>
        <w:spacing w:after="0" w:line="302"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respect to the McAllister 2017 Options, the time-based options vest as to 20% of the shares subject to such option on each anniversary of the grant date, such that all of the shares subject to such time-based options will be vested and exercisable on the fifth anniversary of the grant date, subject to the holder continuing to provide services through the vesting date. The performance-based McAllister 2017 Options are eligible to vest as to 20% of the shares subject to such option on each of the first five concluded fiscal years following the grant date (each, an “Option Tranche”) if the Company achieves the applicable management EBITDA target for the respective fiscal year under the MIP (the “Target”) established by the Board of Directors as follows:</w:t>
      </w:r>
    </w:p>
    <w:p>
      <w:pPr>
        <w:spacing w:after="0" w:line="50" w:lineRule="exact"/>
        <w:rPr>
          <w:sz w:val="20"/>
          <w:szCs w:val="20"/>
          <w:color w:val="auto"/>
        </w:rPr>
      </w:pPr>
    </w:p>
    <w:p>
      <w:pPr>
        <w:ind w:left="820" w:hanging="326"/>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the 2017 fiscal year, the Target shall be deemed to have been met and 100% of the 2017 Option Tranche will vest;</w:t>
      </w:r>
    </w:p>
    <w:p>
      <w:pPr>
        <w:spacing w:after="0" w:line="23" w:lineRule="exact"/>
        <w:rPr>
          <w:rFonts w:ascii="Arial" w:cs="Arial" w:eastAsia="Arial" w:hAnsi="Arial"/>
          <w:sz w:val="18"/>
          <w:szCs w:val="18"/>
          <w:color w:val="auto"/>
        </w:rPr>
      </w:pPr>
    </w:p>
    <w:p>
      <w:pPr>
        <w:jc w:val="both"/>
        <w:ind w:left="820" w:right="20" w:hanging="326"/>
        <w:spacing w:after="0" w:line="254"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each of the subsequent four fiscal years, if the management EBITDA achieved in the applicable fiscal year: (i) is less than 95% of the Target, then no portion of the applicable Option Tranche will vest, (ii) is 95% of the Target, then 50% of the applicable Option Tranche will vest, (iii) exceeds 95% of the Target, then 50% plus an additional percentage of the applicable Option Tranche will vest, up to 50%, calculated linearly and (iv) is 100%, then 100% of the applicable Option Tranche will vest.</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time-based and performance-based McAllister 2017 Options fully vest upon a change in control, subject to Mr. McAllister remaining employed with the Company on the date of such change in control.</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2017 Post-IPO Options are time based options that will vest in three substantially equal installments on each of the first, second and third anniversaries of the grant date, subject to continued employment through the applicable vesting date. Mr. Vaught’s rollover options were fully vested as of their date of grant.</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Put Rights. </w:t>
      </w:r>
      <w:r>
        <w:rPr>
          <w:rFonts w:ascii="Arial" w:cs="Arial" w:eastAsia="Arial" w:hAnsi="Arial"/>
          <w:sz w:val="18"/>
          <w:szCs w:val="18"/>
          <w:color w:val="auto"/>
        </w:rPr>
        <w:t>Prior to the later of (1) March 13, 2019 and (2) a change of control (as defined in the Management Stockholder’s Agreement), if an NEO’s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is terminated as a result of death or disability, then such NEO has a right, subject to specified limitations and for a specified period following such termination, to cause the Company to repurchase all or any vested Pre-IPO Options for an amount equal to the product of (x) the excess, if any, of fair market value on the repurchase calculation date (as defined in the Management Stockholder’s Agreement) of a share underlying the option over the exercise price and (y) the number of options. We refer to this calculation as the “Option Formula.”</w:t>
      </w:r>
    </w:p>
    <w:p>
      <w:pPr>
        <w:spacing w:after="0" w:line="8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Call Rights Regarding the NEOs’ Vested Pre-IPO Options. </w:t>
      </w:r>
      <w:r>
        <w:rPr>
          <w:rFonts w:ascii="Arial" w:cs="Arial" w:eastAsia="Arial" w:hAnsi="Arial"/>
          <w:sz w:val="16"/>
          <w:szCs w:val="16"/>
          <w:color w:val="auto"/>
        </w:rPr>
        <w:t>Prior to the later of (1) March 13, 2019 and (2) a change of control, if an NEO’s employment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for any reason, or in the event of a breach by an NEO of the Management Stockholder’s Agreement, including a restrictive covenant violation, the Company has the right, for a specified period following the termination of such NEO’s employment, to purchase all of such NEO’s vested options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1920"/>
              <w:spacing w:after="0"/>
              <w:rPr>
                <w:sz w:val="20"/>
                <w:szCs w:val="20"/>
                <w:color w:val="auto"/>
              </w:rPr>
            </w:pPr>
            <w:r>
              <w:rPr>
                <w:rFonts w:ascii="Arial" w:cs="Arial" w:eastAsia="Arial" w:hAnsi="Arial"/>
                <w:sz w:val="18"/>
                <w:szCs w:val="18"/>
                <w:color w:val="auto"/>
              </w:rPr>
              <w:t>Triggering Event</w:t>
            </w:r>
          </w:p>
        </w:tc>
        <w:tc>
          <w:tcPr>
            <w:tcW w:w="5160" w:type="dxa"/>
            <w:vAlign w:val="bottom"/>
          </w:tcPr>
          <w:p>
            <w:pPr>
              <w:ind w:left="2220"/>
              <w:spacing w:after="0"/>
              <w:rPr>
                <w:sz w:val="20"/>
                <w:szCs w:val="20"/>
                <w:color w:val="auto"/>
              </w:rPr>
            </w:pPr>
            <w:r>
              <w:rPr>
                <w:rFonts w:ascii="Arial" w:cs="Arial" w:eastAsia="Arial" w:hAnsi="Arial"/>
                <w:sz w:val="18"/>
                <w:szCs w:val="18"/>
                <w:color w:val="auto"/>
              </w:rPr>
              <w:t>Call Price</w:t>
            </w:r>
          </w:p>
        </w:tc>
      </w:tr>
      <w:tr>
        <w:trPr>
          <w:trHeight w:val="27"/>
        </w:trPr>
        <w:tc>
          <w:tcPr>
            <w:tcW w:w="5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Death or Disability</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Formula</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Termination for Cause</w:t>
            </w:r>
          </w:p>
        </w:tc>
        <w:tc>
          <w:tcPr>
            <w:tcW w:w="5160" w:type="dxa"/>
            <w:vAlign w:val="bottom"/>
          </w:tcPr>
          <w:p>
            <w:pPr>
              <w:ind w:left="40"/>
              <w:spacing w:after="0"/>
              <w:rPr>
                <w:sz w:val="20"/>
                <w:szCs w:val="20"/>
                <w:color w:val="auto"/>
              </w:rPr>
            </w:pPr>
            <w:r>
              <w:rPr>
                <w:rFonts w:ascii="Arial" w:cs="Arial" w:eastAsia="Arial" w:hAnsi="Arial"/>
                <w:sz w:val="18"/>
                <w:szCs w:val="18"/>
                <w:color w:val="auto"/>
              </w:rPr>
              <w:t>Options are terminated without payment</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Termination Without Cause or for Good Reason</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Formula</w:t>
            </w: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7"/>
              </w:rPr>
              <w:t>Termination Without Good Reason Prior to March 13, 2017 (other</w:t>
            </w:r>
          </w:p>
        </w:tc>
        <w:tc>
          <w:tcPr>
            <w:tcW w:w="5160" w:type="dxa"/>
            <w:vAlign w:val="bottom"/>
          </w:tcPr>
          <w:p>
            <w:pPr>
              <w:spacing w:after="0"/>
              <w:rPr>
                <w:sz w:val="19"/>
                <w:szCs w:val="19"/>
                <w:color w:val="auto"/>
              </w:rPr>
            </w:pPr>
          </w:p>
        </w:tc>
      </w:tr>
      <w:tr>
        <w:trPr>
          <w:trHeight w:val="23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than due to death or Disability)</w:t>
            </w:r>
          </w:p>
        </w:tc>
        <w:tc>
          <w:tcPr>
            <w:tcW w:w="5160" w:type="dxa"/>
            <w:vAlign w:val="bottom"/>
          </w:tcPr>
          <w:p>
            <w:pPr>
              <w:ind w:left="40"/>
              <w:spacing w:after="0"/>
              <w:rPr>
                <w:sz w:val="20"/>
                <w:szCs w:val="20"/>
                <w:color w:val="auto"/>
              </w:rPr>
            </w:pPr>
            <w:r>
              <w:rPr>
                <w:rFonts w:ascii="Arial" w:cs="Arial" w:eastAsia="Arial" w:hAnsi="Arial"/>
                <w:sz w:val="18"/>
                <w:szCs w:val="18"/>
                <w:color w:val="auto"/>
              </w:rPr>
              <w:t>Options are terminated without payment</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Termination Without Good Reason on or After March 13, 2017</w:t>
            </w:r>
          </w:p>
        </w:tc>
        <w:tc>
          <w:tcPr>
            <w:tcW w:w="51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than due to death or Disability)</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Formula</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Material Breach of Management Stockholder’s Agreement</w:t>
            </w:r>
          </w:p>
        </w:tc>
        <w:tc>
          <w:tcPr>
            <w:tcW w:w="5160" w:type="dxa"/>
            <w:vAlign w:val="bottom"/>
          </w:tcPr>
          <w:p>
            <w:pPr>
              <w:ind w:left="40"/>
              <w:spacing w:after="0"/>
              <w:rPr>
                <w:sz w:val="20"/>
                <w:szCs w:val="20"/>
                <w:color w:val="auto"/>
              </w:rPr>
            </w:pPr>
            <w:r>
              <w:rPr>
                <w:rFonts w:ascii="Arial" w:cs="Arial" w:eastAsia="Arial" w:hAnsi="Arial"/>
                <w:sz w:val="18"/>
                <w:szCs w:val="18"/>
                <w:color w:val="auto"/>
              </w:rPr>
              <w:t>Options are terminated without payment</w:t>
            </w:r>
          </w:p>
        </w:tc>
      </w:tr>
    </w:tbl>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Call Rights Regarding Mr. Vaught’s Rollover Options. </w:t>
      </w:r>
      <w:r>
        <w:rPr>
          <w:rFonts w:ascii="Arial" w:cs="Arial" w:eastAsia="Arial" w:hAnsi="Arial"/>
          <w:sz w:val="18"/>
          <w:szCs w:val="18"/>
          <w:color w:val="auto"/>
        </w:rPr>
        <w:t>Prior to the later of (1) March 13, 2019 and (2) a change of control, if Mr. Vaught’s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for any reason, or in the event of a breach by Mr. Vaught of the Management Stockholder’s Agreement, including a restrictive covenant violation, the Company has the right, for a specified period following the termination of such NEO’s employment, to purchase all of Mr. Vaught’s vested rollover options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1920"/>
              <w:spacing w:after="0"/>
              <w:rPr>
                <w:sz w:val="20"/>
                <w:szCs w:val="20"/>
                <w:color w:val="auto"/>
              </w:rPr>
            </w:pPr>
            <w:r>
              <w:rPr>
                <w:rFonts w:ascii="Arial" w:cs="Arial" w:eastAsia="Arial" w:hAnsi="Arial"/>
                <w:sz w:val="18"/>
                <w:szCs w:val="18"/>
                <w:color w:val="auto"/>
              </w:rPr>
              <w:t>Triggering Event</w:t>
            </w:r>
          </w:p>
        </w:tc>
        <w:tc>
          <w:tcPr>
            <w:tcW w:w="5160" w:type="dxa"/>
            <w:vAlign w:val="bottom"/>
          </w:tcPr>
          <w:p>
            <w:pPr>
              <w:ind w:left="2220"/>
              <w:spacing w:after="0"/>
              <w:rPr>
                <w:sz w:val="20"/>
                <w:szCs w:val="20"/>
                <w:color w:val="auto"/>
              </w:rPr>
            </w:pPr>
            <w:r>
              <w:rPr>
                <w:rFonts w:ascii="Arial" w:cs="Arial" w:eastAsia="Arial" w:hAnsi="Arial"/>
                <w:sz w:val="18"/>
                <w:szCs w:val="18"/>
                <w:color w:val="auto"/>
              </w:rPr>
              <w:t>Call Price</w:t>
            </w:r>
          </w:p>
        </w:tc>
      </w:tr>
      <w:tr>
        <w:trPr>
          <w:trHeight w:val="27"/>
        </w:trPr>
        <w:tc>
          <w:tcPr>
            <w:tcW w:w="5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Death or Disability</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Formula</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Termination for Cause</w:t>
            </w:r>
          </w:p>
        </w:tc>
        <w:tc>
          <w:tcPr>
            <w:tcW w:w="5160" w:type="dxa"/>
            <w:vAlign w:val="bottom"/>
          </w:tcPr>
          <w:p>
            <w:pPr>
              <w:ind w:left="40"/>
              <w:spacing w:after="0"/>
              <w:rPr>
                <w:sz w:val="20"/>
                <w:szCs w:val="20"/>
                <w:color w:val="auto"/>
              </w:rPr>
            </w:pPr>
            <w:r>
              <w:rPr>
                <w:rFonts w:ascii="Arial" w:cs="Arial" w:eastAsia="Arial" w:hAnsi="Arial"/>
                <w:sz w:val="18"/>
                <w:szCs w:val="18"/>
                <w:color w:val="auto"/>
              </w:rPr>
              <w:t>Option Formula</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Termination Without Cause or for Good Reason</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Formula</w:t>
            </w: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7"/>
              </w:rPr>
              <w:t>Termination Without Good Reason Prior to March 13, 2017 (other</w:t>
            </w:r>
          </w:p>
        </w:tc>
        <w:tc>
          <w:tcPr>
            <w:tcW w:w="5160" w:type="dxa"/>
            <w:vAlign w:val="bottom"/>
          </w:tcPr>
          <w:p>
            <w:pPr>
              <w:spacing w:after="0"/>
              <w:rPr>
                <w:sz w:val="19"/>
                <w:szCs w:val="19"/>
                <w:color w:val="auto"/>
              </w:rPr>
            </w:pPr>
          </w:p>
        </w:tc>
      </w:tr>
      <w:tr>
        <w:trPr>
          <w:trHeight w:val="23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than due to death or Disability)</w:t>
            </w:r>
          </w:p>
        </w:tc>
        <w:tc>
          <w:tcPr>
            <w:tcW w:w="5160" w:type="dxa"/>
            <w:vAlign w:val="bottom"/>
          </w:tcPr>
          <w:p>
            <w:pPr>
              <w:ind w:left="40"/>
              <w:spacing w:after="0"/>
              <w:rPr>
                <w:sz w:val="20"/>
                <w:szCs w:val="20"/>
                <w:color w:val="auto"/>
              </w:rPr>
            </w:pPr>
            <w:r>
              <w:rPr>
                <w:rFonts w:ascii="Arial" w:cs="Arial" w:eastAsia="Arial" w:hAnsi="Arial"/>
                <w:sz w:val="18"/>
                <w:szCs w:val="18"/>
                <w:color w:val="auto"/>
              </w:rPr>
              <w:t>Option Formula</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Termination Without Good Reason on or After March 13, 2017</w:t>
            </w:r>
          </w:p>
        </w:tc>
        <w:tc>
          <w:tcPr>
            <w:tcW w:w="51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than due to death or Disability)</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Formula</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Material Breach of Management Stockholder’s Agreement</w:t>
            </w:r>
          </w:p>
        </w:tc>
        <w:tc>
          <w:tcPr>
            <w:tcW w:w="5160" w:type="dxa"/>
            <w:vAlign w:val="bottom"/>
          </w:tcPr>
          <w:p>
            <w:pPr>
              <w:ind w:left="40"/>
              <w:spacing w:after="0"/>
              <w:rPr>
                <w:sz w:val="20"/>
                <w:szCs w:val="20"/>
                <w:color w:val="auto"/>
              </w:rPr>
            </w:pPr>
            <w:r>
              <w:rPr>
                <w:rFonts w:ascii="Arial" w:cs="Arial" w:eastAsia="Arial" w:hAnsi="Arial"/>
                <w:sz w:val="18"/>
                <w:szCs w:val="18"/>
                <w:color w:val="auto"/>
              </w:rPr>
              <w:t>Option Formula</w:t>
            </w:r>
          </w:p>
        </w:tc>
      </w:tr>
      <w:tr>
        <w:trPr>
          <w:trHeight w:val="594"/>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126</w:t>
            </w:r>
          </w:p>
        </w:tc>
      </w:tr>
    </w:tbl>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Restrictive Covenants. </w:t>
      </w:r>
      <w:r>
        <w:rPr>
          <w:rFonts w:ascii="Arial" w:cs="Arial" w:eastAsia="Arial" w:hAnsi="Arial"/>
          <w:sz w:val="18"/>
          <w:szCs w:val="18"/>
          <w:color w:val="auto"/>
        </w:rPr>
        <w:t>In addition, our NEOs have agreed to specified restrictive covenants, including an indefinite confidentiality covenant, and covenants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non-disparagement, non-competition and non-solicitation of our employees, consultants and independent contractors at all times during the NEO’s employment, and for eighteen months thereafter.</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 terms regarding the equity awards are summarized above under “Compensation Discussion and Analysis—Compensation Elements—Long-Term Incentive Awards” and under “Potential Payments upon Termination or Change in Control” below. See also Part III. Item 13. “Certain Relationships and Related Transactions, and Director Independence” of this Form 10-K for additional information regarding the Management Stockholder’s Agreements.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2017 Fiscal Year 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outstanding equity awards made to our NEOs as of December 30, 2017.</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Equity Incentive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Plan Awards: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Securities</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Securities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Unearned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Exercise</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4"/>
              </w:rPr>
              <w:t>Option</w:t>
            </w: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Grant</w:t>
            </w: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Options (#)</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Options (#)</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Options</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Price</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2"/>
              </w:rPr>
              <w:t>Expiration Date</w:t>
            </w:r>
          </w:p>
        </w:tc>
        <w:tc>
          <w:tcPr>
            <w:tcW w:w="0" w:type="dxa"/>
            <w:vAlign w:val="bottom"/>
          </w:tcPr>
          <w:p>
            <w:pPr>
              <w:spacing w:after="0"/>
              <w:rPr>
                <w:sz w:val="1"/>
                <w:szCs w:val="1"/>
                <w:color w:val="auto"/>
              </w:rPr>
            </w:pPr>
          </w:p>
        </w:tc>
      </w:tr>
      <w:tr>
        <w:trPr>
          <w:trHeight w:val="68"/>
        </w:trPr>
        <w:tc>
          <w:tcPr>
            <w:tcW w:w="1760" w:type="dxa"/>
            <w:vAlign w:val="bottom"/>
            <w:vMerge w:val="restart"/>
          </w:tcPr>
          <w:p>
            <w:pPr>
              <w:ind w:left="40"/>
              <w:spacing w:after="0"/>
              <w:rPr>
                <w:sz w:val="20"/>
                <w:szCs w:val="20"/>
                <w:color w:val="auto"/>
              </w:rPr>
            </w:pPr>
            <w:r>
              <w:rPr>
                <w:rFonts w:ascii="Arial" w:cs="Arial" w:eastAsia="Arial" w:hAnsi="Arial"/>
                <w:sz w:val="18"/>
                <w:szCs w:val="18"/>
                <w:color w:val="auto"/>
              </w:rPr>
              <w:t>Name</w:t>
            </w:r>
          </w:p>
        </w:tc>
        <w:tc>
          <w:tcPr>
            <w:tcW w:w="120" w:type="dxa"/>
            <w:vAlign w:val="bottom"/>
            <w:vMerge w:val="restart"/>
          </w:tcPr>
          <w:p>
            <w:pPr>
              <w:spacing w:after="0"/>
              <w:rPr>
                <w:sz w:val="5"/>
                <w:szCs w:val="5"/>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vMerge w:val="restart"/>
          </w:tcPr>
          <w:p>
            <w:pPr>
              <w:spacing w:after="0"/>
              <w:rPr>
                <w:sz w:val="5"/>
                <w:szCs w:val="5"/>
                <w:color w:val="auto"/>
              </w:rPr>
            </w:pPr>
          </w:p>
        </w:tc>
        <w:tc>
          <w:tcPr>
            <w:tcW w:w="1520" w:type="dxa"/>
            <w:vAlign w:val="bottom"/>
            <w:vMerge w:val="restart"/>
          </w:tcPr>
          <w:p>
            <w:pPr>
              <w:jc w:val="center"/>
              <w:spacing w:after="0" w:line="284" w:lineRule="exact"/>
              <w:rPr>
                <w:sz w:val="20"/>
                <w:szCs w:val="20"/>
                <w:color w:val="auto"/>
              </w:rPr>
            </w:pPr>
            <w:r>
              <w:rPr>
                <w:rFonts w:ascii="Arial" w:cs="Arial" w:eastAsia="Arial" w:hAnsi="Arial"/>
                <w:sz w:val="18"/>
                <w:szCs w:val="18"/>
                <w:color w:val="auto"/>
                <w:w w:val="87"/>
              </w:rPr>
              <w:t xml:space="preserve">Exercisable </w:t>
            </w:r>
            <w:r>
              <w:rPr>
                <w:rFonts w:ascii="Arial" w:cs="Arial" w:eastAsia="Arial" w:hAnsi="Arial"/>
                <w:sz w:val="25"/>
                <w:szCs w:val="25"/>
                <w:color w:val="auto"/>
                <w:w w:val="87"/>
                <w:vertAlign w:val="superscript"/>
              </w:rPr>
              <w:t>(1)</w:t>
            </w:r>
          </w:p>
        </w:tc>
        <w:tc>
          <w:tcPr>
            <w:tcW w:w="120" w:type="dxa"/>
            <w:vAlign w:val="bottom"/>
            <w:vMerge w:val="restart"/>
          </w:tcPr>
          <w:p>
            <w:pPr>
              <w:spacing w:after="0"/>
              <w:rPr>
                <w:sz w:val="5"/>
                <w:szCs w:val="5"/>
                <w:color w:val="auto"/>
              </w:rPr>
            </w:pPr>
          </w:p>
        </w:tc>
        <w:tc>
          <w:tcPr>
            <w:tcW w:w="1540" w:type="dxa"/>
            <w:vAlign w:val="bottom"/>
            <w:vMerge w:val="restart"/>
          </w:tcPr>
          <w:p>
            <w:pPr>
              <w:jc w:val="center"/>
              <w:spacing w:after="0" w:line="284" w:lineRule="exact"/>
              <w:rPr>
                <w:sz w:val="20"/>
                <w:szCs w:val="20"/>
                <w:color w:val="auto"/>
              </w:rPr>
            </w:pPr>
            <w:r>
              <w:rPr>
                <w:rFonts w:ascii="Arial" w:cs="Arial" w:eastAsia="Arial" w:hAnsi="Arial"/>
                <w:sz w:val="18"/>
                <w:szCs w:val="18"/>
                <w:color w:val="auto"/>
                <w:w w:val="87"/>
              </w:rPr>
              <w:t xml:space="preserve">Unexercisable </w:t>
            </w:r>
            <w:r>
              <w:rPr>
                <w:rFonts w:ascii="Arial" w:cs="Arial" w:eastAsia="Arial" w:hAnsi="Arial"/>
                <w:sz w:val="25"/>
                <w:szCs w:val="25"/>
                <w:color w:val="auto"/>
                <w:w w:val="87"/>
                <w:vertAlign w:val="superscript"/>
              </w:rPr>
              <w:t>(2)</w:t>
            </w:r>
          </w:p>
        </w:tc>
        <w:tc>
          <w:tcPr>
            <w:tcW w:w="100" w:type="dxa"/>
            <w:vAlign w:val="bottom"/>
            <w:vMerge w:val="restart"/>
          </w:tcPr>
          <w:p>
            <w:pPr>
              <w:spacing w:after="0"/>
              <w:rPr>
                <w:sz w:val="5"/>
                <w:szCs w:val="5"/>
                <w:color w:val="auto"/>
              </w:rPr>
            </w:pPr>
          </w:p>
        </w:tc>
        <w:tc>
          <w:tcPr>
            <w:tcW w:w="1340" w:type="dxa"/>
            <w:vAlign w:val="bottom"/>
            <w:vMerge w:val="restart"/>
          </w:tcPr>
          <w:p>
            <w:pPr>
              <w:jc w:val="center"/>
              <w:spacing w:after="0" w:line="284" w:lineRule="exact"/>
              <w:rPr>
                <w:sz w:val="20"/>
                <w:szCs w:val="20"/>
                <w:color w:val="auto"/>
              </w:rPr>
            </w:pPr>
            <w:r>
              <w:rPr>
                <w:rFonts w:ascii="Arial" w:cs="Arial" w:eastAsia="Arial" w:hAnsi="Arial"/>
                <w:sz w:val="18"/>
                <w:szCs w:val="18"/>
                <w:color w:val="auto"/>
                <w:w w:val="84"/>
              </w:rPr>
              <w:t xml:space="preserve">(#) </w:t>
            </w:r>
            <w:r>
              <w:rPr>
                <w:rFonts w:ascii="Arial" w:cs="Arial" w:eastAsia="Arial" w:hAnsi="Arial"/>
                <w:sz w:val="25"/>
                <w:szCs w:val="25"/>
                <w:color w:val="auto"/>
                <w:w w:val="84"/>
                <w:vertAlign w:val="superscript"/>
              </w:rPr>
              <w:t>(3)</w:t>
            </w:r>
          </w:p>
        </w:tc>
        <w:tc>
          <w:tcPr>
            <w:tcW w:w="120" w:type="dxa"/>
            <w:vAlign w:val="bottom"/>
          </w:tcPr>
          <w:p>
            <w:pPr>
              <w:spacing w:after="0"/>
              <w:rPr>
                <w:sz w:val="5"/>
                <w:szCs w:val="5"/>
                <w:color w:val="auto"/>
              </w:rPr>
            </w:pPr>
          </w:p>
        </w:tc>
        <w:tc>
          <w:tcPr>
            <w:tcW w:w="900" w:type="dxa"/>
            <w:vAlign w:val="bottom"/>
            <w:vMerge w:val="restart"/>
          </w:tcPr>
          <w:p>
            <w:pPr>
              <w:jc w:val="center"/>
              <w:spacing w:after="0" w:line="284" w:lineRule="exact"/>
              <w:rPr>
                <w:sz w:val="20"/>
                <w:szCs w:val="20"/>
                <w:color w:val="auto"/>
              </w:rPr>
            </w:pPr>
            <w:r>
              <w:rPr>
                <w:rFonts w:ascii="Arial" w:cs="Arial" w:eastAsia="Arial" w:hAnsi="Arial"/>
                <w:sz w:val="18"/>
                <w:szCs w:val="18"/>
                <w:color w:val="auto"/>
                <w:w w:val="88"/>
              </w:rPr>
              <w:t xml:space="preserve">($) </w:t>
            </w:r>
            <w:r>
              <w:rPr>
                <w:rFonts w:ascii="Arial" w:cs="Arial" w:eastAsia="Arial" w:hAnsi="Arial"/>
                <w:sz w:val="25"/>
                <w:szCs w:val="25"/>
                <w:color w:val="auto"/>
                <w:w w:val="88"/>
                <w:vertAlign w:val="superscript"/>
              </w:rPr>
              <w:t>(4)</w:t>
            </w: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244,117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915,438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Patrick R. Moore</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9/16/2014</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21,360</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42,720</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160,201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4.27</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9/16/2024</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9/16/2014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21,360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9/16/2024</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9/16/2014</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9,154</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8.23</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9/16/2024</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10/25/2017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92,443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10/25/2027</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Jeff McAllister</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8/14/2017</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43,478</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144,927</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173,912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15.74</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8/14/2027</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Mitchell Goodman</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28,480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56,960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213,602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28,480</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7.25</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28,480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324"/>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John Vaught</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 xml:space="preserve">4/11/2013 </w:t>
            </w:r>
            <w:r>
              <w:rPr>
                <w:rFonts w:ascii="Arial" w:cs="Arial" w:eastAsia="Arial" w:hAnsi="Arial"/>
                <w:sz w:val="25"/>
                <w:szCs w:val="25"/>
                <w:color w:val="auto"/>
                <w:w w:val="87"/>
                <w:vertAlign w:val="superscript"/>
              </w:rPr>
              <w:t>(6)</w:t>
            </w:r>
          </w:p>
        </w:tc>
        <w:tc>
          <w:tcPr>
            <w:tcW w:w="1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13,490</w:t>
            </w:r>
          </w:p>
        </w:tc>
        <w:tc>
          <w:tcPr>
            <w:tcW w:w="1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1.66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4/11/2023</w:t>
            </w:r>
          </w:p>
        </w:tc>
        <w:tc>
          <w:tcPr>
            <w:tcW w:w="0" w:type="dxa"/>
            <w:vAlign w:val="bottom"/>
          </w:tcPr>
          <w:p>
            <w:pPr>
              <w:spacing w:after="0"/>
              <w:rPr>
                <w:sz w:val="1"/>
                <w:szCs w:val="1"/>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13,426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26,853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100,698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13,426</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7.25</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13,426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J. Bruce Steffey</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61,029</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122,058</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457,719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4.27</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61,029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3/13/2014</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61,029</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8.23</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3/13/2024</w:t>
            </w: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r>
              <w:rPr>
                <w:rFonts w:ascii="Arial" w:cs="Arial" w:eastAsia="Arial" w:hAnsi="Arial"/>
                <w:sz w:val="18"/>
                <w:szCs w:val="18"/>
                <w:b w:val="1"/>
                <w:bCs w:val="1"/>
                <w:color w:val="auto"/>
              </w:rPr>
              <w:t>_____________</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numbers in this column represent vested and exercisable time-based and performance-based options and, for Mr. Vaught, also represent vested and exercisable rollover options.</w:t>
      </w:r>
    </w:p>
    <w:p>
      <w:pPr>
        <w:spacing w:after="0" w:line="12" w:lineRule="exact"/>
        <w:rPr>
          <w:rFonts w:ascii="Arial" w:cs="Arial" w:eastAsia="Arial" w:hAnsi="Arial"/>
          <w:sz w:val="13"/>
          <w:szCs w:val="13"/>
          <w:color w:val="auto"/>
        </w:rPr>
      </w:pPr>
    </w:p>
    <w:p>
      <w:pPr>
        <w:jc w:val="both"/>
        <w:ind w:left="420" w:hanging="412"/>
        <w:spacing w:after="0" w:line="260" w:lineRule="auto"/>
        <w:tabs>
          <w:tab w:leader="none" w:pos="4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numbers in this column represent unvested outstanding time-based options. The time-based 2014 Options vest as to 20% of the shares subject to such option on each anniversary of the closing date of our acquisition by affiliates of KKR Sponsor, subject to the holder continuing to provide services through such vesting date. The time-based McAllister 2017 Options vest as to 20% of the shares subject to such option on each anniversary of the grant date, subject to the holder continuing to provide services through such vesting date. The 2017 Post-IPO Options will vest in three substantially equal installments on each of the first, second and third anniversaries of the grant date, subject to continued employment through the applicable vesting date. See “Narrative to Summary Compensation Table and 2017 Grants of Plan-Based Awards-Equity Awards-Vesting Terms.” Vesting of the time-based options will be accelerated upon a change in control that occurs while the executive is still employed by us, as described under “Potential Payments upon Termination or Change in Control” below.</w:t>
      </w:r>
    </w:p>
    <w:p>
      <w:pPr>
        <w:jc w:val="both"/>
        <w:ind w:left="420" w:hanging="412"/>
        <w:spacing w:after="0" w:line="263" w:lineRule="auto"/>
        <w:tabs>
          <w:tab w:leader="none" w:pos="4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numbers in this column represent unvested outstanding performance-based options. The performance-based pre-IPO Options are eligible to vest upon a Realization Event as follows: (i) If the MOIC achieved is less than two times, no portion of the performance-based options will vest; (ii) If the MOIC achieved is equal to two times, then 25% of the performance-based options will vest; and (iii) 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 The performance-based McAllister 2017 Options are eligible to vest as to each Option Tranche (20% of the shares subject to such option) on each of the first five concluded fiscal years following the grant date if the Company achieves the applicable management EBITDA Target established by the Board of Directors as follows: (i) for the 2017 fiscal year, the Target shall be deemed to have been met and 100% of the 2017 Option Tranche will vest; (ii) for each of the subsequent four fiscal years, if the management EBITDA achieved in the applicable fiscal year: (i) is less than 95% of the Target, then no portion of the applicable Option Tranche will vest, (ii) is 95% of the Target, then 50% of the applicable Option Tranche will vest, (iii) exceeds 95% of the Target, then 50% plus an additional percentage of the applicable Option Tranche will vest, up to 50%, calculated linearly and (iv) is 100%, then 100% of the applicable Option Tranche will vest. See “Narrative to Summary Compensation Table and 2017 Grants of Plan-Based Awards-Equity Awards-Vesting Terms.” None of the outstanding performance-based options have vested.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left="420" w:hanging="412"/>
        <w:spacing w:after="0" w:line="245" w:lineRule="auto"/>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connection with our acquisition by affiliates of KKR Sponsor, the exercise price of Mr. Vaught’s rollover options was adjusted to $2.42 per option. The exercise price for Mr. Vaught’s rollover options was further adjusted in 2015 as a result of an extraordinary dividend payment to $1.66 per option. The exercise prices for outstanding time-based and performance-based options were also adjusted as a result of the 2015 extraordinary dividend payment as follows: unvested time-based and performance-based options were adjusted to $7.25 per option and vested time-based options were adjusted to $8.23 per option. In February 2017, the exercise prices for outstanding unvested time-based and performance-based options were further adjusted to $4.27 per option as a result of an extraordinary dividend payment.</w:t>
      </w:r>
    </w:p>
    <w:p>
      <w:pPr>
        <w:ind w:left="420" w:right="20" w:hanging="412"/>
        <w:spacing w:after="0" w:line="241" w:lineRule="auto"/>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expiration date shown is the normal expiration date occurring on the tenth anniversary of the grant date. Options may terminate earlier in certain circumstances, such as in connection with an NEO’s termination of employment or in connection with certain corporate transactions, including a change in control of the Company.</w:t>
      </w:r>
    </w:p>
    <w:p>
      <w:pPr>
        <w:ind w:left="420" w:hanging="412"/>
        <w:spacing w:after="0"/>
        <w:tabs>
          <w:tab w:leader="none" w:pos="4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original grant date of Mr. Vaught’s rollover options. See “Compensation Discussion and Analysis-Compensation Elements-Long-Term Incentive Awards.”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Option Exercises and Stock Vested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options exercised by the NEOs during the fiscal year ended December 30, 2017.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gridSpan w:val="3"/>
          </w:tcPr>
          <w:p>
            <w:pPr>
              <w:ind w:left="2900"/>
              <w:spacing w:after="0"/>
              <w:rPr>
                <w:sz w:val="20"/>
                <w:szCs w:val="20"/>
                <w:color w:val="auto"/>
              </w:rPr>
            </w:pPr>
            <w:r>
              <w:rPr>
                <w:rFonts w:ascii="Arial" w:cs="Arial" w:eastAsia="Arial" w:hAnsi="Arial"/>
                <w:sz w:val="18"/>
                <w:szCs w:val="18"/>
                <w:color w:val="auto"/>
                <w:w w:val="99"/>
              </w:rPr>
              <w:t>Option Awards</w:t>
            </w:r>
          </w:p>
        </w:tc>
        <w:tc>
          <w:tcPr>
            <w:tcW w:w="280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Borders>
              <w:bottom w:val="single" w:sz="8" w:color="auto"/>
            </w:tcBorders>
            <w:gridSpan w:val="3"/>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9"/>
        </w:trPr>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Number of Shares Acquired on Exercise</w:t>
            </w:r>
          </w:p>
        </w:tc>
        <w:tc>
          <w:tcPr>
            <w:tcW w:w="2800" w:type="dxa"/>
            <w:vAlign w:val="bottom"/>
          </w:tcPr>
          <w:p>
            <w:pPr>
              <w:ind w:left="120"/>
              <w:spacing w:after="0"/>
              <w:rPr>
                <w:sz w:val="20"/>
                <w:szCs w:val="20"/>
                <w:color w:val="auto"/>
              </w:rPr>
            </w:pPr>
            <w:r>
              <w:rPr>
                <w:rFonts w:ascii="Arial" w:cs="Arial" w:eastAsia="Arial" w:hAnsi="Arial"/>
                <w:sz w:val="18"/>
                <w:szCs w:val="18"/>
                <w:color w:val="auto"/>
              </w:rPr>
              <w:t>Value Realized on Exercise</w:t>
            </w:r>
          </w:p>
        </w:tc>
      </w:tr>
      <w:tr>
        <w:trPr>
          <w:trHeight w:val="284"/>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CCEEFF"/>
            </w:tcBorders>
          </w:tcPr>
          <w:p>
            <w:pPr>
              <w:spacing w:after="0"/>
              <w:rPr>
                <w:sz w:val="24"/>
                <w:szCs w:val="2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510"/>
              <w:spacing w:after="0" w:line="284" w:lineRule="exact"/>
              <w:rPr>
                <w:sz w:val="20"/>
                <w:szCs w:val="20"/>
                <w:color w:val="auto"/>
              </w:rPr>
            </w:pPr>
            <w:r>
              <w:rPr>
                <w:rFonts w:ascii="Arial" w:cs="Arial" w:eastAsia="Arial" w:hAnsi="Arial"/>
                <w:sz w:val="18"/>
                <w:szCs w:val="18"/>
                <w:color w:val="auto"/>
                <w:w w:val="84"/>
              </w:rPr>
              <w:t>($)</w:t>
            </w:r>
            <w:r>
              <w:rPr>
                <w:rFonts w:ascii="Arial" w:cs="Arial" w:eastAsia="Arial" w:hAnsi="Arial"/>
                <w:sz w:val="25"/>
                <w:szCs w:val="25"/>
                <w:color w:val="auto"/>
                <w:w w:val="84"/>
                <w:vertAlign w:val="superscript"/>
              </w:rPr>
              <w:t>(1)</w:t>
            </w:r>
          </w:p>
        </w:tc>
      </w:tr>
      <w:tr>
        <w:trPr>
          <w:trHeight w:val="244"/>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3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122,058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center"/>
              <w:ind w:right="490"/>
              <w:spacing w:after="0"/>
              <w:rPr>
                <w:sz w:val="20"/>
                <w:szCs w:val="20"/>
                <w:color w:val="auto"/>
              </w:rPr>
            </w:pPr>
            <w:r>
              <w:rPr>
                <w:rFonts w:ascii="Arial" w:cs="Arial" w:eastAsia="Arial" w:hAnsi="Arial"/>
                <w:sz w:val="18"/>
                <w:szCs w:val="18"/>
                <w:color w:val="auto"/>
                <w:w w:val="89"/>
              </w:rPr>
              <w:t>932,828</w:t>
            </w:r>
          </w:p>
        </w:tc>
      </w:tr>
      <w:tr>
        <w:trPr>
          <w:trHeight w:val="243"/>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Patrick R. Moore</w:t>
            </w:r>
          </w:p>
        </w:tc>
        <w:tc>
          <w:tcPr>
            <w:tcW w:w="4100" w:type="dxa"/>
            <w:vAlign w:val="bottom"/>
            <w:gridSpan w:val="3"/>
          </w:tcPr>
          <w:p>
            <w:pPr>
              <w:jc w:val="center"/>
              <w:ind w:right="720"/>
              <w:spacing w:after="0"/>
              <w:rPr>
                <w:sz w:val="20"/>
                <w:szCs w:val="20"/>
                <w:color w:val="auto"/>
              </w:rPr>
            </w:pPr>
            <w:r>
              <w:rPr>
                <w:rFonts w:ascii="Arial" w:cs="Arial" w:eastAsia="Arial" w:hAnsi="Arial"/>
                <w:sz w:val="18"/>
                <w:szCs w:val="18"/>
                <w:color w:val="auto"/>
                <w:w w:val="99"/>
              </w:rPr>
              <w:t>—</w:t>
            </w:r>
          </w:p>
        </w:tc>
        <w:tc>
          <w:tcPr>
            <w:tcW w:w="2800" w:type="dxa"/>
            <w:vAlign w:val="bottom"/>
          </w:tcPr>
          <w:p>
            <w:pPr>
              <w:jc w:val="center"/>
              <w:ind w:right="490"/>
              <w:spacing w:after="0"/>
              <w:rPr>
                <w:sz w:val="20"/>
                <w:szCs w:val="20"/>
                <w:color w:val="auto"/>
              </w:rPr>
            </w:pPr>
            <w:r>
              <w:rPr>
                <w:rFonts w:ascii="Arial" w:cs="Arial" w:eastAsia="Arial" w:hAnsi="Arial"/>
                <w:sz w:val="18"/>
                <w:szCs w:val="18"/>
                <w:color w:val="auto"/>
                <w:w w:val="99"/>
              </w:rPr>
              <w:t>—</w:t>
            </w: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4100" w:type="dxa"/>
            <w:vAlign w:val="bottom"/>
            <w:tcBorders>
              <w:bottom w:val="single" w:sz="8" w:color="CCEEFF"/>
            </w:tcBorders>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center"/>
              <w:ind w:right="490"/>
              <w:spacing w:after="0"/>
              <w:rPr>
                <w:sz w:val="20"/>
                <w:szCs w:val="20"/>
                <w:color w:val="auto"/>
              </w:rPr>
            </w:pPr>
            <w:r>
              <w:rPr>
                <w:rFonts w:ascii="Arial" w:cs="Arial" w:eastAsia="Arial" w:hAnsi="Arial"/>
                <w:sz w:val="18"/>
                <w:szCs w:val="18"/>
                <w:color w:val="auto"/>
                <w:w w:val="99"/>
              </w:rPr>
              <w:t>—</w:t>
            </w:r>
          </w:p>
        </w:tc>
      </w:tr>
      <w:tr>
        <w:trPr>
          <w:trHeight w:val="243"/>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Mitchell Goodman</w:t>
            </w:r>
          </w:p>
        </w:tc>
        <w:tc>
          <w:tcPr>
            <w:tcW w:w="4100" w:type="dxa"/>
            <w:vAlign w:val="bottom"/>
            <w:gridSpan w:val="3"/>
          </w:tcPr>
          <w:p>
            <w:pPr>
              <w:jc w:val="center"/>
              <w:ind w:right="720"/>
              <w:spacing w:after="0"/>
              <w:rPr>
                <w:sz w:val="20"/>
                <w:szCs w:val="20"/>
                <w:color w:val="auto"/>
              </w:rPr>
            </w:pPr>
            <w:r>
              <w:rPr>
                <w:rFonts w:ascii="Arial" w:cs="Arial" w:eastAsia="Arial" w:hAnsi="Arial"/>
                <w:sz w:val="18"/>
                <w:szCs w:val="18"/>
                <w:color w:val="auto"/>
                <w:w w:val="99"/>
              </w:rPr>
              <w:t>—</w:t>
            </w:r>
          </w:p>
        </w:tc>
        <w:tc>
          <w:tcPr>
            <w:tcW w:w="2800" w:type="dxa"/>
            <w:vAlign w:val="bottom"/>
          </w:tcPr>
          <w:p>
            <w:pPr>
              <w:jc w:val="center"/>
              <w:ind w:right="490"/>
              <w:spacing w:after="0"/>
              <w:rPr>
                <w:sz w:val="20"/>
                <w:szCs w:val="20"/>
                <w:color w:val="auto"/>
              </w:rPr>
            </w:pPr>
            <w:r>
              <w:rPr>
                <w:rFonts w:ascii="Arial" w:cs="Arial" w:eastAsia="Arial" w:hAnsi="Arial"/>
                <w:sz w:val="18"/>
                <w:szCs w:val="18"/>
                <w:color w:val="auto"/>
                <w:w w:val="99"/>
              </w:rPr>
              <w:t>—</w:t>
            </w: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4100" w:type="dxa"/>
            <w:vAlign w:val="bottom"/>
            <w:tcBorders>
              <w:bottom w:val="single" w:sz="8" w:color="CCEEFF"/>
            </w:tcBorders>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center"/>
              <w:ind w:right="490"/>
              <w:spacing w:after="0"/>
              <w:rPr>
                <w:sz w:val="20"/>
                <w:szCs w:val="20"/>
                <w:color w:val="auto"/>
              </w:rPr>
            </w:pPr>
            <w:r>
              <w:rPr>
                <w:rFonts w:ascii="Arial" w:cs="Arial" w:eastAsia="Arial" w:hAnsi="Arial"/>
                <w:sz w:val="18"/>
                <w:szCs w:val="18"/>
                <w:color w:val="auto"/>
                <w:w w:val="99"/>
              </w:rPr>
              <w:t>—</w:t>
            </w:r>
          </w:p>
        </w:tc>
      </w:tr>
      <w:tr>
        <w:trPr>
          <w:trHeight w:val="243"/>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J. Bruce Steffey</w:t>
            </w:r>
          </w:p>
        </w:tc>
        <w:tc>
          <w:tcPr>
            <w:tcW w:w="4100" w:type="dxa"/>
            <w:vAlign w:val="bottom"/>
            <w:gridSpan w:val="3"/>
          </w:tcPr>
          <w:p>
            <w:pPr>
              <w:jc w:val="center"/>
              <w:ind w:right="720"/>
              <w:spacing w:after="0"/>
              <w:rPr>
                <w:sz w:val="20"/>
                <w:szCs w:val="20"/>
                <w:color w:val="auto"/>
              </w:rPr>
            </w:pPr>
            <w:r>
              <w:rPr>
                <w:rFonts w:ascii="Arial" w:cs="Arial" w:eastAsia="Arial" w:hAnsi="Arial"/>
                <w:sz w:val="18"/>
                <w:szCs w:val="18"/>
                <w:color w:val="auto"/>
                <w:w w:val="99"/>
              </w:rPr>
              <w:t>—</w:t>
            </w:r>
          </w:p>
        </w:tc>
        <w:tc>
          <w:tcPr>
            <w:tcW w:w="2800" w:type="dxa"/>
            <w:vAlign w:val="bottom"/>
          </w:tcPr>
          <w:p>
            <w:pPr>
              <w:jc w:val="center"/>
              <w:ind w:right="490"/>
              <w:spacing w:after="0"/>
              <w:rPr>
                <w:sz w:val="20"/>
                <w:szCs w:val="20"/>
                <w:color w:val="auto"/>
              </w:rPr>
            </w:pPr>
            <w:r>
              <w:rPr>
                <w:rFonts w:ascii="Arial" w:cs="Arial" w:eastAsia="Arial" w:hAnsi="Arial"/>
                <w:sz w:val="18"/>
                <w:szCs w:val="18"/>
                <w:color w:val="auto"/>
                <w:w w:val="99"/>
              </w:rPr>
              <w:t>—</w:t>
            </w:r>
          </w:p>
        </w:tc>
      </w:tr>
      <w:tr>
        <w:trPr>
          <w:trHeight w:val="218"/>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______________</w:t>
            </w:r>
          </w:p>
        </w:tc>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0" w:type="dxa"/>
            <w:vAlign w:val="bottom"/>
          </w:tcPr>
          <w:p>
            <w:pPr>
              <w:spacing w:after="0"/>
              <w:rPr>
                <w:sz w:val="18"/>
                <w:szCs w:val="18"/>
                <w:color w:val="auto"/>
              </w:rPr>
            </w:pPr>
          </w:p>
        </w:tc>
      </w:tr>
    </w:tbl>
    <w:p>
      <w:pPr>
        <w:spacing w:after="0" w:line="20" w:lineRule="exact"/>
        <w:rPr>
          <w:sz w:val="20"/>
          <w:szCs w:val="20"/>
          <w:color w:val="auto"/>
        </w:rPr>
      </w:pPr>
    </w:p>
    <w:p>
      <w:pPr>
        <w:ind w:left="360" w:hanging="325"/>
        <w:spacing w:after="0"/>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difference between the fair market value of the shares acquired on exercise, on the exercise date multiplied by the exercise price of the option.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Pension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no defined pension benefit plans for our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Non-Qualified Deferred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no non-qualified defined contribution or other non-qualified deferred compensation plans for our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section describes the payments and benefits that may become payable to the NEOs in connection with their termination of employment and/or a change in control. All such payments and benefits will be paid or provided by us or National Vision, Inc. Consistent with SEC requirements, these estimated amounts have been calculated as if the NEO’s employment had been terminated as of December 30, 2017, the last day of fiscal 2017, and using the closing market price of our Common Stock on December 29, 2017, the last trading day in 2017 ($40.61 per share). For purposes of this section, we have assumed that</w:t>
      </w:r>
    </w:p>
    <w:p>
      <w:pPr>
        <w:spacing w:after="0" w:line="2" w:lineRule="exact"/>
        <w:rPr>
          <w:sz w:val="20"/>
          <w:szCs w:val="20"/>
          <w:color w:val="auto"/>
        </w:rPr>
      </w:pPr>
    </w:p>
    <w:p>
      <w:pPr>
        <w:ind w:firstLine="8"/>
        <w:spacing w:after="0" w:line="290" w:lineRule="auto"/>
        <w:tabs>
          <w:tab w:leader="none" w:pos="265"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do not exercise any discretion to accelerate the vesting of outstanding options in connection with a change in control, and (2) the value of any stock options that may be accelerated is equal to the full value of such awards (i.e., the full “spread” value for stock options as of December 30,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Plan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Severance Plan provides for severance payments and benefits to eligible employees, including our NEOs, upon a qualifying termination of employment, which includes a termination of employment for one or more of the following reasons, as determined by the Company: (1) lack of work, (2) reorganization,</w:t>
      </w:r>
    </w:p>
    <w:p>
      <w:pPr>
        <w:ind w:firstLine="8"/>
        <w:spacing w:after="0" w:line="290" w:lineRule="auto"/>
        <w:tabs>
          <w:tab w:leader="none" w:pos="262" w:val="left"/>
        </w:tabs>
        <w:numPr>
          <w:ilvl w:val="0"/>
          <w:numId w:val="57"/>
        </w:numPr>
        <w:rPr>
          <w:rFonts w:ascii="Arial" w:cs="Arial" w:eastAsia="Arial" w:hAnsi="Arial"/>
          <w:sz w:val="17"/>
          <w:szCs w:val="17"/>
          <w:color w:val="auto"/>
        </w:rPr>
      </w:pPr>
      <w:r>
        <w:rPr>
          <w:rFonts w:ascii="Arial" w:cs="Arial" w:eastAsia="Arial" w:hAnsi="Arial"/>
          <w:sz w:val="17"/>
          <w:szCs w:val="17"/>
          <w:color w:val="auto"/>
        </w:rPr>
        <w:t>business necessity, (4) economic condition, (5) termination of employment by us without “Cause” or (6) termination of employment by the executive for “Good Reason.” In the event of a qualifying termination of employment, the Severance Plan provides for the following payments and benefits:</w:t>
      </w:r>
    </w:p>
    <w:p>
      <w:pPr>
        <w:spacing w:after="0" w:line="53" w:lineRule="exact"/>
        <w:rPr>
          <w:rFonts w:ascii="Arial" w:cs="Arial" w:eastAsia="Arial" w:hAnsi="Arial"/>
          <w:sz w:val="17"/>
          <w:szCs w:val="17"/>
          <w:color w:val="auto"/>
        </w:rPr>
      </w:pPr>
    </w:p>
    <w:p>
      <w:pPr>
        <w:ind w:left="660" w:right="20" w:hanging="328"/>
        <w:spacing w:after="0" w:line="258"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Severance in an amount equal to 12 months of the executive’s annual base salary, payable over the 12-month period following the date of such qualifying termination;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executive has executed a non-compete and restrictive covenant agreement, which we refer to as the “Non-Compete Agreement,” with the Company on or after July 21, 2011, has not violated the Non-Compete Agreement and has properly elected COBRA continuation coverage, Company-paid COBRA premiums for up to 12 months, which we refer to as the “COBRA Benefit.”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executives who are designated by our Board of Directors and participate in the Company’s MIP are eligible for certain severance payments and benefits in lieu of the severance payments and benefits described above in the event of a qualifying termination of employment pursuant to an Executive Supplement to the Severance Plan. As of December 30, 2017, Messrs. Fahs, Goodman and Moore were eligible to participate in the Executive Supplement to the Severance Plan.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payments and benefits under the Executive Supplement to the Severance Plan in the event of a qualifying termination of employment include the following:</w:t>
      </w:r>
    </w:p>
    <w:p>
      <w:pPr>
        <w:spacing w:after="0" w:line="62" w:lineRule="exact"/>
        <w:rPr>
          <w:sz w:val="20"/>
          <w:szCs w:val="20"/>
          <w:color w:val="auto"/>
        </w:rPr>
      </w:pPr>
    </w:p>
    <w:p>
      <w:pPr>
        <w:ind w:left="660" w:right="20" w:hanging="328"/>
        <w:spacing w:after="0" w:line="25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Severance in an amount equal to 24 months of the executive’s annual base salary, payable over the 24-month period following the date of such qualifying termination;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amount equal to 30% of the executive’s annual base salary, payable over the 24-month period following the date of such qualifying termination; and</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COBRA Benefit.</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a condition to receiving severance payments and benefits under the Severance Plan, executives are required to execute a severance agreement which includes a release of claims against the Company and certain restrictive covenants. Such restrictive covenants include prohibiting the executive from:</w:t>
      </w:r>
    </w:p>
    <w:p>
      <w:pPr>
        <w:spacing w:after="0" w:line="16"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Disparaging the Company or any officer, director or employee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Disclosing or using any confidential information or trade secrets of the Company;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Engaging in any activities, directly or indirectly, which have the effect of disrupting the Company’s operations or harming the Company’s reputation with its customers, suppliers or employees.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executive is found to have violated the terms of the Severance Plan, severance agreement or Non-Compete Agreement, the Company may initiate proceedings to recover any severance payments the executive received under the Severance Plan.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“Cause” generally means the following act(s) by an executive, after written notification to the executive by the Company of its demand for the executive to cure such act(s), and a failure by the executive to cure such act(s):</w:t>
      </w:r>
    </w:p>
    <w:p>
      <w:pPr>
        <w:spacing w:after="0" w:line="62" w:lineRule="exact"/>
        <w:rPr>
          <w:sz w:val="20"/>
          <w:szCs w:val="20"/>
          <w:color w:val="auto"/>
        </w:rPr>
      </w:pPr>
    </w:p>
    <w:p>
      <w:pPr>
        <w:jc w:val="both"/>
        <w:ind w:left="66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Commission of an act or acts of fraud, dishonesty, gross negligence or willful misconduct of his or her duties that does, or could, if continued or repeated, result directly or indirectly in significant gain or personal enrichment to the executive at the expense of the Company or in injury to the Company;</w:t>
      </w:r>
    </w:p>
    <w:p>
      <w:pPr>
        <w:ind w:left="660" w:right="2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Commission of an act or acts constituting any felony or any criminal act involving moral turpitude, or any other criminal act involving dishonesty, disloyalty, fraud or theft with respect to the Company; or</w:t>
      </w:r>
    </w:p>
    <w:p>
      <w:pPr>
        <w:ind w:left="660" w:hanging="328"/>
        <w:spacing w:after="0" w:line="261"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Material breach of any agreement under which he or she has committed to confidentiality, nondisclosure or non-solicitation protections for the Company.</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 Reason” generally means a termination of employment upon the occurrence (without express written consent of the executive) of any of the following acts by the Company, or failure by the Company to act, and such act or failure to act has not been corrected within thirty (30) days after the executive provides written notice to the Company of such act or failure to act:</w:t>
      </w:r>
    </w:p>
    <w:p>
      <w:pPr>
        <w:spacing w:after="0" w:line="7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significant, adverse change by the Company in the executive’s employment responsibilities;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reduction in base salary;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Relocation without the executive’s consent to a location more than fifty (50) miles from the executive’s principal office in the Atlanta metropolitan area, except for required travel on the Company’s business; or</w:t>
      </w:r>
    </w:p>
    <w:p>
      <w:pPr>
        <w:ind w:left="660" w:hanging="328"/>
        <w:spacing w:after="0" w:line="26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by the Company, without the executive’s consent, to pay any portion of the executive’s current compensation or any portion of an installment of deferred compensation within seven days of the date such compensation is due.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Options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Effect of Change in Control on Vesting of Time-Based and Performance-Based Options. </w:t>
      </w:r>
      <w:r>
        <w:rPr>
          <w:rFonts w:ascii="Arial" w:cs="Arial" w:eastAsia="Arial" w:hAnsi="Arial"/>
          <w:sz w:val="17"/>
          <w:szCs w:val="17"/>
          <w:color w:val="auto"/>
        </w:rPr>
        <w:t>Upon a change in control (as defined in the 2014 Stock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unvested time options would become immediately vested and exercisable. Upon a change in control, performance options would become vested and exercisable up to the following percentage (to the extent not already vested up to or in excess of the following percentage):</w:t>
      </w:r>
    </w:p>
    <w:p>
      <w:pPr>
        <w:spacing w:after="0" w:line="5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MOIC is less than two times, no portion of the performance-based options will vest;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MOIC achieved is at least equal to two times, then 25% of the performance-based options will vest; and</w:t>
      </w:r>
    </w:p>
    <w:p>
      <w:pPr>
        <w:spacing w:after="0" w:line="9" w:lineRule="exact"/>
        <w:rPr>
          <w:rFonts w:ascii="Arial" w:cs="Arial" w:eastAsia="Arial" w:hAnsi="Arial"/>
          <w:sz w:val="18"/>
          <w:szCs w:val="18"/>
          <w:color w:val="auto"/>
        </w:rPr>
      </w:pPr>
    </w:p>
    <w:p>
      <w:pPr>
        <w:jc w:val="both"/>
        <w:ind w:left="660" w:right="20" w:hanging="328"/>
        <w:spacing w:after="0" w:line="277"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4x based on the following formula: the product of (x)(i) the actual MOIC achieved on the change in control minus (ii) the MOIC equal to two, and (y) 37.5%.</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Any portion of the performance-based options that do not vest on a change in control will immediately expire on the date of such change in control.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 of death or disability, the next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time-based options that would have become exercisable on the next vesting date following the date of such termination of employment will become vested and exercisable.</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 disability on vesting of time-based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options will not become vested and exercisable following termination of employment with us for any reason and any option that is unvested as of the date of termination of employment will immediately expire.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Post-IPO Options.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(as defined below in the 2017 Omnibus Incentive Plan), unvested time-based options would</w:t>
      </w:r>
      <w:r>
        <w:rPr>
          <w:rFonts w:ascii="Arial" w:cs="Arial" w:eastAsia="Arial" w:hAnsi="Arial"/>
          <w:sz w:val="18"/>
          <w:szCs w:val="18"/>
          <w:i w:val="1"/>
          <w:iCs w:val="1"/>
          <w:color w:val="auto"/>
        </w:rPr>
        <w:t xml:space="preserve"> </w:t>
      </w:r>
      <w:r>
        <w:rPr>
          <w:rFonts w:ascii="Arial" w:cs="Arial" w:eastAsia="Arial" w:hAnsi="Arial"/>
          <w:sz w:val="18"/>
          <w:szCs w:val="18"/>
          <w:color w:val="auto"/>
        </w:rPr>
        <w:t>become immediately vested and exercisable.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 of death or disability, the next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time-based options that would have become exercisable on the next vesting date following the date of such termination of employment will become vested and exercisable.</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 disability on vesting of time-based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options will not become vested and exercisable following termination of employment with us for any reason and any option that is unvested as of the date of termination of employment will immediately expire.</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Quantification of Payments upon Termination or Change in Control. </w:t>
      </w:r>
      <w:r>
        <w:rPr>
          <w:rFonts w:ascii="Arial" w:cs="Arial" w:eastAsia="Arial" w:hAnsi="Arial"/>
          <w:sz w:val="16"/>
          <w:szCs w:val="16"/>
          <w:color w:val="auto"/>
        </w:rPr>
        <w:t>The following table lists the payments and benefits that would have been triggered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our NEOs under the circumstances described below assuming that the applicable triggering event occurred on December 30, 2017.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Value of Accelerated Stock</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Severance Benefit</w:t>
            </w:r>
          </w:p>
        </w:tc>
        <w:tc>
          <w:tcPr>
            <w:tcW w:w="2580" w:type="dxa"/>
            <w:vAlign w:val="bottom"/>
            <w:gridSpan w:val="2"/>
          </w:tcPr>
          <w:p>
            <w:pPr>
              <w:ind w:left="80"/>
              <w:spacing w:after="0"/>
              <w:rPr>
                <w:sz w:val="20"/>
                <w:szCs w:val="20"/>
                <w:color w:val="auto"/>
              </w:rPr>
            </w:pPr>
            <w:r>
              <w:rPr>
                <w:rFonts w:ascii="Arial" w:cs="Arial" w:eastAsia="Arial" w:hAnsi="Arial"/>
                <w:sz w:val="18"/>
                <w:szCs w:val="18"/>
                <w:color w:val="auto"/>
                <w:w w:val="99"/>
              </w:rPr>
              <w:t>Continuation of Health Benefits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Options</w:t>
            </w:r>
          </w:p>
        </w:tc>
      </w:tr>
      <w:tr>
        <w:trPr>
          <w:trHeight w:val="28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Named Executive Officer</w:t>
            </w:r>
          </w:p>
        </w:tc>
        <w:tc>
          <w:tcPr>
            <w:tcW w:w="12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610"/>
              <w:spacing w:after="0" w:line="284" w:lineRule="exact"/>
              <w:rPr>
                <w:sz w:val="20"/>
                <w:szCs w:val="20"/>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4"/>
                <w:szCs w:val="24"/>
                <w:color w:val="auto"/>
              </w:rPr>
            </w:pPr>
          </w:p>
        </w:tc>
        <w:tc>
          <w:tcPr>
            <w:tcW w:w="2460" w:type="dxa"/>
            <w:vAlign w:val="bottom"/>
            <w:tcBorders>
              <w:bottom w:val="single" w:sz="8" w:color="auto"/>
            </w:tcBorders>
          </w:tcPr>
          <w:p>
            <w:pPr>
              <w:jc w:val="right"/>
              <w:ind w:right="950"/>
              <w:spacing w:after="0" w:line="284" w:lineRule="exact"/>
              <w:rPr>
                <w:sz w:val="20"/>
                <w:szCs w:val="20"/>
                <w:color w:val="auto"/>
              </w:rPr>
            </w:pPr>
            <w:r>
              <w:rPr>
                <w:rFonts w:ascii="Arial" w:cs="Arial" w:eastAsia="Arial" w:hAnsi="Arial"/>
                <w:sz w:val="18"/>
                <w:szCs w:val="18"/>
                <w:color w:val="auto"/>
              </w:rPr>
              <w:t>($)</w:t>
            </w:r>
            <w:r>
              <w:rPr>
                <w:rFonts w:ascii="Arial" w:cs="Arial" w:eastAsia="Arial" w:hAnsi="Arial"/>
                <w:sz w:val="25"/>
                <w:szCs w:val="25"/>
                <w:color w:val="auto"/>
                <w:vertAlign w:val="superscript"/>
              </w:rPr>
              <w:t>(2)</w:t>
            </w:r>
          </w:p>
        </w:tc>
        <w:tc>
          <w:tcPr>
            <w:tcW w:w="1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center"/>
              <w:spacing w:after="0" w:line="284" w:lineRule="exact"/>
              <w:rPr>
                <w:sz w:val="20"/>
                <w:szCs w:val="20"/>
                <w:color w:val="auto"/>
              </w:rPr>
            </w:pPr>
            <w:r>
              <w:rPr>
                <w:rFonts w:ascii="Arial" w:cs="Arial" w:eastAsia="Arial" w:hAnsi="Arial"/>
                <w:sz w:val="18"/>
                <w:szCs w:val="18"/>
                <w:color w:val="auto"/>
                <w:w w:val="84"/>
              </w:rPr>
              <w:t>($)</w:t>
            </w:r>
            <w:r>
              <w:rPr>
                <w:rFonts w:ascii="Arial" w:cs="Arial" w:eastAsia="Arial" w:hAnsi="Arial"/>
                <w:sz w:val="25"/>
                <w:szCs w:val="25"/>
                <w:color w:val="auto"/>
                <w:w w:val="84"/>
                <w:vertAlign w:val="superscript"/>
              </w:rPr>
              <w:t>(3)</w:t>
            </w:r>
          </w:p>
        </w:tc>
      </w:tr>
      <w:tr>
        <w:trPr>
          <w:trHeight w:val="244"/>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2,070,000</w:t>
            </w:r>
          </w:p>
        </w:tc>
        <w:tc>
          <w:tcPr>
            <w:tcW w:w="100" w:type="dxa"/>
            <w:vAlign w:val="bottom"/>
          </w:tcPr>
          <w:p>
            <w:pPr>
              <w:spacing w:after="0"/>
              <w:rPr>
                <w:sz w:val="21"/>
                <w:szCs w:val="21"/>
                <w:color w:val="auto"/>
              </w:rPr>
            </w:pP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Change in Control</w:t>
            </w: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8,871,212</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4,435,606</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324"/>
        </w:trPr>
        <w:tc>
          <w:tcPr>
            <w:tcW w:w="3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Patrick R. Moore</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920,000</w:t>
            </w:r>
          </w:p>
        </w:tc>
        <w:tc>
          <w:tcPr>
            <w:tcW w:w="1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Change in Control</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3,272,809</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1,349,677</w:t>
            </w:r>
          </w:p>
        </w:tc>
      </w:tr>
      <w:tr>
        <w:trPr>
          <w:trHeight w:val="32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1,293,675</w:t>
            </w:r>
          </w:p>
        </w:tc>
        <w:tc>
          <w:tcPr>
            <w:tcW w:w="1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Change in Control</w:t>
            </w: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3,604,334</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720,867</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324"/>
        </w:trPr>
        <w:tc>
          <w:tcPr>
            <w:tcW w:w="3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Mitchell Goodman</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805,000</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Change in Control</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2,069,926</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1,034,963</w:t>
            </w:r>
          </w:p>
        </w:tc>
      </w:tr>
      <w:tr>
        <w:trPr>
          <w:trHeight w:val="32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10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15,397</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Change in Control</w:t>
            </w: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975,838</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487,919</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324"/>
        </w:trPr>
        <w:tc>
          <w:tcPr>
            <w:tcW w:w="3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J. Bruce Steffey</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Change in Control</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4,435,588</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2,217,794</w:t>
            </w:r>
          </w:p>
        </w:tc>
      </w:tr>
      <w:tr>
        <w:trPr>
          <w:trHeight w:val="27"/>
        </w:trPr>
        <w:tc>
          <w:tcPr>
            <w:tcW w:w="3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20"/>
          </w:cols>
          <w:pgMar w:left="240" w:top="125"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w:t>
      </w:r>
    </w:p>
    <w:p>
      <w:pPr>
        <w:spacing w:after="0" w:line="21" w:lineRule="exact"/>
        <w:rPr>
          <w:sz w:val="20"/>
          <w:szCs w:val="20"/>
          <w:color w:val="auto"/>
        </w:rPr>
      </w:pPr>
    </w:p>
    <w:p>
      <w:pPr>
        <w:ind w:left="500" w:hanging="492"/>
        <w:spacing w:after="0" w:line="241" w:lineRule="auto"/>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reported for Messrs. Fahs, Moore, McAllister, Goodman and Steffey represent 24 months of the executive’s annual base salary plus an amount equal to 30% of the executive’s annual base salary. Amount reported for Mr. Vaught represents 12 months of the executive’s annual base salary.</w:t>
      </w:r>
    </w:p>
    <w:p>
      <w:pPr>
        <w:ind w:left="500" w:hanging="492"/>
        <w:spacing w:after="0" w:line="241" w:lineRule="auto"/>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reported represent the cost of providing each applicable NEO with COBRA continuation coverage for group health benefits for a period of 12 months following the date of termination.</w:t>
      </w:r>
    </w:p>
    <w:p>
      <w:pPr>
        <w:jc w:val="both"/>
        <w:ind w:left="500" w:hanging="492"/>
        <w:spacing w:after="0" w:line="243" w:lineRule="auto"/>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reported represent accelerated vesting of unvested options as described above under “Pre-IPO Options” and “2017 Post-IPO Options,” and are based on the closing price of our common stock of $40.61 per share on December 29, 2017, the last trading day in 2017. The amounts reported for Messrs. Fahs, Moore, Steffey, Goodman and Vaught reflect the “spread” value of $36.34 per share for the 2014 Options, representing the difference between the exercise price of $4.27 and the closing price on December 29, 2017. The amount reported for Mr. Moore also includes the difference between the exercise price of $22.00 per share for the 2017 Post-IPO Options and the closing price on December 29, 2017. The amount reported for Mr. Moore reflects the “spread” value of $18.61 per share representing the difference between the exercise price of $22.00 and the closing price on December 29, 2017. The amount reported for Mr. McAllister reflects the “spread” value of $24.87 per share for the McAllister 2017 Options, representing the difference between the exercise price of $15.74 and the closing price on December 29,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2017, our compensation committee was composed of Messrs. Taylor and Gernburd, neither of whom has at any time been one of our executive officers or employees. None of our executive officers served as a member of the compensation committee (or other committee serving an equivalent function) or a director of any other entity whose executive officers served on our compensation committee or board of directors. Messrs. Taylor and Gernburd are affiliates of KKR. We are parties to certain transactions with KKR described in Part III. Item 13. “Certain Relationships and Related Transactions, and Director Independence” of this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Directors who are our employees or are associated with our Sponsors do not receive remuneration for serving on our Board. Non-employee directors receive an annual cash retainer of $75,000, paid quarterly, in arrears. The Chair of each of the audit committee and the compensation committee receives an additional annual cash retainer of $20,000, paid quarterly, in arrears. In addition, each non-employee director receives an annual $100,000 restricted stock grant. The shares of restricted stock vest in three equal installments on each of the first, second and third anniversaries of the grant date, subject to continued service through the applicable vesting date. Upon the occurrence of a change in control, all shares of restricted stock fully vest. Upon any termination of a director’s service, all unvested shares of restricted stock will be forfeited. Our directors are not paid any fees for attending meetings. However, our directors are reimbursed for reasonable travel and related expenses associated with attendance at board or committee meetings.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fees earned by our non-employee directors for service in fiscal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color w:val="auto"/>
                <w:w w:val="97"/>
              </w:rPr>
              <w:t>Fees earned or paid in cash</w:t>
            </w:r>
          </w:p>
        </w:tc>
        <w:tc>
          <w:tcPr>
            <w:tcW w:w="2160" w:type="dxa"/>
            <w:vAlign w:val="bottom"/>
            <w:gridSpan w:val="2"/>
          </w:tcPr>
          <w:p>
            <w:pPr>
              <w:ind w:left="600"/>
              <w:spacing w:after="0"/>
              <w:rPr>
                <w:sz w:val="20"/>
                <w:szCs w:val="20"/>
                <w:color w:val="auto"/>
              </w:rPr>
            </w:pPr>
            <w:r>
              <w:rPr>
                <w:rFonts w:ascii="Arial" w:cs="Arial" w:eastAsia="Arial" w:hAnsi="Arial"/>
                <w:sz w:val="16"/>
                <w:szCs w:val="16"/>
                <w:color w:val="auto"/>
              </w:rPr>
              <w:t>Stock awards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90"/>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center"/>
              <w:spacing w:after="0" w:line="289" w:lineRule="exact"/>
              <w:rPr>
                <w:sz w:val="20"/>
                <w:szCs w:val="20"/>
                <w:color w:val="auto"/>
              </w:rPr>
            </w:pPr>
            <w:r>
              <w:rPr>
                <w:rFonts w:ascii="Arial" w:cs="Arial" w:eastAsia="Arial" w:hAnsi="Arial"/>
                <w:sz w:val="32"/>
                <w:szCs w:val="32"/>
                <w:color w:val="auto"/>
                <w:w w:val="80"/>
                <w:vertAlign w:val="subscript"/>
              </w:rPr>
              <w:t>($)</w:t>
            </w:r>
            <w:r>
              <w:rPr>
                <w:rFonts w:ascii="Arial" w:cs="Arial" w:eastAsia="Arial" w:hAnsi="Arial"/>
                <w:sz w:val="13"/>
                <w:szCs w:val="13"/>
                <w:color w:val="auto"/>
                <w:w w:val="80"/>
              </w:rPr>
              <w:t>(1)</w:t>
            </w:r>
          </w:p>
        </w:tc>
        <w:tc>
          <w:tcPr>
            <w:tcW w:w="10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All other compensation ($)</w:t>
            </w:r>
          </w:p>
        </w:tc>
        <w:tc>
          <w:tcPr>
            <w:tcW w:w="10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Total ($)</w:t>
            </w:r>
          </w:p>
        </w:tc>
      </w:tr>
      <w:tr>
        <w:trPr>
          <w:trHeight w:val="28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Nataniel H. Taylor</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78"/>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Felix Gernburd</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311"/>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Virginia A. Hepner</w:t>
            </w:r>
            <w:r>
              <w:rPr>
                <w:rFonts w:ascii="Arial" w:cs="Arial" w:eastAsia="Arial" w:hAnsi="Arial"/>
                <w:sz w:val="21"/>
                <w:szCs w:val="21"/>
                <w:color w:val="auto"/>
                <w:vertAlign w:val="superscript"/>
              </w:rPr>
              <w:t>(2)</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78"/>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D. Randolph Peeler</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311"/>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David M. Tehle</w:t>
            </w:r>
            <w:r>
              <w:rPr>
                <w:rFonts w:ascii="Arial" w:cs="Arial" w:eastAsia="Arial" w:hAnsi="Arial"/>
                <w:sz w:val="21"/>
                <w:szCs w:val="21"/>
                <w:color w:val="auto"/>
                <w:vertAlign w:val="superscript"/>
              </w:rPr>
              <w:t>(3)</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18,750</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100,000</w:t>
            </w:r>
          </w:p>
        </w:tc>
        <w:tc>
          <w:tcPr>
            <w:tcW w:w="10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118,750</w:t>
            </w:r>
          </w:p>
        </w:tc>
      </w:tr>
      <w:tr>
        <w:trPr>
          <w:trHeight w:val="155"/>
        </w:trPr>
        <w:tc>
          <w:tcPr>
            <w:tcW w:w="1960" w:type="dxa"/>
            <w:vAlign w:val="bottom"/>
          </w:tcPr>
          <w:p>
            <w:pPr>
              <w:spacing w:after="0" w:line="155" w:lineRule="exact"/>
              <w:rPr>
                <w:sz w:val="20"/>
                <w:szCs w:val="20"/>
                <w:color w:val="auto"/>
              </w:rPr>
            </w:pPr>
            <w:r>
              <w:rPr>
                <w:rFonts w:ascii="Arial" w:cs="Arial" w:eastAsia="Arial" w:hAnsi="Arial"/>
                <w:sz w:val="14"/>
                <w:szCs w:val="14"/>
                <w:b w:val="1"/>
                <w:bCs w:val="1"/>
                <w:color w:val="auto"/>
              </w:rPr>
              <w:t>______________</w:t>
            </w: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r>
    </w:tbl>
    <w:p>
      <w:pPr>
        <w:ind w:left="420" w:hanging="412"/>
        <w:spacing w:after="0" w:line="241" w:lineRule="auto"/>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 reported reflects the grant date fair value associated with the grant to Mr. Tehle of 6,357 shares of restricted stock on July 24, 2017 under the 2014 Stock Incentive Plan. As of December 30, 2017, Mr. Tehle held 6,357 shares of restricted stock.</w:t>
      </w: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Hepner joined our Board on January 22, 2018 and therefore did not receive any compensation for the year ended December 30, 2017.</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Tehle joined our Board on July 17, 2017 and his cash retainer was prorated for his partial year of service.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2940"/>
        <w:spacing w:after="0" w:line="378"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Beneficial Ownership of National Vision Common Stock</w:t>
      </w:r>
    </w:p>
    <w:p>
      <w:pPr>
        <w:jc w:val="both"/>
        <w:spacing w:after="0" w:line="291" w:lineRule="auto"/>
        <w:rPr>
          <w:sz w:val="20"/>
          <w:szCs w:val="20"/>
          <w:color w:val="auto"/>
        </w:rPr>
      </w:pPr>
      <w:r>
        <w:rPr>
          <w:rFonts w:ascii="Arial" w:cs="Arial" w:eastAsia="Arial" w:hAnsi="Arial"/>
          <w:sz w:val="16"/>
          <w:szCs w:val="16"/>
          <w:color w:val="auto"/>
        </w:rPr>
        <w:t>The following table and accompanying footnotes set forth information with respect to the beneficial ownership of our common stock as of February 28, 2018 by (1) each individual or entity known by us to beneficially own more than 5% of our outstanding common stock, (2) each of our named executive officers,</w:t>
      </w:r>
    </w:p>
    <w:p>
      <w:pPr>
        <w:ind w:firstLine="8"/>
        <w:spacing w:after="0" w:line="261" w:lineRule="auto"/>
        <w:tabs>
          <w:tab w:leader="none" w:pos="2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 and (4) all of our directors and our executive officers as a group. As of February 28, 2018, there were 74,656,175 shares of our common stock, par value $0.01 per share, outstanding.</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110"/>
              <w:spacing w:after="0"/>
              <w:rPr>
                <w:sz w:val="20"/>
                <w:szCs w:val="20"/>
                <w:color w:val="auto"/>
              </w:rPr>
            </w:pPr>
            <w:r>
              <w:rPr>
                <w:rFonts w:ascii="Arial" w:cs="Arial" w:eastAsia="Arial" w:hAnsi="Arial"/>
                <w:sz w:val="18"/>
                <w:szCs w:val="18"/>
                <w:color w:val="auto"/>
                <w:w w:val="99"/>
              </w:rPr>
              <w:t>Percentage of Total</w:t>
            </w:r>
          </w:p>
        </w:tc>
      </w:tr>
      <w:tr>
        <w:trPr>
          <w:trHeight w:val="284"/>
        </w:trPr>
        <w:tc>
          <w:tcPr>
            <w:tcW w:w="7940" w:type="dxa"/>
            <w:vAlign w:val="bottom"/>
            <w:tcBorders>
              <w:bottom w:val="single" w:sz="8" w:color="auto"/>
            </w:tcBorders>
          </w:tcPr>
          <w:p>
            <w:pPr>
              <w:ind w:left="3000"/>
              <w:spacing w:after="0"/>
              <w:rPr>
                <w:sz w:val="20"/>
                <w:szCs w:val="20"/>
                <w:color w:val="auto"/>
              </w:rPr>
            </w:pPr>
            <w:r>
              <w:rPr>
                <w:rFonts w:ascii="Arial" w:cs="Arial" w:eastAsia="Arial" w:hAnsi="Arial"/>
                <w:sz w:val="18"/>
                <w:szCs w:val="18"/>
                <w:color w:val="auto"/>
              </w:rPr>
              <w:t>Name of Beneficial Owner</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Number</w:t>
            </w:r>
          </w:p>
        </w:tc>
        <w:tc>
          <w:tcPr>
            <w:tcW w:w="12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150"/>
              <w:spacing w:after="0" w:line="284" w:lineRule="exact"/>
              <w:rPr>
                <w:sz w:val="20"/>
                <w:szCs w:val="20"/>
                <w:color w:val="auto"/>
              </w:rPr>
            </w:pPr>
            <w:r>
              <w:rPr>
                <w:rFonts w:ascii="Arial" w:cs="Arial" w:eastAsia="Arial" w:hAnsi="Arial"/>
                <w:sz w:val="18"/>
                <w:szCs w:val="18"/>
                <w:color w:val="auto"/>
              </w:rPr>
              <w:t xml:space="preserve">Common Stock </w:t>
            </w:r>
            <w:r>
              <w:rPr>
                <w:rFonts w:ascii="Arial" w:cs="Arial" w:eastAsia="Arial" w:hAnsi="Arial"/>
                <w:sz w:val="25"/>
                <w:szCs w:val="25"/>
                <w:color w:val="auto"/>
                <w:vertAlign w:val="superscript"/>
              </w:rPr>
              <w:t>(1)</w:t>
            </w:r>
          </w:p>
        </w:tc>
      </w:tr>
      <w:tr>
        <w:trPr>
          <w:trHeight w:val="244"/>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Greater than 5% Stockholders:</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324"/>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 xml:space="preserve">KKR Vision Aggregator L.P. </w:t>
            </w:r>
            <w:r>
              <w:rPr>
                <w:rFonts w:ascii="Arial" w:cs="Arial" w:eastAsia="Arial" w:hAnsi="Arial"/>
                <w:sz w:val="25"/>
                <w:szCs w:val="25"/>
                <w:color w:val="auto"/>
                <w:vertAlign w:val="superscript"/>
              </w:rPr>
              <w:t>(2)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43,475,462</w:t>
            </w:r>
          </w:p>
        </w:tc>
        <w:tc>
          <w:tcPr>
            <w:tcW w:w="1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58.24%</w:t>
            </w:r>
          </w:p>
        </w:tc>
      </w:tr>
      <w:tr>
        <w:trPr>
          <w:trHeight w:val="324"/>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Investment funds affiliated with Berkshire </w:t>
            </w:r>
            <w:r>
              <w:rPr>
                <w:rFonts w:ascii="Arial" w:cs="Arial" w:eastAsia="Arial" w:hAnsi="Arial"/>
                <w:sz w:val="25"/>
                <w:szCs w:val="25"/>
                <w:color w:val="auto"/>
                <w:vertAlign w:val="superscript"/>
              </w:rPr>
              <w:t>(3)</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10,171,541</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70"/>
        </w:trPr>
        <w:tc>
          <w:tcPr>
            <w:tcW w:w="80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Executive Officers and Directors:</w:t>
            </w: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54"/>
        </w:trPr>
        <w:tc>
          <w:tcPr>
            <w:tcW w:w="7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324"/>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 Reade Fahs </w:t>
            </w:r>
            <w:r>
              <w:rPr>
                <w:rFonts w:ascii="Arial" w:cs="Arial" w:eastAsia="Arial" w:hAnsi="Arial"/>
                <w:sz w:val="25"/>
                <w:szCs w:val="25"/>
                <w:color w:val="auto"/>
                <w:vertAlign w:val="superscript"/>
              </w:rPr>
              <w:t>(4)</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1,098,526</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Patrick R. Moore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120,454</w:t>
            </w:r>
          </w:p>
        </w:tc>
        <w:tc>
          <w:tcPr>
            <w:tcW w:w="120" w:type="dxa"/>
            <w:vAlign w:val="bottom"/>
          </w:tcPr>
          <w:p>
            <w:pPr>
              <w:spacing w:after="0"/>
              <w:rPr>
                <w:sz w:val="21"/>
                <w:szCs w:val="21"/>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118,250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Mitchell Goodman</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215,635</w:t>
            </w:r>
          </w:p>
        </w:tc>
        <w:tc>
          <w:tcPr>
            <w:tcW w:w="120" w:type="dxa"/>
            <w:vAlign w:val="bottom"/>
          </w:tcPr>
          <w:p>
            <w:pPr>
              <w:spacing w:after="0"/>
              <w:rPr>
                <w:sz w:val="21"/>
                <w:szCs w:val="21"/>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67,195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Bruce Steffey</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498,404</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Nathaniel H. Taylor </w:t>
            </w:r>
            <w:r>
              <w:rPr>
                <w:rFonts w:ascii="Arial" w:cs="Arial" w:eastAsia="Arial" w:hAnsi="Arial"/>
                <w:sz w:val="25"/>
                <w:szCs w:val="25"/>
                <w:color w:val="auto"/>
                <w:vertAlign w:val="superscript"/>
              </w:rPr>
              <w:t>(2)</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324"/>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 xml:space="preserve">Felix Gernburd </w:t>
            </w:r>
            <w:r>
              <w:rPr>
                <w:rFonts w:ascii="Arial" w:cs="Arial" w:eastAsia="Arial" w:hAnsi="Arial"/>
                <w:sz w:val="25"/>
                <w:szCs w:val="25"/>
                <w:color w:val="auto"/>
                <w:vertAlign w:val="superscript"/>
              </w:rPr>
              <w:t>(2)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24"/>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 Randolph Peeler </w:t>
            </w:r>
            <w:r>
              <w:rPr>
                <w:rFonts w:ascii="Arial" w:cs="Arial" w:eastAsia="Arial" w:hAnsi="Arial"/>
                <w:sz w:val="25"/>
                <w:szCs w:val="25"/>
                <w:color w:val="auto"/>
                <w:vertAlign w:val="superscript"/>
              </w:rPr>
              <w:t>(5)</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David M. Tehle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6,357</w:t>
            </w:r>
          </w:p>
        </w:tc>
        <w:tc>
          <w:tcPr>
            <w:tcW w:w="120" w:type="dxa"/>
            <w:vAlign w:val="bottom"/>
          </w:tcPr>
          <w:p>
            <w:pPr>
              <w:spacing w:after="0"/>
              <w:rPr>
                <w:sz w:val="21"/>
                <w:szCs w:val="21"/>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 A. Hepner</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(14 persons)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2,384,724</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182"/>
        </w:trPr>
        <w:tc>
          <w:tcPr>
            <w:tcW w:w="7940" w:type="dxa"/>
            <w:vAlign w:val="bottom"/>
          </w:tcPr>
          <w:p>
            <w:pPr>
              <w:spacing w:after="0"/>
              <w:rPr>
                <w:sz w:val="20"/>
                <w:szCs w:val="20"/>
                <w:color w:val="auto"/>
              </w:rPr>
            </w:pPr>
            <w:r>
              <w:rPr>
                <w:rFonts w:ascii="Arial" w:cs="Arial" w:eastAsia="Arial" w:hAnsi="Arial"/>
                <w:sz w:val="14"/>
                <w:szCs w:val="14"/>
                <w:b w:val="1"/>
                <w:bCs w:val="1"/>
                <w:color w:val="auto"/>
              </w:rPr>
              <w:t>____________</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 w:lineRule="exact"/>
        <w:rPr>
          <w:sz w:val="20"/>
          <w:szCs w:val="20"/>
          <w:color w:val="auto"/>
        </w:rPr>
      </w:pPr>
    </w:p>
    <w:p>
      <w:pPr>
        <w:ind w:left="340" w:hanging="332"/>
        <w:spacing w:after="0" w:line="24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number of shares reported includes shares covered by options that are exercisable within 60 days as follows: Mr. Fahs, 122,059; Mr. Moore, 73,234; Mr. Goodman, 113,920; Mr. Vaught, 67,195; and all directors and executive officers as a group, 808,029.</w:t>
      </w:r>
    </w:p>
    <w:p>
      <w:pPr>
        <w:jc w:val="both"/>
        <w:ind w:left="340" w:hanging="332"/>
        <w:spacing w:after="0" w:line="243"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43,475,462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200, Menlo Park, CA 94025. Each of Messrs. Taylor and Gernburd is a member of our Board of Directors and serves as an executive of Kohlberg Kravis Roberts &amp; Co. L.P. and/or one or more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of its affiliates. Each of Messrs. Kravis, Roberts, Taylor and Gernburd disclaims beneficial ownership of the shares held by KKR Vision Aggregator L.P. The principal business address of each</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of Messrs. Taylor and Gernburd is c/o Kohlberg Kravis Roberts &amp; Co. L.P., 9 West 57th Street, New York, New York 10019.</w:t>
      </w:r>
    </w:p>
    <w:p>
      <w:pPr>
        <w:spacing w:after="0" w:line="42" w:lineRule="exact"/>
        <w:rPr>
          <w:sz w:val="20"/>
          <w:szCs w:val="20"/>
          <w:color w:val="auto"/>
        </w:rPr>
      </w:pPr>
    </w:p>
    <w:p>
      <w:pPr>
        <w:jc w:val="both"/>
        <w:ind w:left="340" w:hanging="332"/>
        <w:spacing w:after="0" w:line="262"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(i) 9,988,898 shares of common stock held by Berkshire Fund VI, Limited Partnership, or Fund VI, (ii) 129,780 shares of common stock held by Berkshire Investors LLC, or Berkshire Investors, and (iii) 52,863 shares of common stock held by Berkshire Investors III LLC, or Berkshire Investors III. Sixth Berkshire Associates LLC, or 6BA, is the general partner of Fund VI. 6BA is managed by a number of individuals who are managing directors of Berkshire, including D. Randolph Peeler who serves as one of our directors. Certain of the managing directors of Berkshire, including Mr. Peeler,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shares held by the Fahs Family Trust.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Excludes shares held by investment funds affiliated with Berkshire. See footnote (3) above.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numbers in the following table are as of December 30, 2017.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 to be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Weighted-average</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Number of securities remaining</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issued upon exercise of</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exercise price of</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available for future issuance under</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 options,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 options,</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equity compensation plans (excluding</w:t>
            </w: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warrants and rights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warrants and rights</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securities reflected in column (a))</w:t>
            </w:r>
          </w:p>
        </w:tc>
      </w:tr>
      <w:tr>
        <w:trPr>
          <w:trHeight w:val="432"/>
        </w:trPr>
        <w:tc>
          <w:tcPr>
            <w:tcW w:w="20" w:type="dxa"/>
            <w:vAlign w:val="bottom"/>
          </w:tcPr>
          <w:p>
            <w:pPr>
              <w:spacing w:after="0"/>
              <w:rPr>
                <w:sz w:val="24"/>
                <w:szCs w:val="24"/>
                <w:color w:val="auto"/>
              </w:rPr>
            </w:pPr>
          </w:p>
        </w:tc>
        <w:tc>
          <w:tcPr>
            <w:tcW w:w="4220" w:type="dxa"/>
            <w:vAlign w:val="bottom"/>
            <w:gridSpan w:val="2"/>
          </w:tcPr>
          <w:p>
            <w:pPr>
              <w:ind w:left="1560"/>
              <w:spacing w:after="0"/>
              <w:rPr>
                <w:sz w:val="20"/>
                <w:szCs w:val="20"/>
                <w:color w:val="auto"/>
              </w:rPr>
            </w:pPr>
            <w:r>
              <w:rPr>
                <w:rFonts w:ascii="Arial" w:cs="Arial" w:eastAsia="Arial" w:hAnsi="Arial"/>
                <w:sz w:val="18"/>
                <w:szCs w:val="18"/>
                <w:color w:val="auto"/>
              </w:rPr>
              <w:t>Plan category</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w:t>
            </w: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180" w:type="dxa"/>
            <w:vAlign w:val="bottom"/>
            <w:shd w:val="clear" w:color="auto" w:fill="CCEEFF"/>
          </w:tcPr>
          <w:p>
            <w:pPr>
              <w:jc w:val="center"/>
              <w:spacing w:after="0" w:line="257" w:lineRule="exact"/>
              <w:rPr>
                <w:sz w:val="20"/>
                <w:szCs w:val="20"/>
                <w:color w:val="auto"/>
              </w:rPr>
            </w:pPr>
            <w:r>
              <w:rPr>
                <w:rFonts w:ascii="Arial" w:cs="Arial" w:eastAsia="Arial" w:hAnsi="Arial"/>
                <w:sz w:val="18"/>
                <w:szCs w:val="18"/>
                <w:color w:val="auto"/>
                <w:w w:val="86"/>
              </w:rPr>
              <w:t>10,608,559</w:t>
            </w:r>
            <w:r>
              <w:rPr>
                <w:rFonts w:ascii="Arial" w:cs="Arial" w:eastAsia="Arial" w:hAnsi="Arial"/>
                <w:sz w:val="25"/>
                <w:szCs w:val="25"/>
                <w:color w:val="auto"/>
                <w:w w:val="86"/>
                <w:vertAlign w:val="superscript"/>
              </w:rPr>
              <w:t>(1)</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$6.55</w:t>
            </w:r>
          </w:p>
        </w:tc>
        <w:tc>
          <w:tcPr>
            <w:tcW w:w="100" w:type="dxa"/>
            <w:vAlign w:val="bottom"/>
            <w:shd w:val="clear" w:color="auto" w:fill="CCEEFF"/>
          </w:tcPr>
          <w:p>
            <w:pPr>
              <w:spacing w:after="0"/>
              <w:rPr>
                <w:sz w:val="22"/>
                <w:szCs w:val="22"/>
                <w:color w:val="auto"/>
              </w:rPr>
            </w:pPr>
          </w:p>
        </w:tc>
        <w:tc>
          <w:tcPr>
            <w:tcW w:w="2960" w:type="dxa"/>
            <w:vAlign w:val="bottom"/>
            <w:shd w:val="clear" w:color="auto" w:fill="CCEEFF"/>
          </w:tcPr>
          <w:p>
            <w:pPr>
              <w:jc w:val="center"/>
              <w:spacing w:after="0" w:line="257" w:lineRule="exact"/>
              <w:rPr>
                <w:sz w:val="20"/>
                <w:szCs w:val="20"/>
                <w:color w:val="auto"/>
              </w:rPr>
            </w:pPr>
            <w:r>
              <w:rPr>
                <w:rFonts w:ascii="Arial" w:cs="Arial" w:eastAsia="Arial" w:hAnsi="Arial"/>
                <w:sz w:val="18"/>
                <w:szCs w:val="18"/>
                <w:color w:val="auto"/>
                <w:w w:val="87"/>
              </w:rPr>
              <w:t>3,794,871</w:t>
            </w:r>
            <w:r>
              <w:rPr>
                <w:rFonts w:ascii="Arial" w:cs="Arial" w:eastAsia="Arial" w:hAnsi="Arial"/>
                <w:sz w:val="25"/>
                <w:szCs w:val="25"/>
                <w:color w:val="auto"/>
                <w:w w:val="87"/>
                <w:vertAlign w:val="superscript"/>
              </w:rPr>
              <w:t>(2)</w:t>
            </w:r>
          </w:p>
        </w:tc>
      </w:tr>
      <w:tr>
        <w:trPr>
          <w:trHeight w:val="229"/>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holders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9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10,608,559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3,794,871</w:t>
            </w:r>
          </w:p>
        </w:tc>
      </w:tr>
      <w:tr>
        <w:trPr>
          <w:trHeight w:val="155"/>
        </w:trPr>
        <w:tc>
          <w:tcPr>
            <w:tcW w:w="20" w:type="dxa"/>
            <w:vAlign w:val="bottom"/>
          </w:tcPr>
          <w:p>
            <w:pPr>
              <w:spacing w:after="0"/>
              <w:rPr>
                <w:sz w:val="13"/>
                <w:szCs w:val="13"/>
                <w:color w:val="auto"/>
              </w:rPr>
            </w:pPr>
          </w:p>
        </w:tc>
        <w:tc>
          <w:tcPr>
            <w:tcW w:w="4100" w:type="dxa"/>
            <w:vAlign w:val="bottom"/>
          </w:tcPr>
          <w:p>
            <w:pPr>
              <w:spacing w:after="0" w:line="155" w:lineRule="exact"/>
              <w:rPr>
                <w:sz w:val="20"/>
                <w:szCs w:val="20"/>
                <w:color w:val="auto"/>
              </w:rPr>
            </w:pPr>
            <w:r>
              <w:rPr>
                <w:rFonts w:ascii="Arial" w:cs="Arial" w:eastAsia="Arial" w:hAnsi="Arial"/>
                <w:sz w:val="14"/>
                <w:szCs w:val="14"/>
                <w:color w:val="auto"/>
              </w:rPr>
              <w:t>____________</w:t>
            </w: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Pr>
          <w:p>
            <w:pPr>
              <w:spacing w:after="0"/>
              <w:rPr>
                <w:sz w:val="13"/>
                <w:szCs w:val="13"/>
                <w:color w:val="auto"/>
              </w:rPr>
            </w:pPr>
          </w:p>
        </w:tc>
      </w:tr>
    </w:tbl>
    <w:p>
      <w:pPr>
        <w:jc w:val="both"/>
        <w:ind w:left="340" w:hanging="332"/>
        <w:spacing w:after="0" w:line="24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169,049 shares issuable pursuant to outstanding options under the 2013 Stock Incentive Plan. The weighted-average exercise price of such options is $1.66. Includes10,347,067 shares issuable pursuant to outstanding options under the 2014 Stock Incentive Plan. The weighted-average exercise price of such options is $6.49. Includes 92,443 shares issuable pursuant to outstanding options under the 2017 Omnibus Incentive Plan. The weighted-average exercise price of such options is $22.00.</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69,452 shares that can be issued pursuant to future awards under the 2014 Stock Incentive Plan. Also includes 3,725,419 shares that can be issued pursuant to future awards under the 2017 Omnibus Incentive Plan.</w:t>
      </w:r>
    </w:p>
    <w:p>
      <w:pPr>
        <w:spacing w:after="0" w:line="78" w:lineRule="exact"/>
        <w:rPr>
          <w:sz w:val="20"/>
          <w:szCs w:val="20"/>
          <w:color w:val="auto"/>
        </w:rPr>
      </w:pPr>
    </w:p>
    <w:p>
      <w:pPr>
        <w:ind w:right="4880"/>
        <w:spacing w:after="0" w:line="378"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Related Persons Transaction Policy</w:t>
      </w:r>
    </w:p>
    <w:p>
      <w:pPr>
        <w:jc w:val="both"/>
        <w:spacing w:after="0" w:line="272" w:lineRule="auto"/>
        <w:rPr>
          <w:sz w:val="20"/>
          <w:szCs w:val="20"/>
          <w:color w:val="auto"/>
        </w:rPr>
      </w:pPr>
      <w:r>
        <w:rPr>
          <w:rFonts w:ascii="Arial" w:cs="Arial" w:eastAsia="Arial" w:hAnsi="Arial"/>
          <w:sz w:val="17"/>
          <w:szCs w:val="17"/>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In connection with our IPO, we entered into a stockholders agreement with the Sponsors. This agreement grants the Sponsors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w:t>
      </w:r>
    </w:p>
    <w:p>
      <w:pPr>
        <w:spacing w:after="0" w:line="5" w:lineRule="exact"/>
        <w:rPr>
          <w:sz w:val="20"/>
          <w:szCs w:val="20"/>
          <w:color w:val="auto"/>
        </w:rPr>
      </w:pPr>
    </w:p>
    <w:p>
      <w:pPr>
        <w:jc w:val="both"/>
        <w:ind w:firstLine="8"/>
        <w:spacing w:after="0" w:line="268" w:lineRule="auto"/>
        <w:tabs>
          <w:tab w:leader="none" w:pos="317"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(11⁄4)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stockholders agreement grants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Registration Rights Agreement. </w:t>
      </w:r>
      <w:r>
        <w:rPr>
          <w:rFonts w:ascii="Arial" w:cs="Arial" w:eastAsia="Arial" w:hAnsi="Arial"/>
          <w:sz w:val="17"/>
          <w:szCs w:val="17"/>
          <w:color w:val="auto"/>
        </w:rPr>
        <w:t>In connection with the KKR Acquisition, we entered into a registration rights agreement with the Sponsors and with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Monitoring Agreement. </w:t>
      </w:r>
      <w:r>
        <w:rPr>
          <w:rFonts w:ascii="Arial" w:cs="Arial" w:eastAsia="Arial" w:hAnsi="Arial"/>
          <w:sz w:val="17"/>
          <w:szCs w:val="17"/>
          <w:color w:val="auto"/>
        </w:rPr>
        <w:t>In connection with the KKR Acquisition, NVI entered into a monitoring agreement (the “Monitoring Agreement”) with KKR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Sponsor and Berkshire pursuant to which the Sponsors provide management and advisory services to NVI and receive fees and reimbursements of related out-of-pocket expenses. The Monitoring Agreement was terminated automatically in accordance with its terms upon the consummation of the IPO and we paid termination fees of approximately $3.6 million and $0.8 million to KKR Sponsor and Berkshire, respectively.</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recorded the following expenses related to management and/or advisory fees: we paid management and/or advisory fees of $0.7 million to KKR Sponsor and $0.2 million to Berkshire in fiscal year 2017 prior to the termination of the Monitoring Agreement in October 2017, $0.8 million to KKR Sponsor and $0.2 million to Berkshire in fiscal year 2016, $3.5 million to KKR Sponsor and $0.2 million to Berkshire in fiscal year 2015.</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Fees paid to KKR Sponsor and Berkshire included retainer fees and certain other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and $2.3 million in fees paid to KKR Sponsor and its affiliates for expenses related to debt issuance costs in fiscal year 2017, which are recorded in debt issuance costs in our consolidated statements of operating and comprehensive income (loss).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Indemnification Agreement with KKR Sponsor and Berkshire. </w:t>
      </w:r>
      <w:r>
        <w:rPr>
          <w:rFonts w:ascii="Arial" w:cs="Arial" w:eastAsia="Arial" w:hAnsi="Arial"/>
          <w:sz w:val="18"/>
          <w:szCs w:val="18"/>
          <w:color w:val="auto"/>
        </w:rPr>
        <w:t>In connection with the KKR Acquisition, we and certain of our subsidiaries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indemnification agreement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Relationship with KKR Capital Markets. </w:t>
      </w:r>
      <w:r>
        <w:rPr>
          <w:rFonts w:ascii="Arial" w:cs="Arial" w:eastAsia="Arial" w:hAnsi="Arial"/>
          <w:sz w:val="18"/>
          <w:szCs w:val="18"/>
          <w:color w:val="auto"/>
        </w:rPr>
        <w:t>KKR Capital Markets LLC (“KCM”), an affiliate of KKR Sponsor, acted as an arranger and bookrunner for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transactions under our first lien and second lien credit agreements,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received underwriter and transaction fees totaling approximately $2.6 million in fiscal year 2017 and $2.0 million in fiscal year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KCM also acted as an underwriter in our IPO and received underwriting discounts and commissions of $4.8 million.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KKR Corporate Lending LLC, an affiliate of KKR Capital Markets LLC, has been a participating lender under our revolving credit facility since 2014 and as of December 30, 2017, had received interest payments of approximately $0.9 million.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Credit. </w:t>
      </w:r>
      <w:r>
        <w:rPr>
          <w:rFonts w:ascii="Arial" w:cs="Arial" w:eastAsia="Arial" w:hAnsi="Arial"/>
          <w:sz w:val="18"/>
          <w:szCs w:val="18"/>
          <w:color w:val="auto"/>
        </w:rPr>
        <w:t>Investment funds or accounts managed or advised by the global credit business of KKR &amp; Co. (collectively “KKR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participating lenders under our first lien and second lien credit agreements since 2014, and as of December 30, 2017, had received aggregate principal payments of approximately $15.4 million and interest or other associated payments relating to their holdings of debt of approximately $2.4 million. As of December 30, 2017, investment funds or accounts managed or advised by KKR Credit held a portion of our outstanding principal balance of our first lien term loans.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 its affiliates, or KKR Capstone,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 management stockholder’s agreements,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Stockholder’s Agreements, with certain of our senior executive officers and other employees who made an equity investment in us or were granted equity based awards.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Sale Participation Agreements. </w:t>
      </w:r>
      <w:r>
        <w:rPr>
          <w:rFonts w:ascii="Arial" w:cs="Arial" w:eastAsia="Arial" w:hAnsi="Arial"/>
          <w:sz w:val="18"/>
          <w:szCs w:val="18"/>
          <w:color w:val="auto"/>
        </w:rPr>
        <w:t>The Sale Participation Agreements granted management stockholders the right to participate in any private direct or indirect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shares of common stock by certain affiliates of KKR Sponsor (such right being referred to herein as the “Tag-Along Right”), and required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Sale Participation Agreements were terminated in accordance with their terms upon the consummation of the IPO.</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Agreements with Directors and Officers. </w:t>
      </w:r>
      <w:r>
        <w:rPr>
          <w:rFonts w:ascii="Arial" w:cs="Arial" w:eastAsia="Arial" w:hAnsi="Arial"/>
          <w:sz w:val="16"/>
          <w:szCs w:val="16"/>
          <w:color w:val="auto"/>
        </w:rPr>
        <w:t>In addition, we have certain agreements with our directors and officers which are described in Part III. Item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of this Form 10-K.</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our IPO, we entered into indemnification agreements with our directors.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disclosure included in Item 10 of the report under the heading “Composition of the Board of Directors” is incorporated by reference into this Item 13.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of Audit and Permissible Non-Audit Services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Effective with the completion of our IPO,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fees for professional services rendered by our independent registered public accounting firm, Deloitte &amp; Touche LLP, (“Deloitte”) for the audit of our financial statements for 2017 and 2016 and for fees billed for other services rendered by Deloitte during those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60" w:type="dxa"/>
            <w:vAlign w:val="bottom"/>
          </w:tcPr>
          <w:p>
            <w:pPr>
              <w:jc w:val="center"/>
              <w:ind w:left="570"/>
              <w:spacing w:after="0"/>
              <w:rPr>
                <w:sz w:val="20"/>
                <w:szCs w:val="20"/>
                <w:color w:val="auto"/>
              </w:rPr>
            </w:pPr>
            <w:r>
              <w:rPr>
                <w:rFonts w:ascii="Arial" w:cs="Arial" w:eastAsia="Arial" w:hAnsi="Arial"/>
                <w:sz w:val="18"/>
                <w:szCs w:val="18"/>
                <w:color w:val="auto"/>
                <w:w w:val="88"/>
              </w:rPr>
              <w:t>Fiscal Year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right"/>
              <w:ind w:right="65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right"/>
              <w:ind w:right="8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16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166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3"/>
                <w:szCs w:val="23"/>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(3)</w:t>
            </w:r>
          </w:p>
        </w:tc>
        <w:tc>
          <w:tcPr>
            <w:tcW w:w="16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166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2,823</w:t>
            </w:r>
          </w:p>
        </w:tc>
        <w:tc>
          <w:tcPr>
            <w:tcW w:w="1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hanging="332"/>
        <w:spacing w:after="0" w:line="250"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the aggregate fees for professional services rendered for the audit of the Company’s annual financial statements and the quarterly reviews of its financial statements, assistance with documents filed with the SEC, and assistance with documents related to our IPO process.</w:t>
      </w: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amounts for due diligence services.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the aggregate fees for professional services rendered for tax compliance, and tax consultation and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048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0"/>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9200" w:type="dxa"/>
            <w:vAlign w:val="bottom"/>
            <w:gridSpan w:val="10"/>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10480" w:type="dxa"/>
            <w:vAlign w:val="bottom"/>
            <w:gridSpan w:val="1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480" w:type="dxa"/>
            <w:vAlign w:val="bottom"/>
            <w:gridSpan w:val="13"/>
          </w:tcPr>
          <w:p>
            <w:pPr>
              <w:spacing w:after="0"/>
              <w:rPr>
                <w:sz w:val="20"/>
                <w:szCs w:val="20"/>
                <w:color w:val="auto"/>
              </w:rPr>
            </w:pPr>
            <w:r>
              <w:rPr>
                <w:rFonts w:ascii="Arial" w:cs="Arial" w:eastAsia="Arial" w:hAnsi="Arial"/>
                <w:sz w:val="18"/>
                <w:szCs w:val="18"/>
                <w:color w:val="auto"/>
              </w:rPr>
              <w:t>The following documents are filed as a part of this report: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94"/>
        </w:trPr>
        <w:tc>
          <w:tcPr>
            <w:tcW w:w="60" w:type="dxa"/>
            <w:vAlign w:val="bottom"/>
          </w:tcPr>
          <w:p>
            <w:pPr>
              <w:spacing w:after="0"/>
              <w:rPr>
                <w:sz w:val="24"/>
                <w:szCs w:val="24"/>
                <w:color w:val="auto"/>
              </w:rPr>
            </w:pPr>
          </w:p>
        </w:tc>
        <w:tc>
          <w:tcPr>
            <w:tcW w:w="10420" w:type="dxa"/>
            <w:vAlign w:val="bottom"/>
            <w:gridSpan w:val="12"/>
          </w:tcPr>
          <w:p>
            <w:pPr>
              <w:ind w:left="800"/>
              <w:spacing w:after="0"/>
              <w:rPr>
                <w:sz w:val="20"/>
                <w:szCs w:val="20"/>
                <w:color w:val="auto"/>
              </w:rPr>
            </w:pPr>
            <w:r>
              <w:rPr>
                <w:rFonts w:ascii="Arial" w:cs="Arial" w:eastAsia="Arial" w:hAnsi="Arial"/>
                <w:sz w:val="18"/>
                <w:szCs w:val="18"/>
                <w:color w:val="auto"/>
              </w:rPr>
              <w:t>(1) Consolidated financial statements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54"/>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0" w:type="dxa"/>
            <w:vAlign w:val="bottom"/>
            <w:gridSpan w:val="10"/>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For the following consolidated financial information included herein, see Index on Page </w:t>
            </w:r>
            <w:hyperlink w:anchor="page73">
              <w:r>
                <w:rPr>
                  <w:rFonts w:ascii="Arial" w:cs="Arial" w:eastAsia="Arial" w:hAnsi="Arial"/>
                  <w:sz w:val="18"/>
                  <w:szCs w:val="18"/>
                  <w:color w:val="0000EE"/>
                </w:rPr>
                <w:t>73</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15"/>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42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Report of Independent Registered Public Accounting Firm</w:t>
              </w:r>
            </w:hyperlink>
          </w:p>
        </w:tc>
        <w:tc>
          <w:tcPr>
            <w:tcW w:w="6160" w:type="dxa"/>
            <w:vAlign w:val="bottom"/>
            <w:gridSpan w:val="8"/>
          </w:tcPr>
          <w:p>
            <w:pPr>
              <w:spacing w:after="0"/>
              <w:rPr>
                <w:sz w:val="19"/>
                <w:szCs w:val="19"/>
                <w:color w:val="auto"/>
              </w:rPr>
            </w:pPr>
          </w:p>
        </w:tc>
        <w:tc>
          <w:tcPr>
            <w:tcW w:w="700" w:type="dxa"/>
            <w:vAlign w:val="bottom"/>
            <w:gridSpan w:val="2"/>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74</w:t>
              </w:r>
            </w:hyperlink>
          </w:p>
        </w:tc>
      </w:tr>
      <w:tr>
        <w:trPr>
          <w:trHeight w:val="250"/>
        </w:trPr>
        <w:tc>
          <w:tcPr>
            <w:tcW w:w="60" w:type="dxa"/>
            <w:vAlign w:val="bottom"/>
          </w:tcPr>
          <w:p>
            <w:pPr>
              <w:spacing w:after="0"/>
              <w:rPr>
                <w:sz w:val="21"/>
                <w:szCs w:val="21"/>
                <w:color w:val="auto"/>
              </w:rPr>
            </w:pPr>
          </w:p>
        </w:tc>
        <w:tc>
          <w:tcPr>
            <w:tcW w:w="10420" w:type="dxa"/>
            <w:vAlign w:val="bottom"/>
            <w:gridSpan w:val="1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Balance Sheets as of December 30, 2017 and December 31, 2016</w:t>
              </w:r>
            </w:hyperlink>
          </w:p>
        </w:tc>
        <w:tc>
          <w:tcPr>
            <w:tcW w:w="880" w:type="dxa"/>
            <w:vAlign w:val="bottom"/>
            <w:gridSpan w:val="3"/>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0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Operations and Comprehensive income for the fiscal years ended December 30, 2017, December 31, 2016, and</w:t>
              </w:r>
            </w:hyperlink>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10420" w:type="dxa"/>
            <w:vAlign w:val="bottom"/>
            <w:gridSpan w:val="1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January 2, 2016</w:t>
              </w:r>
            </w:hyperlink>
          </w:p>
        </w:tc>
        <w:tc>
          <w:tcPr>
            <w:tcW w:w="880" w:type="dxa"/>
            <w:vAlign w:val="bottom"/>
            <w:gridSpan w:val="3"/>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20" w:type="dxa"/>
            <w:vAlign w:val="bottom"/>
            <w:gridSpan w:val="12"/>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Consolidated Statements of Stockholders’ Equity for the fiscal years ended December 30, 2017, December 31, 2016, and January 2, 2016</w:t>
              </w:r>
            </w:hyperlink>
          </w:p>
        </w:tc>
        <w:tc>
          <w:tcPr>
            <w:tcW w:w="88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50"/>
        </w:trPr>
        <w:tc>
          <w:tcPr>
            <w:tcW w:w="60" w:type="dxa"/>
            <w:vAlign w:val="bottom"/>
          </w:tcPr>
          <w:p>
            <w:pPr>
              <w:spacing w:after="0"/>
              <w:rPr>
                <w:sz w:val="21"/>
                <w:szCs w:val="21"/>
                <w:color w:val="auto"/>
              </w:rPr>
            </w:pPr>
          </w:p>
        </w:tc>
        <w:tc>
          <w:tcPr>
            <w:tcW w:w="9900" w:type="dxa"/>
            <w:vAlign w:val="bottom"/>
            <w:tcBorders>
              <w:top w:val="single" w:sz="8" w:color="0000EE"/>
            </w:tcBorders>
            <w:gridSpan w:val="10"/>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Consolidated Statements of Cash Flows for the fiscal years ended December 30, 2017, December 31, 2016, and January 2, 2016</w:t>
              </w:r>
            </w:hyperlink>
          </w:p>
        </w:tc>
        <w:tc>
          <w:tcPr>
            <w:tcW w:w="520" w:type="dxa"/>
            <w:vAlign w:val="bottom"/>
            <w:gridSpan w:val="2"/>
          </w:tcPr>
          <w:p>
            <w:pPr>
              <w:spacing w:after="0"/>
              <w:rPr>
                <w:sz w:val="21"/>
                <w:szCs w:val="21"/>
                <w:color w:val="auto"/>
              </w:rPr>
            </w:pPr>
          </w:p>
        </w:tc>
        <w:tc>
          <w:tcPr>
            <w:tcW w:w="700" w:type="dxa"/>
            <w:vAlign w:val="bottom"/>
            <w:gridSpan w:val="2"/>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250"/>
        </w:trPr>
        <w:tc>
          <w:tcPr>
            <w:tcW w:w="60" w:type="dxa"/>
            <w:vAlign w:val="bottom"/>
          </w:tcPr>
          <w:p>
            <w:pPr>
              <w:spacing w:after="0"/>
              <w:rPr>
                <w:sz w:val="21"/>
                <w:szCs w:val="21"/>
                <w:color w:val="auto"/>
              </w:rPr>
            </w:pPr>
          </w:p>
        </w:tc>
        <w:tc>
          <w:tcPr>
            <w:tcW w:w="32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Notes to Consolidated Financial Statements</w:t>
              </w:r>
            </w:hyperlink>
          </w:p>
        </w:tc>
        <w:tc>
          <w:tcPr>
            <w:tcW w:w="6020" w:type="dxa"/>
            <w:vAlign w:val="bottom"/>
            <w:tcBorders>
              <w:top w:val="single" w:sz="8" w:color="0000EE"/>
            </w:tcBorders>
            <w:gridSpan w:val="6"/>
          </w:tcPr>
          <w:p>
            <w:pPr>
              <w:spacing w:after="0"/>
              <w:rPr>
                <w:sz w:val="21"/>
                <w:szCs w:val="21"/>
                <w:color w:val="auto"/>
              </w:rPr>
            </w:pPr>
          </w:p>
        </w:tc>
        <w:tc>
          <w:tcPr>
            <w:tcW w:w="1200" w:type="dxa"/>
            <w:vAlign w:val="bottom"/>
            <w:gridSpan w:val="3"/>
          </w:tcPr>
          <w:p>
            <w:pPr>
              <w:spacing w:after="0"/>
              <w:rPr>
                <w:sz w:val="21"/>
                <w:szCs w:val="21"/>
                <w:color w:val="auto"/>
              </w:rPr>
            </w:pPr>
          </w:p>
        </w:tc>
        <w:tc>
          <w:tcPr>
            <w:tcW w:w="70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79</w:t>
              </w:r>
            </w:hyperlink>
          </w:p>
        </w:tc>
      </w:tr>
      <w:tr>
        <w:trPr>
          <w:trHeight w:val="250"/>
        </w:trPr>
        <w:tc>
          <w:tcPr>
            <w:tcW w:w="60" w:type="dxa"/>
            <w:vAlign w:val="bottom"/>
          </w:tcPr>
          <w:p>
            <w:pPr>
              <w:spacing w:after="0"/>
              <w:rPr>
                <w:sz w:val="21"/>
                <w:szCs w:val="21"/>
                <w:color w:val="auto"/>
              </w:rPr>
            </w:pPr>
          </w:p>
        </w:tc>
        <w:tc>
          <w:tcPr>
            <w:tcW w:w="4400" w:type="dxa"/>
            <w:vAlign w:val="bottom"/>
            <w:gridSpan w:val="5"/>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Schedule I – Condensed Financial Information of Registrant</w:t>
              </w:r>
            </w:hyperlink>
          </w:p>
        </w:tc>
        <w:tc>
          <w:tcPr>
            <w:tcW w:w="6020" w:type="dxa"/>
            <w:vAlign w:val="bottom"/>
            <w:gridSpan w:val="7"/>
          </w:tcPr>
          <w:p>
            <w:pPr>
              <w:spacing w:after="0"/>
              <w:rPr>
                <w:sz w:val="21"/>
                <w:szCs w:val="21"/>
                <w:color w:val="auto"/>
              </w:rPr>
            </w:pPr>
          </w:p>
        </w:tc>
        <w:tc>
          <w:tcPr>
            <w:tcW w:w="880" w:type="dxa"/>
            <w:vAlign w:val="bottom"/>
            <w:gridSpan w:val="3"/>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39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 Financial statement Schedule I as filed in Part II. Item 8. of this Form 10-K:</w:t>
      </w:r>
    </w:p>
    <w:p>
      <w:pPr>
        <w:spacing w:after="0" w:line="3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Schedule I - Condensed financial information of the Registrant</w:t>
      </w:r>
    </w:p>
    <w:p>
      <w:pPr>
        <w:spacing w:after="0" w:line="38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60"/>
          </w:cols>
          <w:pgMar w:left="240" w:top="108" w:right="2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62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439"/>
        </w:trPr>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1620" w:type="dxa"/>
            <w:vAlign w:val="bottom"/>
            <w:gridSpan w:val="7"/>
          </w:tcPr>
          <w:p>
            <w:pPr>
              <w:ind w:left="40"/>
              <w:spacing w:after="0"/>
              <w:rPr>
                <w:sz w:val="20"/>
                <w:szCs w:val="20"/>
                <w:color w:val="auto"/>
              </w:rPr>
            </w:pPr>
            <w:r>
              <w:rPr>
                <w:rFonts w:ascii="Arial" w:cs="Arial" w:eastAsia="Arial" w:hAnsi="Arial"/>
                <w:sz w:val="18"/>
                <w:szCs w:val="18"/>
                <w:b w:val="1"/>
                <w:bCs w:val="1"/>
                <w:color w:val="auto"/>
              </w:rPr>
              <w:t>Exhibit No.</w:t>
            </w: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196"/>
        </w:trPr>
        <w:tc>
          <w:tcPr>
            <w:tcW w:w="340" w:type="dxa"/>
            <w:vAlign w:val="bottom"/>
            <w:gridSpan w:val="3"/>
          </w:tcPr>
          <w:p>
            <w:pPr>
              <w:ind w:left="40"/>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95"/>
              </w:rPr>
              <w:t>Second Amended and Restated Certificate of Incorporation of National Vision Holdings, Inc. -incorporated herein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230"/>
        </w:trPr>
        <w:tc>
          <w:tcPr>
            <w:tcW w:w="340" w:type="dxa"/>
            <w:vAlign w:val="bottom"/>
            <w:gridSpan w:val="3"/>
          </w:tcPr>
          <w:p>
            <w:pPr>
              <w:ind w:left="40"/>
              <w:spacing w:after="0"/>
              <w:rPr>
                <w:rFonts w:ascii="Arial" w:cs="Arial" w:eastAsia="Arial" w:hAnsi="Arial"/>
                <w:sz w:val="18"/>
                <w:szCs w:val="18"/>
                <w:color w:val="0000FF"/>
              </w:rPr>
            </w:pPr>
            <w:hyperlink r:id="rId2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6"/>
              </w:rPr>
              <w:t>Second Amended and Restated Bylaws of National Vision Holdings, Inc. -incorporated herein by reference to Exhibit 3.2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October 31, 2017</w:t>
            </w:r>
          </w:p>
        </w:tc>
      </w:tr>
      <w:tr>
        <w:trPr>
          <w:trHeight w:val="230"/>
        </w:trPr>
        <w:tc>
          <w:tcPr>
            <w:tcW w:w="340" w:type="dxa"/>
            <w:vAlign w:val="bottom"/>
            <w:gridSpan w:val="3"/>
          </w:tcPr>
          <w:p>
            <w:pPr>
              <w:ind w:left="40"/>
              <w:spacing w:after="0"/>
              <w:rPr>
                <w:rFonts w:ascii="Arial" w:cs="Arial" w:eastAsia="Arial" w:hAnsi="Arial"/>
                <w:sz w:val="18"/>
                <w:szCs w:val="18"/>
                <w:color w:val="0000FF"/>
              </w:rPr>
            </w:pPr>
            <w:hyperlink r:id="rId25">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1"/>
              </w:rPr>
              <w:t>Amended and Restated Stockholders’ Agreement, dated as of October 30, 2017, by and among National Vision Holdings, Inc. and the</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5"/>
              </w:rPr>
              <w:t>stockholders party thereto -incorporated herein by reference to Exhibit 4.1 to the Company’s Current Report on Form 8-K filed on</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October 31, 2017</w:t>
            </w:r>
          </w:p>
        </w:tc>
      </w:tr>
      <w:tr>
        <w:trPr>
          <w:trHeight w:val="230"/>
        </w:trPr>
        <w:tc>
          <w:tcPr>
            <w:tcW w:w="340" w:type="dxa"/>
            <w:vAlign w:val="bottom"/>
            <w:gridSpan w:val="3"/>
          </w:tcPr>
          <w:p>
            <w:pPr>
              <w:ind w:left="40"/>
              <w:spacing w:after="0"/>
              <w:rPr>
                <w:rFonts w:ascii="Arial" w:cs="Arial" w:eastAsia="Arial" w:hAnsi="Arial"/>
                <w:sz w:val="18"/>
                <w:szCs w:val="18"/>
                <w:color w:val="0000FF"/>
              </w:rPr>
            </w:pPr>
            <w:hyperlink r:id="rId26">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8"/>
              </w:rPr>
              <w:t>Registration Rights Agreement, dated as of March 13, 2014, by and among National Vision Holdings, Inc. (formerly known as</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2"/>
              </w:rPr>
              <w:t>Nautilus Parent, Inc.) and the stockholders party thereto - incorporated herein by reference to Exhibit 4.2 to the Company’s Form S-1</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Registration Statement filed on September 29,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2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4"/>
              </w:rPr>
              <w:t>Amended and Restated Stockholders’ Agreement by and among National Vision Holdings, Inc. and the stockholders party thereto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incorporated herein by reference to Exhibit 4.1 to the Company’s Current Report on Form 8-K filed on October 31,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2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5"/>
              </w:rPr>
              <w:t>Monitoring Agreement, dated as of March 13, 2014, by and among National Vision, Inc., Kohlberg Kravis Roberts &amp; Co. L.P. and</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9"/>
              </w:rPr>
              <w:t>Berkshire Partners LLC - incorporated herein by reference to Exhibit 10.2 to the Company’s Amendment No. 2 to Form S-1</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Registration Statement filed on October 16,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28">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6"/>
              </w:rPr>
              <w:t>First Lien Credit Agreement, dated as of March 13, 2014, among Nautilus Acquisition Holdings, Inc., Nautilus Merger Sub, Inc.,</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6"/>
              </w:rPr>
              <w:t>Vision Holdings Corp. and National Vision, Inc., Goldman Sachs Bank USA, as administrative agent, collateral agent, swingline</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5"/>
              </w:rPr>
              <w:t>lender and a lender, Morgan Stanley Bank N.A., as the letter of credit issuer, Goldman Sachs Bank USA, Morgan Stanley Senior</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6"/>
              </w:rPr>
              <w:t>Funding, Inc., Citigroup Global Markets Inc., Mizuho Bank, Ltd., KKR Capital Markets LLC, Barclays Bank PLC, and Macquarie</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3"/>
              </w:rPr>
              <w:t>Capital (USA) Inc., as joint lead arrangers and bookrunners, and the several lenders from time to time parties thereto - incorporated</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herein by reference to Exhibit 10.3 to the Company’s Form S-1 Registration Statement filed on September 29,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29">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7"/>
              </w:rPr>
              <w:t>Joinder and Amendment Agreement, dated as of May 29, 2015, among KKR Corporate Lending LLC, National Vision, Inc., as</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4"/>
              </w:rPr>
              <w:t>borrower, the guarantors party thereto and Goldman Sachs Bank USA, as administrative agent and collateral agent - incorporated</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herein by reference to Exhibit 10.4 to the Company’s Form S-1 Registration Statement filed on September 29,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30">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7"/>
              </w:rPr>
              <w:t>Joinder Agreement, dated as of February 3, 2017, among KKR Corporate Lending LLC, National Vision, Inc., as borrower, the</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0"/>
              </w:rPr>
              <w:t>guarantors party thereto and Goldman Sachs Bank USA, as administrative agent and collateral agent - incorporated herein by reference</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to Exhibit 10.5 to the Company’s Form S-1 Registration Statement filed on September 29,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4"/>
              </w:rPr>
              <w:t>Joinder and Amendment Agreement, dated as of October 31, 2017, among National Vision, Inc., as borrower, the guarantors party</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0"/>
              </w:rPr>
              <w:t>thereto, each revolving credit lender, Goldman Sachs Bank USA, as administrative agent, collateral agent, swingline lender and a letter</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2"/>
              </w:rPr>
              <w:t>of credit issuer, Bank of America, N.A., as a letter of credit issuer, and Citibank, N.A., as a letter of credit issuer - incorporated herein</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by reference to Exhibit 10.1 to the Company’s Current Report on Form 8-K filed on October 31,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3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2"/>
              </w:rPr>
              <w:t>Joinder and Amendment Agreement, dated as of November 20, 2017, among National Vision, Inc., as borrower, the guarantors party</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4"/>
              </w:rPr>
              <w:t>thereto, each lender party thereto, Goldman Sachs Bank USA, as administrative agent and collateral agent-incorporated herein by</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reference to Exhibit 10.5 to the Company’s Current Report on Form 8-K filed on November 20,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2"/>
              </w:rPr>
              <w:t>First Lien Guarantee, dated as of March 13, 2014, by the guarantors party thereto - - incorporated herein by reference to Exhibit 10.6</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rPr>
              <w:t>to the Company’s Form S-1 Registration Statement filed on September 29, 2017</w:t>
            </w:r>
          </w:p>
        </w:tc>
      </w:tr>
      <w:tr>
        <w:trPr>
          <w:trHeight w:val="230"/>
        </w:trPr>
        <w:tc>
          <w:tcPr>
            <w:tcW w:w="440" w:type="dxa"/>
            <w:vAlign w:val="bottom"/>
            <w:gridSpan w:val="4"/>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5"/>
              </w:rPr>
              <w:t>First Lien Security Agreement, dated as of March 13, 2014, among Nautilus Acquisition Holdings, Inc., Nautilus Merger Sub, Inc.,</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6"/>
              </w:rPr>
              <w:t>Vision Holdings Corp., National Vision, Inc., subsidiary grantors party thereto, Goldman Sachs Bank USA, as collateral agent - -</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5"/>
              </w:rPr>
              <w:t>incorporated herein by reference to Exhibit 10.7 to the Company’s Form S-1 Registration Statement filed on September 29, 2017</w:t>
            </w:r>
          </w:p>
        </w:tc>
      </w:tr>
      <w:tr>
        <w:trPr>
          <w:trHeight w:val="230"/>
        </w:trPr>
        <w:tc>
          <w:tcPr>
            <w:tcW w:w="1280" w:type="dxa"/>
            <w:vAlign w:val="bottom"/>
            <w:gridSpan w:val="5"/>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6"/>
              </w:rPr>
              <w:t>First Lien Pledge Agreement, dated as of March 13, 2014, among Nautilus Acquisition Holdings, Inc., Nautilus Merger Sub, Inc.,</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7"/>
              </w:rPr>
              <w:t>Vision Holdings Corp., National Vision, Inc. subsidiary pledgors party thereto, Goldman Sachs Bank USA, as collateral agent -</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gridSpan w:val="3"/>
          </w:tcPr>
          <w:p>
            <w:pPr>
              <w:ind w:left="20"/>
              <w:spacing w:after="0"/>
              <w:rPr>
                <w:sz w:val="20"/>
                <w:szCs w:val="20"/>
                <w:color w:val="auto"/>
              </w:rPr>
            </w:pPr>
            <w:r>
              <w:rPr>
                <w:rFonts w:ascii="Arial" w:cs="Arial" w:eastAsia="Arial" w:hAnsi="Arial"/>
                <w:sz w:val="18"/>
                <w:szCs w:val="18"/>
                <w:color w:val="auto"/>
                <w:w w:val="95"/>
              </w:rPr>
              <w:t>incorporated herein by reference to Exhibit 10.8 to the Company’s Form S-1 Registration Statement filed on September 29, 2017</w:t>
            </w:r>
          </w:p>
        </w:tc>
      </w:tr>
      <w:tr>
        <w:trPr>
          <w:trHeight w:val="486"/>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
          </w:tcPr>
          <w:p>
            <w:pPr>
              <w:ind w:left="3960"/>
              <w:spacing w:after="0"/>
              <w:rPr>
                <w:sz w:val="20"/>
                <w:szCs w:val="20"/>
                <w:color w:val="auto"/>
              </w:rPr>
            </w:pPr>
            <w:r>
              <w:rPr>
                <w:rFonts w:ascii="Arial" w:cs="Arial" w:eastAsia="Arial" w:hAnsi="Arial"/>
                <w:sz w:val="18"/>
                <w:szCs w:val="18"/>
                <w:color w:val="auto"/>
              </w:rPr>
              <w:t>138</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920" w:type="dxa"/>
            <w:vAlign w:val="bottom"/>
          </w:tcPr>
          <w:p>
            <w:pPr>
              <w:spacing w:after="0"/>
              <w:rPr>
                <w:sz w:val="17"/>
                <w:szCs w:val="17"/>
                <w:color w:val="auto"/>
              </w:rPr>
            </w:pPr>
          </w:p>
        </w:tc>
      </w:tr>
      <w:tr>
        <w:trPr>
          <w:trHeight w:val="601"/>
        </w:trPr>
        <w:tc>
          <w:tcPr>
            <w:tcW w:w="440" w:type="dxa"/>
            <w:vAlign w:val="bottom"/>
            <w:tcBorders>
              <w:top w:val="single" w:sz="8" w:color="0000EE"/>
            </w:tcBorders>
            <w:gridSpan w:val="2"/>
          </w:tcPr>
          <w:p>
            <w:pPr>
              <w:ind w:left="40"/>
              <w:spacing w:after="0"/>
              <w:rPr>
                <w:rFonts w:ascii="Arial" w:cs="Arial" w:eastAsia="Arial" w:hAnsi="Arial"/>
                <w:sz w:val="18"/>
                <w:szCs w:val="18"/>
                <w:color w:val="0000FF"/>
                <w:w w:val="84"/>
              </w:rPr>
            </w:pPr>
            <w:hyperlink r:id="rId3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3"/>
              </w:rPr>
              <w:t>Second Lien Credit Agreement, dated as of March 13, 2014, among Nautilus Acquisition Holdings, Inc., Nautilus Merger Sub, Inc.,</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3"/>
              </w:rPr>
              <w:t>Vision Holdings Corp. and National Vision, Inc., Morgan Stanley Senior Funding, Inc., as administrative agent and collateral agent,</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7"/>
              </w:rPr>
              <w:t>and Goldman Sachs Bank USA, Morgan Stanley Senior Funding, Inc., Citigroup Global Markets Inc., Mizuho Bank, Ltd., KKR</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1"/>
              </w:rPr>
              <w:t>Capital Markets LLC, Barclays Bank PLC, and Macquarie Capital (USA) Inc., as joint lead arrangers and bookrunners, and the several</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3"/>
              </w:rPr>
              <w:t>lenders from time to time parties thereto - incorporated herein by reference to Exhibit 10.9 to the Company’s Form S-1 Registration</w:t>
            </w: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Statement filed on September 29, 2017</w:t>
            </w:r>
          </w:p>
        </w:tc>
      </w:tr>
      <w:tr>
        <w:trPr>
          <w:trHeight w:val="230"/>
        </w:trPr>
        <w:tc>
          <w:tcPr>
            <w:tcW w:w="480" w:type="dxa"/>
            <w:vAlign w:val="bottom"/>
            <w:gridSpan w:val="3"/>
          </w:tcPr>
          <w:p>
            <w:pPr>
              <w:ind w:left="40"/>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12</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4"/>
              </w:rPr>
              <w:t>Second Lien Guarantee, dated as of March 13, 2014, by the guarantors party thereto - incorporated herein by reference to Exhibit</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10.10 to the Company’s Form S-1 Registration Statement filed on September 29, 2017</w:t>
            </w:r>
          </w:p>
        </w:tc>
      </w:tr>
      <w:tr>
        <w:trPr>
          <w:trHeight w:val="230"/>
        </w:trPr>
        <w:tc>
          <w:tcPr>
            <w:tcW w:w="480" w:type="dxa"/>
            <w:vAlign w:val="bottom"/>
            <w:gridSpan w:val="3"/>
          </w:tcPr>
          <w:p>
            <w:pPr>
              <w:ind w:left="40"/>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Second Lien Security Agreement, dated as of March 13, 2014, among Nautilus Acquisition Holdings, Inc., Nautilus Merger Sub, Inc.,</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5"/>
              </w:rPr>
              <w:t>Vision Holdings Corp., National Vision, Inc., subsidiary grantors party thereto, Morgan Stanley Senior Funding, Inc., as collateral</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agent - incorporated herein by reference to Exhibit 10.11 to the Company’s Form S-1 Registration Statement filed on September 29,</w:t>
            </w: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2017</w:t>
            </w:r>
          </w:p>
        </w:tc>
      </w:tr>
      <w:tr>
        <w:trPr>
          <w:trHeight w:val="230"/>
        </w:trPr>
        <w:tc>
          <w:tcPr>
            <w:tcW w:w="480" w:type="dxa"/>
            <w:vAlign w:val="bottom"/>
            <w:gridSpan w:val="3"/>
          </w:tcPr>
          <w:p>
            <w:pPr>
              <w:ind w:left="40"/>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3"/>
              </w:rPr>
              <w:t>Second Lien Pledge Agreement, dated as of March 13, 2014, among Nautilus Acquisition Holdings, Inc., Nautilus Merger Sub, Inc.,</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5"/>
              </w:rPr>
              <w:t>Vision Holdings Corp., National Vision, Inc., subsidiary pledgors party thereto, Morgan Stanley Senior Funding, Inc., as collateral</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agent - incorporated herein by reference to Exhibit 10.12 to the Company’s Form S-1 Registration Statement filed on September 29,</w:t>
            </w: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2017</w:t>
            </w:r>
          </w:p>
        </w:tc>
      </w:tr>
      <w:tr>
        <w:trPr>
          <w:trHeight w:val="230"/>
        </w:trPr>
        <w:tc>
          <w:tcPr>
            <w:tcW w:w="480" w:type="dxa"/>
            <w:vAlign w:val="bottom"/>
            <w:gridSpan w:val="3"/>
          </w:tcPr>
          <w:p>
            <w:pPr>
              <w:ind w:left="40"/>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5"/>
              </w:rPr>
              <w:t>First Lien/Second Lien Intercreditor Agreement, dated as of March 13, 2014, among Nautilus Acquisition Holdings, Inc., Nautilus</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Merger Sub, Inc., other grantors party thereto, Goldman Sachs Bank USA, Morgan Stanley Senior Funding, Inc. and each additional</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8"/>
              </w:rPr>
              <w:t>representative from time to time party thereto - incorporated herein by reference to Exhibit 10.13 to the Company’s Form S-1</w:t>
            </w: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Registration Statement filed on September 29, 2017</w:t>
            </w:r>
          </w:p>
        </w:tc>
      </w:tr>
      <w:tr>
        <w:trPr>
          <w:trHeight w:val="216"/>
        </w:trPr>
        <w:tc>
          <w:tcPr>
            <w:tcW w:w="1460" w:type="dxa"/>
            <w:vAlign w:val="bottom"/>
            <w:gridSpan w:val="6"/>
          </w:tcPr>
          <w:p>
            <w:pPr>
              <w:ind w:left="40"/>
              <w:spacing w:after="0"/>
              <w:rPr>
                <w:rFonts w:ascii="Arial" w:cs="Arial" w:eastAsia="Arial" w:hAnsi="Arial"/>
                <w:sz w:val="16"/>
                <w:szCs w:val="16"/>
                <w:color w:val="0000FF"/>
              </w:rPr>
            </w:pPr>
            <w:hyperlink r:id="rId41">
              <w:r>
                <w:rPr>
                  <w:rFonts w:ascii="Arial" w:cs="Arial" w:eastAsia="Arial" w:hAnsi="Arial"/>
                  <w:sz w:val="16"/>
                  <w:szCs w:val="16"/>
                  <w:color w:val="0000FF"/>
                </w:rPr>
                <w:t>10.</w:t>
              </w:r>
              <w:r>
                <w:rPr>
                  <w:rFonts w:ascii="Arial" w:cs="Arial" w:eastAsia="Arial" w:hAnsi="Arial"/>
                  <w:sz w:val="16"/>
                  <w:szCs w:val="16"/>
                  <w:u w:val="single" w:color="auto"/>
                  <w:color w:val="0000FF"/>
                </w:rPr>
                <w:t>16†</w:t>
              </w:r>
            </w:hyperlink>
          </w:p>
        </w:tc>
        <w:tc>
          <w:tcPr>
            <w:tcW w:w="9920" w:type="dxa"/>
            <w:vAlign w:val="bottom"/>
          </w:tcPr>
          <w:p>
            <w:pPr>
              <w:ind w:left="180"/>
              <w:spacing w:after="0" w:line="196" w:lineRule="exact"/>
              <w:rPr>
                <w:sz w:val="20"/>
                <w:szCs w:val="20"/>
                <w:color w:val="auto"/>
              </w:rPr>
            </w:pPr>
            <w:r>
              <w:rPr>
                <w:rFonts w:ascii="Arial" w:cs="Arial" w:eastAsia="Arial" w:hAnsi="Arial"/>
                <w:sz w:val="18"/>
                <w:szCs w:val="18"/>
                <w:color w:val="auto"/>
                <w:w w:val="95"/>
              </w:rPr>
              <w:t>National Vision Holdings, Inc. 2017 Omnibus Incentive Plan - incorporated herein by reference to Exhibit 10.2 to the Company’s</w:t>
            </w:r>
          </w:p>
        </w:tc>
      </w:tr>
      <w:tr>
        <w:trPr>
          <w:trHeight w:val="250"/>
        </w:trPr>
        <w:tc>
          <w:tcPr>
            <w:tcW w:w="4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Current Report on Form 8-K filed on October 31,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3"/>
              </w:rPr>
              <w:t>Form of Restricted Stock Agreement for Non-Employee Directors under the 2017 Omnibus Incentive Plan - incorporated herein by</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7"/>
              </w:rPr>
              <w:t>reference to Exhibit 10.15 to the Company’s Amendment No. 2 to Form S-1 Registration Statement filed on October 16,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6"/>
              </w:rPr>
              <w:t>2014 Stock Incentive Plan for Key Employees of National Vision Holdings, Inc. (formerly known as Nautilus Parent, Inc.) and its</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0"/>
              </w:rPr>
              <w:t>Subsidiaries - incorporated herein by reference to Exhibit 10.16 to the Company’s Form S-1 Registration Statement filed on September</w:t>
            </w: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2"/>
              </w:rPr>
              <w:t>Amendment No. 1 to the 2014 Stock Incentive Plan for Key Employees of National Vision Holdings, Inc. (formerly known as Nautilus</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8"/>
              </w:rPr>
              <w:t>Parent, Inc.) and its Subsidiaries - incorporated herein by reference to Exhibit 10.17 to the Company’s Form S-1 Registration</w:t>
            </w: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Statement filed on September 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2"/>
              </w:rPr>
              <w:t>Amendment No. 2 to the 2014 Stock Incentive Plan for Key Employees of National Vision Holdings, Inc. (formerly known as Nautilus</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8"/>
              </w:rPr>
              <w:t>Parent, Inc.) and its Subsidiaries - incorporated herein by reference to Exhibit 10.18 to the Company’s Form S-1 Registration</w:t>
            </w: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Statement filed on September 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2"/>
              </w:rPr>
              <w:t>Form of Stock Option Agreement under the 2014 Stock Incentive Plan for Key Employees of National Vision Holdings, Inc. (formerly</w:t>
            </w:r>
          </w:p>
        </w:tc>
      </w:tr>
      <w:tr>
        <w:trPr>
          <w:trHeight w:val="222"/>
        </w:trPr>
        <w:tc>
          <w:tcPr>
            <w:tcW w:w="4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3"/>
              </w:rPr>
              <w:t>known as Nautilus Parent, Inc.) and its Subsidiaries - incorporated herein by reference to Exhibit 10.19 to the Company’s Form S-1</w:t>
            </w:r>
          </w:p>
        </w:tc>
      </w:tr>
      <w:tr>
        <w:trPr>
          <w:trHeight w:val="230"/>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Registration Statement filed on September 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6"/>
              </w:rPr>
              <w:t>Form of Management Stockholder’s Agreement - incorporated herein by reference to Exhibit 10.20 to the Company’s Form S-1</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Registration Statement filed on September 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5"/>
              </w:rPr>
              <w:t>Form of Option Rollover Agreement - incorporated herein by reference to Exhibit 10.21 to the Company’s Form S-1 Registration</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Statement filed on September 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4"/>
              </w:rPr>
              <w:t>Form of Sale Participation Agreement - incorporated herein by reference to Exhibit 10.22 to the Company’s Form S-1 Registration</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Statement filed on September 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8"/>
              </w:rPr>
              <w:t>Form of Contribution Agreement - incorporated herein by reference to Exhibit 10.23 to the Company’s Form S-1 Registration</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Statement filed on September 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3"/>
              </w:rPr>
              <w:t>National Vision, Inc. Severance Plan, as amended and restated as of March 15, 2017 - incorporated herein by reference to Exhibit</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10.24 to the Company’s Form S-1 Registration Statement filed on September 29, 2017</w:t>
            </w:r>
          </w:p>
        </w:tc>
      </w:tr>
      <w:tr>
        <w:trPr>
          <w:trHeight w:val="230"/>
        </w:trPr>
        <w:tc>
          <w:tcPr>
            <w:tcW w:w="1460" w:type="dxa"/>
            <w:vAlign w:val="bottom"/>
            <w:gridSpan w:val="6"/>
          </w:tcPr>
          <w:p>
            <w:pPr>
              <w:ind w:left="40"/>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3"/>
              </w:rPr>
              <w:t>National Vision, Inc. Severance Plan Summary Plan Description (Executives), effective as of July 21, 2011 - incorporated herein by</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reference to Exhibit 10.25 to the Company’s Form S-1 Registration Statement filed on September 29, 2017</w:t>
            </w:r>
          </w:p>
        </w:tc>
      </w:tr>
      <w:tr>
        <w:trPr>
          <w:trHeight w:val="486"/>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380"/>
          </w:cols>
          <w:pgMar w:left="240" w:top="108" w:right="27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920" w:type="dxa"/>
            <w:vAlign w:val="bottom"/>
          </w:tcPr>
          <w:p>
            <w:pPr>
              <w:spacing w:after="0"/>
              <w:rPr>
                <w:sz w:val="17"/>
                <w:szCs w:val="17"/>
                <w:color w:val="auto"/>
              </w:rPr>
            </w:pPr>
          </w:p>
        </w:tc>
      </w:tr>
      <w:tr>
        <w:trPr>
          <w:trHeight w:val="601"/>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gridSpan w:val="5"/>
          </w:tcPr>
          <w:p>
            <w:pPr>
              <w:spacing w:after="0"/>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180" w:type="dxa"/>
            <w:vAlign w:val="bottom"/>
          </w:tcPr>
          <w:p>
            <w:pPr>
              <w:spacing w:after="0"/>
              <w:rPr>
                <w:sz w:val="24"/>
                <w:szCs w:val="24"/>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1"/>
              </w:rPr>
              <w:t>National Vision, Inc. Severance Plan Executive Supplement, effective as of November 11, 2013 and amended as of March 15, 2017 -</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4"/>
              </w:rPr>
              <w:t>incorporated herein by reference to Exhibit 10.26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420" w:type="dxa"/>
            <w:vAlign w:val="bottom"/>
            <w:gridSpan w:val="6"/>
          </w:tcPr>
          <w:p>
            <w:pPr>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5"/>
              </w:rPr>
              <w:t>National Vision, Inc. Management Incentive Plan - incorporated herein by reference to Exhibit 10.27 to the Company’s Form S-1</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Registration Statement filed on September 29, 2017</w:t>
            </w:r>
          </w:p>
        </w:tc>
      </w:tr>
      <w:tr>
        <w:trPr>
          <w:trHeight w:val="230"/>
        </w:trPr>
        <w:tc>
          <w:tcPr>
            <w:tcW w:w="480" w:type="dxa"/>
            <w:vAlign w:val="bottom"/>
            <w:gridSpan w:val="4"/>
          </w:tcPr>
          <w:p>
            <w:pPr>
              <w:ind w:left="40"/>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30</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3"/>
              </w:rPr>
              <w:t>Indemnification Agreement, dated as of March 13, 2014, among National Vision Holdings, Inc. (formerly known as Nautilus Parent,</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8"/>
              </w:rPr>
              <w:t>Inc.), Nautilus Acquisition Holdings, Inc., Vision Holding Corp., National Vision, Inc., Kohlberg Kravis Roberts &amp; Co. L.P. and</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3"/>
              </w:rPr>
              <w:t>Berkshire Partners LLC - incorporated herein by reference to Exhibit 10.28 to the Company’s Form S-1 Registration Statement filed</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on September 29, 2017</w:t>
            </w:r>
          </w:p>
        </w:tc>
      </w:tr>
      <w:tr>
        <w:trPr>
          <w:trHeight w:val="216"/>
        </w:trPr>
        <w:tc>
          <w:tcPr>
            <w:tcW w:w="40" w:type="dxa"/>
            <w:vAlign w:val="bottom"/>
          </w:tcPr>
          <w:p>
            <w:pPr>
              <w:spacing w:after="0"/>
              <w:rPr>
                <w:sz w:val="18"/>
                <w:szCs w:val="18"/>
                <w:color w:val="auto"/>
              </w:rPr>
            </w:pPr>
          </w:p>
        </w:tc>
        <w:tc>
          <w:tcPr>
            <w:tcW w:w="1420" w:type="dxa"/>
            <w:vAlign w:val="bottom"/>
            <w:gridSpan w:val="6"/>
          </w:tcPr>
          <w:p>
            <w:pPr>
              <w:spacing w:after="0"/>
              <w:rPr>
                <w:rFonts w:ascii="Arial" w:cs="Arial" w:eastAsia="Arial" w:hAnsi="Arial"/>
                <w:sz w:val="16"/>
                <w:szCs w:val="16"/>
                <w:color w:val="0000FF"/>
              </w:rPr>
            </w:pPr>
            <w:hyperlink r:id="rId56">
              <w:r>
                <w:rPr>
                  <w:rFonts w:ascii="Arial" w:cs="Arial" w:eastAsia="Arial" w:hAnsi="Arial"/>
                  <w:sz w:val="16"/>
                  <w:szCs w:val="16"/>
                  <w:color w:val="0000FF"/>
                </w:rPr>
                <w:t>10.</w:t>
              </w:r>
              <w:r>
                <w:rPr>
                  <w:rFonts w:ascii="Arial" w:cs="Arial" w:eastAsia="Arial" w:hAnsi="Arial"/>
                  <w:sz w:val="16"/>
                  <w:szCs w:val="16"/>
                  <w:u w:val="single" w:color="auto"/>
                  <w:color w:val="0000FF"/>
                </w:rPr>
                <w:t>31‡</w:t>
              </w:r>
            </w:hyperlink>
          </w:p>
        </w:tc>
        <w:tc>
          <w:tcPr>
            <w:tcW w:w="9920" w:type="dxa"/>
            <w:vAlign w:val="bottom"/>
          </w:tcPr>
          <w:p>
            <w:pPr>
              <w:ind w:left="180"/>
              <w:spacing w:after="0" w:line="196" w:lineRule="exact"/>
              <w:rPr>
                <w:sz w:val="20"/>
                <w:szCs w:val="20"/>
                <w:color w:val="auto"/>
              </w:rPr>
            </w:pPr>
            <w:r>
              <w:rPr>
                <w:rFonts w:ascii="Arial" w:cs="Arial" w:eastAsia="Arial" w:hAnsi="Arial"/>
                <w:sz w:val="18"/>
                <w:szCs w:val="18"/>
                <w:color w:val="auto"/>
                <w:w w:val="96"/>
              </w:rPr>
              <w:t>Letter Agreement between National Vision, Inc. and Essilor of America, Inc., dated as of May 25, 2011 - incorporated herein by</w:t>
            </w:r>
          </w:p>
        </w:tc>
      </w:tr>
      <w:tr>
        <w:trPr>
          <w:trHeight w:val="250"/>
        </w:trPr>
        <w:tc>
          <w:tcPr>
            <w:tcW w:w="4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reference to Exhibit 10.29 to the Company’s Form S-1 Registration Statement filed on September 29, 2017</w:t>
            </w:r>
          </w:p>
        </w:tc>
      </w:tr>
      <w:tr>
        <w:trPr>
          <w:trHeight w:val="216"/>
        </w:trPr>
        <w:tc>
          <w:tcPr>
            <w:tcW w:w="40" w:type="dxa"/>
            <w:vAlign w:val="bottom"/>
          </w:tcPr>
          <w:p>
            <w:pPr>
              <w:spacing w:after="0"/>
              <w:rPr>
                <w:sz w:val="18"/>
                <w:szCs w:val="18"/>
                <w:color w:val="auto"/>
              </w:rPr>
            </w:pPr>
          </w:p>
        </w:tc>
        <w:tc>
          <w:tcPr>
            <w:tcW w:w="1420" w:type="dxa"/>
            <w:vAlign w:val="bottom"/>
            <w:gridSpan w:val="6"/>
          </w:tcPr>
          <w:p>
            <w:pPr>
              <w:spacing w:after="0"/>
              <w:rPr>
                <w:rFonts w:ascii="Arial" w:cs="Arial" w:eastAsia="Arial" w:hAnsi="Arial"/>
                <w:sz w:val="16"/>
                <w:szCs w:val="16"/>
                <w:color w:val="0000FF"/>
              </w:rPr>
            </w:pPr>
            <w:hyperlink r:id="rId57">
              <w:r>
                <w:rPr>
                  <w:rFonts w:ascii="Arial" w:cs="Arial" w:eastAsia="Arial" w:hAnsi="Arial"/>
                  <w:sz w:val="16"/>
                  <w:szCs w:val="16"/>
                  <w:color w:val="0000FF"/>
                </w:rPr>
                <w:t>10.</w:t>
              </w:r>
              <w:r>
                <w:rPr>
                  <w:rFonts w:ascii="Arial" w:cs="Arial" w:eastAsia="Arial" w:hAnsi="Arial"/>
                  <w:sz w:val="16"/>
                  <w:szCs w:val="16"/>
                  <w:u w:val="single" w:color="auto"/>
                  <w:color w:val="0000FF"/>
                </w:rPr>
                <w:t>32‡</w:t>
              </w:r>
            </w:hyperlink>
          </w:p>
        </w:tc>
        <w:tc>
          <w:tcPr>
            <w:tcW w:w="9920" w:type="dxa"/>
            <w:vAlign w:val="bottom"/>
          </w:tcPr>
          <w:p>
            <w:pPr>
              <w:ind w:left="180"/>
              <w:spacing w:after="0" w:line="196" w:lineRule="exact"/>
              <w:rPr>
                <w:sz w:val="20"/>
                <w:szCs w:val="20"/>
                <w:color w:val="auto"/>
              </w:rPr>
            </w:pPr>
            <w:r>
              <w:rPr>
                <w:rFonts w:ascii="Arial" w:cs="Arial" w:eastAsia="Arial" w:hAnsi="Arial"/>
                <w:sz w:val="18"/>
                <w:szCs w:val="18"/>
                <w:color w:val="auto"/>
                <w:w w:val="92"/>
              </w:rPr>
              <w:t>Letter of Amendment between National Vision, Inc. and Essilor of America, Inc., dated as of December 2, 2014 - incorporated herein</w:t>
            </w:r>
          </w:p>
        </w:tc>
      </w:tr>
      <w:tr>
        <w:trPr>
          <w:trHeight w:val="250"/>
        </w:trPr>
        <w:tc>
          <w:tcPr>
            <w:tcW w:w="4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by reference to Exhibit 10.30 to the Company’s Form S-1 Registration Statement filed on September 29, 2017</w:t>
            </w:r>
          </w:p>
        </w:tc>
      </w:tr>
      <w:tr>
        <w:trPr>
          <w:trHeight w:val="216"/>
        </w:trPr>
        <w:tc>
          <w:tcPr>
            <w:tcW w:w="40" w:type="dxa"/>
            <w:vAlign w:val="bottom"/>
          </w:tcPr>
          <w:p>
            <w:pPr>
              <w:spacing w:after="0"/>
              <w:rPr>
                <w:sz w:val="18"/>
                <w:szCs w:val="18"/>
                <w:color w:val="auto"/>
              </w:rPr>
            </w:pPr>
          </w:p>
        </w:tc>
        <w:tc>
          <w:tcPr>
            <w:tcW w:w="1420" w:type="dxa"/>
            <w:vAlign w:val="bottom"/>
            <w:gridSpan w:val="6"/>
          </w:tcPr>
          <w:p>
            <w:pPr>
              <w:spacing w:after="0"/>
              <w:rPr>
                <w:rFonts w:ascii="Arial" w:cs="Arial" w:eastAsia="Arial" w:hAnsi="Arial"/>
                <w:sz w:val="16"/>
                <w:szCs w:val="16"/>
                <w:color w:val="0000FF"/>
              </w:rPr>
            </w:pPr>
            <w:hyperlink r:id="rId58">
              <w:r>
                <w:rPr>
                  <w:rFonts w:ascii="Arial" w:cs="Arial" w:eastAsia="Arial" w:hAnsi="Arial"/>
                  <w:sz w:val="16"/>
                  <w:szCs w:val="16"/>
                  <w:color w:val="0000FF"/>
                </w:rPr>
                <w:t>10.</w:t>
              </w:r>
              <w:r>
                <w:rPr>
                  <w:rFonts w:ascii="Arial" w:cs="Arial" w:eastAsia="Arial" w:hAnsi="Arial"/>
                  <w:sz w:val="16"/>
                  <w:szCs w:val="16"/>
                  <w:u w:val="single" w:color="auto"/>
                  <w:color w:val="0000FF"/>
                </w:rPr>
                <w:t>33‡</w:t>
              </w:r>
            </w:hyperlink>
          </w:p>
        </w:tc>
        <w:tc>
          <w:tcPr>
            <w:tcW w:w="9920" w:type="dxa"/>
            <w:vAlign w:val="bottom"/>
          </w:tcPr>
          <w:p>
            <w:pPr>
              <w:ind w:left="180"/>
              <w:spacing w:after="0" w:line="196" w:lineRule="exact"/>
              <w:rPr>
                <w:sz w:val="20"/>
                <w:szCs w:val="20"/>
                <w:color w:val="auto"/>
              </w:rPr>
            </w:pPr>
            <w:r>
              <w:rPr>
                <w:rFonts w:ascii="Arial" w:cs="Arial" w:eastAsia="Arial" w:hAnsi="Arial"/>
                <w:sz w:val="18"/>
                <w:szCs w:val="18"/>
                <w:color w:val="auto"/>
                <w:w w:val="96"/>
              </w:rPr>
              <w:t>Management &amp; Services Agreement by and between National Vision, Inc. and Wal-Mart Stores, Inc., dated as of May 1, 2012 -</w:t>
            </w:r>
          </w:p>
        </w:tc>
      </w:tr>
      <w:tr>
        <w:trPr>
          <w:trHeight w:val="250"/>
        </w:trPr>
        <w:tc>
          <w:tcPr>
            <w:tcW w:w="4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6"/>
              </w:rPr>
              <w:t>incorporated herein by reference to Exhibit 10.31 to the Company’s Form S-1 Registration Statement filed on October 16, 2017</w:t>
            </w:r>
          </w:p>
        </w:tc>
      </w:tr>
      <w:tr>
        <w:trPr>
          <w:trHeight w:val="230"/>
        </w:trPr>
        <w:tc>
          <w:tcPr>
            <w:tcW w:w="480" w:type="dxa"/>
            <w:vAlign w:val="bottom"/>
            <w:gridSpan w:val="4"/>
          </w:tcPr>
          <w:p>
            <w:pPr>
              <w:ind w:left="40"/>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34</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1"/>
              </w:rPr>
              <w:t>Letter Agreement by and between National Vision, Inc. and Wal-Mart Stores, Inc. re: Management &amp; Services Agreement, dated as of</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5"/>
              </w:rPr>
              <w:t>January 11, 2017 - incorporated herein by reference to Exhibit 10.32 to the Company’s Form S-1 Registration Statement filed on</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September 29, 2017</w:t>
            </w:r>
          </w:p>
        </w:tc>
      </w:tr>
      <w:tr>
        <w:trPr>
          <w:trHeight w:val="216"/>
        </w:trPr>
        <w:tc>
          <w:tcPr>
            <w:tcW w:w="40" w:type="dxa"/>
            <w:vAlign w:val="bottom"/>
          </w:tcPr>
          <w:p>
            <w:pPr>
              <w:spacing w:after="0"/>
              <w:rPr>
                <w:sz w:val="18"/>
                <w:szCs w:val="18"/>
                <w:color w:val="auto"/>
              </w:rPr>
            </w:pPr>
          </w:p>
        </w:tc>
        <w:tc>
          <w:tcPr>
            <w:tcW w:w="1420" w:type="dxa"/>
            <w:vAlign w:val="bottom"/>
            <w:gridSpan w:val="6"/>
          </w:tcPr>
          <w:p>
            <w:pPr>
              <w:spacing w:after="0"/>
              <w:rPr>
                <w:rFonts w:ascii="Arial" w:cs="Arial" w:eastAsia="Arial" w:hAnsi="Arial"/>
                <w:sz w:val="16"/>
                <w:szCs w:val="16"/>
                <w:color w:val="0000FF"/>
              </w:rPr>
            </w:pPr>
            <w:hyperlink r:id="rId60">
              <w:r>
                <w:rPr>
                  <w:rFonts w:ascii="Arial" w:cs="Arial" w:eastAsia="Arial" w:hAnsi="Arial"/>
                  <w:sz w:val="16"/>
                  <w:szCs w:val="16"/>
                  <w:color w:val="0000FF"/>
                </w:rPr>
                <w:t>10.</w:t>
              </w:r>
              <w:r>
                <w:rPr>
                  <w:rFonts w:ascii="Arial" w:cs="Arial" w:eastAsia="Arial" w:hAnsi="Arial"/>
                  <w:sz w:val="16"/>
                  <w:szCs w:val="16"/>
                  <w:u w:val="single" w:color="auto"/>
                  <w:color w:val="0000FF"/>
                </w:rPr>
                <w:t>35‡</w:t>
              </w:r>
            </w:hyperlink>
          </w:p>
        </w:tc>
        <w:tc>
          <w:tcPr>
            <w:tcW w:w="9920" w:type="dxa"/>
            <w:vAlign w:val="bottom"/>
          </w:tcPr>
          <w:p>
            <w:pPr>
              <w:ind w:left="180"/>
              <w:spacing w:after="0" w:line="196" w:lineRule="exact"/>
              <w:rPr>
                <w:sz w:val="20"/>
                <w:szCs w:val="20"/>
                <w:color w:val="auto"/>
              </w:rPr>
            </w:pPr>
            <w:r>
              <w:rPr>
                <w:rFonts w:ascii="Arial" w:cs="Arial" w:eastAsia="Arial" w:hAnsi="Arial"/>
                <w:sz w:val="18"/>
                <w:szCs w:val="18"/>
                <w:color w:val="auto"/>
                <w:w w:val="91"/>
              </w:rPr>
              <w:t>Amended and Restated Supplier Agreement between National Vision, Inc. and Walmart, dated as of January 17, 2017 - incorporated</w:t>
            </w:r>
          </w:p>
        </w:tc>
      </w:tr>
      <w:tr>
        <w:trPr>
          <w:trHeight w:val="250"/>
        </w:trPr>
        <w:tc>
          <w:tcPr>
            <w:tcW w:w="4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herein by reference to Exhibit 10.33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420" w:type="dxa"/>
            <w:vAlign w:val="bottom"/>
            <w:gridSpan w:val="6"/>
          </w:tcPr>
          <w:p>
            <w:pPr>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1"/>
              </w:rPr>
              <w:t>Option Agreement for Patrick R. Moore under the 2017 Omnibus Incentive Plan - incorporated herein by reference to Exhibit 10.34 to</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the Company’s Amendment No. 2 to Form S-1 Registration Statement filed on October 16, 2017</w:t>
            </w:r>
          </w:p>
        </w:tc>
      </w:tr>
      <w:tr>
        <w:trPr>
          <w:trHeight w:val="230"/>
        </w:trPr>
        <w:tc>
          <w:tcPr>
            <w:tcW w:w="40" w:type="dxa"/>
            <w:vAlign w:val="bottom"/>
          </w:tcPr>
          <w:p>
            <w:pPr>
              <w:spacing w:after="0"/>
              <w:rPr>
                <w:sz w:val="19"/>
                <w:szCs w:val="19"/>
                <w:color w:val="auto"/>
              </w:rPr>
            </w:pPr>
          </w:p>
        </w:tc>
        <w:tc>
          <w:tcPr>
            <w:tcW w:w="1420" w:type="dxa"/>
            <w:vAlign w:val="bottom"/>
            <w:gridSpan w:val="6"/>
          </w:tcPr>
          <w:p>
            <w:pPr>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4"/>
              </w:rPr>
              <w:t>Restricted Stock Award Agreement for David M. Tehle under the 2014 Stock Incentive Plan for Key Employees of National Vision</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Holdings, Inc. (formerly known as Nautilus Parent, Inc.) and its Subsidiaries - incorporated herein by reference to Exhibit 10.35 to the</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Company’s Amendment No. 2 to Form S-1 Registration Statement filed on October 16, 2017</w:t>
            </w:r>
          </w:p>
        </w:tc>
      </w:tr>
      <w:tr>
        <w:trPr>
          <w:trHeight w:val="230"/>
        </w:trPr>
        <w:tc>
          <w:tcPr>
            <w:tcW w:w="40" w:type="dxa"/>
            <w:vAlign w:val="bottom"/>
          </w:tcPr>
          <w:p>
            <w:pPr>
              <w:spacing w:after="0"/>
              <w:rPr>
                <w:sz w:val="19"/>
                <w:szCs w:val="19"/>
                <w:color w:val="auto"/>
              </w:rPr>
            </w:pPr>
          </w:p>
        </w:tc>
        <w:tc>
          <w:tcPr>
            <w:tcW w:w="1420" w:type="dxa"/>
            <w:vAlign w:val="bottom"/>
            <w:gridSpan w:val="6"/>
          </w:tcPr>
          <w:p>
            <w:pPr>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2"/>
              </w:rPr>
              <w:t>Form of Director Indemnification Agreement - incorporated herein by reference to Exhibit 10.36 to the Company’s Amendment No. 2</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to Form S-1 Registration Statement filed on October 16, 2017</w:t>
            </w:r>
          </w:p>
        </w:tc>
      </w:tr>
      <w:tr>
        <w:trPr>
          <w:trHeight w:val="230"/>
        </w:trPr>
        <w:tc>
          <w:tcPr>
            <w:tcW w:w="40" w:type="dxa"/>
            <w:vAlign w:val="bottom"/>
          </w:tcPr>
          <w:p>
            <w:pPr>
              <w:spacing w:after="0"/>
              <w:rPr>
                <w:sz w:val="19"/>
                <w:szCs w:val="19"/>
                <w:color w:val="auto"/>
              </w:rPr>
            </w:pPr>
          </w:p>
        </w:tc>
        <w:tc>
          <w:tcPr>
            <w:tcW w:w="1420" w:type="dxa"/>
            <w:vAlign w:val="bottom"/>
            <w:gridSpan w:val="6"/>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7"/>
              </w:rPr>
              <w:t>Option Agreement for Jeff McAllister under the 2014 Stock Incentive Plan for Key Employees of National Vision Holdings, Inc.</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(formerly known as Nautilus Parent, Inc.) and its Subsidiaries</w:t>
            </w:r>
          </w:p>
        </w:tc>
      </w:tr>
      <w:tr>
        <w:trPr>
          <w:trHeight w:val="446"/>
        </w:trPr>
        <w:tc>
          <w:tcPr>
            <w:tcW w:w="40" w:type="dxa"/>
            <w:vAlign w:val="bottom"/>
          </w:tcPr>
          <w:p>
            <w:pPr>
              <w:spacing w:after="0"/>
              <w:rPr>
                <w:sz w:val="24"/>
                <w:szCs w:val="24"/>
                <w:color w:val="auto"/>
              </w:rPr>
            </w:pPr>
          </w:p>
        </w:tc>
        <w:tc>
          <w:tcPr>
            <w:tcW w:w="1420" w:type="dxa"/>
            <w:vAlign w:val="bottom"/>
            <w:gridSpan w:val="6"/>
          </w:tcPr>
          <w:p>
            <w:pPr>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4"/>
              </w:rPr>
              <w:t>Form of Director Stockholder’s Agreement - incorporated herein by reference to Exhibit 10.1 to the Company’s Current Report on</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Form 8-K filed on January 23, 2018</w:t>
            </w:r>
          </w:p>
        </w:tc>
      </w:tr>
      <w:tr>
        <w:trPr>
          <w:trHeight w:val="230"/>
        </w:trPr>
        <w:tc>
          <w:tcPr>
            <w:tcW w:w="40" w:type="dxa"/>
            <w:vAlign w:val="bottom"/>
          </w:tcPr>
          <w:p>
            <w:pPr>
              <w:spacing w:after="0"/>
              <w:rPr>
                <w:sz w:val="19"/>
                <w:szCs w:val="19"/>
                <w:color w:val="auto"/>
              </w:rPr>
            </w:pPr>
          </w:p>
        </w:tc>
        <w:tc>
          <w:tcPr>
            <w:tcW w:w="1420" w:type="dxa"/>
            <w:vAlign w:val="bottom"/>
            <w:gridSpan w:val="6"/>
          </w:tcPr>
          <w:p>
            <w:pPr>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9920" w:type="dxa"/>
            <w:vAlign w:val="bottom"/>
          </w:tcPr>
          <w:p>
            <w:pPr>
              <w:ind w:left="180"/>
              <w:spacing w:after="0"/>
              <w:rPr>
                <w:sz w:val="20"/>
                <w:szCs w:val="20"/>
                <w:color w:val="auto"/>
              </w:rPr>
            </w:pPr>
            <w:r>
              <w:rPr>
                <w:rFonts w:ascii="Arial" w:cs="Arial" w:eastAsia="Arial" w:hAnsi="Arial"/>
                <w:sz w:val="18"/>
                <w:szCs w:val="18"/>
                <w:color w:val="auto"/>
                <w:w w:val="96"/>
              </w:rPr>
              <w:t>Vision Holding Corp. Amended and Restated 2013 Equity Incentive Plan - incorporated herein by reference to Exhibit 4.4 to the</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Company’s Form S-8 Registration Statement filed on October 26, 2017</w:t>
            </w: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59">
              <w:r>
                <w:rPr>
                  <w:rFonts w:ascii="Arial" w:cs="Arial" w:eastAsia="Arial" w:hAnsi="Arial"/>
                  <w:sz w:val="18"/>
                  <w:szCs w:val="18"/>
                  <w:color w:val="0000FF"/>
                  <w:w w:val="79"/>
                </w:rPr>
                <w:t>21.</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Subsidiaries of National Vision Holdings, Inc.</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60">
              <w:r>
                <w:rPr>
                  <w:rFonts w:ascii="Arial" w:cs="Arial" w:eastAsia="Arial" w:hAnsi="Arial"/>
                  <w:sz w:val="18"/>
                  <w:szCs w:val="18"/>
                  <w:color w:val="0000FF"/>
                  <w:w w:val="79"/>
                </w:rPr>
                <w:t>23.</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Consent of Deloitte &amp; Touche LLP.</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61">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Certification of Periodic Report by Chief Executive Officer under Section 302 of the Sarbanes-Oxley 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62">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Certification of Periodic Report by Chief Financial Officer under Section 302 of the Sarbanes-Oxley 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63">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Oxley Act of 2002 (furnished herewith)</w:t>
            </w: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64">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Act of 2002 (furnished herewith)</w:t>
            </w:r>
          </w:p>
        </w:tc>
      </w:tr>
      <w:tr>
        <w:trPr>
          <w:trHeight w:val="270"/>
        </w:trPr>
        <w:tc>
          <w:tcPr>
            <w:tcW w:w="40" w:type="dxa"/>
            <w:vAlign w:val="bottom"/>
          </w:tcPr>
          <w:p>
            <w:pPr>
              <w:spacing w:after="0"/>
              <w:rPr>
                <w:sz w:val="23"/>
                <w:szCs w:val="23"/>
                <w:color w:val="auto"/>
              </w:rPr>
            </w:pPr>
          </w:p>
        </w:tc>
        <w:tc>
          <w:tcPr>
            <w:tcW w:w="1420" w:type="dxa"/>
            <w:vAlign w:val="bottom"/>
            <w:gridSpan w:val="6"/>
          </w:tcPr>
          <w:p>
            <w:pPr>
              <w:spacing w:after="0"/>
              <w:rPr>
                <w:sz w:val="20"/>
                <w:szCs w:val="20"/>
                <w:color w:val="auto"/>
              </w:rPr>
            </w:pPr>
            <w:r>
              <w:rPr>
                <w:rFonts w:ascii="Arial" w:cs="Arial" w:eastAsia="Arial" w:hAnsi="Arial"/>
                <w:sz w:val="18"/>
                <w:szCs w:val="18"/>
                <w:color w:val="auto"/>
              </w:rPr>
              <w:t>101.INS</w:t>
            </w:r>
          </w:p>
        </w:tc>
        <w:tc>
          <w:tcPr>
            <w:tcW w:w="99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40" w:type="dxa"/>
            <w:vAlign w:val="bottom"/>
          </w:tcPr>
          <w:p>
            <w:pPr>
              <w:spacing w:after="0"/>
              <w:rPr>
                <w:sz w:val="23"/>
                <w:szCs w:val="23"/>
                <w:color w:val="auto"/>
              </w:rPr>
            </w:pPr>
          </w:p>
        </w:tc>
        <w:tc>
          <w:tcPr>
            <w:tcW w:w="1420" w:type="dxa"/>
            <w:vAlign w:val="bottom"/>
            <w:gridSpan w:val="6"/>
          </w:tcPr>
          <w:p>
            <w:pPr>
              <w:spacing w:after="0"/>
              <w:rPr>
                <w:sz w:val="20"/>
                <w:szCs w:val="20"/>
                <w:color w:val="auto"/>
              </w:rPr>
            </w:pPr>
            <w:r>
              <w:rPr>
                <w:rFonts w:ascii="Arial" w:cs="Arial" w:eastAsia="Arial" w:hAnsi="Arial"/>
                <w:sz w:val="18"/>
                <w:szCs w:val="18"/>
                <w:color w:val="auto"/>
              </w:rPr>
              <w:t>101.SCH</w:t>
            </w:r>
          </w:p>
        </w:tc>
        <w:tc>
          <w:tcPr>
            <w:tcW w:w="992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420" w:type="dxa"/>
            <w:vAlign w:val="bottom"/>
            <w:gridSpan w:val="6"/>
          </w:tcPr>
          <w:p>
            <w:pPr>
              <w:spacing w:after="0"/>
              <w:rPr>
                <w:sz w:val="20"/>
                <w:szCs w:val="20"/>
                <w:color w:val="auto"/>
              </w:rPr>
            </w:pPr>
            <w:r>
              <w:rPr>
                <w:rFonts w:ascii="Arial" w:cs="Arial" w:eastAsia="Arial" w:hAnsi="Arial"/>
                <w:sz w:val="18"/>
                <w:szCs w:val="18"/>
                <w:color w:val="auto"/>
              </w:rPr>
              <w:t>101.CAL</w:t>
            </w:r>
          </w:p>
        </w:tc>
        <w:tc>
          <w:tcPr>
            <w:tcW w:w="99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420" w:type="dxa"/>
            <w:vAlign w:val="bottom"/>
            <w:gridSpan w:val="6"/>
          </w:tcPr>
          <w:p>
            <w:pPr>
              <w:spacing w:after="0"/>
              <w:rPr>
                <w:sz w:val="20"/>
                <w:szCs w:val="20"/>
                <w:color w:val="auto"/>
              </w:rPr>
            </w:pPr>
            <w:r>
              <w:rPr>
                <w:rFonts w:ascii="Arial" w:cs="Arial" w:eastAsia="Arial" w:hAnsi="Arial"/>
                <w:sz w:val="18"/>
                <w:szCs w:val="18"/>
                <w:color w:val="auto"/>
              </w:rPr>
              <w:t>101.DEF</w:t>
            </w:r>
          </w:p>
        </w:tc>
        <w:tc>
          <w:tcPr>
            <w:tcW w:w="992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140</w:t>
            </w:r>
          </w:p>
        </w:tc>
      </w:tr>
    </w:tbl>
    <w:p>
      <w:pPr>
        <w:sectPr>
          <w:pgSz w:w="11900" w:h="16838" w:orient="portrait"/>
          <w:cols w:equalWidth="0" w:num="1">
            <w:col w:w="11380"/>
          </w:cols>
          <w:pgMar w:left="240" w:top="108" w:right="27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72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72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191"/>
        </w:trPr>
        <w:tc>
          <w:tcPr>
            <w:tcW w:w="1280" w:type="dxa"/>
            <w:vAlign w:val="bottom"/>
          </w:tcPr>
          <w:p>
            <w:pPr>
              <w:spacing w:after="0"/>
              <w:rPr>
                <w:sz w:val="20"/>
                <w:szCs w:val="20"/>
                <w:color w:val="auto"/>
              </w:rPr>
            </w:pPr>
            <w:r>
              <w:rPr>
                <w:rFonts w:ascii="Arial" w:cs="Arial" w:eastAsia="Arial" w:hAnsi="Arial"/>
                <w:sz w:val="14"/>
                <w:szCs w:val="14"/>
                <w:color w:val="auto"/>
              </w:rPr>
              <w:t>____________</w:t>
            </w:r>
          </w:p>
        </w:tc>
        <w:tc>
          <w:tcPr>
            <w:tcW w:w="180" w:type="dxa"/>
            <w:vAlign w:val="bottom"/>
          </w:tcPr>
          <w:p>
            <w:pPr>
              <w:spacing w:after="0"/>
              <w:rPr>
                <w:sz w:val="16"/>
                <w:szCs w:val="16"/>
                <w:color w:val="auto"/>
              </w:rPr>
            </w:pPr>
          </w:p>
        </w:tc>
        <w:tc>
          <w:tcPr>
            <w:tcW w:w="4720" w:type="dxa"/>
            <w:vAlign w:val="bottom"/>
          </w:tcPr>
          <w:p>
            <w:pPr>
              <w:spacing w:after="0"/>
              <w:rPr>
                <w:sz w:val="16"/>
                <w:szCs w:val="16"/>
                <w:color w:val="auto"/>
              </w:rPr>
            </w:pPr>
          </w:p>
        </w:tc>
      </w:tr>
    </w:tbl>
    <w:p>
      <w:pPr>
        <w:spacing w:after="0" w:line="34" w:lineRule="exact"/>
        <w:rPr>
          <w:sz w:val="20"/>
          <w:szCs w:val="20"/>
          <w:color w:val="auto"/>
        </w:rPr>
      </w:pPr>
    </w:p>
    <w:p>
      <w:pPr>
        <w:ind w:right="9760" w:firstLine="8"/>
        <w:spacing w:after="0" w:line="256" w:lineRule="auto"/>
        <w:tabs>
          <w:tab w:leader="none" w:pos="324" w:val="left"/>
        </w:tabs>
        <w:numPr>
          <w:ilvl w:val="0"/>
          <w:numId w:val="72"/>
        </w:numPr>
        <w:rPr>
          <w:rFonts w:ascii="Arial" w:cs="Arial" w:eastAsia="Arial" w:hAnsi="Arial"/>
          <w:sz w:val="14"/>
          <w:szCs w:val="14"/>
          <w:color w:val="auto"/>
        </w:rPr>
      </w:pPr>
      <w:r>
        <w:rPr>
          <w:rFonts w:ascii="Arial" w:cs="Arial" w:eastAsia="Arial" w:hAnsi="Arial"/>
          <w:sz w:val="14"/>
          <w:szCs w:val="14"/>
          <w:color w:val="auto"/>
        </w:rPr>
        <w:t>Filed herewith. (**) Previously filed.</w:t>
      </w:r>
    </w:p>
    <w:p>
      <w:pPr>
        <w:ind w:left="340" w:hanging="332"/>
        <w:spacing w:after="0" w:line="230"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4"/>
          <w:szCs w:val="14"/>
          <w:color w:val="auto"/>
        </w:rPr>
        <w:t>Identifies exhibits that consist of a management contract or compensatory plan or arrangement.</w:t>
      </w:r>
    </w:p>
    <w:p>
      <w:pPr>
        <w:spacing w:after="0" w:line="20" w:lineRule="exact"/>
        <w:rPr>
          <w:sz w:val="20"/>
          <w:szCs w:val="20"/>
          <w:color w:val="auto"/>
        </w:rPr>
      </w:pPr>
    </w:p>
    <w:p>
      <w:pPr>
        <w:ind w:left="240" w:hanging="232"/>
        <w:spacing w:after="0"/>
        <w:tabs>
          <w:tab w:leader="none" w:pos="240" w:val="left"/>
        </w:tabs>
        <w:numPr>
          <w:ilvl w:val="0"/>
          <w:numId w:val="74"/>
        </w:numPr>
        <w:rPr>
          <w:rFonts w:ascii="Arial" w:cs="Arial" w:eastAsia="Arial" w:hAnsi="Arial"/>
          <w:sz w:val="14"/>
          <w:szCs w:val="14"/>
          <w:color w:val="auto"/>
        </w:rPr>
      </w:pPr>
      <w:r>
        <w:rPr>
          <w:rFonts w:ascii="Arial" w:cs="Arial" w:eastAsia="Arial" w:hAnsi="Arial"/>
          <w:sz w:val="13"/>
          <w:szCs w:val="13"/>
          <w:color w:val="auto"/>
        </w:rPr>
        <w:t>Confidential treatment has been requested with respect to certain portions of identified exhibits. Omitted portions have been filed separately with the Securities and Exchange Commission.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240" w:top="108" w:right="61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L. Reade Fahs</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542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8, 2018</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1740"/>
              <w:spacing w:after="0"/>
              <w:rPr>
                <w:sz w:val="20"/>
                <w:szCs w:val="20"/>
                <w:color w:val="auto"/>
              </w:rPr>
            </w:pPr>
            <w:r>
              <w:rPr>
                <w:rFonts w:ascii="Arial" w:cs="Arial" w:eastAsia="Arial" w:hAnsi="Arial"/>
                <w:sz w:val="18"/>
                <w:szCs w:val="18"/>
                <w:b w:val="1"/>
                <w:bCs w:val="1"/>
                <w:color w:val="auto"/>
              </w:rPr>
              <w:t>Signature</w:t>
            </w:r>
          </w:p>
        </w:tc>
        <w:tc>
          <w:tcPr>
            <w:tcW w:w="4880" w:type="dxa"/>
            <w:vAlign w:val="bottom"/>
          </w:tcPr>
          <w:p>
            <w:pPr>
              <w:ind w:left="2620"/>
              <w:spacing w:after="0"/>
              <w:rPr>
                <w:sz w:val="20"/>
                <w:szCs w:val="20"/>
                <w:color w:val="auto"/>
              </w:rPr>
            </w:pPr>
            <w:r>
              <w:rPr>
                <w:rFonts w:ascii="Arial" w:cs="Arial" w:eastAsia="Arial" w:hAnsi="Arial"/>
                <w:sz w:val="18"/>
                <w:szCs w:val="18"/>
                <w:b w:val="1"/>
                <w:bCs w:val="1"/>
                <w:color w:val="auto"/>
              </w:rPr>
              <w:t>Title</w:t>
            </w:r>
          </w:p>
        </w:tc>
        <w:tc>
          <w:tcPr>
            <w:tcW w:w="204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Date</w:t>
            </w: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/s/ L. Reade Fahs</w:t>
            </w:r>
          </w:p>
        </w:tc>
        <w:tc>
          <w:tcPr>
            <w:tcW w:w="4880" w:type="dxa"/>
            <w:vAlign w:val="bottom"/>
          </w:tcPr>
          <w:p>
            <w:pPr>
              <w:ind w:left="26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92"/>
              </w:rPr>
              <w:t>March 8, 2018</w:t>
            </w:r>
          </w:p>
        </w:tc>
      </w:tr>
      <w:tr>
        <w:trPr>
          <w:trHeight w:val="27"/>
        </w:trPr>
        <w:tc>
          <w:tcPr>
            <w:tcW w:w="424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 Reade Fahs</w:t>
            </w:r>
          </w:p>
        </w:tc>
        <w:tc>
          <w:tcPr>
            <w:tcW w:w="4880" w:type="dxa"/>
            <w:vAlign w:val="bottom"/>
          </w:tcPr>
          <w:p>
            <w:pPr>
              <w:ind w:left="260"/>
              <w:spacing w:after="0"/>
              <w:rPr>
                <w:sz w:val="20"/>
                <w:szCs w:val="20"/>
                <w:color w:val="auto"/>
              </w:rPr>
            </w:pPr>
            <w:r>
              <w:rPr>
                <w:rFonts w:ascii="Arial" w:cs="Arial" w:eastAsia="Arial" w:hAnsi="Arial"/>
                <w:sz w:val="18"/>
                <w:szCs w:val="18"/>
                <w:i w:val="1"/>
                <w:iCs w:val="1"/>
                <w:color w:val="auto"/>
              </w:rPr>
              <w:t>(Principal Executive Officer)</w:t>
            </w:r>
          </w:p>
        </w:tc>
        <w:tc>
          <w:tcPr>
            <w:tcW w:w="2040" w:type="dxa"/>
            <w:vAlign w:val="bottom"/>
          </w:tcPr>
          <w:p>
            <w:pPr>
              <w:spacing w:after="0"/>
              <w:rPr>
                <w:sz w:val="20"/>
                <w:szCs w:val="20"/>
                <w:color w:val="auto"/>
              </w:rPr>
            </w:pP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/s/ Patrick R. Moore</w:t>
            </w:r>
          </w:p>
        </w:tc>
        <w:tc>
          <w:tcPr>
            <w:tcW w:w="4880" w:type="dxa"/>
            <w:vAlign w:val="bottom"/>
          </w:tcPr>
          <w:p>
            <w:pPr>
              <w:ind w:left="260"/>
              <w:spacing w:after="0"/>
              <w:rPr>
                <w:sz w:val="20"/>
                <w:szCs w:val="20"/>
                <w:color w:val="auto"/>
              </w:rPr>
            </w:pPr>
            <w:r>
              <w:rPr>
                <w:rFonts w:ascii="Arial" w:cs="Arial" w:eastAsia="Arial" w:hAnsi="Arial"/>
                <w:sz w:val="18"/>
                <w:szCs w:val="18"/>
                <w:color w:val="auto"/>
              </w:rPr>
              <w:t>Senior Vice President, Chief Financial Officer</w:t>
            </w:r>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92"/>
              </w:rPr>
              <w:t>March 8, 2018</w:t>
            </w:r>
          </w:p>
        </w:tc>
      </w:tr>
      <w:tr>
        <w:trPr>
          <w:trHeight w:val="27"/>
        </w:trPr>
        <w:tc>
          <w:tcPr>
            <w:tcW w:w="424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Patrick R. Moore</w:t>
            </w:r>
          </w:p>
        </w:tc>
        <w:tc>
          <w:tcPr>
            <w:tcW w:w="4880" w:type="dxa"/>
            <w:vAlign w:val="bottom"/>
          </w:tcPr>
          <w:p>
            <w:pPr>
              <w:ind w:left="260"/>
              <w:spacing w:after="0"/>
              <w:rPr>
                <w:sz w:val="20"/>
                <w:szCs w:val="20"/>
                <w:color w:val="auto"/>
              </w:rPr>
            </w:pPr>
            <w:r>
              <w:rPr>
                <w:rFonts w:ascii="Arial" w:cs="Arial" w:eastAsia="Arial" w:hAnsi="Arial"/>
                <w:sz w:val="18"/>
                <w:szCs w:val="18"/>
                <w:i w:val="1"/>
                <w:iCs w:val="1"/>
                <w:color w:val="auto"/>
              </w:rPr>
              <w:t>(Principal Financial Officer)</w:t>
            </w:r>
          </w:p>
        </w:tc>
        <w:tc>
          <w:tcPr>
            <w:tcW w:w="2040" w:type="dxa"/>
            <w:vAlign w:val="bottom"/>
          </w:tcPr>
          <w:p>
            <w:pPr>
              <w:spacing w:after="0"/>
              <w:rPr>
                <w:sz w:val="20"/>
                <w:szCs w:val="20"/>
                <w:color w:val="auto"/>
              </w:rPr>
            </w:pP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/s/ Chris Beasley</w:t>
            </w:r>
          </w:p>
        </w:tc>
        <w:tc>
          <w:tcPr>
            <w:tcW w:w="4880" w:type="dxa"/>
            <w:vAlign w:val="bottom"/>
          </w:tcPr>
          <w:p>
            <w:pPr>
              <w:ind w:left="260"/>
              <w:spacing w:after="0"/>
              <w:rPr>
                <w:sz w:val="20"/>
                <w:szCs w:val="20"/>
                <w:color w:val="auto"/>
              </w:rPr>
            </w:pPr>
            <w:r>
              <w:rPr>
                <w:rFonts w:ascii="Arial" w:cs="Arial" w:eastAsia="Arial" w:hAnsi="Arial"/>
                <w:sz w:val="18"/>
                <w:szCs w:val="18"/>
                <w:color w:val="auto"/>
              </w:rPr>
              <w:t>Senior Vice President, Accounting, and Controller</w:t>
            </w:r>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92"/>
              </w:rPr>
              <w:t>March 8, 2018</w:t>
            </w:r>
          </w:p>
        </w:tc>
      </w:tr>
      <w:tr>
        <w:trPr>
          <w:trHeight w:val="27"/>
        </w:trPr>
        <w:tc>
          <w:tcPr>
            <w:tcW w:w="424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Chris Beasley</w:t>
            </w:r>
          </w:p>
        </w:tc>
        <w:tc>
          <w:tcPr>
            <w:tcW w:w="4880" w:type="dxa"/>
            <w:vAlign w:val="bottom"/>
          </w:tcPr>
          <w:p>
            <w:pPr>
              <w:ind w:left="260"/>
              <w:spacing w:after="0"/>
              <w:rPr>
                <w:sz w:val="20"/>
                <w:szCs w:val="20"/>
                <w:color w:val="auto"/>
              </w:rPr>
            </w:pPr>
            <w:r>
              <w:rPr>
                <w:rFonts w:ascii="Arial" w:cs="Arial" w:eastAsia="Arial" w:hAnsi="Arial"/>
                <w:sz w:val="18"/>
                <w:szCs w:val="18"/>
                <w:i w:val="1"/>
                <w:iCs w:val="1"/>
                <w:color w:val="auto"/>
              </w:rPr>
              <w:t>(Principal Accounting Officer)</w:t>
            </w:r>
          </w:p>
        </w:tc>
        <w:tc>
          <w:tcPr>
            <w:tcW w:w="2040" w:type="dxa"/>
            <w:vAlign w:val="bottom"/>
          </w:tcPr>
          <w:p>
            <w:pPr>
              <w:spacing w:after="0"/>
              <w:rPr>
                <w:sz w:val="20"/>
                <w:szCs w:val="20"/>
                <w:color w:val="auto"/>
              </w:rPr>
            </w:pP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/s/ Felix Gernburd</w:t>
            </w:r>
          </w:p>
        </w:tc>
        <w:tc>
          <w:tcPr>
            <w:tcW w:w="48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92"/>
              </w:rPr>
              <w:t>March 8, 2018</w:t>
            </w:r>
          </w:p>
        </w:tc>
      </w:tr>
      <w:tr>
        <w:trPr>
          <w:trHeight w:val="27"/>
        </w:trPr>
        <w:tc>
          <w:tcPr>
            <w:tcW w:w="424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Felix Gernburd</w:t>
            </w:r>
          </w:p>
        </w:tc>
        <w:tc>
          <w:tcPr>
            <w:tcW w:w="48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/s/ Viginia A. Hepner</w:t>
            </w:r>
          </w:p>
        </w:tc>
        <w:tc>
          <w:tcPr>
            <w:tcW w:w="48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92"/>
              </w:rPr>
              <w:t>March 8, 2018</w:t>
            </w:r>
          </w:p>
        </w:tc>
      </w:tr>
      <w:tr>
        <w:trPr>
          <w:trHeight w:val="27"/>
        </w:trPr>
        <w:tc>
          <w:tcPr>
            <w:tcW w:w="424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Virginia A. Hepner</w:t>
            </w:r>
          </w:p>
        </w:tc>
        <w:tc>
          <w:tcPr>
            <w:tcW w:w="48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/s/ D. Randolph Peeler</w:t>
            </w:r>
          </w:p>
        </w:tc>
        <w:tc>
          <w:tcPr>
            <w:tcW w:w="48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92"/>
              </w:rPr>
              <w:t>March 8, 2018</w:t>
            </w:r>
          </w:p>
        </w:tc>
      </w:tr>
      <w:tr>
        <w:trPr>
          <w:trHeight w:val="27"/>
        </w:trPr>
        <w:tc>
          <w:tcPr>
            <w:tcW w:w="424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 Randolph Peeler</w:t>
            </w:r>
          </w:p>
        </w:tc>
        <w:tc>
          <w:tcPr>
            <w:tcW w:w="48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/s/ Nathaniel H. Taylor</w:t>
            </w:r>
          </w:p>
        </w:tc>
        <w:tc>
          <w:tcPr>
            <w:tcW w:w="4880" w:type="dxa"/>
            <w:vAlign w:val="bottom"/>
          </w:tcPr>
          <w:p>
            <w:pPr>
              <w:ind w:left="260"/>
              <w:spacing w:after="0"/>
              <w:rPr>
                <w:sz w:val="20"/>
                <w:szCs w:val="20"/>
                <w:color w:val="auto"/>
              </w:rPr>
            </w:pPr>
            <w:r>
              <w:rPr>
                <w:rFonts w:ascii="Arial" w:cs="Arial" w:eastAsia="Arial" w:hAnsi="Arial"/>
                <w:sz w:val="18"/>
                <w:szCs w:val="18"/>
                <w:color w:val="auto"/>
              </w:rPr>
              <w:t>Chairman and Director</w:t>
            </w:r>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92"/>
              </w:rPr>
              <w:t>March 8, 2018</w:t>
            </w:r>
          </w:p>
        </w:tc>
      </w:tr>
      <w:tr>
        <w:trPr>
          <w:trHeight w:val="27"/>
        </w:trPr>
        <w:tc>
          <w:tcPr>
            <w:tcW w:w="424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Nathaniel H. Taylor</w:t>
            </w:r>
          </w:p>
        </w:tc>
        <w:tc>
          <w:tcPr>
            <w:tcW w:w="48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67"/>
        </w:trPr>
        <w:tc>
          <w:tcPr>
            <w:tcW w:w="4240" w:type="dxa"/>
            <w:vAlign w:val="bottom"/>
          </w:tcPr>
          <w:p>
            <w:pPr>
              <w:ind w:left="40"/>
              <w:spacing w:after="0"/>
              <w:rPr>
                <w:sz w:val="20"/>
                <w:szCs w:val="20"/>
                <w:color w:val="auto"/>
              </w:rPr>
            </w:pPr>
            <w:r>
              <w:rPr>
                <w:rFonts w:ascii="Arial" w:cs="Arial" w:eastAsia="Arial" w:hAnsi="Arial"/>
                <w:sz w:val="18"/>
                <w:szCs w:val="18"/>
                <w:color w:val="auto"/>
              </w:rPr>
              <w:t>/s/ David M. Tehle</w:t>
            </w:r>
          </w:p>
        </w:tc>
        <w:tc>
          <w:tcPr>
            <w:tcW w:w="48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92"/>
              </w:rPr>
              <w:t>March 8, 2018</w:t>
            </w:r>
          </w:p>
        </w:tc>
      </w:tr>
      <w:tr>
        <w:trPr>
          <w:trHeight w:val="27"/>
        </w:trPr>
        <w:tc>
          <w:tcPr>
            <w:tcW w:w="4240" w:type="dxa"/>
            <w:vAlign w:val="bottom"/>
            <w:tcBorders>
              <w:bottom w:val="single" w:sz="8" w:color="auto"/>
            </w:tcBorders>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David M. Tehle</w:t>
            </w:r>
          </w:p>
        </w:tc>
        <w:tc>
          <w:tcPr>
            <w:tcW w:w="48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STOCK OPTION AGREEMENT</w:t>
      </w:r>
    </w:p>
    <w:p>
      <w:pPr>
        <w:spacing w:after="0" w:line="335" w:lineRule="exact"/>
        <w:rPr>
          <w:sz w:val="20"/>
          <w:szCs w:val="20"/>
          <w:color w:val="auto"/>
        </w:rPr>
      </w:pPr>
    </w:p>
    <w:p>
      <w:pPr>
        <w:ind w:right="100" w:firstLine="1297"/>
        <w:spacing w:after="0" w:line="301" w:lineRule="auto"/>
        <w:rPr>
          <w:sz w:val="20"/>
          <w:szCs w:val="20"/>
          <w:color w:val="auto"/>
        </w:rPr>
      </w:pPr>
      <w:r>
        <w:rPr>
          <w:rFonts w:ascii="Arial" w:cs="Arial" w:eastAsia="Arial" w:hAnsi="Arial"/>
          <w:sz w:val="21"/>
          <w:szCs w:val="21"/>
          <w:color w:val="auto"/>
        </w:rPr>
        <w:t>THIS GRANT AGREEMENT (the “</w:t>
      </w:r>
      <w:r>
        <w:rPr>
          <w:rFonts w:ascii="Arial" w:cs="Arial" w:eastAsia="Arial" w:hAnsi="Arial"/>
          <w:sz w:val="21"/>
          <w:szCs w:val="21"/>
          <w:u w:val="single" w:color="auto"/>
          <w:color w:val="auto"/>
        </w:rPr>
        <w:t>Grant Agreement</w:t>
      </w:r>
      <w:r>
        <w:rPr>
          <w:rFonts w:ascii="Arial" w:cs="Arial" w:eastAsia="Arial" w:hAnsi="Arial"/>
          <w:sz w:val="21"/>
          <w:szCs w:val="21"/>
          <w:color w:val="auto"/>
        </w:rPr>
        <w:t xml:space="preserve">”), dated as of the date indicated on </w:t>
      </w:r>
      <w:r>
        <w:rPr>
          <w:rFonts w:ascii="Arial" w:cs="Arial" w:eastAsia="Arial" w:hAnsi="Arial"/>
          <w:sz w:val="21"/>
          <w:szCs w:val="21"/>
          <w:b w:val="1"/>
          <w:bCs w:val="1"/>
          <w:u w:val="single" w:color="auto"/>
          <w:color w:val="auto"/>
        </w:rPr>
        <w:t>Schedule A</w:t>
      </w:r>
      <w:r>
        <w:rPr>
          <w:rFonts w:ascii="Arial" w:cs="Arial" w:eastAsia="Arial" w:hAnsi="Arial"/>
          <w:sz w:val="21"/>
          <w:szCs w:val="21"/>
          <w:color w:val="auto"/>
        </w:rPr>
        <w:t xml:space="preserve"> hereto as the date the Grant memorialized herein has been granted (the “</w:t>
      </w:r>
      <w:r>
        <w:rPr>
          <w:rFonts w:ascii="Arial" w:cs="Arial" w:eastAsia="Arial" w:hAnsi="Arial"/>
          <w:sz w:val="21"/>
          <w:szCs w:val="21"/>
          <w:u w:val="single" w:color="auto"/>
          <w:color w:val="auto"/>
        </w:rPr>
        <w:t>Grant Date</w:t>
      </w:r>
      <w:r>
        <w:rPr>
          <w:rFonts w:ascii="Arial" w:cs="Arial" w:eastAsia="Arial" w:hAnsi="Arial"/>
          <w:sz w:val="21"/>
          <w:szCs w:val="21"/>
          <w:color w:val="auto"/>
        </w:rPr>
        <w:t>”), is made by and between National Vision Holdings, Inc., a corporation existing under the laws of Delaware (hereinafter referred to as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individual whose name is set forth on the Omnibus Signature Page to this Grant Agreement, who is an employee of or consultant to the Company or any of its Service Recipients (hereinafter referred to as the “</w:t>
      </w:r>
      <w:r>
        <w:rPr>
          <w:rFonts w:ascii="Arial" w:cs="Arial" w:eastAsia="Arial" w:hAnsi="Arial"/>
          <w:sz w:val="21"/>
          <w:szCs w:val="21"/>
          <w:u w:val="single" w:color="auto"/>
          <w:color w:val="auto"/>
        </w:rPr>
        <w:t>Optionee</w:t>
      </w:r>
      <w:r>
        <w:rPr>
          <w:rFonts w:ascii="Arial" w:cs="Arial" w:eastAsia="Arial" w:hAnsi="Arial"/>
          <w:sz w:val="21"/>
          <w:szCs w:val="21"/>
          <w:color w:val="auto"/>
        </w:rPr>
        <w:t>”). Any capitalized terms herein not otherwise defined in ARTICLE I shall have the meaning set forth in the 2014 Stock Incentive Plan for Key Employees of Nautilus Parent, Inc. and its Subsidiaries, as such Plan may be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w:t>
      </w:r>
    </w:p>
    <w:p>
      <w:pPr>
        <w:spacing w:after="0" w:line="182" w:lineRule="exact"/>
        <w:rPr>
          <w:sz w:val="20"/>
          <w:szCs w:val="20"/>
          <w:color w:val="auto"/>
        </w:rPr>
      </w:pPr>
    </w:p>
    <w:p>
      <w:pPr>
        <w:ind w:right="40" w:firstLine="1297"/>
        <w:spacing w:after="0" w:line="302" w:lineRule="auto"/>
        <w:rPr>
          <w:sz w:val="20"/>
          <w:szCs w:val="20"/>
          <w:color w:val="auto"/>
        </w:rPr>
      </w:pPr>
      <w:r>
        <w:rPr>
          <w:rFonts w:ascii="Arial" w:cs="Arial" w:eastAsia="Arial" w:hAnsi="Arial"/>
          <w:sz w:val="22"/>
          <w:szCs w:val="22"/>
          <w:color w:val="auto"/>
        </w:rPr>
        <w:t>WHEREAS, the Company wishes to carry out the Plan, the terms of which are hereby incorporated by reference and made a part of this Grant Agreement; and</w:t>
      </w:r>
    </w:p>
    <w:p>
      <w:pPr>
        <w:spacing w:after="0" w:line="174" w:lineRule="exact"/>
        <w:rPr>
          <w:sz w:val="20"/>
          <w:szCs w:val="20"/>
          <w:color w:val="auto"/>
        </w:rPr>
      </w:pPr>
    </w:p>
    <w:p>
      <w:pPr>
        <w:ind w:right="180" w:firstLine="1297"/>
        <w:spacing w:after="0" w:line="288" w:lineRule="auto"/>
        <w:rPr>
          <w:sz w:val="20"/>
          <w:szCs w:val="20"/>
          <w:color w:val="auto"/>
        </w:rPr>
      </w:pPr>
      <w:r>
        <w:rPr>
          <w:rFonts w:ascii="Arial" w:cs="Arial" w:eastAsia="Arial" w:hAnsi="Arial"/>
          <w:sz w:val="22"/>
          <w:szCs w:val="22"/>
          <w:color w:val="auto"/>
        </w:rPr>
        <w:t>WHEREAS, the Committee has determined that it would be to the advantage and best interest of the Company and its stockholders to grant the Option provided for herein to the Optionee as an incentive for increased efforts during his term of service with the Company or any of its Service Recipients, and has advised the Company thereof and instructed the undersigned officers to issue said Option;</w:t>
      </w:r>
    </w:p>
    <w:p>
      <w:pPr>
        <w:spacing w:after="0" w:line="190" w:lineRule="exact"/>
        <w:rPr>
          <w:sz w:val="20"/>
          <w:szCs w:val="20"/>
          <w:color w:val="auto"/>
        </w:rPr>
      </w:pPr>
    </w:p>
    <w:p>
      <w:pPr>
        <w:ind w:right="660" w:firstLine="1297"/>
        <w:spacing w:after="0" w:line="328" w:lineRule="auto"/>
        <w:rPr>
          <w:sz w:val="20"/>
          <w:szCs w:val="20"/>
          <w:color w:val="auto"/>
        </w:rPr>
      </w:pPr>
      <w:r>
        <w:rPr>
          <w:rFonts w:ascii="Arial" w:cs="Arial" w:eastAsia="Arial" w:hAnsi="Arial"/>
          <w:sz w:val="21"/>
          <w:szCs w:val="21"/>
          <w:color w:val="auto"/>
        </w:rPr>
        <w:t>NOW, THEREFORE, in consideration of the mutual covenants herein contained and other good and valuable consideration, receipt of which is hereby acknowledged, the parties hereto do hereby agree as follows:</w:t>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ARTICLE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152" w:lineRule="exact"/>
        <w:rPr>
          <w:sz w:val="20"/>
          <w:szCs w:val="20"/>
          <w:color w:val="auto"/>
        </w:rPr>
      </w:pPr>
    </w:p>
    <w:p>
      <w:pPr>
        <w:ind w:right="40" w:firstLine="1297"/>
        <w:spacing w:after="0" w:line="302" w:lineRule="auto"/>
        <w:rPr>
          <w:sz w:val="20"/>
          <w:szCs w:val="20"/>
          <w:color w:val="auto"/>
        </w:rPr>
      </w:pPr>
      <w:r>
        <w:rPr>
          <w:rFonts w:ascii="Arial" w:cs="Arial" w:eastAsia="Arial" w:hAnsi="Arial"/>
          <w:sz w:val="22"/>
          <w:szCs w:val="22"/>
          <w:color w:val="auto"/>
        </w:rPr>
        <w:t>Whenever the following terms are used in this Grant Agreement, they shall have the meaning specified below unless the context clearly indicates to the contrary.</w:t>
      </w:r>
    </w:p>
    <w:p>
      <w:pPr>
        <w:spacing w:after="0" w:line="174"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7"/>
          <w:szCs w:val="17"/>
          <w:u w:val="single" w:color="auto"/>
          <w:color w:val="auto"/>
        </w:rPr>
        <w:t>Cause</w:t>
      </w:r>
    </w:p>
    <w:p>
      <w:pPr>
        <w:spacing w:after="0" w:line="260" w:lineRule="exact"/>
        <w:rPr>
          <w:sz w:val="20"/>
          <w:szCs w:val="20"/>
          <w:color w:val="auto"/>
        </w:rPr>
      </w:pPr>
    </w:p>
    <w:p>
      <w:pPr>
        <w:ind w:right="80" w:firstLine="1297"/>
        <w:spacing w:after="0" w:line="263" w:lineRule="auto"/>
        <w:rPr>
          <w:sz w:val="20"/>
          <w:szCs w:val="20"/>
          <w:color w:val="auto"/>
        </w:rPr>
      </w:pPr>
      <w:r>
        <w:rPr>
          <w:rFonts w:ascii="Arial" w:cs="Arial" w:eastAsia="Arial" w:hAnsi="Arial"/>
          <w:sz w:val="21"/>
          <w:szCs w:val="21"/>
          <w:color w:val="auto"/>
        </w:rPr>
        <w:t>“Cause” shall have the meaning as set forth below, except with respect to any Optionee who is employed by the Company or one of its Affiliates pursuant to an effective written employment agreement, if any, between the Company and/or one of its Affiliates and such Optionee in which there is a definition of “Cause,” in which event the definition of “Cause” as set forth in such employment agreement shall be deemed to be the definition of “Cause” herein solely for such Optionee and only for so long as such Employment Agreement remains effective.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611" w:right="239" w:bottom="1440" w:gutter="0" w:footer="0" w:header="0"/>
        </w:sectPr>
      </w:pPr>
    </w:p>
    <w:bookmarkStart w:id="143" w:name="page144"/>
    <w:bookmarkEnd w:id="143"/>
    <w:p>
      <w:pPr>
        <w:ind w:left="660"/>
        <w:spacing w:after="0"/>
        <w:rPr>
          <w:sz w:val="20"/>
          <w:szCs w:val="20"/>
          <w:color w:val="auto"/>
        </w:rPr>
      </w:pPr>
      <w:r>
        <w:rPr>
          <w:rFonts w:ascii="Arial" w:cs="Arial" w:eastAsia="Arial" w:hAnsi="Arial"/>
          <w:sz w:val="22"/>
          <w:szCs w:val="22"/>
          <w:color w:val="auto"/>
        </w:rPr>
        <w:t>In all other events, the term “Cause” means:</w:t>
      </w:r>
    </w:p>
    <w:p>
      <w:pPr>
        <w:spacing w:after="0" w:line="125" w:lineRule="exact"/>
        <w:rPr>
          <w:sz w:val="20"/>
          <w:szCs w:val="20"/>
          <w:color w:val="auto"/>
        </w:rPr>
      </w:pPr>
    </w:p>
    <w:p>
      <w:pPr>
        <w:ind w:left="1300" w:right="20" w:firstLine="653"/>
        <w:spacing w:after="0" w:line="306" w:lineRule="auto"/>
        <w:tabs>
          <w:tab w:leader="none" w:pos="271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commission by Optionee of an act or acts of fraud, dishonesty, gross negligence or willful misconduct in the performance of his or her duties that does, or could, if continued or repeated, result directly or indirectly in significant gain or personal enrichment to Optionee at the expense of the Company or any of its Service Recipients or in significant injury to the Company or any of its Service Recipients;</w:t>
      </w:r>
    </w:p>
    <w:p>
      <w:pPr>
        <w:spacing w:after="0" w:line="254" w:lineRule="exact"/>
        <w:rPr>
          <w:rFonts w:ascii="Arial" w:cs="Arial" w:eastAsia="Arial" w:hAnsi="Arial"/>
          <w:sz w:val="21"/>
          <w:szCs w:val="21"/>
          <w:color w:val="auto"/>
        </w:rPr>
      </w:pPr>
    </w:p>
    <w:p>
      <w:pPr>
        <w:ind w:left="1300" w:right="380" w:firstLine="653"/>
        <w:spacing w:after="0" w:line="292" w:lineRule="auto"/>
        <w:tabs>
          <w:tab w:leader="none" w:pos="2771" w:val="left"/>
        </w:tabs>
        <w:numPr>
          <w:ilvl w:val="0"/>
          <w:numId w:val="75"/>
        </w:numPr>
        <w:rPr>
          <w:rFonts w:ascii="Arial" w:cs="Arial" w:eastAsia="Arial" w:hAnsi="Arial"/>
          <w:sz w:val="22"/>
          <w:szCs w:val="22"/>
          <w:color w:val="auto"/>
        </w:rPr>
      </w:pPr>
      <w:r>
        <w:rPr>
          <w:rFonts w:ascii="Arial" w:cs="Arial" w:eastAsia="Arial" w:hAnsi="Arial"/>
          <w:sz w:val="22"/>
          <w:szCs w:val="22"/>
          <w:color w:val="auto"/>
        </w:rPr>
        <w:t>Commission by Optionee of an act or acts constituting any felony or any criminal act involving moral turpitude, or any other criminal act involving dishonestly, disloyalty, fraud or theft with respect to the Company or any of its Service Recipients; or</w:t>
      </w:r>
    </w:p>
    <w:p>
      <w:pPr>
        <w:spacing w:after="0" w:line="265" w:lineRule="exact"/>
        <w:rPr>
          <w:rFonts w:ascii="Arial" w:cs="Arial" w:eastAsia="Arial" w:hAnsi="Arial"/>
          <w:sz w:val="22"/>
          <w:szCs w:val="22"/>
          <w:color w:val="auto"/>
        </w:rPr>
      </w:pPr>
    </w:p>
    <w:p>
      <w:pPr>
        <w:ind w:left="2840" w:hanging="887"/>
        <w:spacing w:after="0"/>
        <w:tabs>
          <w:tab w:leader="none" w:pos="28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material breach by Optionee of an any Restrictive Covenant;</w:t>
      </w:r>
    </w:p>
    <w:p>
      <w:pPr>
        <w:spacing w:after="0" w:line="31"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provided, however, that solely for purposes of the Plan and any Grant Agreement granted hereunder, Optionee shall not be deemed to have involuntarily terminated for Cause unless and until the Company finds that, in the good faith opinion of the Board (or its designee), Optionee engaged or threatened to engage in conduct set forth above and specifying the particulars thereof in detail. In order for Cause to exist under the Plan and any Grant Agreement, the Board (or its designee) shall deliver to Optionee a demand in writing for performance or cure, which demand specifically identifies the manner in which the Board (or its designee) believes that the conduct of Optionee falls within such subsection and details the Board’s (or its designee’s) requirements for Optionee to “cure” such conduct, if appropriate, which “cure” period shall not be less than ten (10) days. Involuntary termination under the Plan and any applicable Grant Agreement shall occur if and when Optionee fails to “cure” within the period given by the Board (or its designee) and in accordance with any other terms provided by the Board (or its designee).</w:t>
      </w:r>
    </w:p>
    <w:p>
      <w:pPr>
        <w:spacing w:after="0" w:line="200" w:lineRule="exact"/>
        <w:rPr>
          <w:sz w:val="20"/>
          <w:szCs w:val="20"/>
          <w:color w:val="auto"/>
        </w:rPr>
      </w:pPr>
    </w:p>
    <w:p>
      <w:pPr>
        <w:spacing w:after="0" w:line="295"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Closing Date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“Closing Date” shall mean March 13, 2014.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u w:val="single" w:color="auto"/>
          <w:color w:val="auto"/>
        </w:rPr>
        <w:t>Disability</w:t>
      </w:r>
    </w:p>
    <w:p>
      <w:pPr>
        <w:spacing w:after="0" w:line="274" w:lineRule="exact"/>
        <w:rPr>
          <w:sz w:val="20"/>
          <w:szCs w:val="20"/>
          <w:color w:val="auto"/>
        </w:rPr>
      </w:pPr>
    </w:p>
    <w:p>
      <w:pPr>
        <w:ind w:firstLine="1297"/>
        <w:spacing w:after="0" w:line="306" w:lineRule="auto"/>
        <w:rPr>
          <w:sz w:val="20"/>
          <w:szCs w:val="20"/>
          <w:color w:val="auto"/>
        </w:rPr>
      </w:pPr>
      <w:r>
        <w:rPr>
          <w:rFonts w:ascii="Arial" w:cs="Arial" w:eastAsia="Arial" w:hAnsi="Arial"/>
          <w:sz w:val="21"/>
          <w:szCs w:val="21"/>
          <w:color w:val="auto"/>
        </w:rPr>
        <w:t>“Disability” shall mean “Disability” as such term is defined in any Other Relevant Agreement that is an employment agreement between the Optionee and the Company or any of its Service Recipients, as in effect at the time of termination of employment, or, if there is no such agreement or no such term defined therein, “Disability” for purposes of eligibility for benefits under the long-term disability plan of the Company or any of its Service Recipients, as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847" w:right="259" w:bottom="1440" w:gutter="0" w:footer="0" w:header="0"/>
        </w:sectPr>
      </w:pPr>
    </w:p>
    <w:bookmarkStart w:id="144" w:name="page145"/>
    <w:bookmarkEnd w:id="144"/>
    <w:p>
      <w:pPr>
        <w:spacing w:after="0"/>
        <w:tabs>
          <w:tab w:leader="none" w:pos="130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Good Reason</w:t>
      </w:r>
    </w:p>
    <w:p>
      <w:pPr>
        <w:spacing w:after="0" w:line="274" w:lineRule="exact"/>
        <w:rPr>
          <w:sz w:val="20"/>
          <w:szCs w:val="20"/>
          <w:color w:val="auto"/>
        </w:rPr>
      </w:pPr>
    </w:p>
    <w:p>
      <w:pPr>
        <w:ind w:right="60" w:firstLine="1297"/>
        <w:spacing w:after="0" w:line="298" w:lineRule="auto"/>
        <w:rPr>
          <w:sz w:val="20"/>
          <w:szCs w:val="20"/>
          <w:color w:val="auto"/>
        </w:rPr>
      </w:pPr>
      <w:r>
        <w:rPr>
          <w:rFonts w:ascii="Arial" w:cs="Arial" w:eastAsia="Arial" w:hAnsi="Arial"/>
          <w:sz w:val="21"/>
          <w:szCs w:val="21"/>
          <w:color w:val="auto"/>
        </w:rPr>
        <w:t>“Good Reason” shall mean “Good Reason” as such term may be defined in and determined under any Other Relevant Agreement that is an employment agreement between the Optionee and the Company or any of its Service Recipients, as applicable, as in effect at the time of termination of employment, or if there is no such agreement or no such term defined therein, “Good Reason” shall mean without the Optionee’s prior written consent, the occurrence of any one or more of the following that constitutes a material negative change to the Optionee in the service relationship with the Company, or any of its Service Recipients, as applicable: (i) the reduction in Optionee’s annual rate of base salary; (ii) the relocation of the principal place of Optionee’s employment to a location more than fifty (50) miles away; or (iii) the significant diminution of Optionee’s duties and responsibilities. The Optionee must make a claim for Good Reason within 90 days of the event giving rise to the claim and terminate employment no later than 150 days after the event giving rise to the claim first occurs, or he/she waives their right to claim Good Reason as a result of the event. No Good Reason will exist if the Company cures any of the foregoing within 30 days after the Optionee claims Good Reason.</w:t>
      </w:r>
    </w:p>
    <w:p>
      <w:pPr>
        <w:spacing w:after="0" w:line="186"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u w:val="single" w:color="auto"/>
          <w:color w:val="auto"/>
        </w:rPr>
        <w:t>Management Stockholder’s Agreement</w:t>
      </w:r>
    </w:p>
    <w:p>
      <w:pPr>
        <w:spacing w:after="0" w:line="274" w:lineRule="exact"/>
        <w:rPr>
          <w:sz w:val="20"/>
          <w:szCs w:val="20"/>
          <w:color w:val="auto"/>
        </w:rPr>
      </w:pPr>
    </w:p>
    <w:p>
      <w:pPr>
        <w:ind w:right="220" w:firstLine="1297"/>
        <w:spacing w:after="0" w:line="302" w:lineRule="auto"/>
        <w:rPr>
          <w:sz w:val="20"/>
          <w:szCs w:val="20"/>
          <w:color w:val="auto"/>
        </w:rPr>
      </w:pPr>
      <w:r>
        <w:rPr>
          <w:rFonts w:ascii="Arial" w:cs="Arial" w:eastAsia="Arial" w:hAnsi="Arial"/>
          <w:sz w:val="22"/>
          <w:szCs w:val="22"/>
          <w:color w:val="auto"/>
        </w:rPr>
        <w:t>“Management Stockholder’s Agreement” shall mean that certain Management Stockholder’s Agreement between the Optionee and the Company dated as of the Grant Date.</w:t>
      </w:r>
    </w:p>
    <w:p>
      <w:pPr>
        <w:spacing w:after="0" w:line="174"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Option</w:t>
      </w:r>
    </w:p>
    <w:p>
      <w:pPr>
        <w:spacing w:after="0" w:line="274" w:lineRule="exact"/>
        <w:rPr>
          <w:sz w:val="20"/>
          <w:szCs w:val="20"/>
          <w:color w:val="auto"/>
        </w:rPr>
      </w:pPr>
    </w:p>
    <w:p>
      <w:pPr>
        <w:ind w:right="160" w:firstLine="1297"/>
        <w:spacing w:after="0" w:line="302" w:lineRule="auto"/>
        <w:rPr>
          <w:sz w:val="20"/>
          <w:szCs w:val="20"/>
          <w:color w:val="auto"/>
        </w:rPr>
      </w:pPr>
      <w:r>
        <w:rPr>
          <w:rFonts w:ascii="Arial" w:cs="Arial" w:eastAsia="Arial" w:hAnsi="Arial"/>
          <w:sz w:val="22"/>
          <w:szCs w:val="22"/>
          <w:color w:val="auto"/>
        </w:rPr>
        <w:t>“Option” shall mean the aggregate of the Time Options and the Performance Options granted under Section 2.1 of this Grant Agreement.</w:t>
      </w:r>
    </w:p>
    <w:p>
      <w:pPr>
        <w:spacing w:after="0" w:line="174"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Performance Option</w:t>
      </w:r>
    </w:p>
    <w:p>
      <w:pPr>
        <w:spacing w:after="0" w:line="274" w:lineRule="exact"/>
        <w:rPr>
          <w:sz w:val="20"/>
          <w:szCs w:val="20"/>
          <w:color w:val="auto"/>
        </w:rPr>
      </w:pPr>
    </w:p>
    <w:p>
      <w:pPr>
        <w:ind w:right="120" w:firstLine="1297"/>
        <w:spacing w:after="0" w:line="387" w:lineRule="auto"/>
        <w:rPr>
          <w:sz w:val="20"/>
          <w:szCs w:val="20"/>
          <w:color w:val="auto"/>
        </w:rPr>
      </w:pPr>
      <w:r>
        <w:rPr>
          <w:rFonts w:ascii="Arial" w:cs="Arial" w:eastAsia="Arial" w:hAnsi="Arial"/>
          <w:sz w:val="19"/>
          <w:szCs w:val="19"/>
          <w:color w:val="auto"/>
        </w:rPr>
        <w:t xml:space="preserve">“Performance Option” shall mean the right and option to purchase, on the terms and conditions set forth herein, all or any part of an aggregate of the number of Shares set forth on </w:t>
      </w:r>
      <w:r>
        <w:rPr>
          <w:rFonts w:ascii="Arial" w:cs="Arial" w:eastAsia="Arial" w:hAnsi="Arial"/>
          <w:sz w:val="19"/>
          <w:szCs w:val="19"/>
          <w:b w:val="1"/>
          <w:bCs w:val="1"/>
          <w:u w:val="single" w:color="auto"/>
          <w:color w:val="auto"/>
        </w:rPr>
        <w:t>Schedule A</w:t>
      </w:r>
      <w:r>
        <w:rPr>
          <w:rFonts w:ascii="Arial" w:cs="Arial" w:eastAsia="Arial" w:hAnsi="Arial"/>
          <w:sz w:val="19"/>
          <w:szCs w:val="19"/>
          <w:color w:val="auto"/>
        </w:rPr>
        <w:t xml:space="preserve"> hereof opposite the term Performance Option.</w:t>
      </w:r>
    </w:p>
    <w:p>
      <w:pPr>
        <w:spacing w:after="0" w:line="106"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Realization Event</w:t>
      </w:r>
    </w:p>
    <w:p>
      <w:pPr>
        <w:spacing w:after="0" w:line="260"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“Realization Event” shall mean an event or transaction (or a series of events or transactions), including, without limitation, a Change in Control, extraordinary dividend payment(s) by the Company to holders of Shares, and/or sales of Shares by the Sponsors into the public market, in any such case wherein the Sponsors receive cash, on a cumulative basis, in respect of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40"/>
          </w:cols>
          <w:pgMar w:left="240" w:top="861" w:right="319" w:bottom="1440" w:gutter="0" w:footer="0" w:header="0"/>
        </w:sectPr>
      </w:pPr>
    </w:p>
    <w:bookmarkStart w:id="145" w:name="page146"/>
    <w:bookmarkEnd w:id="145"/>
    <w:p>
      <w:pPr>
        <w:spacing w:after="0"/>
        <w:tabs>
          <w:tab w:leader="none" w:pos="130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Restrictive Covenants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“Restrictive Covenants” means, with respect to a given Optionee, any restrictive covenant obligations of such</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Optionee contained in an agreement between such Optionee and the Company (or any Affiliate thereof) requiring such Optionee to:</w:t>
      </w:r>
    </w:p>
    <w:p>
      <w:pPr>
        <w:spacing w:after="0" w:line="38" w:lineRule="exact"/>
        <w:rPr>
          <w:sz w:val="20"/>
          <w:szCs w:val="20"/>
          <w:color w:val="auto"/>
        </w:rPr>
      </w:pPr>
    </w:p>
    <w:p>
      <w:pPr>
        <w:jc w:val="both"/>
        <w:ind w:right="340" w:firstLine="8"/>
        <w:spacing w:after="0" w:line="245" w:lineRule="auto"/>
        <w:tabs>
          <w:tab w:leader="none" w:pos="258" w:val="left"/>
        </w:tabs>
        <w:numPr>
          <w:ilvl w:val="0"/>
          <w:numId w:val="76"/>
        </w:numPr>
        <w:rPr>
          <w:rFonts w:ascii="Arial" w:cs="Arial" w:eastAsia="Arial" w:hAnsi="Arial"/>
          <w:sz w:val="22"/>
          <w:szCs w:val="22"/>
          <w:color w:val="auto"/>
        </w:rPr>
      </w:pPr>
      <w:r>
        <w:rPr>
          <w:rFonts w:ascii="Arial" w:cs="Arial" w:eastAsia="Arial" w:hAnsi="Arial"/>
          <w:sz w:val="22"/>
          <w:szCs w:val="22"/>
          <w:color w:val="auto"/>
        </w:rPr>
        <w:t>take certain actions (including, by way of example, assignment of intellectual property rights), and/or (ii) refrain from taking certain actions (including, by way of example, non-competition, no-hire, non-solicitation, non-disparagement, confidentiality or other similar restrictive covenant obligations).</w:t>
      </w:r>
    </w:p>
    <w:p>
      <w:pPr>
        <w:spacing w:after="0" w:line="200" w:lineRule="exact"/>
        <w:rPr>
          <w:sz w:val="20"/>
          <w:szCs w:val="20"/>
          <w:color w:val="auto"/>
        </w:rPr>
      </w:pPr>
    </w:p>
    <w:p>
      <w:pPr>
        <w:spacing w:after="0" w:line="39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1.10.</w:t>
      </w:r>
      <w:r>
        <w:rPr>
          <w:sz w:val="20"/>
          <w:szCs w:val="20"/>
          <w:color w:val="auto"/>
        </w:rPr>
        <w:tab/>
      </w:r>
      <w:r>
        <w:rPr>
          <w:rFonts w:ascii="Arial" w:cs="Arial" w:eastAsia="Arial" w:hAnsi="Arial"/>
          <w:sz w:val="19"/>
          <w:szCs w:val="19"/>
          <w:u w:val="single" w:color="auto"/>
          <w:color w:val="auto"/>
        </w:rPr>
        <w:t>Sale Participation Agreement</w:t>
      </w:r>
    </w:p>
    <w:p>
      <w:pPr>
        <w:spacing w:after="0" w:line="274" w:lineRule="exact"/>
        <w:rPr>
          <w:sz w:val="20"/>
          <w:szCs w:val="20"/>
          <w:color w:val="auto"/>
        </w:rPr>
      </w:pPr>
    </w:p>
    <w:p>
      <w:pPr>
        <w:ind w:right="460" w:firstLine="1297"/>
        <w:spacing w:after="0" w:line="302" w:lineRule="auto"/>
        <w:rPr>
          <w:sz w:val="20"/>
          <w:szCs w:val="20"/>
          <w:color w:val="auto"/>
        </w:rPr>
      </w:pPr>
      <w:r>
        <w:rPr>
          <w:rFonts w:ascii="Arial" w:cs="Arial" w:eastAsia="Arial" w:hAnsi="Arial"/>
          <w:sz w:val="22"/>
          <w:szCs w:val="22"/>
          <w:color w:val="auto"/>
        </w:rPr>
        <w:t>“Sale Participation Agreement” shall mean that certain Sale Participation Agreement between the Optionee and KKR Vision Aggregator L.P. dated as of the Grant Date.</w:t>
      </w:r>
    </w:p>
    <w:p>
      <w:pPr>
        <w:spacing w:after="0" w:line="174"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Sponsor IRR</w:t>
      </w:r>
    </w:p>
    <w:p>
      <w:pPr>
        <w:spacing w:after="0" w:line="260" w:lineRule="exact"/>
        <w:rPr>
          <w:sz w:val="20"/>
          <w:szCs w:val="20"/>
          <w:color w:val="auto"/>
        </w:rPr>
      </w:pPr>
    </w:p>
    <w:p>
      <w:pPr>
        <w:ind w:right="20" w:firstLine="1297"/>
        <w:spacing w:after="0" w:line="286" w:lineRule="auto"/>
        <w:rPr>
          <w:sz w:val="20"/>
          <w:szCs w:val="20"/>
          <w:color w:val="auto"/>
        </w:rPr>
      </w:pPr>
      <w:r>
        <w:rPr>
          <w:rFonts w:ascii="Arial" w:cs="Arial" w:eastAsia="Arial" w:hAnsi="Arial"/>
          <w:sz w:val="19"/>
          <w:szCs w:val="19"/>
          <w:color w:val="auto"/>
        </w:rPr>
        <w:t>“Sponsor IRR” shall mean, as of the date of any Realization Event (any such date, a “</w:t>
      </w:r>
      <w:r>
        <w:rPr>
          <w:rFonts w:ascii="Arial" w:cs="Arial" w:eastAsia="Arial" w:hAnsi="Arial"/>
          <w:sz w:val="19"/>
          <w:szCs w:val="19"/>
          <w:u w:val="single" w:color="auto"/>
          <w:color w:val="auto"/>
        </w:rPr>
        <w:t>Measurement Date</w:t>
      </w:r>
      <w:r>
        <w:rPr>
          <w:rFonts w:ascii="Arial" w:cs="Arial" w:eastAsia="Arial" w:hAnsi="Arial"/>
          <w:sz w:val="19"/>
          <w:szCs w:val="19"/>
          <w:color w:val="auto"/>
        </w:rPr>
        <w:t>”), the cumulative internal rate of return of the Sponsor (calculated as follows) where the internal rate of return shall be the annually compounded rate of return which results in the following amount having a net present value equal to zero: (i) the aggregate amount of cash distributed to the Sponsors from time to time on a cumulative basis through such date (provided that in no circumstances shall any fees paid to the Sponsor or expenses reimbursed to the Sponsors from time to time (“</w:t>
      </w:r>
      <w:r>
        <w:rPr>
          <w:rFonts w:ascii="Arial" w:cs="Arial" w:eastAsia="Arial" w:hAnsi="Arial"/>
          <w:sz w:val="19"/>
          <w:szCs w:val="19"/>
          <w:u w:val="single" w:color="auto"/>
          <w:color w:val="auto"/>
        </w:rPr>
        <w:t>Sponsor Fees</w:t>
      </w:r>
      <w:r>
        <w:rPr>
          <w:rFonts w:ascii="Arial" w:cs="Arial" w:eastAsia="Arial" w:hAnsi="Arial"/>
          <w:sz w:val="19"/>
          <w:szCs w:val="19"/>
          <w:color w:val="auto"/>
        </w:rPr>
        <w:t xml:space="preserve">”) be included in this clause (i)),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aggregate amount of the cash invested in (and the initial gross asset value of any property (other than money) contributed to) the Company by the Sponsors, directly or indirectly, from time to time in respect of such investment (the “</w:t>
      </w:r>
      <w:r>
        <w:rPr>
          <w:rFonts w:ascii="Arial" w:cs="Arial" w:eastAsia="Arial" w:hAnsi="Arial"/>
          <w:sz w:val="19"/>
          <w:szCs w:val="19"/>
          <w:u w:val="single" w:color="auto"/>
          <w:color w:val="auto"/>
        </w:rPr>
        <w:t>Aggregate Investment</w:t>
      </w:r>
      <w:r>
        <w:rPr>
          <w:rFonts w:ascii="Arial" w:cs="Arial" w:eastAsia="Arial" w:hAnsi="Arial"/>
          <w:sz w:val="19"/>
          <w:szCs w:val="19"/>
          <w:color w:val="auto"/>
        </w:rPr>
        <w:t>”). In determining the Sponsor IRR, the following shall apply: (a) capital contributions shall be deemed to have been made on the last day of the calendar month in which they are made (except for the initial capital contribution which shall be deemed to have been made on the Closing Date); (b) distributions shall be deemed to have been made on the last day of the calendar month in which they are made; (c) all distributions shall be based on the amount distributed prior to the application of any U.S. federal, state or local taxation to the Sponsors; (d) the rates of return shall be per annum rates and all amounts shall be calculated on a annually compounded basis, and on the basis of a 365-day year; and (e) the Sponsor IRR shall be determined on a fully diluted basis, assuming inclusion of all Shares underlying all then outstanding Time Options and Performance Options.</w:t>
      </w:r>
    </w:p>
    <w:p>
      <w:pPr>
        <w:spacing w:after="0" w:line="200" w:lineRule="exact"/>
        <w:rPr>
          <w:sz w:val="20"/>
          <w:szCs w:val="20"/>
          <w:color w:val="auto"/>
        </w:rPr>
      </w:pPr>
    </w:p>
    <w:p>
      <w:pPr>
        <w:spacing w:after="0" w:line="36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Sponsor MOIC</w:t>
      </w:r>
    </w:p>
    <w:p>
      <w:pPr>
        <w:spacing w:after="0" w:line="260"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2"/>
          <w:szCs w:val="22"/>
          <w:color w:val="auto"/>
        </w:rPr>
        <w:t>“Sponsor MOIC” shall mean, as of the date of any Realization Event, the result, rounded to the nearest tenth, obtained by dividing (i) the cash consideration received by the Sponsors (other than any Sponsor Fees), directly or indirectly, on a cumulative basis, as of such date, by (ii) the Aggregate Investment.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861" w:right="259" w:bottom="1440" w:gutter="0" w:footer="0" w:header="0"/>
        </w:sectPr>
      </w:pPr>
    </w:p>
    <w:bookmarkStart w:id="146" w:name="page147"/>
    <w:bookmarkEnd w:id="146"/>
    <w:p>
      <w:pPr>
        <w:spacing w:after="0"/>
        <w:tabs>
          <w:tab w:leader="none" w:pos="142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8"/>
          <w:szCs w:val="18"/>
          <w:u w:val="single" w:color="auto"/>
          <w:color w:val="auto"/>
        </w:rPr>
        <w:t>Target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“Target” shall mean the management EBITDA target established by the Board for each fiscal year of the Company.</w:t>
      </w:r>
    </w:p>
    <w:p>
      <w:pPr>
        <w:spacing w:after="0" w:line="30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1.14.</w:t>
      </w:r>
      <w:r>
        <w:rPr>
          <w:sz w:val="20"/>
          <w:szCs w:val="20"/>
          <w:color w:val="auto"/>
        </w:rPr>
        <w:tab/>
      </w:r>
      <w:r>
        <w:rPr>
          <w:rFonts w:ascii="Arial" w:cs="Arial" w:eastAsia="Arial" w:hAnsi="Arial"/>
          <w:sz w:val="19"/>
          <w:szCs w:val="19"/>
          <w:u w:val="single" w:color="auto"/>
          <w:color w:val="auto"/>
        </w:rPr>
        <w:t>Time Option</w:t>
      </w:r>
    </w:p>
    <w:p>
      <w:pPr>
        <w:spacing w:after="0" w:line="274" w:lineRule="exact"/>
        <w:rPr>
          <w:sz w:val="20"/>
          <w:szCs w:val="20"/>
          <w:color w:val="auto"/>
        </w:rPr>
      </w:pPr>
    </w:p>
    <w:p>
      <w:pPr>
        <w:ind w:right="180" w:firstLine="1297"/>
        <w:spacing w:after="0" w:line="328" w:lineRule="auto"/>
        <w:rPr>
          <w:sz w:val="20"/>
          <w:szCs w:val="20"/>
          <w:color w:val="auto"/>
        </w:rPr>
      </w:pPr>
      <w:r>
        <w:rPr>
          <w:rFonts w:ascii="Arial" w:cs="Arial" w:eastAsia="Arial" w:hAnsi="Arial"/>
          <w:sz w:val="21"/>
          <w:szCs w:val="21"/>
          <w:color w:val="auto"/>
        </w:rPr>
        <w:t xml:space="preserve">“Time Option” shall mean the right and option to purchase, on the terms and conditions set forth herein, all or any part of an aggregate of the number of Shares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hereof opposite the term Time Option</w:t>
      </w:r>
      <w:r>
        <w:rPr>
          <w:rFonts w:ascii="Arial" w:cs="Arial" w:eastAsia="Arial" w:hAnsi="Arial"/>
          <w:sz w:val="21"/>
          <w:szCs w:val="21"/>
          <w:u w:val="single" w:color="auto"/>
          <w:color w:val="auto"/>
        </w:rPr>
        <w:t>.</w:t>
      </w:r>
    </w:p>
    <w:p>
      <w:pPr>
        <w:spacing w:after="0" w:line="25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1.15.</w:t>
      </w:r>
      <w:r>
        <w:rPr>
          <w:sz w:val="20"/>
          <w:szCs w:val="20"/>
          <w:color w:val="auto"/>
        </w:rPr>
        <w:tab/>
      </w:r>
      <w:r>
        <w:rPr>
          <w:rFonts w:ascii="Arial" w:cs="Arial" w:eastAsia="Arial" w:hAnsi="Arial"/>
          <w:sz w:val="19"/>
          <w:szCs w:val="19"/>
          <w:u w:val="single" w:color="auto"/>
          <w:color w:val="auto"/>
        </w:rPr>
        <w:t>Tranche</w:t>
      </w:r>
    </w:p>
    <w:p>
      <w:pPr>
        <w:spacing w:after="0" w:line="260" w:lineRule="exact"/>
        <w:rPr>
          <w:sz w:val="20"/>
          <w:szCs w:val="20"/>
          <w:color w:val="auto"/>
        </w:rPr>
      </w:pPr>
    </w:p>
    <w:p>
      <w:pPr>
        <w:ind w:right="140" w:firstLine="1297"/>
        <w:spacing w:after="0" w:line="343" w:lineRule="auto"/>
        <w:rPr>
          <w:sz w:val="20"/>
          <w:szCs w:val="20"/>
          <w:color w:val="auto"/>
        </w:rPr>
      </w:pPr>
      <w:r>
        <w:rPr>
          <w:rFonts w:ascii="Arial" w:cs="Arial" w:eastAsia="Arial" w:hAnsi="Arial"/>
          <w:sz w:val="19"/>
          <w:szCs w:val="19"/>
          <w:color w:val="auto"/>
        </w:rPr>
        <w:t>“Tranche” shall mean 20% of the Shares subject to the Performance Option; each Tranche constitutes a separate 20% of the Shares subject to the Performance Option, and corresponds to a separate fiscal year covered by this Grant Agreement.</w:t>
      </w:r>
    </w:p>
    <w:p>
      <w:pPr>
        <w:spacing w:after="0" w:line="18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ARTICLE II</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GRANT OF OPTIONS</w:t>
      </w:r>
    </w:p>
    <w:p>
      <w:pPr>
        <w:spacing w:after="0" w:line="152"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Grant of Options</w:t>
      </w:r>
    </w:p>
    <w:p>
      <w:pPr>
        <w:spacing w:after="0" w:line="200" w:lineRule="exact"/>
        <w:rPr>
          <w:sz w:val="20"/>
          <w:szCs w:val="20"/>
          <w:color w:val="auto"/>
        </w:rPr>
      </w:pPr>
    </w:p>
    <w:p>
      <w:pPr>
        <w:spacing w:after="0" w:line="290" w:lineRule="exact"/>
        <w:rPr>
          <w:sz w:val="20"/>
          <w:szCs w:val="20"/>
          <w:color w:val="auto"/>
        </w:rPr>
      </w:pPr>
    </w:p>
    <w:p>
      <w:pPr>
        <w:ind w:right="120" w:firstLine="1297"/>
        <w:spacing w:after="0" w:line="292" w:lineRule="auto"/>
        <w:rPr>
          <w:sz w:val="20"/>
          <w:szCs w:val="20"/>
          <w:color w:val="auto"/>
        </w:rPr>
      </w:pPr>
      <w:r>
        <w:rPr>
          <w:rFonts w:ascii="Arial" w:cs="Arial" w:eastAsia="Arial" w:hAnsi="Arial"/>
          <w:sz w:val="22"/>
          <w:szCs w:val="22"/>
          <w:color w:val="auto"/>
        </w:rPr>
        <w:t>For good and valuable consideration, on and as of the Grant Date, the Company irrevocably grants to the Optionee the following Stock Options: (a) the Time Option and (b) the Performance Option, in each case on the terms and conditions set forth in this Grant Agreement.</w:t>
      </w:r>
    </w:p>
    <w:p>
      <w:pPr>
        <w:spacing w:after="0" w:line="184"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Exercise Price</w:t>
      </w:r>
    </w:p>
    <w:p>
      <w:pPr>
        <w:spacing w:after="0" w:line="274" w:lineRule="exact"/>
        <w:rPr>
          <w:sz w:val="20"/>
          <w:szCs w:val="20"/>
          <w:color w:val="auto"/>
        </w:rPr>
      </w:pPr>
    </w:p>
    <w:p>
      <w:pPr>
        <w:ind w:firstLine="1297"/>
        <w:spacing w:after="0" w:line="302" w:lineRule="auto"/>
        <w:rPr>
          <w:sz w:val="20"/>
          <w:szCs w:val="20"/>
          <w:color w:val="auto"/>
        </w:rPr>
      </w:pPr>
      <w:r>
        <w:rPr>
          <w:rFonts w:ascii="Arial" w:cs="Arial" w:eastAsia="Arial" w:hAnsi="Arial"/>
          <w:sz w:val="22"/>
          <w:szCs w:val="22"/>
          <w:color w:val="auto"/>
        </w:rPr>
        <w:t>Subject to Section 2.4, the exercise price per Share covered by the Option (the “</w:t>
      </w:r>
      <w:r>
        <w:rPr>
          <w:rFonts w:ascii="Arial" w:cs="Arial" w:eastAsia="Arial" w:hAnsi="Arial"/>
          <w:sz w:val="22"/>
          <w:szCs w:val="22"/>
          <w:u w:val="single" w:color="auto"/>
          <w:color w:val="auto"/>
        </w:rPr>
        <w:t>Exercise Price</w:t>
      </w:r>
      <w:r>
        <w:rPr>
          <w:rFonts w:ascii="Arial" w:cs="Arial" w:eastAsia="Arial" w:hAnsi="Arial"/>
          <w:sz w:val="22"/>
          <w:szCs w:val="22"/>
          <w:color w:val="auto"/>
        </w:rPr>
        <w:t xml:space="preserve">”) shall be as set forth on </w:t>
      </w:r>
      <w:r>
        <w:rPr>
          <w:rFonts w:ascii="Arial" w:cs="Arial" w:eastAsia="Arial" w:hAnsi="Arial"/>
          <w:sz w:val="22"/>
          <w:szCs w:val="22"/>
          <w:b w:val="1"/>
          <w:bCs w:val="1"/>
          <w:u w:val="single" w:color="auto"/>
          <w:color w:val="auto"/>
        </w:rPr>
        <w:t>Schedule A</w:t>
      </w:r>
      <w:r>
        <w:rPr>
          <w:rFonts w:ascii="Arial" w:cs="Arial" w:eastAsia="Arial" w:hAnsi="Arial"/>
          <w:sz w:val="22"/>
          <w:szCs w:val="22"/>
          <w:color w:val="auto"/>
        </w:rPr>
        <w:t xml:space="preserve"> hereof, which shall be the Fair Market Value on the Grant Date.</w:t>
      </w:r>
    </w:p>
    <w:p>
      <w:pPr>
        <w:spacing w:after="0" w:line="174"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Certain Adjustments to Stock Options</w:t>
      </w:r>
    </w:p>
    <w:p>
      <w:pPr>
        <w:spacing w:after="0" w:line="274" w:lineRule="exact"/>
        <w:rPr>
          <w:sz w:val="20"/>
          <w:szCs w:val="20"/>
          <w:color w:val="auto"/>
        </w:rPr>
      </w:pPr>
    </w:p>
    <w:p>
      <w:pPr>
        <w:ind w:right="640" w:firstLine="1297"/>
        <w:spacing w:after="0" w:line="302" w:lineRule="auto"/>
        <w:rPr>
          <w:sz w:val="20"/>
          <w:szCs w:val="20"/>
          <w:color w:val="auto"/>
        </w:rPr>
      </w:pPr>
      <w:r>
        <w:rPr>
          <w:rFonts w:ascii="Arial" w:cs="Arial" w:eastAsia="Arial" w:hAnsi="Arial"/>
          <w:sz w:val="22"/>
          <w:szCs w:val="22"/>
          <w:color w:val="auto"/>
        </w:rPr>
        <w:t>The Option shall be subject to, and the Optionee shall have such rights as are specified under, the adjustment provisions of Sections 8 and 9 of the Plan, as applicable.</w:t>
      </w: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ARTICLE III</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PERIOD OF EXERCISABILITY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40" w:top="1293" w:right="319" w:bottom="1440" w:gutter="0" w:footer="0" w:header="0"/>
        </w:sectPr>
      </w:pPr>
    </w:p>
    <w:bookmarkStart w:id="147" w:name="page148"/>
    <w:bookmarkEnd w:id="147"/>
    <w:p>
      <w:pPr>
        <w:spacing w:after="0"/>
        <w:tabs>
          <w:tab w:leader="none" w:pos="158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Commencement of Exercisability</w:t>
      </w:r>
    </w:p>
    <w:p>
      <w:pPr>
        <w:spacing w:after="0" w:line="274" w:lineRule="exact"/>
        <w:rPr>
          <w:sz w:val="20"/>
          <w:szCs w:val="20"/>
          <w:color w:val="auto"/>
        </w:rPr>
      </w:pPr>
    </w:p>
    <w:p>
      <w:pPr>
        <w:ind w:left="80" w:firstLine="1306"/>
        <w:spacing w:after="0" w:line="402" w:lineRule="auto"/>
        <w:tabs>
          <w:tab w:leader="none" w:pos="17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So long as the Optionee continues to be employed or retained by the Company or any of its Service Recipients through each applicable vesting date specified below, the Option shall become exercisable pursuant to the following schedules:</w:t>
      </w:r>
    </w:p>
    <w:p>
      <w:pPr>
        <w:spacing w:after="0" w:line="91" w:lineRule="exact"/>
        <w:rPr>
          <w:rFonts w:ascii="Arial" w:cs="Arial" w:eastAsia="Arial" w:hAnsi="Arial"/>
          <w:sz w:val="19"/>
          <w:szCs w:val="19"/>
          <w:color w:val="auto"/>
        </w:rPr>
      </w:pPr>
    </w:p>
    <w:p>
      <w:pPr>
        <w:ind w:right="200" w:firstLine="1953"/>
        <w:spacing w:after="0" w:line="315" w:lineRule="auto"/>
        <w:tabs>
          <w:tab w:leader="none" w:pos="2329" w:val="left"/>
        </w:tabs>
        <w:numPr>
          <w:ilvl w:val="1"/>
          <w:numId w:val="77"/>
        </w:numPr>
        <w:rPr>
          <w:rFonts w:ascii="Arial" w:cs="Arial" w:eastAsia="Arial" w:hAnsi="Arial"/>
          <w:sz w:val="22"/>
          <w:szCs w:val="22"/>
          <w:color w:val="auto"/>
        </w:rPr>
      </w:pPr>
      <w:r>
        <w:rPr>
          <w:rFonts w:ascii="Arial" w:cs="Arial" w:eastAsia="Arial" w:hAnsi="Arial"/>
          <w:sz w:val="22"/>
          <w:szCs w:val="22"/>
          <w:i w:val="1"/>
          <w:iCs w:val="1"/>
          <w:color w:val="auto"/>
        </w:rPr>
        <w:t>Time Option</w:t>
      </w:r>
      <w:r>
        <w:rPr>
          <w:rFonts w:ascii="Arial" w:cs="Arial" w:eastAsia="Arial" w:hAnsi="Arial"/>
          <w:sz w:val="22"/>
          <w:szCs w:val="22"/>
          <w:color w:val="auto"/>
        </w:rPr>
        <w:t>. The Time Option shall become vested and exercisable with respect to 20% of the Shares</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such Option on each of the first five anniversaries of the Grant Date, respectively.</w:t>
      </w:r>
    </w:p>
    <w:p>
      <w:pPr>
        <w:spacing w:after="0" w:line="159" w:lineRule="exact"/>
        <w:rPr>
          <w:rFonts w:ascii="Arial" w:cs="Arial" w:eastAsia="Arial" w:hAnsi="Arial"/>
          <w:sz w:val="22"/>
          <w:szCs w:val="22"/>
          <w:color w:val="auto"/>
        </w:rPr>
      </w:pPr>
    </w:p>
    <w:p>
      <w:pPr>
        <w:ind w:left="2400" w:hanging="447"/>
        <w:spacing w:after="0"/>
        <w:tabs>
          <w:tab w:leader="none" w:pos="2400" w:val="left"/>
        </w:tabs>
        <w:numPr>
          <w:ilvl w:val="1"/>
          <w:numId w:val="77"/>
        </w:numPr>
        <w:rPr>
          <w:rFonts w:ascii="Arial" w:cs="Arial" w:eastAsia="Arial" w:hAnsi="Arial"/>
          <w:sz w:val="19"/>
          <w:szCs w:val="19"/>
          <w:color w:val="auto"/>
        </w:rPr>
      </w:pPr>
      <w:r>
        <w:rPr>
          <w:rFonts w:ascii="Arial" w:cs="Arial" w:eastAsia="Arial" w:hAnsi="Arial"/>
          <w:sz w:val="19"/>
          <w:szCs w:val="19"/>
          <w:i w:val="1"/>
          <w:iCs w:val="1"/>
          <w:color w:val="auto"/>
        </w:rPr>
        <w:t>Performance Option</w:t>
      </w:r>
      <w:r>
        <w:rPr>
          <w:rFonts w:ascii="Arial" w:cs="Arial" w:eastAsia="Arial" w:hAnsi="Arial"/>
          <w:sz w:val="19"/>
          <w:szCs w:val="19"/>
          <w:color w:val="auto"/>
        </w:rPr>
        <w:t>. As of each date that the Board determines, with respect to a concluded fiscal year</w:t>
      </w:r>
    </w:p>
    <w:p>
      <w:pPr>
        <w:spacing w:after="0" w:line="92" w:lineRule="exact"/>
        <w:rPr>
          <w:rFonts w:ascii="Arial" w:cs="Arial" w:eastAsia="Arial" w:hAnsi="Arial"/>
          <w:sz w:val="19"/>
          <w:szCs w:val="19"/>
          <w:color w:val="auto"/>
        </w:rPr>
      </w:pPr>
    </w:p>
    <w:p>
      <w:pPr>
        <w:ind w:right="100"/>
        <w:spacing w:after="0" w:line="302" w:lineRule="auto"/>
        <w:rPr>
          <w:rFonts w:ascii="Arial" w:cs="Arial" w:eastAsia="Arial" w:hAnsi="Arial"/>
          <w:sz w:val="19"/>
          <w:szCs w:val="19"/>
          <w:color w:val="auto"/>
        </w:rPr>
      </w:pPr>
      <w:r>
        <w:rPr>
          <w:rFonts w:ascii="Arial" w:cs="Arial" w:eastAsia="Arial" w:hAnsi="Arial"/>
          <w:sz w:val="22"/>
          <w:szCs w:val="22"/>
          <w:color w:val="auto"/>
        </w:rPr>
        <w:t>of the Company, whether and to what extent the Target has been met, the Performance Option may become vested and exercisable with respect to a number of shares of Common Stock subject thereto, as follows:</w:t>
      </w:r>
    </w:p>
    <w:p>
      <w:pPr>
        <w:spacing w:after="0" w:line="174" w:lineRule="exact"/>
        <w:rPr>
          <w:sz w:val="20"/>
          <w:szCs w:val="20"/>
          <w:color w:val="auto"/>
        </w:rPr>
      </w:pPr>
    </w:p>
    <w:p>
      <w:pPr>
        <w:ind w:left="2600" w:right="180" w:hanging="647"/>
        <w:spacing w:after="0" w:line="302" w:lineRule="auto"/>
        <w:tabs>
          <w:tab w:leader="none" w:pos="26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first, for the 2017 fiscal year of the Company, the Target shall be deemed to have been met, and the initial Tranche shall become vested and exercisable;</w:t>
      </w:r>
    </w:p>
    <w:p>
      <w:pPr>
        <w:spacing w:after="0" w:line="173" w:lineRule="exact"/>
        <w:rPr>
          <w:rFonts w:ascii="Arial" w:cs="Arial" w:eastAsia="Arial" w:hAnsi="Arial"/>
          <w:sz w:val="22"/>
          <w:szCs w:val="22"/>
          <w:color w:val="auto"/>
        </w:rPr>
      </w:pPr>
    </w:p>
    <w:p>
      <w:pPr>
        <w:ind w:left="2600" w:right="40" w:hanging="647"/>
        <w:spacing w:after="0" w:line="288" w:lineRule="auto"/>
        <w:tabs>
          <w:tab w:leader="none" w:pos="26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second, for each of the subsequent four fiscal years of the Company, the Board shall determine whether and to what extent the Target has been achieved, and upon such determination, an additional Tranche may, with respect to each such subsequent fiscal year, become vested and exercisable as follows:</w:t>
      </w:r>
    </w:p>
    <w:p>
      <w:pPr>
        <w:spacing w:after="0" w:line="190" w:lineRule="exact"/>
        <w:rPr>
          <w:rFonts w:ascii="Arial" w:cs="Arial" w:eastAsia="Arial" w:hAnsi="Arial"/>
          <w:sz w:val="22"/>
          <w:szCs w:val="22"/>
          <w:color w:val="auto"/>
        </w:rPr>
      </w:pPr>
    </w:p>
    <w:p>
      <w:pPr>
        <w:ind w:left="2600" w:right="200" w:firstLine="1"/>
        <w:spacing w:after="0" w:line="302" w:lineRule="auto"/>
        <w:tabs>
          <w:tab w:leader="none" w:pos="2906" w:val="left"/>
        </w:tabs>
        <w:numPr>
          <w:ilvl w:val="1"/>
          <w:numId w:val="78"/>
        </w:numPr>
        <w:rPr>
          <w:rFonts w:ascii="Arial" w:cs="Arial" w:eastAsia="Arial" w:hAnsi="Arial"/>
          <w:sz w:val="22"/>
          <w:szCs w:val="22"/>
          <w:color w:val="auto"/>
        </w:rPr>
      </w:pPr>
      <w:r>
        <w:rPr>
          <w:rFonts w:ascii="Arial" w:cs="Arial" w:eastAsia="Arial" w:hAnsi="Arial"/>
          <w:sz w:val="22"/>
          <w:szCs w:val="22"/>
          <w:color w:val="auto"/>
        </w:rPr>
        <w:t>if the management EBITDA achieved in such fiscal year is less than 95% of the Target, then no portion of the Tranche shall become vested and exercisable;</w:t>
      </w:r>
    </w:p>
    <w:p>
      <w:pPr>
        <w:spacing w:after="0" w:line="173" w:lineRule="exact"/>
        <w:rPr>
          <w:rFonts w:ascii="Arial" w:cs="Arial" w:eastAsia="Arial" w:hAnsi="Arial"/>
          <w:sz w:val="22"/>
          <w:szCs w:val="22"/>
          <w:color w:val="auto"/>
        </w:rPr>
      </w:pPr>
    </w:p>
    <w:p>
      <w:pPr>
        <w:ind w:left="2600" w:right="160" w:firstLine="1"/>
        <w:spacing w:after="0" w:line="302" w:lineRule="auto"/>
        <w:tabs>
          <w:tab w:leader="none" w:pos="2906" w:val="left"/>
        </w:tabs>
        <w:numPr>
          <w:ilvl w:val="1"/>
          <w:numId w:val="78"/>
        </w:numPr>
        <w:rPr>
          <w:rFonts w:ascii="Arial" w:cs="Arial" w:eastAsia="Arial" w:hAnsi="Arial"/>
          <w:sz w:val="22"/>
          <w:szCs w:val="22"/>
          <w:color w:val="auto"/>
        </w:rPr>
      </w:pPr>
      <w:r>
        <w:rPr>
          <w:rFonts w:ascii="Arial" w:cs="Arial" w:eastAsia="Arial" w:hAnsi="Arial"/>
          <w:sz w:val="22"/>
          <w:szCs w:val="22"/>
          <w:color w:val="auto"/>
        </w:rPr>
        <w:t>if the management EBITDA achieved in such fiscal year is at least 95% of the Target, then 50% of the Tranche shall become vested and exercisable;</w:t>
      </w:r>
    </w:p>
    <w:p>
      <w:pPr>
        <w:spacing w:after="0" w:line="173" w:lineRule="exact"/>
        <w:rPr>
          <w:rFonts w:ascii="Arial" w:cs="Arial" w:eastAsia="Arial" w:hAnsi="Arial"/>
          <w:sz w:val="22"/>
          <w:szCs w:val="22"/>
          <w:color w:val="auto"/>
        </w:rPr>
      </w:pPr>
    </w:p>
    <w:p>
      <w:pPr>
        <w:ind w:left="2600" w:right="40" w:firstLine="1"/>
        <w:spacing w:after="0" w:line="288" w:lineRule="auto"/>
        <w:tabs>
          <w:tab w:leader="none" w:pos="2906" w:val="left"/>
        </w:tabs>
        <w:numPr>
          <w:ilvl w:val="1"/>
          <w:numId w:val="78"/>
        </w:numPr>
        <w:rPr>
          <w:rFonts w:ascii="Arial" w:cs="Arial" w:eastAsia="Arial" w:hAnsi="Arial"/>
          <w:sz w:val="22"/>
          <w:szCs w:val="22"/>
          <w:color w:val="auto"/>
        </w:rPr>
      </w:pPr>
      <w:r>
        <w:rPr>
          <w:rFonts w:ascii="Arial" w:cs="Arial" w:eastAsia="Arial" w:hAnsi="Arial"/>
          <w:sz w:val="22"/>
          <w:szCs w:val="22"/>
          <w:color w:val="auto"/>
        </w:rPr>
        <w:t>if the management EBITDA achieved in such fiscal year exceeds 95% of the Target, then an additional percentage of the Tranche shall become vested and exercisable, up to 50% of the Tranche, linearly and to the extent that Management EBITDA achieved in such fiscal year attains 100% of the Target; and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861" w:right="299" w:bottom="1440" w:gutter="0" w:footer="0" w:header="0"/>
        </w:sectPr>
      </w:pPr>
    </w:p>
    <w:bookmarkStart w:id="148" w:name="page149"/>
    <w:bookmarkEnd w:id="148"/>
    <w:p>
      <w:pPr>
        <w:ind w:left="2600" w:right="200" w:firstLine="1"/>
        <w:spacing w:after="0" w:line="328" w:lineRule="auto"/>
        <w:tabs>
          <w:tab w:leader="none" w:pos="2906" w:val="left"/>
        </w:tabs>
        <w:numPr>
          <w:ilvl w:val="2"/>
          <w:numId w:val="79"/>
        </w:numPr>
        <w:rPr>
          <w:rFonts w:ascii="Arial" w:cs="Arial" w:eastAsia="Arial" w:hAnsi="Arial"/>
          <w:sz w:val="21"/>
          <w:szCs w:val="21"/>
          <w:color w:val="auto"/>
        </w:rPr>
      </w:pPr>
      <w:r>
        <w:rPr>
          <w:rFonts w:ascii="Arial" w:cs="Arial" w:eastAsia="Arial" w:hAnsi="Arial"/>
          <w:sz w:val="21"/>
          <w:szCs w:val="21"/>
          <w:color w:val="auto"/>
        </w:rPr>
        <w:t>each fiscal year shall be a separate measurement period, with up to 20% of the Shares subject to the Performance Option eligible to vest with respect to such measurement period.</w:t>
      </w:r>
    </w:p>
    <w:p>
      <w:pPr>
        <w:spacing w:after="0" w:line="150" w:lineRule="exact"/>
        <w:rPr>
          <w:rFonts w:ascii="Arial" w:cs="Arial" w:eastAsia="Arial" w:hAnsi="Arial"/>
          <w:sz w:val="21"/>
          <w:szCs w:val="21"/>
          <w:color w:val="auto"/>
        </w:rPr>
      </w:pPr>
    </w:p>
    <w:p>
      <w:pPr>
        <w:ind w:left="1820" w:hanging="434"/>
        <w:spacing w:after="0"/>
        <w:tabs>
          <w:tab w:leader="none" w:pos="182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Effect of Change in Control</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2340" w:hanging="387"/>
        <w:spacing w:after="0"/>
        <w:tabs>
          <w:tab w:leader="none" w:pos="2340" w:val="left"/>
        </w:tabs>
        <w:numPr>
          <w:ilvl w:val="1"/>
          <w:numId w:val="80"/>
        </w:numPr>
        <w:rPr>
          <w:rFonts w:ascii="Arial" w:cs="Arial" w:eastAsia="Arial" w:hAnsi="Arial"/>
          <w:sz w:val="22"/>
          <w:szCs w:val="22"/>
          <w:color w:val="auto"/>
        </w:rPr>
      </w:pPr>
      <w:r>
        <w:rPr>
          <w:rFonts w:ascii="Arial" w:cs="Arial" w:eastAsia="Arial" w:hAnsi="Arial"/>
          <w:sz w:val="22"/>
          <w:szCs w:val="22"/>
          <w:i w:val="1"/>
          <w:iCs w:val="1"/>
          <w:color w:val="auto"/>
        </w:rPr>
        <w:t>Time Option</w:t>
      </w:r>
      <w:r>
        <w:rPr>
          <w:rFonts w:ascii="Arial" w:cs="Arial" w:eastAsia="Arial" w:hAnsi="Arial"/>
          <w:sz w:val="22"/>
          <w:szCs w:val="22"/>
          <w:color w:val="auto"/>
        </w:rPr>
        <w:t>. Notwithstanding any of Section 3.1(a)(i) above, the Time Option shall become</w:t>
      </w:r>
    </w:p>
    <w:p>
      <w:pPr>
        <w:spacing w:after="0" w:line="57" w:lineRule="exact"/>
        <w:rPr>
          <w:rFonts w:ascii="Arial" w:cs="Arial" w:eastAsia="Arial" w:hAnsi="Arial"/>
          <w:sz w:val="22"/>
          <w:szCs w:val="22"/>
          <w:color w:val="auto"/>
        </w:rPr>
      </w:pPr>
    </w:p>
    <w:p>
      <w:pPr>
        <w:spacing w:after="0" w:line="292" w:lineRule="auto"/>
        <w:rPr>
          <w:rFonts w:ascii="Arial" w:cs="Arial" w:eastAsia="Arial" w:hAnsi="Arial"/>
          <w:sz w:val="22"/>
          <w:szCs w:val="22"/>
          <w:color w:val="auto"/>
        </w:rPr>
      </w:pPr>
      <w:r>
        <w:rPr>
          <w:rFonts w:ascii="Arial" w:cs="Arial" w:eastAsia="Arial" w:hAnsi="Arial"/>
          <w:sz w:val="22"/>
          <w:szCs w:val="22"/>
          <w:color w:val="auto"/>
        </w:rPr>
        <w:t>immediately vested and exercisable (to the extent not already vested and exercisable) as to 100% of the Shares subject to such Time Option and the Optionee is employed or retained by the Company or any of its Service Recipients on the date of a Change in Control that occurs at a time when such Time Option is outstanding.</w:t>
      </w:r>
    </w:p>
    <w:p>
      <w:pPr>
        <w:spacing w:after="0" w:line="184" w:lineRule="exact"/>
        <w:rPr>
          <w:rFonts w:ascii="Arial" w:cs="Arial" w:eastAsia="Arial" w:hAnsi="Arial"/>
          <w:sz w:val="22"/>
          <w:szCs w:val="22"/>
          <w:color w:val="auto"/>
        </w:rPr>
      </w:pPr>
    </w:p>
    <w:p>
      <w:pPr>
        <w:ind w:left="2400" w:hanging="447"/>
        <w:spacing w:after="0"/>
        <w:tabs>
          <w:tab w:leader="none" w:pos="2400" w:val="left"/>
        </w:tabs>
        <w:numPr>
          <w:ilvl w:val="1"/>
          <w:numId w:val="80"/>
        </w:numPr>
        <w:rPr>
          <w:rFonts w:ascii="Arial" w:cs="Arial" w:eastAsia="Arial" w:hAnsi="Arial"/>
          <w:sz w:val="19"/>
          <w:szCs w:val="19"/>
          <w:color w:val="auto"/>
        </w:rPr>
      </w:pPr>
      <w:r>
        <w:rPr>
          <w:rFonts w:ascii="Arial" w:cs="Arial" w:eastAsia="Arial" w:hAnsi="Arial"/>
          <w:sz w:val="19"/>
          <w:szCs w:val="19"/>
          <w:i w:val="1"/>
          <w:iCs w:val="1"/>
          <w:color w:val="auto"/>
        </w:rPr>
        <w:t>Performance Option</w:t>
      </w:r>
      <w:r>
        <w:rPr>
          <w:rFonts w:ascii="Arial" w:cs="Arial" w:eastAsia="Arial" w:hAnsi="Arial"/>
          <w:sz w:val="19"/>
          <w:szCs w:val="19"/>
          <w:color w:val="auto"/>
        </w:rPr>
        <w:t>. Notwithstanding any of Section 3.1(a)(ii) above, the Performance Option shall</w:t>
      </w:r>
    </w:p>
    <w:p>
      <w:pPr>
        <w:spacing w:after="0" w:line="92" w:lineRule="exact"/>
        <w:rPr>
          <w:rFonts w:ascii="Arial" w:cs="Arial" w:eastAsia="Arial" w:hAnsi="Arial"/>
          <w:sz w:val="19"/>
          <w:szCs w:val="19"/>
          <w:color w:val="auto"/>
        </w:rPr>
      </w:pPr>
    </w:p>
    <w:p>
      <w:pPr>
        <w:ind w:right="80"/>
        <w:spacing w:after="0" w:line="311" w:lineRule="auto"/>
        <w:rPr>
          <w:rFonts w:ascii="Arial" w:cs="Arial" w:eastAsia="Arial" w:hAnsi="Arial"/>
          <w:sz w:val="19"/>
          <w:szCs w:val="19"/>
          <w:color w:val="auto"/>
        </w:rPr>
      </w:pPr>
      <w:r>
        <w:rPr>
          <w:rFonts w:ascii="Arial" w:cs="Arial" w:eastAsia="Arial" w:hAnsi="Arial"/>
          <w:sz w:val="21"/>
          <w:szCs w:val="21"/>
          <w:color w:val="auto"/>
        </w:rPr>
        <w:t>become immediately vested and exercisable (to the extent not already vested and exercisable) as to 100% of the Shares subject to such Performance Option and the Optionee is employed or retained by the Company or any of its Service Recipients on the date of a Change in Control that occurs at a time when such Performance Option is outstanding.</w:t>
      </w:r>
    </w:p>
    <w:p>
      <w:pPr>
        <w:spacing w:after="0" w:line="168" w:lineRule="exact"/>
        <w:rPr>
          <w:rFonts w:ascii="Arial" w:cs="Arial" w:eastAsia="Arial" w:hAnsi="Arial"/>
          <w:sz w:val="19"/>
          <w:szCs w:val="19"/>
          <w:color w:val="auto"/>
        </w:rPr>
      </w:pPr>
    </w:p>
    <w:p>
      <w:pPr>
        <w:ind w:left="1800" w:hanging="414"/>
        <w:spacing w:after="0"/>
        <w:tabs>
          <w:tab w:leader="none" w:pos="180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Treatment of Unvested Time Options on Death or Disability</w:t>
      </w:r>
      <w:r>
        <w:rPr>
          <w:rFonts w:ascii="Arial" w:cs="Arial" w:eastAsia="Arial" w:hAnsi="Arial"/>
          <w:sz w:val="22"/>
          <w:szCs w:val="22"/>
          <w:color w:val="auto"/>
        </w:rPr>
        <w:t>. Upon a termination of the Optionee’s</w:t>
      </w:r>
    </w:p>
    <w:p>
      <w:pPr>
        <w:spacing w:after="0" w:line="57" w:lineRule="exact"/>
        <w:rPr>
          <w:rFonts w:ascii="Arial" w:cs="Arial" w:eastAsia="Arial" w:hAnsi="Arial"/>
          <w:sz w:val="22"/>
          <w:szCs w:val="22"/>
          <w:color w:val="auto"/>
        </w:rPr>
      </w:pPr>
    </w:p>
    <w:p>
      <w:pPr>
        <w:ind w:left="80" w:right="80"/>
        <w:spacing w:after="0" w:line="346" w:lineRule="auto"/>
        <w:rPr>
          <w:rFonts w:ascii="Arial" w:cs="Arial" w:eastAsia="Arial" w:hAnsi="Arial"/>
          <w:sz w:val="22"/>
          <w:szCs w:val="22"/>
          <w:color w:val="auto"/>
        </w:rPr>
      </w:pPr>
      <w:r>
        <w:rPr>
          <w:rFonts w:ascii="Arial" w:cs="Arial" w:eastAsia="Arial" w:hAnsi="Arial"/>
          <w:sz w:val="19"/>
          <w:szCs w:val="19"/>
          <w:color w:val="auto"/>
        </w:rPr>
        <w:t>employment or service relationship with the Company and all of its Service Recipients at any time by reason of the Optionee’s death or Disability, that 20% portion of the Time Option that would have become exercisable on the next anniversary of the Grant Date following the date of such termination of employment, if the Optionee had remained employed with the Company or the applicable Service Recipient through such date, will become immediately vested and exercisable.</w:t>
      </w:r>
    </w:p>
    <w:p>
      <w:pPr>
        <w:spacing w:after="0" w:line="144" w:lineRule="exact"/>
        <w:rPr>
          <w:rFonts w:ascii="Arial" w:cs="Arial" w:eastAsia="Arial" w:hAnsi="Arial"/>
          <w:sz w:val="22"/>
          <w:szCs w:val="22"/>
          <w:color w:val="auto"/>
        </w:rPr>
      </w:pPr>
    </w:p>
    <w:p>
      <w:pPr>
        <w:ind w:left="1820" w:hanging="434"/>
        <w:spacing w:after="0"/>
        <w:tabs>
          <w:tab w:leader="none" w:pos="1820"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Forfeit of Unvested Options on Termination of Employment</w:t>
      </w:r>
      <w:r>
        <w:rPr>
          <w:rFonts w:ascii="Arial" w:cs="Arial" w:eastAsia="Arial" w:hAnsi="Arial"/>
          <w:sz w:val="19"/>
          <w:szCs w:val="19"/>
          <w:color w:val="auto"/>
        </w:rPr>
        <w:t>. Except as otherwise provided in clause (c) above,</w:t>
      </w:r>
    </w:p>
    <w:p>
      <w:pPr>
        <w:spacing w:after="0" w:line="92" w:lineRule="exact"/>
        <w:rPr>
          <w:rFonts w:ascii="Arial" w:cs="Arial" w:eastAsia="Arial" w:hAnsi="Arial"/>
          <w:sz w:val="19"/>
          <w:szCs w:val="19"/>
          <w:color w:val="auto"/>
        </w:rPr>
      </w:pPr>
    </w:p>
    <w:p>
      <w:pPr>
        <w:ind w:left="80" w:right="20"/>
        <w:spacing w:after="0" w:line="357" w:lineRule="auto"/>
        <w:rPr>
          <w:rFonts w:ascii="Arial" w:cs="Arial" w:eastAsia="Arial" w:hAnsi="Arial"/>
          <w:sz w:val="19"/>
          <w:szCs w:val="19"/>
          <w:color w:val="auto"/>
        </w:rPr>
      </w:pPr>
      <w:r>
        <w:rPr>
          <w:rFonts w:ascii="Arial" w:cs="Arial" w:eastAsia="Arial" w:hAnsi="Arial"/>
          <w:sz w:val="19"/>
          <w:szCs w:val="19"/>
          <w:color w:val="auto"/>
        </w:rPr>
        <w:t>no Option shall become exercisable as to any additional Shares following the termination of employment or service relationship of the Optionee with the Company and all Service Recipients for any reason and any Option that is unexercisable as of the Optionee’s termination of employment or service shall immediately expire without payment therefor.</w:t>
      </w:r>
    </w:p>
    <w:p>
      <w:pPr>
        <w:spacing w:after="0" w:line="132"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Expiration of Option</w:t>
      </w:r>
    </w:p>
    <w:p>
      <w:pPr>
        <w:spacing w:after="0" w:line="274" w:lineRule="exact"/>
        <w:rPr>
          <w:sz w:val="20"/>
          <w:szCs w:val="20"/>
          <w:color w:val="auto"/>
        </w:rPr>
      </w:pPr>
    </w:p>
    <w:p>
      <w:pPr>
        <w:ind w:right="20" w:firstLine="1297"/>
        <w:spacing w:after="0" w:line="292" w:lineRule="auto"/>
        <w:rPr>
          <w:sz w:val="20"/>
          <w:szCs w:val="20"/>
          <w:color w:val="auto"/>
        </w:rPr>
      </w:pPr>
      <w:r>
        <w:rPr>
          <w:rFonts w:ascii="Arial" w:cs="Arial" w:eastAsia="Arial" w:hAnsi="Arial"/>
          <w:sz w:val="22"/>
          <w:szCs w:val="22"/>
          <w:color w:val="auto"/>
        </w:rPr>
        <w:t>Except as otherwise provided in Section 4 or Section 5 of the Management Stockholder’s Agreement, the Optionee may not exercise any vested and exercisable portion of the Time Option or of the Performance Option to any extent after the first to occur of the following events:</w:t>
      </w:r>
    </w:p>
    <w:p>
      <w:pPr>
        <w:spacing w:after="0" w:line="184" w:lineRule="exact"/>
        <w:rPr>
          <w:sz w:val="20"/>
          <w:szCs w:val="20"/>
          <w:color w:val="auto"/>
        </w:rPr>
      </w:pPr>
    </w:p>
    <w:p>
      <w:pPr>
        <w:ind w:left="1380"/>
        <w:spacing w:after="0"/>
        <w:tabs>
          <w:tab w:leader="none" w:pos="17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tenth anniversary of the Grant Date;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861" w:right="259" w:bottom="1440" w:gutter="0" w:footer="0" w:header="0"/>
        </w:sectPr>
      </w:pPr>
    </w:p>
    <w:bookmarkStart w:id="149" w:name="page150"/>
    <w:bookmarkEnd w:id="149"/>
    <w:p>
      <w:pPr>
        <w:ind w:left="80" w:firstLine="1306"/>
        <w:spacing w:after="0" w:line="402" w:lineRule="auto"/>
        <w:tabs>
          <w:tab w:leader="none" w:pos="1809"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first anniversary of the date of the termination of the Optionee’s employment or service with the Company and all Service Recipients, if the Optionee’s employment or service is terminated by reason of death or Disability;</w:t>
      </w:r>
    </w:p>
    <w:p>
      <w:pPr>
        <w:spacing w:after="0" w:line="91" w:lineRule="exact"/>
        <w:rPr>
          <w:rFonts w:ascii="Arial" w:cs="Arial" w:eastAsia="Arial" w:hAnsi="Arial"/>
          <w:sz w:val="19"/>
          <w:szCs w:val="19"/>
          <w:color w:val="auto"/>
        </w:rPr>
      </w:pPr>
    </w:p>
    <w:p>
      <w:pPr>
        <w:ind w:left="80" w:firstLine="1306"/>
        <w:spacing w:after="0" w:line="315" w:lineRule="auto"/>
        <w:tabs>
          <w:tab w:leader="none" w:pos="1796" w:val="left"/>
        </w:tabs>
        <w:numPr>
          <w:ilvl w:val="0"/>
          <w:numId w:val="81"/>
        </w:numPr>
        <w:rPr>
          <w:rFonts w:ascii="Arial" w:cs="Arial" w:eastAsia="Arial" w:hAnsi="Arial"/>
          <w:sz w:val="22"/>
          <w:szCs w:val="22"/>
          <w:color w:val="auto"/>
        </w:rPr>
      </w:pPr>
      <w:r>
        <w:rPr>
          <w:rFonts w:ascii="Arial" w:cs="Arial" w:eastAsia="Arial" w:hAnsi="Arial"/>
          <w:sz w:val="22"/>
          <w:szCs w:val="22"/>
          <w:color w:val="auto"/>
        </w:rPr>
        <w:t>Immediately upon the date of the termination of the Optionee’s employment or service by the Company and all Service Recipients for Cause;</w:t>
      </w:r>
    </w:p>
    <w:p>
      <w:pPr>
        <w:spacing w:after="0" w:line="159" w:lineRule="exact"/>
        <w:rPr>
          <w:rFonts w:ascii="Arial" w:cs="Arial" w:eastAsia="Arial" w:hAnsi="Arial"/>
          <w:sz w:val="22"/>
          <w:szCs w:val="22"/>
          <w:color w:val="auto"/>
        </w:rPr>
      </w:pPr>
    </w:p>
    <w:p>
      <w:pPr>
        <w:ind w:left="80" w:right="40" w:firstLine="1306"/>
        <w:spacing w:after="0" w:line="402" w:lineRule="auto"/>
        <w:tabs>
          <w:tab w:leader="none" w:pos="1809"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Thirty (30) days after the date of the termination by the Optionee of the Optionee’s employment or service relationship with the Company and all Service Recipients without Good Reason (except due to the Optionee’s death or Disability);</w:t>
      </w:r>
    </w:p>
    <w:p>
      <w:pPr>
        <w:spacing w:after="0" w:line="91" w:lineRule="exact"/>
        <w:rPr>
          <w:rFonts w:ascii="Arial" w:cs="Arial" w:eastAsia="Arial" w:hAnsi="Arial"/>
          <w:sz w:val="19"/>
          <w:szCs w:val="19"/>
          <w:color w:val="auto"/>
        </w:rPr>
      </w:pPr>
    </w:p>
    <w:p>
      <w:pPr>
        <w:ind w:left="1800" w:hanging="414"/>
        <w:spacing w:after="0"/>
        <w:tabs>
          <w:tab w:leader="none" w:pos="1800" w:val="left"/>
        </w:tabs>
        <w:numPr>
          <w:ilvl w:val="0"/>
          <w:numId w:val="81"/>
        </w:numPr>
        <w:rPr>
          <w:rFonts w:ascii="Arial" w:cs="Arial" w:eastAsia="Arial" w:hAnsi="Arial"/>
          <w:sz w:val="21"/>
          <w:szCs w:val="21"/>
          <w:color w:val="auto"/>
        </w:rPr>
      </w:pPr>
      <w:r>
        <w:rPr>
          <w:rFonts w:ascii="Arial" w:cs="Arial" w:eastAsia="Arial" w:hAnsi="Arial"/>
          <w:sz w:val="21"/>
          <w:szCs w:val="21"/>
          <w:color w:val="auto"/>
        </w:rPr>
        <w:t>One-hundred eighty (180) days after the date of an Optionee’s termination of employment or service</w:t>
      </w:r>
    </w:p>
    <w:p>
      <w:pPr>
        <w:spacing w:after="0" w:line="69" w:lineRule="exact"/>
        <w:rPr>
          <w:rFonts w:ascii="Arial" w:cs="Arial" w:eastAsia="Arial" w:hAnsi="Arial"/>
          <w:sz w:val="21"/>
          <w:szCs w:val="21"/>
          <w:color w:val="auto"/>
        </w:rPr>
      </w:pPr>
    </w:p>
    <w:p>
      <w:pPr>
        <w:ind w:left="80" w:right="80"/>
        <w:spacing w:after="0" w:line="302" w:lineRule="auto"/>
        <w:rPr>
          <w:rFonts w:ascii="Arial" w:cs="Arial" w:eastAsia="Arial" w:hAnsi="Arial"/>
          <w:sz w:val="21"/>
          <w:szCs w:val="21"/>
          <w:color w:val="auto"/>
        </w:rPr>
      </w:pPr>
      <w:r>
        <w:rPr>
          <w:rFonts w:ascii="Arial" w:cs="Arial" w:eastAsia="Arial" w:hAnsi="Arial"/>
          <w:sz w:val="22"/>
          <w:szCs w:val="22"/>
          <w:color w:val="auto"/>
        </w:rPr>
        <w:t>relationship with the Company and all Service Recipients without Cause (except due to death or Disability) or by the Optionee for Good Reason;</w:t>
      </w:r>
    </w:p>
    <w:p>
      <w:pPr>
        <w:spacing w:after="0" w:line="173" w:lineRule="exact"/>
        <w:rPr>
          <w:rFonts w:ascii="Arial" w:cs="Arial" w:eastAsia="Arial" w:hAnsi="Arial"/>
          <w:sz w:val="21"/>
          <w:szCs w:val="21"/>
          <w:color w:val="auto"/>
        </w:rPr>
      </w:pPr>
    </w:p>
    <w:p>
      <w:pPr>
        <w:ind w:left="1780" w:hanging="394"/>
        <w:spacing w:after="0"/>
        <w:tabs>
          <w:tab w:leader="none" w:pos="17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date the Option is terminated pursuant to Section 4 or 5 of the Management Stockholder’s Agreement; or</w:t>
      </w:r>
    </w:p>
    <w:p>
      <w:pPr>
        <w:spacing w:after="0" w:line="308" w:lineRule="exact"/>
        <w:rPr>
          <w:rFonts w:ascii="Arial" w:cs="Arial" w:eastAsia="Arial" w:hAnsi="Arial"/>
          <w:sz w:val="19"/>
          <w:szCs w:val="19"/>
          <w:color w:val="auto"/>
        </w:rPr>
      </w:pPr>
    </w:p>
    <w:p>
      <w:pPr>
        <w:ind w:left="1820" w:hanging="434"/>
        <w:spacing w:after="0"/>
        <w:tabs>
          <w:tab w:leader="none" w:pos="18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Notwithstanding any of the foregoing, if the Committee so determines pursuant to Section 9 of the Plan.</w:t>
      </w:r>
    </w:p>
    <w:p>
      <w:pPr>
        <w:spacing w:after="0" w:line="200" w:lineRule="exact"/>
        <w:rPr>
          <w:sz w:val="20"/>
          <w:szCs w:val="20"/>
          <w:color w:val="auto"/>
        </w:rPr>
      </w:pPr>
    </w:p>
    <w:p>
      <w:pPr>
        <w:spacing w:after="0" w:line="30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EXERCISE OF OPTION</w:t>
      </w:r>
    </w:p>
    <w:p>
      <w:pPr>
        <w:spacing w:after="0" w:line="152"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Person Eligible to Exercise</w:t>
      </w:r>
    </w:p>
    <w:p>
      <w:pPr>
        <w:spacing w:after="0" w:line="274" w:lineRule="exact"/>
        <w:rPr>
          <w:sz w:val="20"/>
          <w:szCs w:val="20"/>
          <w:color w:val="auto"/>
        </w:rPr>
      </w:pPr>
    </w:p>
    <w:p>
      <w:pPr>
        <w:ind w:right="300" w:firstLine="1297"/>
        <w:spacing w:after="0" w:line="346" w:lineRule="auto"/>
        <w:rPr>
          <w:sz w:val="20"/>
          <w:szCs w:val="20"/>
          <w:color w:val="auto"/>
        </w:rPr>
      </w:pPr>
      <w:r>
        <w:rPr>
          <w:rFonts w:ascii="Arial" w:cs="Arial" w:eastAsia="Arial" w:hAnsi="Arial"/>
          <w:sz w:val="19"/>
          <w:szCs w:val="19"/>
          <w:color w:val="auto"/>
        </w:rPr>
        <w:t>During the lifetime of the Optionee, only the Optionee (or his or her duly authorized legal representative) may exercise an Option or any portion thereof. After the death of the Optionee, any exercisable portion of an Option may, prior to the time when an Option becomes unexercisable under Section 3.2, be exercised by his personal representative or by any person empowered to do so under the Optionee’s will or under the then applicable laws of descent and distribution.</w:t>
      </w:r>
    </w:p>
    <w:p>
      <w:pPr>
        <w:spacing w:after="0" w:line="145"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Partial Exercise</w:t>
      </w:r>
    </w:p>
    <w:p>
      <w:pPr>
        <w:spacing w:after="0" w:line="274" w:lineRule="exact"/>
        <w:rPr>
          <w:sz w:val="20"/>
          <w:szCs w:val="20"/>
          <w:color w:val="auto"/>
        </w:rPr>
      </w:pPr>
    </w:p>
    <w:p>
      <w:pPr>
        <w:ind w:right="140" w:firstLine="1297"/>
        <w:spacing w:after="0" w:line="357" w:lineRule="auto"/>
        <w:rPr>
          <w:sz w:val="20"/>
          <w:szCs w:val="20"/>
          <w:color w:val="auto"/>
        </w:rPr>
      </w:pPr>
      <w:r>
        <w:rPr>
          <w:rFonts w:ascii="Arial" w:cs="Arial" w:eastAsia="Arial" w:hAnsi="Arial"/>
          <w:sz w:val="19"/>
          <w:szCs w:val="19"/>
          <w:color w:val="auto"/>
        </w:rPr>
        <w:t xml:space="preserve">Any exercisable portion of an Option or the entire Option, if then wholly exercisable, may be exercised in whole or in part at any time prior to the time when the Option or portion thereof becomes unexercisable under Section 3.2;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partial exercise shall be for whole Shares only (and fractional Shares shall be cashed out by the Company).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861" w:right="239" w:bottom="1440" w:gutter="0" w:footer="0" w:header="0"/>
        </w:sectPr>
      </w:pPr>
    </w:p>
    <w:bookmarkStart w:id="150" w:name="page151"/>
    <w:bookmarkEnd w:id="150"/>
    <w:p>
      <w:pPr>
        <w:spacing w:after="0"/>
        <w:tabs>
          <w:tab w:leader="none" w:pos="15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Manner of Exercise</w:t>
      </w:r>
    </w:p>
    <w:p>
      <w:pPr>
        <w:spacing w:after="0" w:line="274" w:lineRule="exact"/>
        <w:rPr>
          <w:sz w:val="20"/>
          <w:szCs w:val="20"/>
          <w:color w:val="auto"/>
        </w:rPr>
      </w:pPr>
    </w:p>
    <w:p>
      <w:pPr>
        <w:jc w:val="both"/>
        <w:ind w:right="120" w:firstLine="1297"/>
        <w:spacing w:after="0" w:line="292" w:lineRule="auto"/>
        <w:rPr>
          <w:sz w:val="20"/>
          <w:szCs w:val="20"/>
          <w:color w:val="auto"/>
        </w:rPr>
      </w:pPr>
      <w:r>
        <w:rPr>
          <w:rFonts w:ascii="Arial" w:cs="Arial" w:eastAsia="Arial" w:hAnsi="Arial"/>
          <w:sz w:val="22"/>
          <w:szCs w:val="22"/>
          <w:color w:val="auto"/>
        </w:rPr>
        <w:t xml:space="preserve">Any exercisable Option or exercisable portion thereof, may be exercised solely by delivering to the Company at the address set out in </w:t>
      </w:r>
      <w:r>
        <w:rPr>
          <w:rFonts w:ascii="Arial" w:cs="Arial" w:eastAsia="Arial" w:hAnsi="Arial"/>
          <w:sz w:val="22"/>
          <w:szCs w:val="22"/>
          <w:b w:val="1"/>
          <w:bCs w:val="1"/>
          <w:u w:val="single" w:color="auto"/>
          <w:color w:val="auto"/>
        </w:rPr>
        <w:t>Schedule B</w:t>
      </w:r>
      <w:r>
        <w:rPr>
          <w:rFonts w:ascii="Arial" w:cs="Arial" w:eastAsia="Arial" w:hAnsi="Arial"/>
          <w:sz w:val="22"/>
          <w:szCs w:val="22"/>
          <w:color w:val="auto"/>
        </w:rPr>
        <w:t xml:space="preserve"> all of the following prior to the time when the Option or such portion becomes unexercisable under Section 3.2:</w:t>
      </w:r>
    </w:p>
    <w:p>
      <w:pPr>
        <w:spacing w:after="0" w:line="184" w:lineRule="exact"/>
        <w:rPr>
          <w:sz w:val="20"/>
          <w:szCs w:val="20"/>
          <w:color w:val="auto"/>
        </w:rPr>
      </w:pPr>
    </w:p>
    <w:p>
      <w:pPr>
        <w:ind w:left="1800" w:hanging="414"/>
        <w:spacing w:after="0"/>
        <w:tabs>
          <w:tab w:leader="none" w:pos="18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Notice in writing signed by the Optionee or the other person then entitled to exercise the Option or portion</w:t>
      </w:r>
    </w:p>
    <w:p>
      <w:pPr>
        <w:spacing w:after="0" w:line="92" w:lineRule="exact"/>
        <w:rPr>
          <w:rFonts w:ascii="Arial" w:cs="Arial" w:eastAsia="Arial" w:hAnsi="Arial"/>
          <w:sz w:val="19"/>
          <w:szCs w:val="19"/>
          <w:color w:val="auto"/>
        </w:rPr>
      </w:pPr>
    </w:p>
    <w:p>
      <w:pPr>
        <w:ind w:left="80" w:right="140"/>
        <w:spacing w:after="0" w:line="302" w:lineRule="auto"/>
        <w:rPr>
          <w:rFonts w:ascii="Arial" w:cs="Arial" w:eastAsia="Arial" w:hAnsi="Arial"/>
          <w:sz w:val="19"/>
          <w:szCs w:val="19"/>
          <w:color w:val="auto"/>
        </w:rPr>
      </w:pPr>
      <w:r>
        <w:rPr>
          <w:rFonts w:ascii="Arial" w:cs="Arial" w:eastAsia="Arial" w:hAnsi="Arial"/>
          <w:sz w:val="22"/>
          <w:szCs w:val="22"/>
          <w:color w:val="auto"/>
        </w:rPr>
        <w:t>thereof, stating that the Option or portion thereof is thereby exercised, such notice complying with all applicable rules established by the Committee;</w:t>
      </w:r>
    </w:p>
    <w:p>
      <w:pPr>
        <w:spacing w:after="0" w:line="173" w:lineRule="exact"/>
        <w:rPr>
          <w:rFonts w:ascii="Arial" w:cs="Arial" w:eastAsia="Arial" w:hAnsi="Arial"/>
          <w:sz w:val="19"/>
          <w:szCs w:val="19"/>
          <w:color w:val="auto"/>
        </w:rPr>
      </w:pPr>
    </w:p>
    <w:p>
      <w:pPr>
        <w:ind w:left="1820" w:hanging="434"/>
        <w:spacing w:after="0"/>
        <w:tabs>
          <w:tab w:leader="none" w:pos="18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Full payment (in cash or by wire transfer, or if the Optionee so elects, in the notice of exercise through the</w:t>
      </w:r>
    </w:p>
    <w:p>
      <w:pPr>
        <w:spacing w:after="0" w:line="92" w:lineRule="exact"/>
        <w:rPr>
          <w:rFonts w:ascii="Arial" w:cs="Arial" w:eastAsia="Arial" w:hAnsi="Arial"/>
          <w:sz w:val="19"/>
          <w:szCs w:val="19"/>
          <w:color w:val="auto"/>
        </w:rPr>
      </w:pPr>
    </w:p>
    <w:p>
      <w:pPr>
        <w:ind w:left="80" w:right="160"/>
        <w:spacing w:after="0" w:line="357" w:lineRule="auto"/>
        <w:rPr>
          <w:rFonts w:ascii="Arial" w:cs="Arial" w:eastAsia="Arial" w:hAnsi="Arial"/>
          <w:sz w:val="19"/>
          <w:szCs w:val="19"/>
          <w:color w:val="auto"/>
        </w:rPr>
      </w:pPr>
      <w:r>
        <w:rPr>
          <w:rFonts w:ascii="Arial" w:cs="Arial" w:eastAsia="Arial" w:hAnsi="Arial"/>
          <w:sz w:val="19"/>
          <w:szCs w:val="19"/>
          <w:color w:val="auto"/>
        </w:rPr>
        <w:t>withholding of Shares (any such Shares valued at Fair Market Value on the date of exercise) otherwise issuable upon the exercise of the Option or portion thereof in a manner that is compliant with applicable law) or other form of payment if agreed by the Company of the Exercise Price for the Shares with respect to which such Option or portion thereof is exercised;</w:t>
      </w:r>
    </w:p>
    <w:p>
      <w:pPr>
        <w:spacing w:after="0" w:line="132" w:lineRule="exact"/>
        <w:rPr>
          <w:rFonts w:ascii="Arial" w:cs="Arial" w:eastAsia="Arial" w:hAnsi="Arial"/>
          <w:sz w:val="19"/>
          <w:szCs w:val="19"/>
          <w:color w:val="auto"/>
        </w:rPr>
      </w:pPr>
    </w:p>
    <w:p>
      <w:pPr>
        <w:ind w:left="1800" w:hanging="414"/>
        <w:spacing w:after="0"/>
        <w:tabs>
          <w:tab w:leader="none" w:pos="18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Full payment (in cash or by wire transfer, or, if vested Options are due to expire in any event described in</w:t>
      </w:r>
    </w:p>
    <w:p>
      <w:pPr>
        <w:spacing w:after="0" w:line="92" w:lineRule="exact"/>
        <w:rPr>
          <w:sz w:val="20"/>
          <w:szCs w:val="20"/>
          <w:color w:val="auto"/>
        </w:rPr>
      </w:pPr>
    </w:p>
    <w:p>
      <w:pPr>
        <w:jc w:val="both"/>
        <w:ind w:left="80" w:right="480"/>
        <w:spacing w:after="0" w:line="346" w:lineRule="auto"/>
        <w:rPr>
          <w:sz w:val="20"/>
          <w:szCs w:val="20"/>
          <w:color w:val="auto"/>
        </w:rPr>
      </w:pPr>
      <w:r>
        <w:rPr>
          <w:rFonts w:ascii="Arial" w:cs="Arial" w:eastAsia="Arial" w:hAnsi="Arial"/>
          <w:sz w:val="19"/>
          <w:szCs w:val="19"/>
          <w:color w:val="auto"/>
        </w:rPr>
        <w:t>3.2(a), 3.2(b) or 3.2(e), if the Optionee so elects in the notice of exercise through the withholding of Shares (any such Shares valued at Fair Market Value on the date of exercise) otherwise issuable upon the exercise of the Option or portion thereof in a manner that is compliant with applicable law), or other form of payment if agreed by the Company, to satisfy the Optionee’s minimum withholding tax obligation with respect to which such Option or portion thereof is exercised;</w:t>
      </w:r>
    </w:p>
    <w:p>
      <w:pPr>
        <w:spacing w:after="0" w:line="145" w:lineRule="exact"/>
        <w:rPr>
          <w:sz w:val="20"/>
          <w:szCs w:val="20"/>
          <w:color w:val="auto"/>
        </w:rPr>
      </w:pPr>
    </w:p>
    <w:p>
      <w:pPr>
        <w:ind w:left="1820" w:hanging="434"/>
        <w:spacing w:after="0"/>
        <w:tabs>
          <w:tab w:leader="none" w:pos="1820" w:val="left"/>
        </w:tabs>
        <w:numPr>
          <w:ilvl w:val="1"/>
          <w:numId w:val="83"/>
        </w:numPr>
        <w:rPr>
          <w:rFonts w:ascii="Arial" w:cs="Arial" w:eastAsia="Arial" w:hAnsi="Arial"/>
          <w:sz w:val="19"/>
          <w:szCs w:val="19"/>
          <w:color w:val="auto"/>
        </w:rPr>
      </w:pPr>
      <w:r>
        <w:rPr>
          <w:rFonts w:ascii="Arial" w:cs="Arial" w:eastAsia="Arial" w:hAnsi="Arial"/>
          <w:sz w:val="19"/>
          <w:szCs w:val="19"/>
          <w:color w:val="auto"/>
        </w:rPr>
        <w:t>A bona fide written representation and agreement, in a form satisfactory to the Committee, signed by the</w:t>
      </w:r>
    </w:p>
    <w:p>
      <w:pPr>
        <w:spacing w:after="0" w:line="92" w:lineRule="exact"/>
        <w:rPr>
          <w:rFonts w:ascii="Arial" w:cs="Arial" w:eastAsia="Arial" w:hAnsi="Arial"/>
          <w:sz w:val="19"/>
          <w:szCs w:val="19"/>
          <w:color w:val="auto"/>
        </w:rPr>
      </w:pPr>
    </w:p>
    <w:p>
      <w:pPr>
        <w:ind w:left="80"/>
        <w:spacing w:after="0" w:line="326" w:lineRule="auto"/>
        <w:rPr>
          <w:rFonts w:ascii="Arial" w:cs="Arial" w:eastAsia="Arial" w:hAnsi="Arial"/>
          <w:sz w:val="19"/>
          <w:szCs w:val="19"/>
          <w:color w:val="auto"/>
        </w:rPr>
      </w:pPr>
      <w:r>
        <w:rPr>
          <w:rFonts w:ascii="Arial" w:cs="Arial" w:eastAsia="Arial" w:hAnsi="Arial"/>
          <w:sz w:val="19"/>
          <w:szCs w:val="19"/>
          <w:color w:val="auto"/>
        </w:rPr>
        <w:t>Optionee or other person then entitled to exercise such Option or portion thereof, stating that the Shares are being acquired for his own account, for investment and without any present intention of distributing or reselling said shares or any of them except as may be permitted under (i) the Securities Act of 1933, as amended (the “</w:t>
      </w:r>
      <w:r>
        <w:rPr>
          <w:rFonts w:ascii="Arial" w:cs="Arial" w:eastAsia="Arial" w:hAnsi="Arial"/>
          <w:sz w:val="19"/>
          <w:szCs w:val="19"/>
          <w:u w:val="single" w:color="auto"/>
          <w:color w:val="auto"/>
        </w:rPr>
        <w:t>Act</w:t>
      </w:r>
      <w:r>
        <w:rPr>
          <w:rFonts w:ascii="Arial" w:cs="Arial" w:eastAsia="Arial" w:hAnsi="Arial"/>
          <w:sz w:val="19"/>
          <w:szCs w:val="19"/>
          <w:color w:val="auto"/>
        </w:rPr>
        <w:t>”), and then applicable rules and regulations thereunder and</w:t>
      </w:r>
    </w:p>
    <w:p>
      <w:pPr>
        <w:spacing w:after="0" w:line="1" w:lineRule="exact"/>
        <w:rPr>
          <w:rFonts w:ascii="Arial" w:cs="Arial" w:eastAsia="Arial" w:hAnsi="Arial"/>
          <w:sz w:val="19"/>
          <w:szCs w:val="19"/>
          <w:color w:val="auto"/>
        </w:rPr>
      </w:pPr>
    </w:p>
    <w:p>
      <w:pPr>
        <w:ind w:left="80" w:right="280" w:firstLine="9"/>
        <w:spacing w:after="0" w:line="338" w:lineRule="auto"/>
        <w:tabs>
          <w:tab w:leader="none" w:pos="398"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Management Stockholder’s Agreement, and that the Optionee or other person then entitled to exercise such Option or portion thereof will indemnify the Company against and hold it free and harmless from any loss, damage, expense or liability resulting to the Company if any sale or distribution of the Shares by such person is contrary to the representation and agreement referred to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may, in its reasonable discretion, take whatever additional actions it deems reasonably necessary to ensure the observance and performance of such representation and agreement and to effect compliance with the Act, if applicable and any other federal or state securities laws or regulations; and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861" w:right="239" w:bottom="1440" w:gutter="0" w:footer="0" w:header="0"/>
        </w:sectPr>
      </w:pPr>
    </w:p>
    <w:bookmarkStart w:id="151" w:name="page152"/>
    <w:bookmarkEnd w:id="151"/>
    <w:p>
      <w:pPr>
        <w:ind w:left="80" w:right="140" w:firstLine="1306"/>
        <w:spacing w:after="0" w:line="341" w:lineRule="auto"/>
        <w:tabs>
          <w:tab w:leader="none" w:pos="1796" w:val="left"/>
        </w:tabs>
        <w:numPr>
          <w:ilvl w:val="0"/>
          <w:numId w:val="85"/>
        </w:numPr>
        <w:rPr>
          <w:rFonts w:ascii="Arial" w:cs="Arial" w:eastAsia="Arial" w:hAnsi="Arial"/>
          <w:sz w:val="21"/>
          <w:szCs w:val="21"/>
          <w:color w:val="auto"/>
        </w:rPr>
      </w:pPr>
      <w:r>
        <w:rPr>
          <w:rFonts w:ascii="Arial" w:cs="Arial" w:eastAsia="Arial" w:hAnsi="Arial"/>
          <w:sz w:val="21"/>
          <w:szCs w:val="21"/>
          <w:color w:val="auto"/>
        </w:rPr>
        <w:t>In the event the Option or portion thereof shall be exercised pursuant to Section 4.1 by any person or persons other than the Optionee, appropriate proof of the right of such person or persons to exercise the Option.</w:t>
      </w:r>
    </w:p>
    <w:p>
      <w:pPr>
        <w:spacing w:after="0" w:line="138" w:lineRule="exact"/>
        <w:rPr>
          <w:sz w:val="20"/>
          <w:szCs w:val="20"/>
          <w:color w:val="auto"/>
        </w:rPr>
      </w:pPr>
    </w:p>
    <w:p>
      <w:pPr>
        <w:spacing w:after="0" w:line="336" w:lineRule="auto"/>
        <w:rPr>
          <w:sz w:val="20"/>
          <w:szCs w:val="20"/>
          <w:color w:val="auto"/>
        </w:rPr>
      </w:pPr>
      <w:r>
        <w:rPr>
          <w:rFonts w:ascii="Arial" w:cs="Arial" w:eastAsia="Arial" w:hAnsi="Arial"/>
          <w:sz w:val="19"/>
          <w:szCs w:val="19"/>
          <w:color w:val="auto"/>
        </w:rPr>
        <w:t>Without limiting the generality of the foregoing, the Committee may require an opinion of counsel acceptable to it, to the extent required under the Management Stockholder’s Agreement, to the effect that any subsequent transfer of Shares acquired on exercise of an Option does not violate the Act or other applicable laws, and may issue stop-transfer orders covering such shares. Share certificates evidencing stock issued on exercise of this Option shall bear an appropriate legend referring to the provisions of subsection (d) above and the agreements herein. The written representation and agreement referred to in subsection (d) above shall, however, not be required if the Shares to be issued pursuant to such exercise have been registered under the Act and/or other applicable laws, and such registration is then effective in respect of such Shares.</w:t>
      </w:r>
    </w:p>
    <w:p>
      <w:pPr>
        <w:spacing w:after="0" w:line="155"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Conditions to Issuance of Stock Certificates/Registration of Issuance of Shares</w:t>
      </w:r>
    </w:p>
    <w:p>
      <w:pPr>
        <w:spacing w:after="0" w:line="274" w:lineRule="exact"/>
        <w:rPr>
          <w:sz w:val="20"/>
          <w:szCs w:val="20"/>
          <w:color w:val="auto"/>
        </w:rPr>
      </w:pPr>
    </w:p>
    <w:p>
      <w:pPr>
        <w:ind w:right="60" w:firstLine="1297"/>
        <w:spacing w:after="0" w:line="285" w:lineRule="auto"/>
        <w:rPr>
          <w:sz w:val="20"/>
          <w:szCs w:val="20"/>
          <w:color w:val="auto"/>
        </w:rPr>
      </w:pPr>
      <w:r>
        <w:rPr>
          <w:rFonts w:ascii="Arial" w:cs="Arial" w:eastAsia="Arial" w:hAnsi="Arial"/>
          <w:sz w:val="22"/>
          <w:szCs w:val="22"/>
          <w:color w:val="auto"/>
        </w:rPr>
        <w:t>The Shares deliverable upon the exercise of an Option, or any portion thereof, may be either non-issued and/or previously authorized but unissued Shares to the extent legally permitted or issued Shares, which have then been reacquired by the Company. Such Shares when issued shall be fully paid and nonassessable. The Company shall not be required to issue or deliver any certificate or certificates for Shares purchased and as the case may be subscribed for (if certificated, or if not certificated, register the issuance of such shares on its books and records) upon the exercise of an Option or portion thereof prior to fulfillment of all of the following conditions:</w:t>
      </w:r>
    </w:p>
    <w:p>
      <w:pPr>
        <w:spacing w:after="0" w:line="196" w:lineRule="exact"/>
        <w:rPr>
          <w:sz w:val="20"/>
          <w:szCs w:val="20"/>
          <w:color w:val="auto"/>
        </w:rPr>
      </w:pPr>
    </w:p>
    <w:p>
      <w:pPr>
        <w:ind w:left="80" w:right="720" w:firstLine="1306"/>
        <w:spacing w:after="0" w:line="341" w:lineRule="auto"/>
        <w:tabs>
          <w:tab w:leader="none" w:pos="1796"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obtaining of approval or other clearance from any state or federal governmental agency which the Committee shall, in its reasonable and good faith discretion, determine to be necessary or advisable;</w:t>
      </w:r>
    </w:p>
    <w:p>
      <w:pPr>
        <w:spacing w:after="0" w:line="137" w:lineRule="exact"/>
        <w:rPr>
          <w:rFonts w:ascii="Arial" w:cs="Arial" w:eastAsia="Arial" w:hAnsi="Arial"/>
          <w:sz w:val="21"/>
          <w:szCs w:val="21"/>
          <w:color w:val="auto"/>
        </w:rPr>
      </w:pPr>
    </w:p>
    <w:p>
      <w:pPr>
        <w:ind w:left="80" w:right="620" w:firstLine="1306"/>
        <w:spacing w:after="0" w:line="315" w:lineRule="auto"/>
        <w:tabs>
          <w:tab w:leader="none" w:pos="1809"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execution by the Optionee of the Management Stockholder’s Agreement and the Sale Participation Agreement if the Optionee is not already a party to such agreements; and</w:t>
      </w:r>
    </w:p>
    <w:p>
      <w:pPr>
        <w:spacing w:after="0" w:line="159" w:lineRule="exact"/>
        <w:rPr>
          <w:rFonts w:ascii="Arial" w:cs="Arial" w:eastAsia="Arial" w:hAnsi="Arial"/>
          <w:sz w:val="22"/>
          <w:szCs w:val="22"/>
          <w:color w:val="auto"/>
        </w:rPr>
      </w:pPr>
    </w:p>
    <w:p>
      <w:pPr>
        <w:ind w:left="80" w:right="140" w:firstLine="1306"/>
        <w:spacing w:after="0" w:line="315" w:lineRule="auto"/>
        <w:tabs>
          <w:tab w:leader="none" w:pos="179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payment in full to the Company of the Exercise Price for the Shares for which the Option is exercised as provided in Section 4.3(b).</w:t>
      </w:r>
    </w:p>
    <w:p>
      <w:pPr>
        <w:spacing w:after="0" w:line="14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As soon as practicable after fulfillment of the conditions in this Section 4.4, the Company shall issue the Shares deliverable upon the exercise of the Option to the Optionee (either by delivery of a certificate for such Shares, or if not certificated by registering the issuance of such Shares on its books and records) and shall enter the Optionee's ownership of such Shares into the register of registered shares of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60"/>
          </w:cols>
          <w:pgMar w:left="240" w:top="861" w:right="299" w:bottom="1440" w:gutter="0" w:footer="0" w:header="0"/>
        </w:sectPr>
      </w:pPr>
    </w:p>
    <w:bookmarkStart w:id="152" w:name="page153"/>
    <w:bookmarkEnd w:id="152"/>
    <w:p>
      <w:pPr>
        <w:spacing w:after="0"/>
        <w:tabs>
          <w:tab w:leader="none" w:pos="130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Rights as Stockholder</w:t>
      </w:r>
    </w:p>
    <w:p>
      <w:pPr>
        <w:spacing w:after="0" w:line="274" w:lineRule="exact"/>
        <w:rPr>
          <w:sz w:val="20"/>
          <w:szCs w:val="20"/>
          <w:color w:val="auto"/>
        </w:rPr>
      </w:pPr>
    </w:p>
    <w:p>
      <w:pPr>
        <w:ind w:left="80" w:right="20" w:firstLine="1297"/>
        <w:spacing w:after="0" w:line="287" w:lineRule="auto"/>
        <w:rPr>
          <w:sz w:val="20"/>
          <w:szCs w:val="20"/>
          <w:color w:val="auto"/>
        </w:rPr>
      </w:pPr>
      <w:r>
        <w:rPr>
          <w:rFonts w:ascii="Arial" w:cs="Arial" w:eastAsia="Arial" w:hAnsi="Arial"/>
          <w:sz w:val="22"/>
          <w:szCs w:val="22"/>
          <w:color w:val="auto"/>
        </w:rPr>
        <w:t>The holder of an Option shall not be, nor have any of the rights or privileges of, a stockholder of the Company in respect of any Shares purchasable upon the exercise of the Option or any portion thereof unless and until such Shares shall have been issued by the Company to such holder (in case of issuance of new Shares) and/or the Shares have otherwise been recorded in the register of registered shares of the Company as owned by such holder (and then only to the extent such Shares are held directly by the holder).</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19"/>
          <w:szCs w:val="19"/>
          <w:u w:val="single" w:color="auto"/>
          <w:color w:val="auto"/>
        </w:rPr>
        <w:t>No Guarantee of Employment; No Entitlement to Future Option Grants</w:t>
      </w:r>
    </w:p>
    <w:p>
      <w:pPr>
        <w:spacing w:after="0" w:line="274" w:lineRule="exact"/>
        <w:rPr>
          <w:sz w:val="20"/>
          <w:szCs w:val="20"/>
          <w:color w:val="auto"/>
        </w:rPr>
      </w:pPr>
    </w:p>
    <w:p>
      <w:pPr>
        <w:ind w:left="1800" w:hanging="414"/>
        <w:spacing w:after="0"/>
        <w:tabs>
          <w:tab w:leader="none" w:pos="18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Nothing in this Grant Agreement or in the Plan shall confer upon the Optionee any right to continue in the</w:t>
      </w:r>
    </w:p>
    <w:p>
      <w:pPr>
        <w:spacing w:after="0" w:line="92" w:lineRule="exact"/>
        <w:rPr>
          <w:rFonts w:ascii="Arial" w:cs="Arial" w:eastAsia="Arial" w:hAnsi="Arial"/>
          <w:sz w:val="19"/>
          <w:szCs w:val="19"/>
          <w:color w:val="auto"/>
        </w:rPr>
      </w:pPr>
    </w:p>
    <w:p>
      <w:pPr>
        <w:ind w:left="80" w:right="20"/>
        <w:spacing w:after="0" w:line="306" w:lineRule="auto"/>
        <w:rPr>
          <w:rFonts w:ascii="Arial" w:cs="Arial" w:eastAsia="Arial" w:hAnsi="Arial"/>
          <w:sz w:val="19"/>
          <w:szCs w:val="19"/>
          <w:color w:val="auto"/>
        </w:rPr>
      </w:pPr>
      <w:r>
        <w:rPr>
          <w:rFonts w:ascii="Arial" w:cs="Arial" w:eastAsia="Arial" w:hAnsi="Arial"/>
          <w:sz w:val="21"/>
          <w:szCs w:val="21"/>
          <w:color w:val="auto"/>
        </w:rPr>
        <w:t>employ or service relationship of the Company or any of its Service Recipients or shall interfere with or restrict in any way the rights of the Company and its Service Recipients, which are hereby expressly reserved, to terminate the employment of the Optionee at any time for any reason whatsoever, with or without cause, subject to the applicable provisions of, if any, of any Other Relevant Agreement that is an employment agreement with the Company or any Service Recipient.</w:t>
      </w:r>
    </w:p>
    <w:p>
      <w:pPr>
        <w:spacing w:after="0" w:line="172" w:lineRule="exact"/>
        <w:rPr>
          <w:rFonts w:ascii="Arial" w:cs="Arial" w:eastAsia="Arial" w:hAnsi="Arial"/>
          <w:sz w:val="19"/>
          <w:szCs w:val="19"/>
          <w:color w:val="auto"/>
        </w:rPr>
      </w:pPr>
    </w:p>
    <w:p>
      <w:pPr>
        <w:ind w:left="1820" w:hanging="434"/>
        <w:spacing w:after="0"/>
        <w:tabs>
          <w:tab w:leader="none" w:pos="18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Option does not form a part of the Optionee’s entitlement to remuneration, payment or receipt of any</w:t>
      </w:r>
    </w:p>
    <w:p>
      <w:pPr>
        <w:spacing w:after="0" w:line="92" w:lineRule="exact"/>
        <w:rPr>
          <w:rFonts w:ascii="Arial" w:cs="Arial" w:eastAsia="Arial" w:hAnsi="Arial"/>
          <w:sz w:val="19"/>
          <w:szCs w:val="19"/>
          <w:color w:val="auto"/>
        </w:rPr>
      </w:pPr>
    </w:p>
    <w:p>
      <w:pPr>
        <w:ind w:left="80"/>
        <w:spacing w:after="0" w:line="341" w:lineRule="auto"/>
        <w:rPr>
          <w:rFonts w:ascii="Arial" w:cs="Arial" w:eastAsia="Arial" w:hAnsi="Arial"/>
          <w:sz w:val="19"/>
          <w:szCs w:val="19"/>
          <w:color w:val="auto"/>
        </w:rPr>
      </w:pPr>
      <w:r>
        <w:rPr>
          <w:rFonts w:ascii="Arial" w:cs="Arial" w:eastAsia="Arial" w:hAnsi="Arial"/>
          <w:sz w:val="19"/>
          <w:szCs w:val="19"/>
          <w:color w:val="auto"/>
        </w:rPr>
        <w:t>other benefits pursuant to any Other Relevant Agreement he or she may have with the Company or a Service Recipient or otherwise, nor does the existence of any Other Relevant Agreement between any person and the Company or a Service Recipient give such person any right or entitlement to receive any future Grant of Time Options or Performance Options nor any expectation to any such Grant. The rights and obligations of the Optionee under the terms of his or her Other Relevant Agreement (if any) with the Company or a Service Recipient shall not be affected by the grant or vesting of this Option.</w:t>
      </w:r>
    </w:p>
    <w:p>
      <w:pPr>
        <w:spacing w:after="0" w:line="149" w:lineRule="exact"/>
        <w:rPr>
          <w:rFonts w:ascii="Arial" w:cs="Arial" w:eastAsia="Arial" w:hAnsi="Arial"/>
          <w:sz w:val="19"/>
          <w:szCs w:val="19"/>
          <w:color w:val="auto"/>
        </w:rPr>
      </w:pPr>
    </w:p>
    <w:p>
      <w:pPr>
        <w:ind w:left="1800" w:hanging="414"/>
        <w:spacing w:after="0"/>
        <w:tabs>
          <w:tab w:leader="none" w:pos="18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rights granted to the Optionee upon the grant of the Option hereunder shall not afford such Optionee any</w:t>
      </w:r>
    </w:p>
    <w:p>
      <w:pPr>
        <w:spacing w:after="0" w:line="92" w:lineRule="exact"/>
        <w:rPr>
          <w:rFonts w:ascii="Arial" w:cs="Arial" w:eastAsia="Arial" w:hAnsi="Arial"/>
          <w:sz w:val="19"/>
          <w:szCs w:val="19"/>
          <w:color w:val="auto"/>
        </w:rPr>
      </w:pPr>
    </w:p>
    <w:p>
      <w:pPr>
        <w:jc w:val="both"/>
        <w:ind w:left="80" w:right="1060"/>
        <w:spacing w:after="0" w:line="387" w:lineRule="auto"/>
        <w:rPr>
          <w:rFonts w:ascii="Arial" w:cs="Arial" w:eastAsia="Arial" w:hAnsi="Arial"/>
          <w:sz w:val="19"/>
          <w:szCs w:val="19"/>
          <w:color w:val="auto"/>
        </w:rPr>
      </w:pPr>
      <w:r>
        <w:rPr>
          <w:rFonts w:ascii="Arial" w:cs="Arial" w:eastAsia="Arial" w:hAnsi="Arial"/>
          <w:sz w:val="19"/>
          <w:szCs w:val="19"/>
          <w:color w:val="auto"/>
        </w:rPr>
        <w:t>rights or additional rights to compensation or damages in consequence of the loss or termination of his or her office or employment with or his or her provision of services to the Company or a Service Recipient for any reason whatsoever.</w:t>
      </w:r>
    </w:p>
    <w:p>
      <w:pPr>
        <w:spacing w:after="0" w:line="21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1117" w:right="259" w:bottom="1440" w:gutter="0" w:footer="0" w:header="0"/>
        </w:sectPr>
      </w:pPr>
    </w:p>
    <w:bookmarkStart w:id="153" w:name="page154"/>
    <w:bookmarkEnd w:id="153"/>
    <w:p>
      <w:pPr>
        <w:spacing w:after="0"/>
        <w:tabs>
          <w:tab w:leader="none" w:pos="158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Administration</w:t>
      </w:r>
    </w:p>
    <w:p>
      <w:pPr>
        <w:spacing w:after="0" w:line="274" w:lineRule="exact"/>
        <w:rPr>
          <w:sz w:val="20"/>
          <w:szCs w:val="20"/>
          <w:color w:val="auto"/>
        </w:rPr>
      </w:pPr>
    </w:p>
    <w:p>
      <w:pPr>
        <w:ind w:right="100" w:firstLine="1297"/>
        <w:spacing w:after="0" w:line="338" w:lineRule="auto"/>
        <w:rPr>
          <w:sz w:val="20"/>
          <w:szCs w:val="20"/>
          <w:color w:val="auto"/>
        </w:rPr>
      </w:pPr>
      <w:r>
        <w:rPr>
          <w:rFonts w:ascii="Arial" w:cs="Arial" w:eastAsia="Arial" w:hAnsi="Arial"/>
          <w:sz w:val="19"/>
          <w:szCs w:val="19"/>
          <w:color w:val="auto"/>
        </w:rPr>
        <w:t>The Committee shall have the power to interpret the Plan and this Grant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Optionee, the Company and all other interested persons. No member of the Committee shall be personally liable for any action, determination or interpretation made in good faith with respect to the Plan or the Option. In its absolute discretion, the Board may at any time and from time to time exercise any and all rights and duties of the Committee under the Plan and this Grant Agreement.</w:t>
      </w:r>
    </w:p>
    <w:p>
      <w:pPr>
        <w:spacing w:after="0" w:line="153"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Option Not Transferable</w:t>
      </w:r>
    </w:p>
    <w:p>
      <w:pPr>
        <w:spacing w:after="0" w:line="274" w:lineRule="exact"/>
        <w:rPr>
          <w:sz w:val="20"/>
          <w:szCs w:val="20"/>
          <w:color w:val="auto"/>
        </w:rPr>
      </w:pPr>
    </w:p>
    <w:p>
      <w:pPr>
        <w:ind w:right="120" w:firstLine="1297"/>
        <w:spacing w:after="0" w:line="301" w:lineRule="auto"/>
        <w:rPr>
          <w:sz w:val="20"/>
          <w:szCs w:val="20"/>
          <w:color w:val="auto"/>
        </w:rPr>
      </w:pPr>
      <w:r>
        <w:rPr>
          <w:rFonts w:ascii="Arial" w:cs="Arial" w:eastAsia="Arial" w:hAnsi="Arial"/>
          <w:sz w:val="21"/>
          <w:szCs w:val="21"/>
          <w:color w:val="auto"/>
        </w:rPr>
        <w:t xml:space="preserve">Neither the Option nor any interest or right therein or part thereof shall be liable for the debts, contracts or engagements of the Optionee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Section 5.2 shall not prevent transfers by will or by the applicable laws of descent and distribution.</w:t>
      </w:r>
    </w:p>
    <w:p>
      <w:pPr>
        <w:spacing w:after="0" w:line="182"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Notices</w:t>
      </w:r>
    </w:p>
    <w:p>
      <w:pPr>
        <w:spacing w:after="0" w:line="274" w:lineRule="exact"/>
        <w:rPr>
          <w:sz w:val="20"/>
          <w:szCs w:val="20"/>
          <w:color w:val="auto"/>
        </w:rPr>
      </w:pPr>
    </w:p>
    <w:p>
      <w:pPr>
        <w:ind w:firstLine="1297"/>
        <w:spacing w:after="0" w:line="334" w:lineRule="auto"/>
        <w:rPr>
          <w:sz w:val="20"/>
          <w:szCs w:val="20"/>
          <w:color w:val="auto"/>
        </w:rPr>
      </w:pPr>
      <w:r>
        <w:rPr>
          <w:rFonts w:ascii="Arial" w:cs="Arial" w:eastAsia="Arial" w:hAnsi="Arial"/>
          <w:sz w:val="19"/>
          <w:szCs w:val="19"/>
          <w:color w:val="auto"/>
        </w:rPr>
        <w:t>All notices and other communications provided for herein shall be in writing. Any notice or other communication hereunder shall be deemed duly given (i) upon electronic confirmation of facsimile, (ii) one Business Day following the date sent when sent by overnight delivery, and (iii) five (5) Business Days following the date mailed when mailed by registered or certified mail return receipt requested and postage prepaid, in each case as follows: Any notice to be given under the terms of this Grant Agreement to the Company shall be addressed to the Company in care of its Board, and any notice to be given to the Optionee shall be addressed to him at the address given beneath his signature hereto. By a notice given pursuant to this Section 5.3, either party may hereafter designate a different address for notices to be given to him. Any notice, which is required to be given to the Optionee, shall, if the Optionee is then deceased, be given to the Optionee’s personal representative if such representative has previously informed the Company of his status and address by written notice under this Section 5.3.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861" w:right="259" w:bottom="1440" w:gutter="0" w:footer="0" w:header="0"/>
        </w:sectPr>
      </w:pPr>
    </w:p>
    <w:bookmarkStart w:id="154" w:name="page155"/>
    <w:bookmarkEnd w:id="154"/>
    <w:p>
      <w:pPr>
        <w:spacing w:after="0"/>
        <w:tabs>
          <w:tab w:leader="none" w:pos="158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Titles; Pronouns</w:t>
      </w:r>
    </w:p>
    <w:p>
      <w:pPr>
        <w:spacing w:after="0" w:line="274" w:lineRule="exact"/>
        <w:rPr>
          <w:sz w:val="20"/>
          <w:szCs w:val="20"/>
          <w:color w:val="auto"/>
        </w:rPr>
      </w:pPr>
    </w:p>
    <w:p>
      <w:pPr>
        <w:ind w:right="100" w:firstLine="1297"/>
        <w:spacing w:after="0" w:line="292" w:lineRule="auto"/>
        <w:rPr>
          <w:sz w:val="20"/>
          <w:szCs w:val="20"/>
          <w:color w:val="auto"/>
        </w:rPr>
      </w:pPr>
      <w:r>
        <w:rPr>
          <w:rFonts w:ascii="Arial" w:cs="Arial" w:eastAsia="Arial" w:hAnsi="Arial"/>
          <w:sz w:val="22"/>
          <w:szCs w:val="22"/>
          <w:color w:val="auto"/>
        </w:rPr>
        <w:t>Titles are provided herein for convenience only and are not to serve as a basis for interpretation or construction of this Grant Agreement. The masculine pronoun shall include the feminine and neuter, and the singular the plural, where the context so indicates.</w:t>
      </w:r>
    </w:p>
    <w:p>
      <w:pPr>
        <w:spacing w:after="0" w:line="184"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u w:val="single" w:color="auto"/>
          <w:color w:val="auto"/>
        </w:rPr>
        <w:t>Applicability of Plan, Management Stockholder’s Agreement and Sale Participation Agreement</w:t>
      </w:r>
    </w:p>
    <w:p>
      <w:pPr>
        <w:spacing w:after="0" w:line="260" w:lineRule="exact"/>
        <w:rPr>
          <w:sz w:val="20"/>
          <w:szCs w:val="20"/>
          <w:color w:val="auto"/>
        </w:rPr>
      </w:pPr>
    </w:p>
    <w:p>
      <w:pPr>
        <w:ind w:firstLine="1297"/>
        <w:spacing w:after="0" w:line="357" w:lineRule="auto"/>
        <w:rPr>
          <w:sz w:val="20"/>
          <w:szCs w:val="20"/>
          <w:color w:val="auto"/>
        </w:rPr>
      </w:pPr>
      <w:r>
        <w:rPr>
          <w:rFonts w:ascii="Arial" w:cs="Arial" w:eastAsia="Arial" w:hAnsi="Arial"/>
          <w:sz w:val="19"/>
          <w:szCs w:val="19"/>
          <w:color w:val="auto"/>
        </w:rPr>
        <w:t>The Option and the Shares issued to the Optionee upon exercise of the Option shall be subject to all of the terms and provisions of the Plan (including without limitation the provisions of Section 3(c) and Section 11(a) thereof), the Management Stockholder’s Agreement and the Sale Participation Agreement, to the extent applicable to the Option and such Shares.</w:t>
      </w:r>
    </w:p>
    <w:p>
      <w:pPr>
        <w:spacing w:after="0" w:line="132"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Amendment</w:t>
      </w:r>
    </w:p>
    <w:p>
      <w:pPr>
        <w:spacing w:after="0" w:line="274" w:lineRule="exact"/>
        <w:rPr>
          <w:sz w:val="20"/>
          <w:szCs w:val="20"/>
          <w:color w:val="auto"/>
        </w:rPr>
      </w:pPr>
    </w:p>
    <w:p>
      <w:pPr>
        <w:ind w:right="160" w:firstLine="1297"/>
        <w:spacing w:after="0" w:line="302" w:lineRule="auto"/>
        <w:rPr>
          <w:sz w:val="20"/>
          <w:szCs w:val="20"/>
          <w:color w:val="auto"/>
        </w:rPr>
      </w:pPr>
      <w:r>
        <w:rPr>
          <w:rFonts w:ascii="Arial" w:cs="Arial" w:eastAsia="Arial" w:hAnsi="Arial"/>
          <w:sz w:val="22"/>
          <w:szCs w:val="22"/>
          <w:color w:val="auto"/>
        </w:rPr>
        <w:t>Subject to Section 10 of the Plan, this Grant Agreement may be amended only by a writing executed by the parties hereto, which specifically states that it is amending this Grant Agreement.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on Omnibus Signature Page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861" w:right="27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9"/>
          <w:szCs w:val="19"/>
          <w:color w:val="auto"/>
        </w:rPr>
        <w:t>IN WITNESS WHEREOF, the Parties have executed this Agreement as of the first date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NATIONAL VISION,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L. Reade Fahs</w:t>
      </w:r>
    </w:p>
    <w:p>
      <w:pPr>
        <w:spacing w:after="0" w:line="17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___________________________</w:t>
      </w:r>
    </w:p>
    <w:p>
      <w:pPr>
        <w:spacing w:after="0" w:line="30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L. Reade Fahs</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219"/>
          </w:cols>
          <w:pgMar w:left="240" w:top="847"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Schedule A to the Stock Option Agreement</w:t>
            </w:r>
          </w:p>
        </w:tc>
      </w:tr>
      <w:tr>
        <w:trPr>
          <w:trHeight w:val="453"/>
        </w:trPr>
        <w:tc>
          <w:tcPr>
            <w:tcW w:w="2440" w:type="dxa"/>
            <w:vAlign w:val="bottom"/>
            <w:gridSpan w:val="4"/>
          </w:tcPr>
          <w:p>
            <w:pPr>
              <w:spacing w:after="0"/>
              <w:rPr>
                <w:sz w:val="20"/>
                <w:szCs w:val="20"/>
                <w:color w:val="auto"/>
              </w:rPr>
            </w:pPr>
            <w:r>
              <w:rPr>
                <w:rFonts w:ascii="Arial" w:cs="Arial" w:eastAsia="Arial" w:hAnsi="Arial"/>
                <w:sz w:val="22"/>
                <w:szCs w:val="22"/>
                <w:b w:val="1"/>
                <w:bCs w:val="1"/>
                <w:color w:val="auto"/>
              </w:rPr>
              <w:t>Grant Date:</w:t>
            </w:r>
          </w:p>
        </w:tc>
        <w:tc>
          <w:tcPr>
            <w:tcW w:w="5260" w:type="dxa"/>
            <w:vAlign w:val="bottom"/>
            <w:gridSpan w:val="2"/>
          </w:tcPr>
          <w:p>
            <w:pPr>
              <w:ind w:left="20"/>
              <w:spacing w:after="0"/>
              <w:rPr>
                <w:sz w:val="20"/>
                <w:szCs w:val="20"/>
                <w:color w:val="auto"/>
              </w:rPr>
            </w:pPr>
            <w:r>
              <w:rPr>
                <w:rFonts w:ascii="Arial" w:cs="Arial" w:eastAsia="Arial" w:hAnsi="Arial"/>
                <w:sz w:val="22"/>
                <w:szCs w:val="22"/>
                <w:color w:val="auto"/>
              </w:rPr>
              <w:t>August 14, 2017</w:t>
            </w:r>
          </w:p>
        </w:tc>
      </w:tr>
      <w:tr>
        <w:trPr>
          <w:trHeight w:val="20"/>
        </w:trPr>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601"/>
        </w:trPr>
        <w:tc>
          <w:tcPr>
            <w:tcW w:w="2440" w:type="dxa"/>
            <w:vAlign w:val="bottom"/>
            <w:gridSpan w:val="4"/>
          </w:tcPr>
          <w:p>
            <w:pPr>
              <w:spacing w:after="0"/>
              <w:rPr>
                <w:sz w:val="20"/>
                <w:szCs w:val="20"/>
                <w:color w:val="auto"/>
              </w:rPr>
            </w:pPr>
            <w:r>
              <w:rPr>
                <w:rFonts w:ascii="Arial" w:cs="Arial" w:eastAsia="Arial" w:hAnsi="Arial"/>
                <w:sz w:val="22"/>
                <w:szCs w:val="22"/>
                <w:b w:val="1"/>
                <w:bCs w:val="1"/>
                <w:color w:val="auto"/>
                <w:w w:val="88"/>
              </w:rPr>
              <w:t>Exercise Price of Options:</w:t>
            </w:r>
          </w:p>
        </w:tc>
        <w:tc>
          <w:tcPr>
            <w:tcW w:w="130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Arial" w:cs="Arial" w:eastAsia="Arial" w:hAnsi="Arial"/>
                <w:sz w:val="22"/>
                <w:szCs w:val="22"/>
                <w:b w:val="1"/>
                <w:bCs w:val="1"/>
                <w:color w:val="auto"/>
              </w:rPr>
              <w:t xml:space="preserve">$8.00 </w:t>
            </w:r>
            <w:r>
              <w:rPr>
                <w:rFonts w:ascii="Arial" w:cs="Arial" w:eastAsia="Arial" w:hAnsi="Arial"/>
                <w:sz w:val="22"/>
                <w:szCs w:val="22"/>
                <w:color w:val="auto"/>
              </w:rPr>
              <w:t>per Share</w:t>
            </w:r>
          </w:p>
        </w:tc>
      </w:tr>
      <w:tr>
        <w:trPr>
          <w:trHeight w:val="601"/>
        </w:trPr>
        <w:tc>
          <w:tcPr>
            <w:tcW w:w="2340" w:type="dxa"/>
            <w:vAlign w:val="bottom"/>
            <w:tcBorders>
              <w:top w:val="single" w:sz="8" w:color="auto"/>
            </w:tcBorders>
            <w:gridSpan w:val="3"/>
          </w:tcPr>
          <w:p>
            <w:pPr>
              <w:spacing w:after="0"/>
              <w:rPr>
                <w:sz w:val="20"/>
                <w:szCs w:val="20"/>
                <w:color w:val="auto"/>
              </w:rPr>
            </w:pPr>
            <w:r>
              <w:rPr>
                <w:rFonts w:ascii="Arial" w:cs="Arial" w:eastAsia="Arial" w:hAnsi="Arial"/>
                <w:sz w:val="22"/>
                <w:szCs w:val="22"/>
                <w:b w:val="1"/>
                <w:bCs w:val="1"/>
                <w:color w:val="auto"/>
              </w:rPr>
              <w:t>Option Grants</w:t>
            </w: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
        </w:trPr>
        <w:tc>
          <w:tcPr>
            <w:tcW w:w="1360" w:type="dxa"/>
            <w:vAlign w:val="bottom"/>
            <w:gridSpan w:val="2"/>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625"/>
        </w:trPr>
        <w:tc>
          <w:tcPr>
            <w:tcW w:w="2440" w:type="dxa"/>
            <w:vAlign w:val="bottom"/>
            <w:gridSpan w:val="4"/>
          </w:tcPr>
          <w:p>
            <w:pPr>
              <w:spacing w:after="0"/>
              <w:rPr>
                <w:sz w:val="20"/>
                <w:szCs w:val="20"/>
                <w:color w:val="auto"/>
              </w:rPr>
            </w:pPr>
            <w:r>
              <w:rPr>
                <w:rFonts w:ascii="Arial" w:cs="Arial" w:eastAsia="Arial" w:hAnsi="Arial"/>
                <w:sz w:val="22"/>
                <w:szCs w:val="22"/>
                <w:color w:val="auto"/>
              </w:rPr>
              <w:t>Total Option Grant:</w:t>
            </w:r>
          </w:p>
        </w:tc>
        <w:tc>
          <w:tcPr>
            <w:tcW w:w="5260" w:type="dxa"/>
            <w:vAlign w:val="bottom"/>
            <w:gridSpan w:val="2"/>
          </w:tcPr>
          <w:p>
            <w:pPr>
              <w:ind w:left="360"/>
              <w:spacing w:after="0"/>
              <w:rPr>
                <w:sz w:val="20"/>
                <w:szCs w:val="20"/>
                <w:color w:val="auto"/>
              </w:rPr>
            </w:pPr>
            <w:r>
              <w:rPr>
                <w:rFonts w:ascii="Arial" w:cs="Arial" w:eastAsia="Arial" w:hAnsi="Arial"/>
                <w:sz w:val="22"/>
                <w:szCs w:val="22"/>
                <w:color w:val="auto"/>
              </w:rPr>
              <w:t>712,414 Shares</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Aggregate number of Shares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which the </w:t>
      </w:r>
      <w:r>
        <w:rPr>
          <w:rFonts w:ascii="Arial" w:cs="Arial" w:eastAsia="Arial" w:hAnsi="Arial"/>
          <w:sz w:val="22"/>
          <w:szCs w:val="22"/>
          <w:b w:val="1"/>
          <w:bCs w:val="1"/>
          <w:u w:val="single" w:color="auto"/>
          <w:color w:val="auto"/>
        </w:rPr>
        <w:t>Time Option</w:t>
      </w:r>
      <w:r>
        <w:rPr>
          <w:rFonts w:ascii="Arial" w:cs="Arial" w:eastAsia="Arial" w:hAnsi="Arial"/>
          <w:sz w:val="22"/>
          <w:szCs w:val="22"/>
          <w:color w:val="auto"/>
        </w:rPr>
        <w:t xml:space="preserve"> granted hereunder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80" w:type="dxa"/>
            <w:vAlign w:val="bottom"/>
            <w:gridSpan w:val="3"/>
          </w:tcPr>
          <w:p>
            <w:pPr>
              <w:spacing w:after="0"/>
              <w:rPr>
                <w:sz w:val="20"/>
                <w:szCs w:val="20"/>
                <w:color w:val="auto"/>
              </w:rPr>
            </w:pPr>
            <w:r>
              <w:rPr>
                <w:rFonts w:ascii="Arial" w:cs="Arial" w:eastAsia="Arial" w:hAnsi="Arial"/>
                <w:sz w:val="22"/>
                <w:szCs w:val="22"/>
                <w:color w:val="auto"/>
                <w:w w:val="95"/>
              </w:rPr>
              <w:t>may become vested and exercisable:</w:t>
            </w:r>
          </w:p>
        </w:tc>
        <w:tc>
          <w:tcPr>
            <w:tcW w:w="1720" w:type="dxa"/>
            <w:vAlign w:val="bottom"/>
          </w:tcPr>
          <w:p>
            <w:pPr>
              <w:ind w:left="340"/>
              <w:spacing w:after="0"/>
              <w:rPr>
                <w:sz w:val="20"/>
                <w:szCs w:val="20"/>
                <w:color w:val="auto"/>
              </w:rPr>
            </w:pPr>
            <w:r>
              <w:rPr>
                <w:rFonts w:ascii="Arial" w:cs="Arial" w:eastAsia="Arial" w:hAnsi="Arial"/>
                <w:sz w:val="22"/>
                <w:szCs w:val="22"/>
                <w:color w:val="auto"/>
                <w:w w:val="87"/>
              </w:rPr>
              <w:t>284,966 Shares</w:t>
            </w:r>
          </w:p>
        </w:tc>
      </w:tr>
      <w:tr>
        <w:trPr>
          <w:trHeight w:val="594"/>
        </w:trPr>
        <w:tc>
          <w:tcPr>
            <w:tcW w:w="3480" w:type="dxa"/>
            <w:vAlign w:val="bottom"/>
            <w:gridSpan w:val="3"/>
          </w:tcPr>
          <w:p>
            <w:pPr>
              <w:spacing w:after="0"/>
              <w:rPr>
                <w:sz w:val="20"/>
                <w:szCs w:val="20"/>
                <w:color w:val="auto"/>
              </w:rPr>
            </w:pPr>
            <w:r>
              <w:rPr>
                <w:rFonts w:ascii="Arial" w:cs="Arial" w:eastAsia="Arial" w:hAnsi="Arial"/>
                <w:sz w:val="22"/>
                <w:szCs w:val="22"/>
                <w:color w:val="auto"/>
              </w:rPr>
              <w:t>Aggregate number of Shares</w:t>
            </w:r>
          </w:p>
        </w:tc>
        <w:tc>
          <w:tcPr>
            <w:tcW w:w="1720" w:type="dxa"/>
            <w:vAlign w:val="bottom"/>
          </w:tcPr>
          <w:p>
            <w:pPr>
              <w:spacing w:after="0"/>
              <w:rPr>
                <w:sz w:val="24"/>
                <w:szCs w:val="24"/>
                <w:color w:val="auto"/>
              </w:rPr>
            </w:pPr>
          </w:p>
        </w:tc>
      </w:tr>
      <w:tr>
        <w:trPr>
          <w:trHeight w:val="247"/>
        </w:trPr>
        <w:tc>
          <w:tcPr>
            <w:tcW w:w="3480" w:type="dxa"/>
            <w:vAlign w:val="bottom"/>
            <w:gridSpan w:val="3"/>
          </w:tcPr>
          <w:p>
            <w:pPr>
              <w:spacing w:after="0" w:line="246" w:lineRule="exact"/>
              <w:rPr>
                <w:sz w:val="20"/>
                <w:szCs w:val="20"/>
                <w:color w:val="auto"/>
              </w:rPr>
            </w:pPr>
            <w:r>
              <w:rPr>
                <w:rFonts w:ascii="Arial" w:cs="Arial" w:eastAsia="Arial" w:hAnsi="Arial"/>
                <w:sz w:val="22"/>
                <w:szCs w:val="22"/>
                <w:color w:val="auto"/>
              </w:rPr>
              <w:t xml:space="preserve">for which the </w:t>
            </w:r>
            <w:r>
              <w:rPr>
                <w:rFonts w:ascii="Arial" w:cs="Arial" w:eastAsia="Arial" w:hAnsi="Arial"/>
                <w:sz w:val="22"/>
                <w:szCs w:val="22"/>
                <w:b w:val="1"/>
                <w:bCs w:val="1"/>
                <w:color w:val="auto"/>
              </w:rPr>
              <w:t>Performance Option</w:t>
            </w:r>
          </w:p>
        </w:tc>
        <w:tc>
          <w:tcPr>
            <w:tcW w:w="1720" w:type="dxa"/>
            <w:vAlign w:val="bottom"/>
          </w:tcPr>
          <w:p>
            <w:pPr>
              <w:spacing w:after="0"/>
              <w:rPr>
                <w:sz w:val="21"/>
                <w:szCs w:val="21"/>
                <w:color w:val="auto"/>
              </w:rPr>
            </w:pPr>
          </w:p>
        </w:tc>
      </w:tr>
      <w:tr>
        <w:trPr>
          <w:trHeight w:val="20"/>
        </w:trPr>
        <w:tc>
          <w:tcPr>
            <w:tcW w:w="12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28"/>
        </w:trPr>
        <w:tc>
          <w:tcPr>
            <w:tcW w:w="3480" w:type="dxa"/>
            <w:vAlign w:val="bottom"/>
            <w:gridSpan w:val="3"/>
          </w:tcPr>
          <w:p>
            <w:pPr>
              <w:spacing w:after="0"/>
              <w:rPr>
                <w:sz w:val="20"/>
                <w:szCs w:val="20"/>
                <w:color w:val="auto"/>
              </w:rPr>
            </w:pPr>
            <w:r>
              <w:rPr>
                <w:rFonts w:ascii="Arial" w:cs="Arial" w:eastAsia="Arial" w:hAnsi="Arial"/>
                <w:sz w:val="22"/>
                <w:szCs w:val="22"/>
                <w:color w:val="auto"/>
              </w:rPr>
              <w:t>granted hereunder</w:t>
            </w:r>
          </w:p>
        </w:tc>
        <w:tc>
          <w:tcPr>
            <w:tcW w:w="1720" w:type="dxa"/>
            <w:vAlign w:val="bottom"/>
          </w:tcPr>
          <w:p>
            <w:pPr>
              <w:spacing w:after="0"/>
              <w:rPr>
                <w:sz w:val="24"/>
                <w:szCs w:val="24"/>
                <w:color w:val="auto"/>
              </w:rPr>
            </w:pPr>
          </w:p>
        </w:tc>
      </w:tr>
      <w:tr>
        <w:trPr>
          <w:trHeight w:val="297"/>
        </w:trPr>
        <w:tc>
          <w:tcPr>
            <w:tcW w:w="3480" w:type="dxa"/>
            <w:vAlign w:val="bottom"/>
            <w:gridSpan w:val="3"/>
          </w:tcPr>
          <w:p>
            <w:pPr>
              <w:spacing w:after="0"/>
              <w:rPr>
                <w:sz w:val="20"/>
                <w:szCs w:val="20"/>
                <w:color w:val="auto"/>
              </w:rPr>
            </w:pPr>
            <w:r>
              <w:rPr>
                <w:rFonts w:ascii="Arial" w:cs="Arial" w:eastAsia="Arial" w:hAnsi="Arial"/>
                <w:sz w:val="22"/>
                <w:szCs w:val="22"/>
                <w:color w:val="auto"/>
                <w:w w:val="95"/>
              </w:rPr>
              <w:t>may become vested and exercisable:</w:t>
            </w:r>
          </w:p>
        </w:tc>
        <w:tc>
          <w:tcPr>
            <w:tcW w:w="1720" w:type="dxa"/>
            <w:vAlign w:val="bottom"/>
          </w:tcPr>
          <w:p>
            <w:pPr>
              <w:ind w:left="380"/>
              <w:spacing w:after="0"/>
              <w:rPr>
                <w:sz w:val="20"/>
                <w:szCs w:val="20"/>
                <w:color w:val="auto"/>
              </w:rPr>
            </w:pPr>
            <w:r>
              <w:rPr>
                <w:rFonts w:ascii="Arial" w:cs="Arial" w:eastAsia="Arial" w:hAnsi="Arial"/>
                <w:sz w:val="22"/>
                <w:szCs w:val="22"/>
                <w:color w:val="auto"/>
                <w:w w:val="84"/>
              </w:rPr>
              <w:t>427,448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219"/>
          </w:cols>
          <w:pgMar w:left="240" w:top="832" w:right="1440" w:bottom="1440" w:gutter="0" w:footer="0" w:header="0"/>
        </w:sectPr>
      </w:pPr>
    </w:p>
    <w:bookmarkStart w:id="157" w:name="page158"/>
    <w:bookmarkEnd w:id="157"/>
    <w:p>
      <w:pPr>
        <w:jc w:val="right"/>
        <w:ind w:right="1639"/>
        <w:spacing w:after="0"/>
        <w:rPr>
          <w:sz w:val="20"/>
          <w:szCs w:val="20"/>
          <w:color w:val="auto"/>
        </w:rPr>
      </w:pPr>
      <w:r>
        <w:rPr>
          <w:rFonts w:ascii="Arial" w:cs="Arial" w:eastAsia="Arial" w:hAnsi="Arial"/>
          <w:sz w:val="22"/>
          <w:szCs w:val="22"/>
          <w:b w:val="1"/>
          <w:bCs w:val="1"/>
          <w:u w:val="single" w:color="auto"/>
          <w:color w:val="auto"/>
        </w:rPr>
        <w:t>Schedule B to the Stock Option Agreement: Notice of Exercise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To the Company:</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National Vision Holdings, Inc.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 National Vision, Inc.</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2435 Commerce Avenue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Building 2200</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Duluth, GA 30096</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Attention</w:t>
      </w:r>
      <w:r>
        <w:rPr>
          <w:rFonts w:ascii="Arial" w:cs="Arial" w:eastAsia="Arial" w:hAnsi="Arial"/>
          <w:sz w:val="22"/>
          <w:szCs w:val="22"/>
          <w:color w:val="auto"/>
        </w:rPr>
        <w: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19"/>
          </w:cols>
          <w:pgMar w:left="240" w:top="841"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21.1</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200" w:type="dxa"/>
            <w:vAlign w:val="bottom"/>
            <w:tcBorders>
              <w:top w:val="single" w:sz="8" w:color="auto"/>
              <w:left w:val="single" w:sz="8" w:color="auto"/>
              <w:right w:val="single" w:sz="8" w:color="auto"/>
            </w:tcBorders>
            <w:shd w:val="clear" w:color="auto" w:fill="969696"/>
          </w:tcPr>
          <w:p>
            <w:pPr>
              <w:spacing w:after="0"/>
              <w:rPr>
                <w:sz w:val="20"/>
                <w:szCs w:val="20"/>
                <w:color w:val="auto"/>
              </w:rPr>
            </w:pPr>
          </w:p>
        </w:tc>
        <w:tc>
          <w:tcPr>
            <w:tcW w:w="2020" w:type="dxa"/>
            <w:vAlign w:val="bottom"/>
            <w:tcBorders>
              <w:top w:val="single" w:sz="8" w:color="auto"/>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16"/>
        </w:trPr>
        <w:tc>
          <w:tcPr>
            <w:tcW w:w="7200" w:type="dxa"/>
            <w:vAlign w:val="bottom"/>
            <w:tcBorders>
              <w:left w:val="single" w:sz="8" w:color="auto"/>
              <w:right w:val="single" w:sz="8" w:color="auto"/>
            </w:tcBorders>
            <w:shd w:val="clear" w:color="auto" w:fill="969696"/>
          </w:tcPr>
          <w:p>
            <w:pPr>
              <w:spacing w:after="0"/>
              <w:rPr>
                <w:sz w:val="18"/>
                <w:szCs w:val="18"/>
                <w:color w:val="auto"/>
              </w:rPr>
            </w:pPr>
          </w:p>
        </w:tc>
        <w:tc>
          <w:tcPr>
            <w:tcW w:w="2020" w:type="dxa"/>
            <w:vAlign w:val="bottom"/>
            <w:tcBorders>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3"/>
              </w:rPr>
              <w:t>Incorporation or</w:t>
            </w:r>
          </w:p>
        </w:tc>
      </w:tr>
      <w:tr>
        <w:trPr>
          <w:trHeight w:val="266"/>
        </w:trPr>
        <w:tc>
          <w:tcPr>
            <w:tcW w:w="7200" w:type="dxa"/>
            <w:vAlign w:val="bottom"/>
            <w:tcBorders>
              <w:left w:val="single" w:sz="8" w:color="auto"/>
              <w:bottom w:val="single" w:sz="8" w:color="969696"/>
              <w:right w:val="single" w:sz="8" w:color="auto"/>
            </w:tcBorders>
            <w:shd w:val="clear" w:color="auto" w:fill="969696"/>
          </w:tcPr>
          <w:p>
            <w:pPr>
              <w:ind w:left="3100"/>
              <w:spacing w:after="0"/>
              <w:rPr>
                <w:sz w:val="20"/>
                <w:szCs w:val="20"/>
                <w:color w:val="auto"/>
              </w:rPr>
            </w:pPr>
            <w:r>
              <w:rPr>
                <w:rFonts w:ascii="Arial" w:cs="Arial" w:eastAsia="Arial" w:hAnsi="Arial"/>
                <w:sz w:val="18"/>
                <w:szCs w:val="18"/>
                <w:b w:val="1"/>
                <w:bCs w:val="1"/>
                <w:color w:val="auto"/>
              </w:rPr>
              <w:t>Entity Name</w:t>
            </w:r>
          </w:p>
        </w:tc>
        <w:tc>
          <w:tcPr>
            <w:tcW w:w="2020" w:type="dxa"/>
            <w:vAlign w:val="bottom"/>
            <w:tcBorders>
              <w:bottom w:val="single" w:sz="8" w:color="969696"/>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37"/>
        </w:trPr>
        <w:tc>
          <w:tcPr>
            <w:tcW w:w="7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Nautilus Acquisition Holdings, Inc.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2"/>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National Vision, Inc. (dba Eyeglass World, America’s Best Contacts and Eyeglasses, Vision</w:t>
            </w:r>
          </w:p>
        </w:tc>
        <w:tc>
          <w:tcPr>
            <w:tcW w:w="2020" w:type="dxa"/>
            <w:vAlign w:val="bottom"/>
            <w:tcBorders>
              <w:right w:val="single" w:sz="8" w:color="auto"/>
            </w:tcBorders>
          </w:tcPr>
          <w:p>
            <w:pPr>
              <w:spacing w:after="0"/>
              <w:rPr>
                <w:sz w:val="19"/>
                <w:szCs w:val="19"/>
                <w:color w:val="auto"/>
              </w:rPr>
            </w:pPr>
          </w:p>
        </w:tc>
      </w:tr>
      <w:tr>
        <w:trPr>
          <w:trHeight w:val="230"/>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Center and Vista Optical)</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Arlington Contact Lens Service, Inc. (dba AC Lens)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NVAL Healthcare Systems,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FirstSight Vision Services, Inc. (dba FirstSight)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Vision Administrators, Inc.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International Vision Associates, Ltd.</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Opti-Vision Finance Services,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VC IV, LLC</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Czech Vision Associates, s.r.o.</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Czech Republic</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Slovak Vision Associates, s.r.o.</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Slovakia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300"/>
          </w:cols>
          <w:pgMar w:left="1360" w:top="558"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333-221131 on Form S-8 of our report dated March 8, 2018, relating to the consolidated financial statements and financial statement schedule of National Vision Holdings, Inc. appearing in this Annual Report on Form 10-K of National Vision Holdings, Inc. for the year ended December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ectPr>
          <w:pgSz w:w="11900" w:h="16838" w:orient="portrait"/>
          <w:cols w:equalWidth="0" w:num="1">
            <w:col w:w="11420"/>
          </w:cols>
          <w:pgMar w:left="240" w:top="584"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0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2155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a:extLst>
                        <a:ext uri="{28A0092B-C50C-407E-A947-70E740481C1C}"/>
                      </a:extLst>
                    </a:blip>
                    <a:srcRect/>
                    <a:stretch>
                      <a:fillRect/>
                    </a:stretch>
                  </pic:blipFill>
                  <pic:spPr bwMode="auto">
                    <a:xfrm>
                      <a:off x="0" y="0"/>
                      <a:ext cx="21558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In connection with the Quarterly Report of National Vision Holdings, Inc. (the “Company”) on Form 10-K for the fiscal year ended December 30, 2017, as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In connection with the Quarterly Report of National Vision Holdings, Inc. (the “Company”) on Form 10-K for the fiscal year ended December 30, 2017, as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b w:val="1"/>
          <w:bCs w:val="1"/>
          <w:color w:val="auto"/>
        </w:rPr>
      </w:pPr>
    </w:p>
    <w:p>
      <w:pPr>
        <w:ind w:left="340" w:right="160" w:hanging="332"/>
        <w:spacing w:after="0" w:line="277"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2155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a:extLst>
                        <a:ext uri="{28A0092B-C50C-407E-A947-70E740481C1C}"/>
                      </a:extLst>
                    </a:blip>
                    <a:srcRect/>
                    <a:stretch>
                      <a:fillRect/>
                    </a:stretch>
                  </pic:blipFill>
                  <pic:spPr bwMode="auto">
                    <a:xfrm>
                      <a:off x="0" y="0"/>
                      <a:ext cx="21558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1)"/>
      <w:numFmt w:val="lowerRoman"/>
      <w:start w:val="2"/>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1)"/>
      <w:numFmt w:val="lowerLetter"/>
      <w:start w:val="1"/>
    </w:lvl>
  </w:abstractNum>
  <w:abstractNum w:abstractNumId="29">
    <w:nsid w:val="D34B6A8"/>
    <w:multiLevelType w:val="hybridMultilevel"/>
    <w:lvl w:ilvl="0">
      <w:lvlJc w:val="left"/>
      <w:lvlText w:val="(%1)"/>
      <w:numFmt w:val="lowerLetter"/>
      <w:start w:val="6"/>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lowerLetter"/>
      <w:start w:val="1"/>
    </w:lvl>
  </w:abstractNum>
  <w:abstractNum w:abstractNumId="32">
    <w:nsid w:val="61574095"/>
    <w:multiLevelType w:val="hybridMultilevel"/>
    <w:lvl w:ilvl="0">
      <w:lvlJc w:val="left"/>
      <w:lvlText w:val="(%1)"/>
      <w:numFmt w:val="lowerLetter"/>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1"/>
    </w:lvl>
    <w:lvl w:ilvl="1">
      <w:lvlJc w:val="left"/>
      <w:lvlText w:val="(%2)"/>
      <w:numFmt w:val="decimal"/>
      <w:start w:val="2"/>
    </w:lvl>
  </w:abstractNum>
  <w:abstractNum w:abstractNumId="35">
    <w:nsid w:val="579BE4F1"/>
    <w:multiLevelType w:val="hybridMultilevel"/>
    <w:lvl w:ilvl="0">
      <w:lvlJc w:val="left"/>
      <w:lvlText w:val="%1."/>
      <w:numFmt w:val="decimal"/>
      <w:start w:val="3"/>
    </w:lvl>
    <w:lvl w:ilvl="1">
      <w:lvlJc w:val="left"/>
      <w:lvlText w:val="%2"/>
      <w:numFmt w:val="decimal"/>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1."/>
      <w:numFmt w:val="decimal"/>
      <w:start w:val="14"/>
    </w:lvl>
    <w:lvl w:ilvl="1">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decimal"/>
      <w:start w:val="4"/>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4"/>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3"/>
    </w:lvl>
    <w:lvl w:ilvl="1">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3"/>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3"/>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lowerRoman"/>
      <w:start w:val="3"/>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lowerRoman"/>
      <w:start w:val="1"/>
    </w:lvl>
  </w:abstractNum>
  <w:abstractNum w:abstractNumId="75">
    <w:nsid w:val="71EA1109"/>
    <w:multiLevelType w:val="hybridMultilevel"/>
    <w:lvl w:ilvl="0">
      <w:lvlJc w:val="left"/>
      <w:lvlText w:val="(%1)"/>
      <w:numFmt w:val="lowerRoman"/>
      <w:start w:val="1"/>
    </w:lvl>
  </w:abstractNum>
  <w:abstractNum w:abstractNumId="76">
    <w:nsid w:val="100F59DC"/>
    <w:multiLevelType w:val="hybridMultilevel"/>
    <w:lvl w:ilvl="0">
      <w:lvlJc w:val="left"/>
      <w:lvlText w:val="(%1)"/>
      <w:numFmt w:val="lowerLetter"/>
      <w:start w:val="1"/>
    </w:lvl>
    <w:lvl w:ilvl="1">
      <w:lvlJc w:val="left"/>
      <w:lvlText w:val="(%2)"/>
      <w:numFmt w:val="lowerRoman"/>
      <w:start w:val="1"/>
    </w:lvl>
  </w:abstractNum>
  <w:abstractNum w:abstractNumId="77">
    <w:nsid w:val="7FB7E0AA"/>
    <w:multiLevelType w:val="hybridMultilevel"/>
    <w:lvl w:ilvl="0">
      <w:lvlJc w:val="left"/>
      <w:lvlText w:val="(%1)"/>
      <w:numFmt w:val="upperLetter"/>
      <w:start w:val="1"/>
    </w:lvl>
    <w:lvl w:ilvl="1">
      <w:lvlJc w:val="left"/>
      <w:lvlText w:val="(%2)"/>
      <w:numFmt w:val="decimal"/>
      <w:start w:val="1"/>
    </w:lvl>
  </w:abstractNum>
  <w:abstractNum w:abstractNumId="78">
    <w:nsid w:val="6EB5BD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79">
    <w:nsid w:val="6F6DD9A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0">
    <w:nsid w:val="94211F2"/>
    <w:multiLevelType w:val="hybridMultilevel"/>
    <w:lvl w:ilvl="0">
      <w:lvlJc w:val="left"/>
      <w:lvlText w:val="(%1)"/>
      <w:numFmt w:val="lowerLetter"/>
      <w:start w:val="2"/>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lowerLetter"/>
      <w:start w:val="1"/>
    </w:lvl>
    <w:lvl w:ilvl="1">
      <w:lvlJc w:val="left"/>
      <w:lvlText w:val="(%2)"/>
      <w:numFmt w:val="lowerLetter"/>
      <w:start w:val="4"/>
    </w:lvl>
  </w:abstractNum>
  <w:abstractNum w:abstractNumId="83">
    <w:nsid w:val="4C04A8AF"/>
    <w:multiLevelType w:val="hybridMultilevel"/>
    <w:lvl w:ilvl="0">
      <w:lvlJc w:val="left"/>
      <w:lvlText w:val="(%1)"/>
      <w:numFmt w:val="lowerLetter"/>
      <w:start w:val="35"/>
    </w:lvl>
    <w:lvl w:ilvl="1">
      <w:lvlJc w:val="left"/>
      <w:lvlText w:val="%2"/>
      <w:numFmt w:val="lowerLetter"/>
      <w:start w:val="1"/>
    </w:lvl>
  </w:abstractNum>
  <w:abstractNum w:abstractNumId="84">
    <w:nsid w:val="1716703B"/>
    <w:multiLevelType w:val="hybridMultilevel"/>
    <w:lvl w:ilvl="0">
      <w:lvlJc w:val="left"/>
      <w:lvlText w:val="(%1)"/>
      <w:numFmt w:val="lowerLetter"/>
      <w:start w:val="5"/>
    </w:lvl>
  </w:abstractNum>
  <w:abstractNum w:abstractNumId="85">
    <w:nsid w:val="14E17E33"/>
    <w:multiLevelType w:val="hybridMultilevel"/>
    <w:lvl w:ilvl="0">
      <w:lvlJc w:val="left"/>
      <w:lvlText w:val="(%1)"/>
      <w:numFmt w:val="lowerLetter"/>
      <w:start w:val="1"/>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66" Type="http://schemas.openxmlformats.org/officeDocument/2006/relationships/image" Target="media/image16.png"/><Relationship Id="rId67" Type="http://schemas.openxmlformats.org/officeDocument/2006/relationships/image" Target="media/image17.png"/><Relationship Id="rId68" Type="http://schemas.openxmlformats.org/officeDocument/2006/relationships/image" Target="media/image18.png"/><Relationship Id="rId69" Type="http://schemas.openxmlformats.org/officeDocument/2006/relationships/image" Target="media/image19.png"/><Relationship Id="rId70" Type="http://schemas.openxmlformats.org/officeDocument/2006/relationships/image" Target="media/image20.png"/><Relationship Id="rId23" Type="http://schemas.openxmlformats.org/officeDocument/2006/relationships/hyperlink" Target="http://www.sec.gov/Archives/edgar/data/1710155/000156761917002270/s001582x19_ex3-1.htm" TargetMode="External"/><Relationship Id="rId24" Type="http://schemas.openxmlformats.org/officeDocument/2006/relationships/hyperlink" Target="http://www.sec.gov/Archives/edgar/data/1710155/000156761917002270/s001582x19_ex3-2.htm" TargetMode="External"/><Relationship Id="rId25" Type="http://schemas.openxmlformats.org/officeDocument/2006/relationships/hyperlink" Target="http://www.sec.gov/Archives/edgar/data/1710155/000156761917002270/s001582x19_ex4-1.htm" TargetMode="External"/><Relationship Id="rId26" Type="http://schemas.openxmlformats.org/officeDocument/2006/relationships/hyperlink" Target="http://www.sec.gov/Archives/edgar/data/1710155/000156761917002082/s001582x7_ex4-2.htm" TargetMode="External"/><Relationship Id="rId27" Type="http://schemas.openxmlformats.org/officeDocument/2006/relationships/hyperlink" Target="http://www.sec.gov/Archives/edgar/data/1710155/000156761917002184/s001582x10_ex10-2.htm" TargetMode="External"/><Relationship Id="rId28" Type="http://schemas.openxmlformats.org/officeDocument/2006/relationships/hyperlink" Target="http://www.sec.gov/Archives/edgar/data/1710155/000156761917002082/s001582x7_ex10-3.htm" TargetMode="External"/><Relationship Id="rId29" Type="http://schemas.openxmlformats.org/officeDocument/2006/relationships/hyperlink" Target="http://www.sec.gov/Archives/edgar/data/1710155/000156761917002082/s001582x7_ex10-4.htm" TargetMode="External"/><Relationship Id="rId30" Type="http://schemas.openxmlformats.org/officeDocument/2006/relationships/hyperlink" Target="http://www.sec.gov/Archives/edgar/data/1710155/000156761917002082/s001582x7_ex10-5.htm" TargetMode="External"/><Relationship Id="rId31" Type="http://schemas.openxmlformats.org/officeDocument/2006/relationships/hyperlink" Target="http://www.sec.gov/Archives/edgar/data/1710155/000156761917002270/s001582x19_ex10-1.htm" TargetMode="External"/><Relationship Id="rId32" Type="http://schemas.openxmlformats.org/officeDocument/2006/relationships/hyperlink" Target="http://www.sec.gov/Archives/edgar/data/1710155/000156761917002367/s001971x1_ex10-5.htm" TargetMode="External"/><Relationship Id="rId33" Type="http://schemas.openxmlformats.org/officeDocument/2006/relationships/hyperlink" Target="http://www.sec.gov/Archives/edgar/data/1710155/000156761917002082/s001582x7_ex10-6.htm" TargetMode="External"/><Relationship Id="rId34" Type="http://schemas.openxmlformats.org/officeDocument/2006/relationships/hyperlink" Target="http://www.sec.gov/Archives/edgar/data/1710155/000156761917002082/s001582x7_ex10-7.htm" TargetMode="External"/><Relationship Id="rId35" Type="http://schemas.openxmlformats.org/officeDocument/2006/relationships/hyperlink" Target="http://www.sec.gov/Archives/edgar/data/1710155/000156761917002082/s001582x7_ex10-8.htm" TargetMode="External"/><Relationship Id="rId36" Type="http://schemas.openxmlformats.org/officeDocument/2006/relationships/hyperlink" Target="http://www.sec.gov/Archives/edgar/data/1710155/000156761917002082/s001582x7_ex10-9.htm" TargetMode="External"/><Relationship Id="rId37" Type="http://schemas.openxmlformats.org/officeDocument/2006/relationships/hyperlink" Target="http://www.sec.gov/Archives/edgar/data/1710155/000156761917002082/s001582x7_ex10-10.htm" TargetMode="External"/><Relationship Id="rId38" Type="http://schemas.openxmlformats.org/officeDocument/2006/relationships/hyperlink" Target="http://www.sec.gov/Archives/edgar/data/1710155/000156761917002082/s001582x7_ex10-11.htm" TargetMode="External"/><Relationship Id="rId39" Type="http://schemas.openxmlformats.org/officeDocument/2006/relationships/hyperlink" Target="http://www.sec.gov/Archives/edgar/data/1710155/000156761917002082/s001582x7_ex10-12.htm" TargetMode="External"/><Relationship Id="rId40" Type="http://schemas.openxmlformats.org/officeDocument/2006/relationships/hyperlink" Target="http://www.sec.gov/Archives/edgar/data/1710155/000156761917002082/s001582x7_ex10-13.htm" TargetMode="External"/><Relationship Id="rId41" Type="http://schemas.openxmlformats.org/officeDocument/2006/relationships/hyperlink" Target="http://www.sec.gov/Archives/edgar/data/1710155/000156761917002270/s001582x19_ex10-2.htm" TargetMode="External"/><Relationship Id="rId42" Type="http://schemas.openxmlformats.org/officeDocument/2006/relationships/hyperlink" Target="http://www.sec.gov/Archives/edgar/data/1710155/000156761917002184/s001582x10_ex10-15.htm" TargetMode="External"/><Relationship Id="rId43" Type="http://schemas.openxmlformats.org/officeDocument/2006/relationships/hyperlink" Target="http://www.sec.gov/Archives/edgar/data/1710155/000156761917002082/s001582x7_ex10-16.htm" TargetMode="External"/><Relationship Id="rId44" Type="http://schemas.openxmlformats.org/officeDocument/2006/relationships/hyperlink" Target="http://www.sec.gov/Archives/edgar/data/1710155/000156761917002082/s001582x7_ex10-17.htm" TargetMode="External"/><Relationship Id="rId45" Type="http://schemas.openxmlformats.org/officeDocument/2006/relationships/hyperlink" Target="http://www.sec.gov/Archives/edgar/data/1710155/000156761917002082/s001582x7_ex10-18.htm" TargetMode="External"/><Relationship Id="rId46" Type="http://schemas.openxmlformats.org/officeDocument/2006/relationships/hyperlink" Target="http://www.sec.gov/Archives/edgar/data/1710155/000156761917002082/s001582x7_ex10-19.htm" TargetMode="External"/><Relationship Id="rId47" Type="http://schemas.openxmlformats.org/officeDocument/2006/relationships/hyperlink" Target="http://www.sec.gov/Archives/edgar/data/1710155/000156761917002082/s001582x7_ex10-20.htm" TargetMode="External"/><Relationship Id="rId48" Type="http://schemas.openxmlformats.org/officeDocument/2006/relationships/hyperlink" Target="http://www.sec.gov/Archives/edgar/data/1710155/000156761917002082/s001582x7_ex10-21.htm" TargetMode="External"/><Relationship Id="rId49" Type="http://schemas.openxmlformats.org/officeDocument/2006/relationships/hyperlink" Target="http://www.sec.gov/Archives/edgar/data/1710155/000156761917002082/s001582x7_ex10-22.htm" TargetMode="External"/><Relationship Id="rId50" Type="http://schemas.openxmlformats.org/officeDocument/2006/relationships/hyperlink" Target="http://www.sec.gov/Archives/edgar/data/1710155/000156761917002082/s001582x7_ex10-23.htm" TargetMode="External"/><Relationship Id="rId51" Type="http://schemas.openxmlformats.org/officeDocument/2006/relationships/hyperlink" Target="http://www.sec.gov/Archives/edgar/data/1710155/000156761917002082/s001582x7_ex10-24.htm" TargetMode="External"/><Relationship Id="rId52" Type="http://schemas.openxmlformats.org/officeDocument/2006/relationships/hyperlink" Target="http://www.sec.gov/Archives/edgar/data/1710155/000156761917002082/s001582x7_ex10-25.htm" TargetMode="External"/><Relationship Id="rId53" Type="http://schemas.openxmlformats.org/officeDocument/2006/relationships/hyperlink" Target="http://www.sec.gov/Archives/edgar/data/1710155/000156761917002082/s001582x7_ex10-26.htm" TargetMode="External"/><Relationship Id="rId54" Type="http://schemas.openxmlformats.org/officeDocument/2006/relationships/hyperlink" Target="http://www.sec.gov/Archives/edgar/data/1710155/000156761917002082/s001582x7_ex10-27.htm" TargetMode="External"/><Relationship Id="rId55" Type="http://schemas.openxmlformats.org/officeDocument/2006/relationships/hyperlink" Target="http://www.sec.gov/Archives/edgar/data/1710155/000156761917002082/s001582x7_ex10-28.htm" TargetMode="External"/><Relationship Id="rId56" Type="http://schemas.openxmlformats.org/officeDocument/2006/relationships/hyperlink" Target="http://www.sec.gov/Archives/edgar/data/1710155/000156761917002082/s001582x7_ex10-29.htm" TargetMode="External"/><Relationship Id="rId57" Type="http://schemas.openxmlformats.org/officeDocument/2006/relationships/hyperlink" Target="http://www.sec.gov/Archives/edgar/data/1710155/000156761917002082/s001582x7_ex10-30.htm" TargetMode="External"/><Relationship Id="rId58" Type="http://schemas.openxmlformats.org/officeDocument/2006/relationships/hyperlink" Target="http://www.sec.gov/Archives/edgar/data/1710155/000156761917002184/s001582x10_ex10-31.htm" TargetMode="External"/><Relationship Id="rId59" Type="http://schemas.openxmlformats.org/officeDocument/2006/relationships/hyperlink" Target="http://www.sec.gov/Archives/edgar/data/1710155/000156761917002082/s001582x7_ex10-32.htm" TargetMode="External"/><Relationship Id="rId60" Type="http://schemas.openxmlformats.org/officeDocument/2006/relationships/hyperlink" Target="http://www.sec.gov/Archives/edgar/data/1710155/000156761917002082/s001582x7_ex10-33.htm" TargetMode="External"/><Relationship Id="rId61" Type="http://schemas.openxmlformats.org/officeDocument/2006/relationships/hyperlink" Target="http://www.sec.gov/Archives/edgar/data/1710155/000156761917002184/s001582x10_ex10-34.htm" TargetMode="External"/><Relationship Id="rId62" Type="http://schemas.openxmlformats.org/officeDocument/2006/relationships/hyperlink" Target="http://www.sec.gov/Archives/edgar/data/1710155/000156761917002184/s001582x10_ex10-35.htm" TargetMode="External"/><Relationship Id="rId63" Type="http://schemas.openxmlformats.org/officeDocument/2006/relationships/hyperlink" Target="http://www.sec.gov/Archives/edgar/data/1710155/000156761917002184/s001582x10_ex10-36.htm" TargetMode="External"/><Relationship Id="rId64" Type="http://schemas.openxmlformats.org/officeDocument/2006/relationships/hyperlink" Target="http://www.sec.gov/Archives/edgar/data/1710155/000171015518000005/ex101formofdirectorstockho.htm" TargetMode="External"/><Relationship Id="rId65" Type="http://schemas.openxmlformats.org/officeDocument/2006/relationships/hyperlink" Target="http://www.sec.gov/Archives/edgar/data/1710155/000162612917000582/s001582x16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2019-12-29T00:43:48Z</dcterms:created>
  <dcterms:modified xsi:type="dcterms:W3CDTF">2019-12-29T00:43:48Z</dcterms:modified>
</cp:coreProperties>
</file>