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2017</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3"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 w:lineRule="exact"/>
        <w:rPr>
          <w:sz w:val="24"/>
          <w:szCs w:val="24"/>
          <w:color w:val="auto"/>
        </w:rPr>
      </w:pPr>
    </w:p>
    <w:p>
      <w:pPr>
        <w:ind w:left="420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001-38257</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420"/>
          </w:cols>
          <w:pgMar w:left="240" w:top="616" w:right="239" w:bottom="1440" w:gutter="0" w:footer="0" w:header="0"/>
        </w:sectPr>
      </w:pPr>
    </w:p>
    <w:p>
      <w:pPr>
        <w:spacing w:after="0" w:line="15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6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14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14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48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if changed since last report)</w:t>
      </w:r>
    </w:p>
    <w:p>
      <w:pPr>
        <w:spacing w:after="0" w:line="38" w:lineRule="exact"/>
        <w:rPr>
          <w:sz w:val="24"/>
          <w:szCs w:val="24"/>
          <w:color w:val="auto"/>
        </w:rPr>
      </w:pPr>
    </w:p>
    <w:p>
      <w:pPr>
        <w:sectPr>
          <w:pgSz w:w="11900" w:h="16838" w:orient="portrait"/>
          <w:cols w:equalWidth="0" w:num="2">
            <w:col w:w="6740" w:space="720"/>
            <w:col w:w="3960"/>
          </w:cols>
          <w:pgMar w:left="240" w:top="616" w:right="23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6" w:lineRule="exact"/>
        <w:rPr>
          <w:sz w:val="24"/>
          <w:szCs w:val="24"/>
          <w:color w:val="auto"/>
        </w:rPr>
      </w:pPr>
    </w:p>
    <w:p>
      <w:pPr>
        <w:ind w:right="140"/>
        <w:spacing w:after="0" w:line="24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40"/>
        <w:spacing w:after="0" w:line="249"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30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5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14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5"/>
        </w:trPr>
        <w:tc>
          <w:tcPr>
            <w:tcW w:w="5060" w:type="dxa"/>
            <w:vAlign w:val="bottom"/>
          </w:tcPr>
          <w:p>
            <w:pPr>
              <w:spacing w:after="0"/>
              <w:rPr>
                <w:sz w:val="20"/>
                <w:szCs w:val="20"/>
                <w:color w:val="auto"/>
              </w:rPr>
            </w:pPr>
            <w:r>
              <w:rPr>
                <w:rFonts w:ascii="Arial" w:cs="Arial" w:eastAsia="Arial" w:hAnsi="Arial"/>
                <w:sz w:val="16"/>
                <w:szCs w:val="16"/>
                <w:color w:val="auto"/>
              </w:rPr>
              <w:t>Non-accelerated filer (Do not check if a smaller reporting company)</w:t>
            </w:r>
          </w:p>
        </w:tc>
        <w:tc>
          <w:tcPr>
            <w:tcW w:w="22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14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50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540" w:type="dxa"/>
            <w:vAlign w:val="bottom"/>
          </w:tcPr>
          <w:p>
            <w:pPr>
              <w:ind w:left="142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16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p>
      <w:pPr>
        <w:ind w:right="304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28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w:t>
            </w:r>
          </w:p>
        </w:tc>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Outstanding at November 30, 2017</w:t>
            </w:r>
          </w:p>
        </w:tc>
      </w:tr>
      <w:tr>
        <w:trPr>
          <w:trHeight w:val="33"/>
        </w:trPr>
        <w:tc>
          <w:tcPr>
            <w:tcW w:w="51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2"/>
          </w:tcPr>
          <w:p>
            <w:pPr>
              <w:ind w:left="40"/>
              <w:spacing w:after="0"/>
              <w:rPr>
                <w:sz w:val="20"/>
                <w:szCs w:val="20"/>
                <w:color w:val="auto"/>
              </w:rPr>
            </w:pPr>
            <w:r>
              <w:rPr>
                <w:rFonts w:ascii="Arial" w:cs="Arial" w:eastAsia="Arial" w:hAnsi="Arial"/>
                <w:sz w:val="16"/>
                <w:szCs w:val="16"/>
                <w:color w:val="auto"/>
              </w:rPr>
              <w:t>Common stock, $0.01 par value</w:t>
            </w:r>
          </w:p>
        </w:tc>
        <w:tc>
          <w:tcPr>
            <w:tcW w:w="5140" w:type="dxa"/>
            <w:vAlign w:val="bottom"/>
          </w:tcPr>
          <w:p>
            <w:pPr>
              <w:ind w:left="40"/>
              <w:spacing w:after="0"/>
              <w:rPr>
                <w:sz w:val="20"/>
                <w:szCs w:val="20"/>
                <w:color w:val="auto"/>
              </w:rPr>
            </w:pPr>
            <w:r>
              <w:rPr>
                <w:rFonts w:ascii="Arial" w:cs="Arial" w:eastAsia="Arial" w:hAnsi="Arial"/>
                <w:sz w:val="16"/>
                <w:szCs w:val="16"/>
                <w:color w:val="auto"/>
              </w:rPr>
              <w:t>74,653,832</w:t>
            </w:r>
          </w:p>
        </w:tc>
      </w:tr>
      <w:tr>
        <w:trPr>
          <w:trHeight w:val="168"/>
        </w:trPr>
        <w:tc>
          <w:tcPr>
            <w:tcW w:w="5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140" w:type="dxa"/>
            <w:vAlign w:val="bottom"/>
            <w:tcBorders>
              <w:bottom w:val="single" w:sz="8" w:color="auto"/>
            </w:tcBorders>
          </w:tcPr>
          <w:p>
            <w:pPr>
              <w:spacing w:after="0"/>
              <w:rPr>
                <w:sz w:val="14"/>
                <w:szCs w:val="14"/>
                <w:color w:val="auto"/>
              </w:rPr>
            </w:pPr>
          </w:p>
        </w:tc>
      </w:tr>
      <w:tr>
        <w:trPr>
          <w:trHeight w:val="122"/>
        </w:trPr>
        <w:tc>
          <w:tcPr>
            <w:tcW w:w="5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1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8"/>
                <w:szCs w:val="18"/>
                <w:color w:val="auto"/>
              </w:rPr>
              <w:t>Page</w:t>
            </w:r>
          </w:p>
        </w:tc>
      </w:tr>
      <w:tr>
        <w:trPr>
          <w:trHeight w:val="230"/>
        </w:trPr>
        <w:tc>
          <w:tcPr>
            <w:tcW w:w="920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SPECIAL NOTE REGARDING FORWARD-LOOKING STATEMENTS</w:t>
              </w:r>
            </w:hyperlink>
          </w:p>
        </w:tc>
        <w:tc>
          <w:tcPr>
            <w:tcW w:w="18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1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Part I – Financial Information</w:t>
              </w:r>
            </w:hyperlink>
          </w:p>
        </w:tc>
        <w:tc>
          <w:tcPr>
            <w:tcW w:w="3180" w:type="dxa"/>
            <w:vAlign w:val="bottom"/>
            <w:tcBorders>
              <w:top w:val="single" w:sz="8" w:color="0000EE"/>
            </w:tcBorders>
            <w:gridSpan w:val="9"/>
          </w:tcPr>
          <w:p>
            <w:pPr>
              <w:spacing w:after="0"/>
              <w:rPr>
                <w:sz w:val="21"/>
                <w:szCs w:val="21"/>
                <w:color w:val="auto"/>
              </w:rPr>
            </w:pPr>
          </w:p>
        </w:tc>
        <w:tc>
          <w:tcPr>
            <w:tcW w:w="3880" w:type="dxa"/>
            <w:vAlign w:val="bottom"/>
            <w:gridSpan w:val="5"/>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77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180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Balance Sheets</w:t>
              </w:r>
            </w:hyperlink>
          </w:p>
        </w:tc>
        <w:tc>
          <w:tcPr>
            <w:tcW w:w="4840" w:type="dxa"/>
            <w:vAlign w:val="bottom"/>
            <w:gridSpan w:val="7"/>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Operations and Comprehensive Income</w:t>
              </w:r>
            </w:hyperlink>
          </w:p>
        </w:tc>
        <w:tc>
          <w:tcPr>
            <w:tcW w:w="2040" w:type="dxa"/>
            <w:vAlign w:val="bottom"/>
            <w:gridSpan w:val="2"/>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4040" w:type="dxa"/>
            <w:vAlign w:val="bottom"/>
            <w:gridSpan w:val="6"/>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3760" w:type="dxa"/>
            <w:vAlign w:val="bottom"/>
            <w:gridSpan w:val="4"/>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776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80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776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tcBorders>
              <w:left w:val="single" w:sz="8" w:color="0000EE"/>
            </w:tcBorders>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776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940" w:type="dxa"/>
            <w:vAlign w:val="bottom"/>
            <w:gridSpan w:val="5"/>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Part II – Other Information</w:t>
              </w:r>
            </w:hyperlink>
          </w:p>
        </w:tc>
        <w:tc>
          <w:tcPr>
            <w:tcW w:w="7260" w:type="dxa"/>
            <w:vAlign w:val="bottom"/>
            <w:gridSpan w:val="16"/>
          </w:tcPr>
          <w:p>
            <w:pPr>
              <w:spacing w:after="0"/>
              <w:rPr>
                <w:sz w:val="21"/>
                <w:szCs w:val="21"/>
                <w:color w:val="auto"/>
              </w:rPr>
            </w:pPr>
          </w:p>
        </w:tc>
        <w:tc>
          <w:tcPr>
            <w:tcW w:w="180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w:t>
              </w:r>
            </w:hyperlink>
          </w:p>
        </w:tc>
        <w:tc>
          <w:tcPr>
            <w:tcW w:w="776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80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1A.</w:t>
              </w:r>
            </w:hyperlink>
          </w:p>
        </w:tc>
        <w:tc>
          <w:tcPr>
            <w:tcW w:w="360" w:type="dxa"/>
            <w:vAlign w:val="bottom"/>
          </w:tcPr>
          <w:p>
            <w:pPr>
              <w:spacing w:after="0"/>
              <w:rPr>
                <w:sz w:val="21"/>
                <w:szCs w:val="21"/>
                <w:color w:val="auto"/>
              </w:rPr>
            </w:pPr>
          </w:p>
        </w:tc>
        <w:tc>
          <w:tcPr>
            <w:tcW w:w="77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18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360" w:type="dxa"/>
            <w:vAlign w:val="bottom"/>
          </w:tcPr>
          <w:p>
            <w:pPr>
              <w:spacing w:after="0"/>
              <w:rPr>
                <w:sz w:val="21"/>
                <w:szCs w:val="21"/>
                <w:color w:val="auto"/>
              </w:rPr>
            </w:pPr>
          </w:p>
        </w:tc>
        <w:tc>
          <w:tcPr>
            <w:tcW w:w="77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18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77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180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77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180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5.</w:t>
              </w:r>
            </w:hyperlink>
          </w:p>
        </w:tc>
        <w:tc>
          <w:tcPr>
            <w:tcW w:w="77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180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w:t>
              </w:r>
            </w:hyperlink>
          </w:p>
        </w:tc>
        <w:tc>
          <w:tcPr>
            <w:tcW w:w="776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180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Signatures</w:t>
              </w:r>
            </w:hyperlink>
          </w:p>
        </w:tc>
        <w:tc>
          <w:tcPr>
            <w:tcW w:w="7000" w:type="dxa"/>
            <w:vAlign w:val="bottom"/>
            <w:gridSpan w:val="13"/>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ectPr>
          <w:pgSz w:w="11900" w:h="16838" w:orient="portrait"/>
          <w:cols w:equalWidth="0" w:num="1">
            <w:col w:w="11000"/>
          </w:cols>
          <w:pgMar w:left="460" w:top="832"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under the heading “Risk Factors” in the Company’s final prospectus dated October 25, 2017 (the “Prospectus”), as filed with the Securities and Exchange Commission (the “SEC”) on October 27, 2017 pursuant to Rule 424(b)(4) under the Securities Act, and in this Form 10-Q, as such risk factors may be updated from time to time in our periodic filings with the SEC, and are accessible on the SEC’s website at www.sec.gov, and also include the following:</w:t>
      </w:r>
    </w:p>
    <w:p>
      <w:pPr>
        <w:spacing w:after="0" w:line="70"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open and operate new stores in a timely and cost-effective manner or fail to successfully enter new markets, our financial performance could be materially and adversely affected.</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recruit and retain vision care professionals for our stores could adversely affect our business, financial condition and results of operations.</w:t>
      </w:r>
    </w:p>
    <w:p>
      <w:pPr>
        <w:spacing w:after="0" w:line="14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extensive state, local and federal vision care and healthcare laws and regulations and failure to adhere to such laws and regulations would adversely affect our business.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operational success depends on 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maintain our current operating relationships with our host and legacy partners, our business, profitability and cash flows may be adversely affected.</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vendors from whom our products are sourced.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optical retail industry is highly competitive, and if we do not compete successfully, our business may be adversely impacted.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a limited number of suppliers.</w:t>
      </w:r>
    </w:p>
    <w:p>
      <w:pPr>
        <w:spacing w:after="0" w:line="11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and our vendors’ systems containing personal information and payment card data of our retail store and e-commerce customers, employees and other third parties, could be breached, which could subject us to adverse publicity, costly government enforcement actions or private litigation.</w:t>
      </w:r>
    </w:p>
    <w:p>
      <w:pPr>
        <w:spacing w:after="0" w:line="38"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 whether owned by us or outsourced or managed by third parties, could harm our ability to effectively operate our business and could have a material adverse effect on our business, financial condition and results of operations.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3" w:right="239" w:bottom="1440" w:gutter="0" w:footer="0" w:header="0"/>
        </w:sectPr>
      </w:pPr>
    </w:p>
    <w:bookmarkStart w:id="3" w:name="page4"/>
    <w:bookmarkEnd w:id="3"/>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overall decline in the health of the economy and other factors impacting consumer spending, such as the timing and issuance of tax refunds, governmental instability and natural disasters, may affect consumer purchases, which could reduce demand for our products and materially harm our sales, profitability and financial condition.</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growth strategy could strain our existing resources and cause the performance of our existing stores to suffer.</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retain our existing senior management team or attract qualified new personnel, such failure could have a material adverse effect on our business, financial condition, and results of operations.</w:t>
      </w:r>
    </w:p>
    <w:p>
      <w:pPr>
        <w:spacing w:after="0" w:line="62"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a low-cost provider and our business model relies on the low cost of inputs. Factors such as wage rate increases, inflation, cost increases, increases in raw material prices and energy prices could have a material adverse effect on our business, financial condition and results of operations.</w:t>
      </w:r>
    </w:p>
    <w:p>
      <w:pPr>
        <w:spacing w:after="0" w:line="1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success depends upon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associated with leasing substantial amounts of space, including future increases in occupancy costs.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could be adversely affected by product liability, product recall or personal injury issues.</w:t>
      </w:r>
    </w:p>
    <w:p>
      <w:pPr>
        <w:spacing w:after="0" w:line="11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substantial leverage could adversely affect our ability to raise additional capital to fund our operations, limit our ability to react to changes in the economy or our industry, expose us to interest rate risk to the extent of our variable rate debt and prevent us from meeting our debt obligations.</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managed vision care laws and regulations.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coverage and reimbursement, including government programs, for an increasing portion of our revenues, the future reduction of which could adversely affect our results of operations.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profitability and cash flows may be negatively affected if we are not successful in managing our inventory balances and inventory shrinkage.</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e-commerce business faces distinct risks, and our failure to successfully manage it could have a negative impact on our profitability.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results and inventory levels fluctuate on a seasonal basis.</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debt agreements contain restrictions that limit our flexibility in operating our business.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sufficient cash flow to satisfy our significant debt service obligations, which could have a material adverse effect on our business, financial condition and results of operations.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laws, regulations and enforcement activities or changes in statutory, regulatory, accounting, and other legal requirements could potentially impact our operating and financial results.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litigation judgments or settlements resulting from legal proceedings relating to our business operations could materially adversely affect our business, financial condition and results of operations.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able to adequately protect our intellectual property, which could harm the value of our brand and adversely affect our business.</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comply with requirements to design, implement and maintain effective internal controls could have a material adverse effect on our business.</w:t>
      </w:r>
    </w:p>
    <w:p>
      <w:pPr>
        <w:spacing w:after="0" w:line="140"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sponsors (affiliates of Kohlberg Kravis Roberts &amp; Co. L.P. (“KKR”) and private equity funds managed by Berkshire Partners LLC (“Berkshire”)) control us and their interests may conflict with ours or yours in the future.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p>
      <w:pPr>
        <w:jc w:val="both"/>
        <w:spacing w:after="0" w:line="254"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 Vision Holdings, Inc. when you enroll your e-mail address by visiting the “Email Alerts” page of the Investor Resources section of our website at www.nationalvision.com/investors. The contents of our website are not, however, a part of this Form 10-Q.</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7"/>
                <w:szCs w:val="17"/>
                <w:color w:val="auto"/>
              </w:rPr>
            </w:pPr>
          </w:p>
        </w:tc>
        <w:tc>
          <w:tcPr>
            <w:tcW w:w="2040" w:type="dxa"/>
            <w:vAlign w:val="bottom"/>
            <w:gridSpan w:val="2"/>
          </w:tcPr>
          <w:p>
            <w:pPr>
              <w:ind w:left="140"/>
              <w:spacing w:after="0"/>
              <w:rPr>
                <w:sz w:val="20"/>
                <w:szCs w:val="20"/>
                <w:color w:val="auto"/>
              </w:rPr>
            </w:pPr>
            <w:r>
              <w:rPr>
                <w:rFonts w:ascii="Arial" w:cs="Arial" w:eastAsia="Arial" w:hAnsi="Arial"/>
                <w:sz w:val="16"/>
                <w:szCs w:val="16"/>
                <w:color w:val="auto"/>
              </w:rPr>
              <w:t>As of September 30,</w:t>
            </w:r>
          </w:p>
        </w:tc>
        <w:tc>
          <w:tcPr>
            <w:tcW w:w="240" w:type="dxa"/>
            <w:vAlign w:val="bottom"/>
          </w:tcPr>
          <w:p>
            <w:pPr>
              <w:spacing w:after="0"/>
              <w:rPr>
                <w:sz w:val="17"/>
                <w:szCs w:val="17"/>
                <w:color w:val="auto"/>
              </w:rPr>
            </w:pPr>
          </w:p>
        </w:tc>
        <w:tc>
          <w:tcPr>
            <w:tcW w:w="1900" w:type="dxa"/>
            <w:vAlign w:val="bottom"/>
          </w:tcPr>
          <w:p>
            <w:pPr>
              <w:jc w:val="right"/>
              <w:ind w:right="359"/>
              <w:spacing w:after="0"/>
              <w:rPr>
                <w:sz w:val="20"/>
                <w:szCs w:val="20"/>
                <w:color w:val="auto"/>
              </w:rPr>
            </w:pPr>
            <w:r>
              <w:rPr>
                <w:rFonts w:ascii="Arial" w:cs="Arial" w:eastAsia="Arial" w:hAnsi="Arial"/>
                <w:sz w:val="16"/>
                <w:szCs w:val="16"/>
                <w:color w:val="auto"/>
              </w:rPr>
              <w:t>As of December 31,</w:t>
            </w:r>
          </w:p>
        </w:tc>
        <w:tc>
          <w:tcPr>
            <w:tcW w:w="0" w:type="dxa"/>
            <w:vAlign w:val="bottom"/>
          </w:tcPr>
          <w:p>
            <w:pPr>
              <w:spacing w:after="0"/>
              <w:rPr>
                <w:sz w:val="1"/>
                <w:szCs w:val="1"/>
                <w:color w:val="auto"/>
              </w:rPr>
            </w:pPr>
          </w:p>
        </w:tc>
      </w:tr>
      <w:tr>
        <w:trPr>
          <w:trHeight w:val="98"/>
        </w:trPr>
        <w:tc>
          <w:tcPr>
            <w:tcW w:w="6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920" w:type="dxa"/>
            <w:vAlign w:val="bottom"/>
            <w:vMerge w:val="restart"/>
          </w:tcPr>
          <w:p>
            <w:pPr>
              <w:jc w:val="right"/>
              <w:ind w:right="83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00" w:type="dxa"/>
            <w:vAlign w:val="bottom"/>
            <w:vMerge w:val="restart"/>
          </w:tcPr>
          <w:p>
            <w:pPr>
              <w:jc w:val="right"/>
              <w:ind w:right="83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27,621</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4,945</w:t>
            </w: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34,370</w:t>
            </w:r>
          </w:p>
        </w:tc>
        <w:tc>
          <w:tcPr>
            <w:tcW w:w="0" w:type="dxa"/>
            <w:vAlign w:val="bottom"/>
          </w:tcPr>
          <w:p>
            <w:pPr>
              <w:spacing w:after="0"/>
              <w:rPr>
                <w:sz w:val="1"/>
                <w:szCs w:val="1"/>
                <w:color w:val="auto"/>
              </w:rPr>
            </w:pPr>
          </w:p>
        </w:tc>
      </w:tr>
      <w:tr>
        <w:trPr>
          <w:trHeight w:val="224"/>
        </w:trPr>
        <w:tc>
          <w:tcPr>
            <w:tcW w:w="69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89,370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87,064</w:t>
            </w: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20,880</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178,790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147,259</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Property and equipment, net</w:t>
            </w:r>
          </w:p>
        </w:tc>
        <w:tc>
          <w:tcPr>
            <w:tcW w:w="2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290,656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256,414</w:t>
            </w: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 and deferred costs: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792,744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793,229</w:t>
            </w: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240,547</w:t>
            </w:r>
          </w:p>
        </w:tc>
        <w:tc>
          <w:tcPr>
            <w:tcW w:w="0" w:type="dxa"/>
            <w:vAlign w:val="bottom"/>
          </w:tcPr>
          <w:p>
            <w:pPr>
              <w:spacing w:after="0"/>
              <w:rPr>
                <w:sz w:val="1"/>
                <w:szCs w:val="1"/>
                <w:color w:val="auto"/>
              </w:rPr>
            </w:pPr>
          </w:p>
        </w:tc>
      </w:tr>
      <w:tr>
        <w:trPr>
          <w:trHeight w:val="224"/>
        </w:trPr>
        <w:tc>
          <w:tcPr>
            <w:tcW w:w="6980" w:type="dxa"/>
            <w:vAlign w:val="bottom"/>
          </w:tcPr>
          <w:p>
            <w:pPr>
              <w:ind w:left="280"/>
              <w:spacing w:after="0"/>
              <w:rPr>
                <w:sz w:val="20"/>
                <w:szCs w:val="20"/>
                <w:color w:val="auto"/>
              </w:rPr>
            </w:pPr>
            <w:r>
              <w:rPr>
                <w:rFonts w:ascii="Arial" w:cs="Arial" w:eastAsia="Arial" w:hAnsi="Arial"/>
                <w:sz w:val="16"/>
                <w:szCs w:val="16"/>
                <w:color w:val="auto"/>
              </w:rPr>
              <w:t>Other intangible assets, net</w:t>
            </w:r>
          </w:p>
        </w:tc>
        <w:tc>
          <w:tcPr>
            <w:tcW w:w="2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75,011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81,338</w:t>
            </w: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12,330</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Total non-current assets</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1,410,072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1,383,858</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1,588,862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1,531,117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33,562</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39,400</w:t>
            </w: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payables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69,402</w:t>
            </w:r>
          </w:p>
        </w:tc>
        <w:tc>
          <w:tcPr>
            <w:tcW w:w="0" w:type="dxa"/>
            <w:vAlign w:val="bottom"/>
          </w:tcPr>
          <w:p>
            <w:pPr>
              <w:spacing w:after="0"/>
              <w:rPr>
                <w:sz w:val="1"/>
                <w:szCs w:val="1"/>
                <w:color w:val="auto"/>
              </w:rPr>
            </w:pPr>
          </w:p>
        </w:tc>
      </w:tr>
      <w:tr>
        <w:trPr>
          <w:trHeight w:val="224"/>
        </w:trPr>
        <w:tc>
          <w:tcPr>
            <w:tcW w:w="6980" w:type="dxa"/>
            <w:vAlign w:val="bottom"/>
          </w:tcPr>
          <w:p>
            <w:pPr>
              <w:ind w:left="28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20,867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25,600</w:t>
            </w: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57,996</w:t>
            </w:r>
          </w:p>
        </w:tc>
        <w:tc>
          <w:tcPr>
            <w:tcW w:w="0" w:type="dxa"/>
            <w:vAlign w:val="bottom"/>
          </w:tcPr>
          <w:p>
            <w:pPr>
              <w:spacing w:after="0"/>
              <w:rPr>
                <w:sz w:val="1"/>
                <w:szCs w:val="1"/>
                <w:color w:val="auto"/>
              </w:rPr>
            </w:pPr>
          </w:p>
        </w:tc>
      </w:tr>
      <w:tr>
        <w:trPr>
          <w:trHeight w:val="224"/>
        </w:trPr>
        <w:tc>
          <w:tcPr>
            <w:tcW w:w="6980" w:type="dxa"/>
            <w:vAlign w:val="bottom"/>
          </w:tcPr>
          <w:p>
            <w:pPr>
              <w:ind w:left="28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9,645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7,285</w:t>
            </w:r>
          </w:p>
        </w:tc>
        <w:tc>
          <w:tcPr>
            <w:tcW w:w="0" w:type="dxa"/>
            <w:vAlign w:val="bottom"/>
          </w:tcPr>
          <w:p>
            <w:pPr>
              <w:spacing w:after="0"/>
              <w:rPr>
                <w:sz w:val="1"/>
                <w:szCs w:val="1"/>
                <w:color w:val="auto"/>
              </w:rPr>
            </w:pPr>
          </w:p>
        </w:tc>
      </w:tr>
      <w:tr>
        <w:trPr>
          <w:trHeight w:val="47"/>
        </w:trPr>
        <w:tc>
          <w:tcPr>
            <w:tcW w:w="69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219,176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199,683</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Long-term debt, less current portion and debt discount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912,734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738,340</w:t>
            </w:r>
          </w:p>
        </w:tc>
        <w:tc>
          <w:tcPr>
            <w:tcW w:w="0" w:type="dxa"/>
            <w:vAlign w:val="bottom"/>
          </w:tcPr>
          <w:p>
            <w:pPr>
              <w:spacing w:after="0"/>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non-current liabilities:</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29,432</w:t>
            </w:r>
          </w:p>
        </w:tc>
        <w:tc>
          <w:tcPr>
            <w:tcW w:w="0" w:type="dxa"/>
            <w:vAlign w:val="bottom"/>
          </w:tcPr>
          <w:p>
            <w:pPr>
              <w:spacing w:after="0"/>
              <w:rPr>
                <w:sz w:val="1"/>
                <w:szCs w:val="1"/>
                <w:color w:val="auto"/>
              </w:rPr>
            </w:pPr>
          </w:p>
        </w:tc>
      </w:tr>
      <w:tr>
        <w:trPr>
          <w:trHeight w:val="224"/>
        </w:trPr>
        <w:tc>
          <w:tcPr>
            <w:tcW w:w="698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49,714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50,497</w:t>
            </w: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111,278</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other non-current liabilities</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202,364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191,207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 (See Note 8)</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Common stock, $0.01 par value; 200,000 shares authorized; 56,477 and 56,202 shares issued and</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outstanding as of September 30, 2017 and December 31, 2016,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24"/>
        </w:trPr>
        <w:tc>
          <w:tcPr>
            <w:tcW w:w="698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259,034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424,789</w:t>
            </w: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(14,556)</w:t>
            </w:r>
          </w:p>
        </w:tc>
        <w:tc>
          <w:tcPr>
            <w:tcW w:w="0" w:type="dxa"/>
            <w:vAlign w:val="bottom"/>
          </w:tcPr>
          <w:p>
            <w:pPr>
              <w:spacing w:after="0"/>
              <w:rPr>
                <w:sz w:val="1"/>
                <w:szCs w:val="1"/>
                <w:color w:val="auto"/>
              </w:rPr>
            </w:pPr>
          </w:p>
        </w:tc>
      </w:tr>
      <w:tr>
        <w:trPr>
          <w:trHeight w:val="224"/>
        </w:trPr>
        <w:tc>
          <w:tcPr>
            <w:tcW w:w="6980" w:type="dxa"/>
            <w:vAlign w:val="bottom"/>
          </w:tcPr>
          <w:p>
            <w:pPr>
              <w:ind w:left="280"/>
              <w:spacing w:after="0"/>
              <w:rPr>
                <w:sz w:val="20"/>
                <w:szCs w:val="20"/>
                <w:color w:val="auto"/>
              </w:rPr>
            </w:pPr>
            <w:r>
              <w:rPr>
                <w:rFonts w:ascii="Arial" w:cs="Arial" w:eastAsia="Arial" w:hAnsi="Arial"/>
                <w:sz w:val="16"/>
                <w:szCs w:val="16"/>
                <w:color w:val="auto"/>
              </w:rPr>
              <w:t>Retained earnings (deficit)</w:t>
            </w:r>
          </w:p>
        </w:tc>
        <w:tc>
          <w:tcPr>
            <w:tcW w:w="2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8,445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(8,675)</w:t>
            </w: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at cost; 28 shares as of September 30, 2017 and December 31, 2016</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254,588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401,887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1,588,862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1,531,117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41"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54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2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7620" w:type="dxa"/>
            <w:vAlign w:val="bottom"/>
            <w:gridSpan w:val="9"/>
          </w:tcPr>
          <w:p>
            <w:pPr>
              <w:jc w:val="center"/>
              <w:ind w:left="1170"/>
              <w:spacing w:after="0"/>
              <w:rPr>
                <w:sz w:val="20"/>
                <w:szCs w:val="20"/>
                <w:color w:val="auto"/>
              </w:rPr>
            </w:pPr>
            <w:r>
              <w:rPr>
                <w:rFonts w:ascii="Arial" w:cs="Arial" w:eastAsia="Arial" w:hAnsi="Arial"/>
                <w:sz w:val="18"/>
                <w:szCs w:val="18"/>
                <w:b w:val="1"/>
                <w:bCs w:val="1"/>
                <w:color w:val="auto"/>
                <w:w w:val="90"/>
              </w:rPr>
              <w:t>For the Three and Nine Months Ended September 30, 2017 and October 1, 2016</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540" w:type="dxa"/>
            <w:vAlign w:val="bottom"/>
            <w:gridSpan w:val="7"/>
          </w:tcPr>
          <w:p>
            <w:pPr>
              <w:jc w:val="center"/>
              <w:ind w:right="520"/>
              <w:spacing w:after="0"/>
              <w:rPr>
                <w:sz w:val="20"/>
                <w:szCs w:val="20"/>
                <w:color w:val="auto"/>
              </w:rPr>
            </w:pPr>
            <w:r>
              <w:rPr>
                <w:rFonts w:ascii="Arial" w:cs="Arial" w:eastAsia="Arial" w:hAnsi="Arial"/>
                <w:sz w:val="18"/>
                <w:szCs w:val="18"/>
                <w:i w:val="1"/>
                <w:iCs w:val="1"/>
                <w:color w:val="auto"/>
                <w:w w:val="90"/>
              </w:rPr>
              <w:t>In Thousands, Except Per Share Information</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Three Months</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2"/>
              </w:rPr>
              <w:t>Nine Months</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c>
          <w:tcPr>
            <w:tcW w:w="1700" w:type="dxa"/>
            <w:vAlign w:val="bottom"/>
            <w:gridSpan w:val="3"/>
          </w:tcPr>
          <w:p>
            <w:pPr>
              <w:ind w:left="80"/>
              <w:spacing w:after="0"/>
              <w:rPr>
                <w:sz w:val="20"/>
                <w:szCs w:val="20"/>
                <w:color w:val="auto"/>
              </w:rPr>
            </w:pPr>
            <w:r>
              <w:rPr>
                <w:rFonts w:ascii="Arial" w:cs="Arial" w:eastAsia="Arial" w:hAnsi="Arial"/>
                <w:sz w:val="18"/>
                <w:szCs w:val="18"/>
                <w:color w:val="auto"/>
              </w:rPr>
              <w:t>Nine Months Ended</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8"/>
              </w:rPr>
              <w:t>Ended</w:t>
            </w:r>
          </w:p>
        </w:tc>
      </w:tr>
      <w:tr>
        <w:trPr>
          <w:trHeight w:val="230"/>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September 30, 2017</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October 1, 2016</w:t>
            </w:r>
          </w:p>
        </w:tc>
        <w:tc>
          <w:tcPr>
            <w:tcW w:w="1700" w:type="dxa"/>
            <w:vAlign w:val="bottom"/>
            <w:gridSpan w:val="3"/>
          </w:tcPr>
          <w:p>
            <w:pPr>
              <w:ind w:left="80"/>
              <w:spacing w:after="0"/>
              <w:rPr>
                <w:sz w:val="20"/>
                <w:szCs w:val="20"/>
                <w:color w:val="auto"/>
              </w:rPr>
            </w:pPr>
            <w:r>
              <w:rPr>
                <w:rFonts w:ascii="Arial" w:cs="Arial" w:eastAsia="Arial" w:hAnsi="Arial"/>
                <w:sz w:val="18"/>
                <w:szCs w:val="18"/>
                <w:color w:val="auto"/>
                <w:w w:val="98"/>
              </w:rPr>
              <w:t>September 30, 2017</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89"/>
              </w:rPr>
              <w:t>October 1, 2016</w:t>
            </w:r>
          </w:p>
        </w:tc>
      </w:tr>
      <w:tr>
        <w:trPr>
          <w:trHeight w:val="27"/>
        </w:trPr>
        <w:tc>
          <w:tcPr>
            <w:tcW w:w="12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Net product sales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283,648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246,638</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867,192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756,787</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54,578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162,294</w:t>
            </w:r>
          </w:p>
        </w:tc>
      </w:tr>
      <w:tr>
        <w:trPr>
          <w:trHeight w:val="237"/>
        </w:trPr>
        <w:tc>
          <w:tcPr>
            <w:tcW w:w="3700" w:type="dxa"/>
            <w:vAlign w:val="bottom"/>
            <w:gridSpan w:val="2"/>
          </w:tcPr>
          <w:p>
            <w:pPr>
              <w:ind w:left="380"/>
              <w:spacing w:after="0"/>
              <w:rPr>
                <w:sz w:val="20"/>
                <w:szCs w:val="20"/>
                <w:color w:val="auto"/>
              </w:rPr>
            </w:pPr>
            <w:r>
              <w:rPr>
                <w:rFonts w:ascii="Arial" w:cs="Arial" w:eastAsia="Arial" w:hAnsi="Arial"/>
                <w:sz w:val="18"/>
                <w:szCs w:val="18"/>
                <w:color w:val="auto"/>
              </w:rPr>
              <w:t>Total net revenue</w:t>
            </w: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346,089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301,216</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1,053,489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919,081</w:t>
            </w:r>
          </w:p>
        </w:tc>
      </w:tr>
      <w:tr>
        <w:trPr>
          <w:trHeight w:val="27"/>
        </w:trPr>
        <w:tc>
          <w:tcPr>
            <w:tcW w:w="128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51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1"/>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115,752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99,096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349,099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299,420</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39,568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115,033</w:t>
            </w:r>
          </w:p>
        </w:tc>
      </w:tr>
      <w:tr>
        <w:trPr>
          <w:trHeight w:val="237"/>
        </w:trPr>
        <w:tc>
          <w:tcPr>
            <w:tcW w:w="3700" w:type="dxa"/>
            <w:vAlign w:val="bottom"/>
            <w:gridSpan w:val="2"/>
          </w:tcPr>
          <w:p>
            <w:pPr>
              <w:ind w:left="380"/>
              <w:spacing w:after="0"/>
              <w:rPr>
                <w:sz w:val="20"/>
                <w:szCs w:val="20"/>
                <w:color w:val="auto"/>
              </w:rPr>
            </w:pPr>
            <w:r>
              <w:rPr>
                <w:rFonts w:ascii="Arial" w:cs="Arial" w:eastAsia="Arial" w:hAnsi="Arial"/>
                <w:sz w:val="18"/>
                <w:szCs w:val="18"/>
                <w:color w:val="auto"/>
              </w:rPr>
              <w:t>Total costs applicable to revenue</w:t>
            </w: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162,358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138,664</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484,573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414,453</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w w:val="95"/>
              </w:rPr>
              <w:t>Selling, general and administrative expenses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151,251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134,457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445,714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395,385</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38,237</w:t>
            </w: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Other expense, net</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7"/>
        </w:trPr>
        <w:tc>
          <w:tcPr>
            <w:tcW w:w="12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3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148,237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498,862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434,891</w:t>
            </w:r>
          </w:p>
        </w:tc>
      </w:tr>
      <w:tr>
        <w:trPr>
          <w:trHeight w:val="237"/>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14,315</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69,737</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29,377</w:t>
            </w: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Debt issuance costs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40,360</w:t>
            </w: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15,893</w:t>
            </w:r>
          </w:p>
        </w:tc>
      </w:tr>
      <w:tr>
        <w:trPr>
          <w:trHeight w:val="27"/>
        </w:trPr>
        <w:tc>
          <w:tcPr>
            <w:tcW w:w="12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24,467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56,211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56,176</w:t>
            </w: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58,459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57,170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56,814</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24,467</w:t>
            </w: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Change in fair value of hedge instruments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(13,245)</w:t>
            </w:r>
          </w:p>
        </w:tc>
      </w:tr>
      <w:tr>
        <w:trPr>
          <w:trHeight w:val="27"/>
        </w:trPr>
        <w:tc>
          <w:tcPr>
            <w:tcW w:w="128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14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Tax (provision) benefit of change in fair value of hedge</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instruments</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5,219</w:t>
            </w:r>
          </w:p>
        </w:tc>
      </w:tr>
      <w:tr>
        <w:trPr>
          <w:trHeight w:val="257"/>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16,441</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32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24"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 and October 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2"/>
          </w:tcPr>
          <w:p>
            <w:pPr>
              <w:ind w:left="180"/>
              <w:spacing w:after="0"/>
              <w:rPr>
                <w:sz w:val="20"/>
                <w:szCs w:val="20"/>
                <w:color w:val="auto"/>
              </w:rPr>
            </w:pPr>
            <w:r>
              <w:rPr>
                <w:rFonts w:ascii="Arial" w:cs="Arial" w:eastAsia="Arial" w:hAnsi="Arial"/>
                <w:sz w:val="17"/>
                <w:szCs w:val="17"/>
                <w:color w:val="auto"/>
              </w:rPr>
              <w:t>Nine Months Ended</w:t>
            </w:r>
          </w:p>
        </w:tc>
        <w:tc>
          <w:tcPr>
            <w:tcW w:w="280" w:type="dxa"/>
            <w:vAlign w:val="bottom"/>
          </w:tcPr>
          <w:p>
            <w:pPr>
              <w:spacing w:after="0"/>
              <w:rPr>
                <w:sz w:val="17"/>
                <w:szCs w:val="17"/>
                <w:color w:val="auto"/>
              </w:rPr>
            </w:pPr>
          </w:p>
        </w:tc>
        <w:tc>
          <w:tcPr>
            <w:tcW w:w="2000" w:type="dxa"/>
            <w:vAlign w:val="bottom"/>
          </w:tcPr>
          <w:p>
            <w:pPr>
              <w:jc w:val="right"/>
              <w:ind w:right="375"/>
              <w:spacing w:after="0"/>
              <w:rPr>
                <w:sz w:val="20"/>
                <w:szCs w:val="20"/>
                <w:color w:val="auto"/>
              </w:rPr>
            </w:pPr>
            <w:r>
              <w:rPr>
                <w:rFonts w:ascii="Arial" w:cs="Arial" w:eastAsia="Arial" w:hAnsi="Arial"/>
                <w:sz w:val="17"/>
                <w:szCs w:val="17"/>
                <w:color w:val="auto"/>
              </w:rPr>
              <w:t>Nine Months Ended</w:t>
            </w:r>
          </w:p>
        </w:tc>
      </w:tr>
      <w:tr>
        <w:trPr>
          <w:trHeight w:val="216"/>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Arial" w:cs="Arial" w:eastAsia="Arial" w:hAnsi="Arial"/>
                <w:sz w:val="17"/>
                <w:szCs w:val="17"/>
                <w:color w:val="auto"/>
              </w:rPr>
              <w:t>September 30, 2017</w:t>
            </w:r>
          </w:p>
        </w:tc>
        <w:tc>
          <w:tcPr>
            <w:tcW w:w="280" w:type="dxa"/>
            <w:vAlign w:val="bottom"/>
          </w:tcPr>
          <w:p>
            <w:pPr>
              <w:spacing w:after="0"/>
              <w:rPr>
                <w:sz w:val="18"/>
                <w:szCs w:val="18"/>
                <w:color w:val="auto"/>
              </w:rPr>
            </w:pPr>
          </w:p>
        </w:tc>
        <w:tc>
          <w:tcPr>
            <w:tcW w:w="2000" w:type="dxa"/>
            <w:vAlign w:val="bottom"/>
          </w:tcPr>
          <w:p>
            <w:pPr>
              <w:jc w:val="right"/>
              <w:ind w:right="495"/>
              <w:spacing w:after="0"/>
              <w:rPr>
                <w:sz w:val="20"/>
                <w:szCs w:val="20"/>
                <w:color w:val="auto"/>
              </w:rPr>
            </w:pPr>
            <w:r>
              <w:rPr>
                <w:rFonts w:ascii="Arial" w:cs="Arial" w:eastAsia="Arial" w:hAnsi="Arial"/>
                <w:sz w:val="17"/>
                <w:szCs w:val="17"/>
                <w:color w:val="auto"/>
              </w:rPr>
              <w:t>October 1, 2016</w:t>
            </w:r>
          </w:p>
        </w:tc>
      </w:tr>
      <w:tr>
        <w:trPr>
          <w:trHeight w:val="31"/>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17,120</w:t>
            </w:r>
          </w:p>
        </w:tc>
        <w:tc>
          <w:tcPr>
            <w:tcW w:w="12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24,467</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Depreciation of property and equipment</w:t>
            </w: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38,077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31,345</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6,892</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Amortization of loan costs</w:t>
            </w: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3,075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2,946</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Asset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Deferred income tax expense</w:t>
            </w: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8,922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15,901</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Non-cash stock option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3,308</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Non-cash inventory adjustments</w:t>
            </w: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4,695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1,228</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388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529</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(4,741)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569</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(8,007)</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2,487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(1,223)</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(8,738)</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25,898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21,807</w:t>
            </w:r>
          </w:p>
        </w:tc>
      </w:tr>
      <w:tr>
        <w:trPr>
          <w:trHeight w:val="31"/>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96,251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91,076</w:t>
            </w:r>
          </w:p>
        </w:tc>
      </w:tr>
      <w:tr>
        <w:trPr>
          <w:trHeight w:val="233"/>
        </w:trPr>
        <w:tc>
          <w:tcPr>
            <w:tcW w:w="6740" w:type="dxa"/>
            <w:vAlign w:val="bottom"/>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Purchase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(66,771)</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Purchase of investments</w:t>
            </w:r>
          </w:p>
        </w:tc>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(1,500)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(734)</w:t>
            </w:r>
          </w:p>
        </w:tc>
      </w:tr>
      <w:tr>
        <w:trPr>
          <w:trHeight w:val="219"/>
        </w:trPr>
        <w:tc>
          <w:tcPr>
            <w:tcW w:w="6740" w:type="dxa"/>
            <w:vAlign w:val="bottom"/>
          </w:tcPr>
          <w:p>
            <w:pPr>
              <w:ind w:left="40"/>
              <w:spacing w:after="0"/>
              <w:rPr>
                <w:sz w:val="20"/>
                <w:szCs w:val="20"/>
                <w:color w:val="auto"/>
              </w:rPr>
            </w:pPr>
            <w:r>
              <w:rPr>
                <w:rFonts w:ascii="Arial" w:cs="Arial" w:eastAsia="Arial" w:hAnsi="Arial"/>
                <w:sz w:val="17"/>
                <w:szCs w:val="17"/>
                <w:color w:val="auto"/>
              </w:rPr>
              <w:t>Net cash used for investing activities</w:t>
            </w:r>
          </w:p>
        </w:tc>
        <w:tc>
          <w:tcPr>
            <w:tcW w:w="28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(68,748)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(68,505)</w:t>
            </w:r>
          </w:p>
        </w:tc>
      </w:tr>
      <w:tr>
        <w:trPr>
          <w:trHeight w:val="31"/>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173,712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Principal payments on long-term debt</w:t>
            </w:r>
          </w:p>
        </w:tc>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(6,236)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(4,886)</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884</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Payments on capital lease obligations</w:t>
            </w:r>
          </w:p>
        </w:tc>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(710)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(426)</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Dividend to stockholders</w:t>
            </w:r>
          </w:p>
        </w:tc>
        <w:tc>
          <w:tcPr>
            <w:tcW w:w="2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(170,983)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(4,428)</w:t>
            </w:r>
          </w:p>
        </w:tc>
      </w:tr>
      <w:tr>
        <w:trPr>
          <w:trHeight w:val="219"/>
        </w:trPr>
        <w:tc>
          <w:tcPr>
            <w:tcW w:w="6740" w:type="dxa"/>
            <w:vAlign w:val="bottom"/>
          </w:tcPr>
          <w:p>
            <w:pPr>
              <w:ind w:left="40"/>
              <w:spacing w:after="0"/>
              <w:rPr>
                <w:sz w:val="20"/>
                <w:szCs w:val="20"/>
                <w:color w:val="auto"/>
              </w:rPr>
            </w:pPr>
            <w:r>
              <w:rPr>
                <w:rFonts w:ascii="Arial" w:cs="Arial" w:eastAsia="Arial" w:hAnsi="Arial"/>
                <w:sz w:val="17"/>
                <w:szCs w:val="17"/>
                <w:color w:val="auto"/>
              </w:rPr>
              <w:t>Net change in cash and cash equivalents</w:t>
            </w:r>
          </w:p>
        </w:tc>
        <w:tc>
          <w:tcPr>
            <w:tcW w:w="28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22,676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18,143</w:t>
            </w: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5,595</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27,621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23,738</w:t>
            </w:r>
          </w:p>
        </w:tc>
      </w:tr>
      <w:tr>
        <w:trPr>
          <w:trHeight w:val="257"/>
        </w:trPr>
        <w:tc>
          <w:tcPr>
            <w:tcW w:w="6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r>
      <w:tr>
        <w:trPr>
          <w:trHeight w:val="239"/>
        </w:trPr>
        <w:tc>
          <w:tcPr>
            <w:tcW w:w="6740" w:type="dxa"/>
            <w:vAlign w:val="bottom"/>
          </w:tcPr>
          <w:p>
            <w:pPr>
              <w:ind w:left="40"/>
              <w:spacing w:after="0"/>
              <w:rPr>
                <w:sz w:val="20"/>
                <w:szCs w:val="20"/>
                <w:color w:val="auto"/>
              </w:rPr>
            </w:pPr>
            <w:r>
              <w:rPr>
                <w:rFonts w:ascii="Arial" w:cs="Arial" w:eastAsia="Arial" w:hAnsi="Arial"/>
                <w:sz w:val="17"/>
                <w:szCs w:val="17"/>
                <w:b w:val="1"/>
                <w:bCs w:val="1"/>
                <w:color w:val="auto"/>
              </w:rPr>
              <w:t>Supplemental cash flow disclosure information:</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Non-cash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Deferred offering costs accrued at the end of period</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2,694</w:t>
            </w:r>
          </w:p>
        </w:tc>
        <w:tc>
          <w:tcPr>
            <w:tcW w:w="12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41"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National Vision Holdings, Inc. ( “NVHI,” the “Company,” “we,” “our,” or “us”) is a holding company whose operating subsidiaries include its indirect wholly owned subsidiary, National Vision, Inc. (“NVI”) and NVI’s direct wholly owned subsidiaries. The Company is a leading value retailer of eyeglasses and value retailer of contact lenses. To support our operations, we also own and operate three optical laboratories and two distribution centers. We operated 996 and 943 retail optical locations in the United States and its territories as of September 30, 2017 and December 31, 2016, respectively, through our five store brands, America’s Best Contacts and Eyeglasses (“America’s Best”), Eyeglass World, Vista Optical locations on U.S. Army/Air Force military bases and within Fred Meyer stores, and our management &amp; services arrangement with Walmart.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by the Company in accordance with accounting principles generally accepted in the United States of America (“U.S. GAAP”) for interim financial information and, therefore, do not include all information and footnotes required by U.S. GAAP for complete consolidated financial statements. The condensed consolidated balance sheet as of December 31, 2016 has been derived from the audited consolidated balance sheet for the fiscal year then ended. These unaudited interim condensed consolidated financial statements reflect all normal and recurring adjustments which are, in the opinion of management, necessary to present fairly the Company’s consolidated financial position as of September 30, 2017, the consolidated results of operations for the three and nine months ended September 30, 2017 and October 1, 2016, and consolidated cash flows for the nine months ended September 30, 2017 and October 1, 2016.</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Certain information and footnote disclosures normally included in our annual consolidated financial statements prepared in accordance with U.S.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for the fiscal year ended December 31, 2016 included in the Company’s final prospectus dated October 25, 2017 (the “Prospectus”), as filed with the Securities and Exchange Commission (the “SEC”) on October 27, 2017 pursuant to Rule 424(b)(4) under the Securities Act Securities Act of 1933, as amended (the “Securities Act”). The significant accounting policies followed by the Company are set forth in Note 1 within those consolidated financial statements. We use the same accounting policies in preparing interim condensed consolidated financial information and annual consolidated financial statements. There were no changes in our significant accounting policies during the nine months ended September 30, 2017, except for the adoption of Accounting Standards Update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and ASU No. 2017-04,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neither of which had a material effect on the Company’s consolidated financial condition, results of operations, or cash flows.</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2017 contains 52 weeks and will end on December 30, 2017. All three and nine month periods presented herein contain 13 and 39 weeks, respectively. All references to years and quarters relate to fiscal periods rather than calendar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consolidated results of operations for the three and nine months ended September 30, 2017 and October 1, 2016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fiscal quarter, and a lower portion of net revenue, income from operations, and cash flows from operations in the fourth fiscal quarter. The seasonally larger first quarter is attributable primarily to the timing of our customers’ personal income tax refunds and annual health insurance program start or reset periods. Seasonality related to fourth quarter holiday spending by retail customers does not significantly impact our business. Our quarterly consolidated results can also be affected by the timing of new store openings and store closings and the timing of certain holidays.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30, 2017, we completed an initial public offering of our common stock (“IPO”) in which we issued and sold 18,170,000 shares of common stock, including 2,370,000 shares of common stock pursuant to the exercise in full of the underwriters’ option to purchase additional shares. The shares sold in the offering were registered under the Securities Act pursuant to our Registration Statement on Form S-1 (File No. 333-220719), which was declared effective by the SEC on October 25, 2017. The shares of our common stock were sold at an initial offering price of $22.00 per share, which generated net proceeds of approximately $375.8 million to the Company, after deducting underwriting discounts and commissions of approximately $24.0 million which included $0.7 million paid to KKR Capital Markets LLC. (“KCM”), an affiliate of KKR, for underwriting services in connection with the IPO. We primarily used the net proceeds from the IPO to repay all $125.0 million outstanding aggregate amount of the Company’s second lien term loans and approximately $235.0 million of the outstanding amount of the Company’s first lien term loans and accrued and unpaid interest thereon. The repayment will result in an extinguishment of debt in the amount of approximately $353.3 million, which will be recognized in the fourth quarter of 2017. During the fourth quarter of 2017, the Company expects to pay $4.0 million of transaction related expenses. The remaining $11.8 million of the proceeds will be used for general corporate purposes, including the termination fees described below.</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NVI was party to a Monitoring Agreement, dated as of March 13, 2014 (the “Monitoring Agreement”), with KKR and Berkshire, which was terminated automatically in accordance with its terms upon the completion of the IPO. In connection with such termination, the Company paid termination fees of approximately $3.6 million and $0.8 million to KKR and Berkshire, respectively. Affiliates of KKR and Berkshire retained 58.2% and 13.6% ownership interest, respectively, in the Company after the IPO.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preparing for the IPO, on October 12, 2017 the Company’s Board of Directors approved a 1.96627-for-one reverse stock split of the Company’s common stock. The reverse stock split became effective October 24, 2017. The par value per share of common stock and authorized shares of common stock remain unchanged at $0.01 per share and 200 million shares, respectively. The accompanying financial statements and notes thereto give retroactive effect to the reverse stock split for all periods presented. All common share and per share amounts in the financial statements and notes have been retrospectively adjusted to give effect to the reverse stock split, including reclassifying an amount equal to the reduction in aggregate par value of ‘‘Common stock’’ to ‘‘additional paid-in capital’’ on the condensed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Offering Costs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capitalize legal and accounting fees directly relating to the IPO. These deferred offering costs will be offset against offering proceeds during the fourth fiscal quarter of 2017. As of September 30, 2017, the Company capitalized $3.2 million of deferred offering costs in prepaid expenses and other current assets in its condensed consolidated balance sheet, and accrued $2.7 million of such costs during the nine months ended September 30, 2017, which are presented in the condensed consolidated statement of cash flows as non-cash financing activities for the nine months ended September 30, 2017. We estimate an additional $1.6 million of direct IPO related costs to be capitalized in the fourth quarter of 2017. We also estimate to record an increase in additional paid-in-capital of $371.0 million as a result of the IPO.</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14"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effective income tax rate, or ETR, was 9.5% and 34.1% during three moths ended and 35.2% and 39.4% during the nine months ended September 30, 2017 and October 1, 2016, respectively. The 9.5% rate during the three months ended September 30, 2017 resulted from a change to our expected annual ETR, with the cumulative results of that change recorded in the current quarter. During the nine months ended September 30, 2017, our expected combined statutory federal and state rate was reduced by a $1.4 million income tax benefit (5.3%) resulting from the recapitalization dividend described in Note 5 - Related Party Transactions. Other items aggregated to a 0.5% further reduction in the rate for the period. These benefits were partially offset by an increase in tax expense of $0.4 million (1.5%) related to a valuation allowance recorded on an impairment-related deferred tax asset.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 clarify the principles used to recognize revenue for all entities. ASU No.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No. 2014-09, including ASU No. 2016-08, </w:t>
      </w:r>
      <w:r>
        <w:rPr>
          <w:rFonts w:ascii="Arial" w:cs="Arial" w:eastAsia="Arial" w:hAnsi="Arial"/>
          <w:sz w:val="16"/>
          <w:szCs w:val="16"/>
          <w:i w:val="1"/>
          <w:iCs w:val="1"/>
          <w:color w:val="auto"/>
        </w:rPr>
        <w:t>Principal versus Agent Considerations (Reporting Revenue Gross versus Net)</w:t>
      </w:r>
      <w:r>
        <w:rPr>
          <w:rFonts w:ascii="Arial" w:cs="Arial" w:eastAsia="Arial" w:hAnsi="Arial"/>
          <w:sz w:val="16"/>
          <w:szCs w:val="16"/>
          <w:color w:val="auto"/>
        </w:rPr>
        <w:t xml:space="preserve"> in March 2016, and ASU No. 2016-10,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xml:space="preserve"> in April 2016. The guidance is effective for fiscal years beginning after December 15, 2017, and interim reporting periods within that fiscal year. The Company will adopt this new guidance in the first quarter of 2018 using the modified retrospective method. The most significant components of the new guidance to the Company relate to performance obligations surrounding our bundled product and service offerings and the reporting of revenue on a gross versus net basis with respect to our management and services agreement with Walmart, and the timing of revenue recognition associated with our discount club membership fees. We are currently finalizing our assessment, but we do not expect the adoption of this new guidance to have a significant impact on the timing or amount of revenue recognized in our consolidated financial results based on our implementation progress to-date. We do expect incremental additional disclosures in the notes to our consolidated financial statements.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The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The Company will adopt this new guidance in the first quarter of 2019. We are evaluating the impact of implementation of this new guidance on our consolidated financial statements, but expect that adoption will have a material impact to the Company’s total assets and liabilities since we have a significant number of operating leases not currently recognized on our consolidated balance sheets.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2016, FASB issued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This new guidance simplifies the accounting for share-based payment transactions, including income tax consequences, classification of certain items on the statement of cash flows, forfeitures, and minimum statutory withholding requirements. This new guidance is effective for fiscal years beginning after December 15, 2016, and interim reporting periods within that fiscal year. We adopted this new guidance in the first quarter of 2017. The adoption of this new guidance did not have a material effect on the Company’s financial condition, results of operations, or cash flows.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FASB issued ASU No. 2017-04,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This new guidance removes Step 2 of the goodwill impairment test. A goodwill impairment will now be the amount by which a reporting unit’s carrying value exceeds its fair value, not to exceed the carrying amount of goodwill. The new guidance will be applied prospectively, and is effective for annual or any interim goodwill impairment tests in fiscal years beginning after December 15, 2019. Early adoption is permitted for interim or annual goodwill impairment tests performed on testing dates after January 1, 2017. We adopted this new guidance during the first quarter of 2017. The adoption of this new guidance did not have a material effect on the Company’s financial condition, results of operations, or cash flows.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14"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Correction of an Error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first quarter of 2017, we identified an error in our previously issued 2016 consolidated financial statements related to contact lens inventories that were expired or expiring and could not be sold as of December 31, 2016. Fiscal year 2016 costs applicable to revenue (products) was understated by $2.1 million, and net income was overstated by $1.3 million. We corrected the error in the three months ended July 1, 2017. Management concluded that the error was not material to the 2016 consolidated financial statements or the estimated 2017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Method Investment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$1.0 million cost method investment in a private start-up company whose principal business is creating eyeglasses through three dimensional printing which can be customized based on a scan of the customer’s face. During the second quarter of 2017, management determined that it was unlikely that the business would be able to continue operations for the foreseeable future. Therefore, we recorded an impairment charge for the entire amount of the investment during the second quarter of 2017, which is reflected in the condensed consolidated statement of operations and other comprehensive income for the nine months ended September 30,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860" w:type="dxa"/>
            <w:vAlign w:val="bottom"/>
          </w:tcPr>
          <w:p>
            <w:pPr>
              <w:jc w:val="center"/>
              <w:ind w:left="570"/>
              <w:spacing w:after="0"/>
              <w:rPr>
                <w:sz w:val="20"/>
                <w:szCs w:val="20"/>
                <w:color w:val="auto"/>
              </w:rPr>
            </w:pPr>
            <w:r>
              <w:rPr>
                <w:rFonts w:ascii="Arial" w:cs="Arial" w:eastAsia="Arial" w:hAnsi="Arial"/>
                <w:sz w:val="18"/>
                <w:szCs w:val="18"/>
                <w:color w:val="auto"/>
                <w:w w:val="97"/>
              </w:rPr>
              <w:t>As of</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tcPr>
          <w:p>
            <w:pPr>
              <w:jc w:val="center"/>
              <w:ind w:right="350"/>
              <w:spacing w:after="0"/>
              <w:rPr>
                <w:sz w:val="20"/>
                <w:szCs w:val="20"/>
                <w:color w:val="auto"/>
              </w:rPr>
            </w:pPr>
            <w:r>
              <w:rPr>
                <w:rFonts w:ascii="Arial" w:cs="Arial" w:eastAsia="Arial" w:hAnsi="Arial"/>
                <w:sz w:val="18"/>
                <w:szCs w:val="18"/>
                <w:color w:val="auto"/>
                <w:w w:val="97"/>
              </w:rPr>
              <w:t>As of</w:t>
            </w:r>
          </w:p>
        </w:tc>
      </w:tr>
      <w:tr>
        <w:trPr>
          <w:trHeight w:val="216"/>
        </w:trPr>
        <w:tc>
          <w:tcPr>
            <w:tcW w:w="6280" w:type="dxa"/>
            <w:vAlign w:val="bottom"/>
          </w:tcPr>
          <w:p>
            <w:pPr>
              <w:ind w:left="2680"/>
              <w:spacing w:after="0"/>
              <w:rPr>
                <w:sz w:val="20"/>
                <w:szCs w:val="20"/>
                <w:color w:val="auto"/>
              </w:rPr>
            </w:pPr>
            <w:r>
              <w:rPr>
                <w:rFonts w:ascii="Arial" w:cs="Arial" w:eastAsia="Arial" w:hAnsi="Arial"/>
                <w:sz w:val="18"/>
                <w:szCs w:val="18"/>
                <w:i w:val="1"/>
                <w:iCs w:val="1"/>
                <w:color w:val="auto"/>
              </w:rPr>
              <w:t>In thousands</w:t>
            </w:r>
          </w:p>
        </w:tc>
        <w:tc>
          <w:tcPr>
            <w:tcW w:w="1860" w:type="dxa"/>
            <w:vAlign w:val="bottom"/>
          </w:tcPr>
          <w:p>
            <w:pPr>
              <w:jc w:val="center"/>
              <w:ind w:left="570"/>
              <w:spacing w:after="0"/>
              <w:rPr>
                <w:sz w:val="20"/>
                <w:szCs w:val="20"/>
                <w:color w:val="auto"/>
              </w:rPr>
            </w:pPr>
            <w:r>
              <w:rPr>
                <w:rFonts w:ascii="Arial" w:cs="Arial" w:eastAsia="Arial" w:hAnsi="Arial"/>
                <w:sz w:val="18"/>
                <w:szCs w:val="18"/>
                <w:color w:val="auto"/>
                <w:w w:val="88"/>
              </w:rPr>
              <w:t>September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tcPr>
          <w:p>
            <w:pPr>
              <w:jc w:val="center"/>
              <w:ind w:right="350"/>
              <w:spacing w:after="0"/>
              <w:rPr>
                <w:sz w:val="20"/>
                <w:szCs w:val="20"/>
                <w:color w:val="auto"/>
              </w:rPr>
            </w:pPr>
            <w:r>
              <w:rPr>
                <w:rFonts w:ascii="Arial" w:cs="Arial" w:eastAsia="Arial" w:hAnsi="Arial"/>
                <w:sz w:val="18"/>
                <w:szCs w:val="18"/>
                <w:color w:val="auto"/>
                <w:w w:val="88"/>
              </w:rPr>
              <w:t>December 31,</w:t>
            </w:r>
          </w:p>
        </w:tc>
      </w:tr>
      <w:tr>
        <w:trPr>
          <w:trHeight w:val="230"/>
        </w:trPr>
        <w:tc>
          <w:tcPr>
            <w:tcW w:w="6280" w:type="dxa"/>
            <w:vAlign w:val="bottom"/>
          </w:tcPr>
          <w:p>
            <w:pPr>
              <w:spacing w:after="0"/>
              <w:rPr>
                <w:sz w:val="20"/>
                <w:szCs w:val="20"/>
                <w:color w:val="auto"/>
              </w:rPr>
            </w:pPr>
          </w:p>
        </w:tc>
        <w:tc>
          <w:tcPr>
            <w:tcW w:w="1860" w:type="dxa"/>
            <w:vAlign w:val="bottom"/>
          </w:tcPr>
          <w:p>
            <w:pPr>
              <w:jc w:val="center"/>
              <w:ind w:left="570"/>
              <w:spacing w:after="0"/>
              <w:rPr>
                <w:sz w:val="20"/>
                <w:szCs w:val="20"/>
                <w:color w:val="auto"/>
              </w:rPr>
            </w:pPr>
            <w:r>
              <w:rPr>
                <w:rFonts w:ascii="Arial" w:cs="Arial" w:eastAsia="Arial" w:hAnsi="Arial"/>
                <w:sz w:val="18"/>
                <w:szCs w:val="18"/>
                <w:color w:val="auto"/>
                <w:w w:val="89"/>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80" w:type="dxa"/>
            <w:vAlign w:val="bottom"/>
          </w:tcPr>
          <w:p>
            <w:pPr>
              <w:jc w:val="center"/>
              <w:ind w:right="350"/>
              <w:spacing w:after="0"/>
              <w:rPr>
                <w:sz w:val="20"/>
                <w:szCs w:val="20"/>
                <w:color w:val="auto"/>
              </w:rPr>
            </w:pPr>
            <w:r>
              <w:rPr>
                <w:rFonts w:ascii="Arial" w:cs="Arial" w:eastAsia="Arial" w:hAnsi="Arial"/>
                <w:sz w:val="18"/>
                <w:szCs w:val="18"/>
                <w:color w:val="auto"/>
                <w:w w:val="89"/>
              </w:rPr>
              <w:t>2016</w:t>
            </w:r>
          </w:p>
        </w:tc>
      </w:tr>
      <w:tr>
        <w:trPr>
          <w:trHeight w:val="27"/>
        </w:trPr>
        <w:tc>
          <w:tcPr>
            <w:tcW w:w="62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net:</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1860" w:type="dxa"/>
            <w:vAlign w:val="bottom"/>
          </w:tcPr>
          <w:p>
            <w:pPr>
              <w:jc w:val="right"/>
              <w:ind w:right="16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25,985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20,817</w:t>
            </w:r>
          </w:p>
        </w:tc>
      </w:tr>
      <w:tr>
        <w:trPr>
          <w:trHeight w:val="27"/>
        </w:trPr>
        <w:tc>
          <w:tcPr>
            <w:tcW w:w="6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card receivables</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9,398</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Tenant improvement allowances receivable</w:t>
            </w:r>
          </w:p>
        </w:tc>
        <w:tc>
          <w:tcPr>
            <w:tcW w:w="18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3,308</w:t>
            </w:r>
          </w:p>
        </w:tc>
      </w:tr>
      <w:tr>
        <w:trPr>
          <w:trHeight w:val="27"/>
        </w:trPr>
        <w:tc>
          <w:tcPr>
            <w:tcW w:w="6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Allowance for uncollectible accounts</w:t>
            </w:r>
          </w:p>
        </w:tc>
        <w:tc>
          <w:tcPr>
            <w:tcW w:w="18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7"/>
        </w:trPr>
        <w:tc>
          <w:tcPr>
            <w:tcW w:w="62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6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39,111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70"/>
        </w:trPr>
        <w:tc>
          <w:tcPr>
            <w:tcW w:w="62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5"/>
                <w:szCs w:val="25"/>
                <w:color w:val="auto"/>
                <w:vertAlign w:val="superscript"/>
              </w:rPr>
              <w:t>(1)</w:t>
            </w:r>
          </w:p>
        </w:tc>
        <w:tc>
          <w:tcPr>
            <w:tcW w:w="1860" w:type="dxa"/>
            <w:vAlign w:val="bottom"/>
          </w:tcPr>
          <w:p>
            <w:pPr>
              <w:jc w:val="right"/>
              <w:ind w:right="16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41,985</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42,266</w:t>
            </w: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1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47,385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44,798</w:t>
            </w:r>
          </w:p>
        </w:tc>
      </w:tr>
      <w:tr>
        <w:trPr>
          <w:trHeight w:val="237"/>
        </w:trPr>
        <w:tc>
          <w:tcPr>
            <w:tcW w:w="6280" w:type="dxa"/>
            <w:vAlign w:val="bottom"/>
          </w:tcPr>
          <w:p>
            <w:pPr>
              <w:spacing w:after="0"/>
              <w:rPr>
                <w:sz w:val="20"/>
                <w:szCs w:val="20"/>
                <w:color w:val="auto"/>
              </w:rPr>
            </w:pPr>
          </w:p>
        </w:tc>
        <w:tc>
          <w:tcPr>
            <w:tcW w:w="1860" w:type="dxa"/>
            <w:vAlign w:val="bottom"/>
            <w:tcBorders>
              <w:top w:val="single" w:sz="8" w:color="auto"/>
            </w:tcBorders>
          </w:tcPr>
          <w:p>
            <w:pPr>
              <w:jc w:val="right"/>
              <w:ind w:right="16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89,370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8" w:lineRule="exact"/>
        <w:rPr>
          <w:sz w:val="20"/>
          <w:szCs w:val="20"/>
          <w:color w:val="auto"/>
        </w:rPr>
      </w:pPr>
    </w:p>
    <w:p>
      <w:pPr>
        <w:ind w:left="40" w:right="720" w:hanging="5"/>
        <w:spacing w:after="0" w:line="293" w:lineRule="auto"/>
        <w:tabs>
          <w:tab w:leader="none" w:pos="27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equipment, net: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Land and building</w:t>
            </w:r>
          </w:p>
        </w:tc>
        <w:tc>
          <w:tcPr>
            <w:tcW w:w="32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20"/>
                <w:szCs w:val="20"/>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193,945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161,714</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2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41,228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36,046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145,661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121,963</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2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32,732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28,099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under capital leases</w:t>
            </w:r>
          </w:p>
        </w:tc>
        <w:tc>
          <w:tcPr>
            <w:tcW w:w="2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426,436</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354,673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2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135,780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98,259</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290,656</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256,414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vMerge w:val="restart"/>
          </w:tcPr>
          <w:p>
            <w:pPr>
              <w:jc w:val="right"/>
              <w:ind w:right="390"/>
              <w:spacing w:after="0"/>
              <w:rPr>
                <w:sz w:val="20"/>
                <w:szCs w:val="20"/>
                <w:color w:val="auto"/>
              </w:rPr>
            </w:pPr>
            <w:r>
              <w:rPr>
                <w:rFonts w:ascii="Arial" w:cs="Arial" w:eastAsia="Arial" w:hAnsi="Arial"/>
                <w:sz w:val="18"/>
                <w:szCs w:val="18"/>
                <w:color w:val="auto"/>
              </w:rPr>
              <w:t>12</w:t>
            </w: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0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2. Details of Certain Balance Sheet Accounts (continued)</w:t>
            </w:r>
          </w:p>
        </w:tc>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8"/>
        </w:trPr>
        <w:tc>
          <w:tcPr>
            <w:tcW w:w="6280" w:type="dxa"/>
            <w:vAlign w:val="bottom"/>
          </w:tcPr>
          <w:p>
            <w:pPr>
              <w:spacing w:after="0"/>
              <w:rPr>
                <w:sz w:val="24"/>
                <w:szCs w:val="24"/>
                <w:color w:val="auto"/>
              </w:rPr>
            </w:pPr>
          </w:p>
        </w:tc>
        <w:tc>
          <w:tcPr>
            <w:tcW w:w="1860" w:type="dxa"/>
            <w:vAlign w:val="bottom"/>
          </w:tcPr>
          <w:p>
            <w:pPr>
              <w:jc w:val="center"/>
              <w:ind w:left="570"/>
              <w:spacing w:after="0"/>
              <w:rPr>
                <w:sz w:val="20"/>
                <w:szCs w:val="20"/>
                <w:color w:val="auto"/>
              </w:rPr>
            </w:pPr>
            <w:r>
              <w:rPr>
                <w:rFonts w:ascii="Arial" w:cs="Arial" w:eastAsia="Arial" w:hAnsi="Arial"/>
                <w:sz w:val="18"/>
                <w:szCs w:val="18"/>
                <w:color w:val="auto"/>
                <w:w w:val="97"/>
              </w:rPr>
              <w:t>As of</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tcPr>
          <w:p>
            <w:pPr>
              <w:jc w:val="center"/>
              <w:ind w:right="350"/>
              <w:spacing w:after="0"/>
              <w:rPr>
                <w:sz w:val="20"/>
                <w:szCs w:val="20"/>
                <w:color w:val="auto"/>
              </w:rPr>
            </w:pPr>
            <w:r>
              <w:rPr>
                <w:rFonts w:ascii="Arial" w:cs="Arial" w:eastAsia="Arial" w:hAnsi="Arial"/>
                <w:sz w:val="18"/>
                <w:szCs w:val="18"/>
                <w:color w:val="auto"/>
                <w:w w:val="97"/>
              </w:rPr>
              <w:t>As of</w:t>
            </w:r>
          </w:p>
        </w:tc>
      </w:tr>
      <w:tr>
        <w:trPr>
          <w:trHeight w:val="216"/>
        </w:trPr>
        <w:tc>
          <w:tcPr>
            <w:tcW w:w="6280" w:type="dxa"/>
            <w:vAlign w:val="bottom"/>
          </w:tcPr>
          <w:p>
            <w:pPr>
              <w:spacing w:after="0"/>
              <w:rPr>
                <w:sz w:val="18"/>
                <w:szCs w:val="18"/>
                <w:color w:val="auto"/>
              </w:rPr>
            </w:pPr>
          </w:p>
        </w:tc>
        <w:tc>
          <w:tcPr>
            <w:tcW w:w="1860" w:type="dxa"/>
            <w:vAlign w:val="bottom"/>
          </w:tcPr>
          <w:p>
            <w:pPr>
              <w:jc w:val="center"/>
              <w:ind w:left="570"/>
              <w:spacing w:after="0"/>
              <w:rPr>
                <w:sz w:val="20"/>
                <w:szCs w:val="20"/>
                <w:color w:val="auto"/>
              </w:rPr>
            </w:pPr>
            <w:r>
              <w:rPr>
                <w:rFonts w:ascii="Arial" w:cs="Arial" w:eastAsia="Arial" w:hAnsi="Arial"/>
                <w:sz w:val="18"/>
                <w:szCs w:val="18"/>
                <w:color w:val="auto"/>
                <w:w w:val="88"/>
              </w:rPr>
              <w:t>September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tcPr>
          <w:p>
            <w:pPr>
              <w:jc w:val="center"/>
              <w:ind w:right="350"/>
              <w:spacing w:after="0"/>
              <w:rPr>
                <w:sz w:val="20"/>
                <w:szCs w:val="20"/>
                <w:color w:val="auto"/>
              </w:rPr>
            </w:pPr>
            <w:r>
              <w:rPr>
                <w:rFonts w:ascii="Arial" w:cs="Arial" w:eastAsia="Arial" w:hAnsi="Arial"/>
                <w:sz w:val="18"/>
                <w:szCs w:val="18"/>
                <w:color w:val="auto"/>
                <w:w w:val="88"/>
              </w:rPr>
              <w:t>December 31,</w:t>
            </w:r>
          </w:p>
        </w:tc>
      </w:tr>
      <w:tr>
        <w:trPr>
          <w:trHeight w:val="230"/>
        </w:trPr>
        <w:tc>
          <w:tcPr>
            <w:tcW w:w="6280" w:type="dxa"/>
            <w:vAlign w:val="bottom"/>
          </w:tcPr>
          <w:p>
            <w:pPr>
              <w:ind w:left="2680"/>
              <w:spacing w:after="0"/>
              <w:rPr>
                <w:sz w:val="20"/>
                <w:szCs w:val="20"/>
                <w:color w:val="auto"/>
              </w:rPr>
            </w:pPr>
            <w:r>
              <w:rPr>
                <w:rFonts w:ascii="Arial" w:cs="Arial" w:eastAsia="Arial" w:hAnsi="Arial"/>
                <w:sz w:val="18"/>
                <w:szCs w:val="18"/>
                <w:i w:val="1"/>
                <w:iCs w:val="1"/>
                <w:color w:val="auto"/>
              </w:rPr>
              <w:t>In thousands</w:t>
            </w:r>
          </w:p>
        </w:tc>
        <w:tc>
          <w:tcPr>
            <w:tcW w:w="1860" w:type="dxa"/>
            <w:vAlign w:val="bottom"/>
          </w:tcPr>
          <w:p>
            <w:pPr>
              <w:jc w:val="center"/>
              <w:ind w:left="570"/>
              <w:spacing w:after="0"/>
              <w:rPr>
                <w:sz w:val="20"/>
                <w:szCs w:val="20"/>
                <w:color w:val="auto"/>
              </w:rPr>
            </w:pPr>
            <w:r>
              <w:rPr>
                <w:rFonts w:ascii="Arial" w:cs="Arial" w:eastAsia="Arial" w:hAnsi="Arial"/>
                <w:sz w:val="18"/>
                <w:szCs w:val="18"/>
                <w:color w:val="auto"/>
                <w:w w:val="89"/>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80" w:type="dxa"/>
            <w:vAlign w:val="bottom"/>
          </w:tcPr>
          <w:p>
            <w:pPr>
              <w:jc w:val="center"/>
              <w:ind w:right="350"/>
              <w:spacing w:after="0"/>
              <w:rPr>
                <w:sz w:val="20"/>
                <w:szCs w:val="20"/>
                <w:color w:val="auto"/>
              </w:rPr>
            </w:pPr>
            <w:r>
              <w:rPr>
                <w:rFonts w:ascii="Arial" w:cs="Arial" w:eastAsia="Arial" w:hAnsi="Arial"/>
                <w:sz w:val="18"/>
                <w:szCs w:val="18"/>
                <w:color w:val="auto"/>
                <w:w w:val="89"/>
              </w:rPr>
              <w:t>2016</w:t>
            </w:r>
          </w:p>
        </w:tc>
      </w:tr>
      <w:tr>
        <w:trPr>
          <w:trHeight w:val="27"/>
        </w:trPr>
        <w:tc>
          <w:tcPr>
            <w:tcW w:w="62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payables and accrued expenses:</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Employee compensation and benefits</w:t>
            </w:r>
          </w:p>
        </w:tc>
        <w:tc>
          <w:tcPr>
            <w:tcW w:w="1860" w:type="dxa"/>
            <w:vAlign w:val="bottom"/>
          </w:tcPr>
          <w:p>
            <w:pPr>
              <w:jc w:val="right"/>
              <w:ind w:right="16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29,238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18,984</w:t>
            </w:r>
          </w:p>
        </w:tc>
      </w:tr>
      <w:tr>
        <w:trPr>
          <w:trHeight w:val="27"/>
        </w:trPr>
        <w:tc>
          <w:tcPr>
            <w:tcW w:w="6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Self-insurance reserves</w:t>
            </w:r>
          </w:p>
        </w:tc>
        <w:tc>
          <w:tcPr>
            <w:tcW w:w="18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7,235</w:t>
            </w:r>
          </w:p>
        </w:tc>
      </w:tr>
      <w:tr>
        <w:trPr>
          <w:trHeight w:val="27"/>
        </w:trPr>
        <w:tc>
          <w:tcPr>
            <w:tcW w:w="6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Reserves for customer returns and remakes</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4,611</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8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8,424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9,202</w:t>
            </w:r>
          </w:p>
        </w:tc>
      </w:tr>
      <w:tr>
        <w:trPr>
          <w:trHeight w:val="27"/>
        </w:trPr>
        <w:tc>
          <w:tcPr>
            <w:tcW w:w="6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Legacy management and services agreement</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Rental expenses</w:t>
            </w:r>
          </w:p>
        </w:tc>
        <w:tc>
          <w:tcPr>
            <w:tcW w:w="18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2,172</w:t>
            </w:r>
          </w:p>
        </w:tc>
      </w:tr>
      <w:tr>
        <w:trPr>
          <w:trHeight w:val="27"/>
        </w:trPr>
        <w:tc>
          <w:tcPr>
            <w:tcW w:w="6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liabilities</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8,218</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8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1,298</w:t>
            </w:r>
          </w:p>
        </w:tc>
      </w:tr>
      <w:tr>
        <w:trPr>
          <w:trHeight w:val="27"/>
        </w:trPr>
        <w:tc>
          <w:tcPr>
            <w:tcW w:w="6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Supplies and other store support expenses</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Litigation settlements</w:t>
            </w:r>
          </w:p>
        </w:tc>
        <w:tc>
          <w:tcPr>
            <w:tcW w:w="18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7,469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6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8,122</w:t>
            </w:r>
          </w:p>
        </w:tc>
      </w:tr>
      <w:tr>
        <w:trPr>
          <w:trHeight w:val="237"/>
        </w:trPr>
        <w:tc>
          <w:tcPr>
            <w:tcW w:w="6280" w:type="dxa"/>
            <w:vAlign w:val="bottom"/>
          </w:tcPr>
          <w:p>
            <w:pPr>
              <w:spacing w:after="0"/>
              <w:rPr>
                <w:sz w:val="20"/>
                <w:szCs w:val="20"/>
                <w:color w:val="auto"/>
              </w:rPr>
            </w:pPr>
          </w:p>
        </w:tc>
        <w:tc>
          <w:tcPr>
            <w:tcW w:w="1860" w:type="dxa"/>
            <w:vAlign w:val="bottom"/>
            <w:tcBorders>
              <w:top w:val="single" w:sz="8" w:color="auto"/>
            </w:tcBorders>
          </w:tcPr>
          <w:p>
            <w:pPr>
              <w:jc w:val="right"/>
              <w:ind w:right="16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90,746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69,402</w:t>
            </w:r>
          </w:p>
        </w:tc>
      </w:tr>
      <w:tr>
        <w:trPr>
          <w:trHeight w:val="67"/>
        </w:trPr>
        <w:tc>
          <w:tcPr>
            <w:tcW w:w="6280" w:type="dxa"/>
            <w:vAlign w:val="bottom"/>
            <w:tcBorders>
              <w:bottom w:val="single" w:sz="8" w:color="CCEEFF"/>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r>
      <w:tr>
        <w:trPr>
          <w:trHeight w:val="278"/>
        </w:trPr>
        <w:tc>
          <w:tcPr>
            <w:tcW w:w="62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1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liabilities</w:t>
            </w:r>
          </w:p>
        </w:tc>
        <w:tc>
          <w:tcPr>
            <w:tcW w:w="1860" w:type="dxa"/>
            <w:vAlign w:val="bottom"/>
            <w:tcBorders>
              <w:bottom w:val="single" w:sz="8" w:color="CCEEFF"/>
            </w:tcBorders>
            <w:shd w:val="clear" w:color="auto" w:fill="CCEEFF"/>
          </w:tcPr>
          <w:p>
            <w:pPr>
              <w:jc w:val="right"/>
              <w:ind w:right="16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13,061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15,518</w:t>
            </w:r>
          </w:p>
        </w:tc>
      </w:tr>
      <w:tr>
        <w:trPr>
          <w:trHeight w:val="270"/>
        </w:trPr>
        <w:tc>
          <w:tcPr>
            <w:tcW w:w="62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Tenant improvements </w:t>
            </w:r>
            <w:r>
              <w:rPr>
                <w:rFonts w:ascii="Arial" w:cs="Arial" w:eastAsia="Arial" w:hAnsi="Arial"/>
                <w:sz w:val="25"/>
                <w:szCs w:val="25"/>
                <w:color w:val="auto"/>
                <w:vertAlign w:val="superscript"/>
              </w:rPr>
              <w:t>(2)</w:t>
            </w:r>
          </w:p>
        </w:tc>
        <w:tc>
          <w:tcPr>
            <w:tcW w:w="18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22,831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21,089</w:t>
            </w: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rental expenses</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6,256</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Self-insurance reserves</w:t>
            </w:r>
          </w:p>
        </w:tc>
        <w:tc>
          <w:tcPr>
            <w:tcW w:w="18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3,908</w:t>
            </w:r>
          </w:p>
        </w:tc>
      </w:tr>
      <w:tr>
        <w:trPr>
          <w:trHeight w:val="27"/>
        </w:trPr>
        <w:tc>
          <w:tcPr>
            <w:tcW w:w="6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Above market leases</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2,021</w:t>
            </w:r>
          </w:p>
        </w:tc>
      </w:tr>
      <w:tr>
        <w:trPr>
          <w:trHeight w:val="27"/>
        </w:trPr>
        <w:tc>
          <w:tcPr>
            <w:tcW w:w="62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6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49,714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ind w:left="260" w:hanging="225"/>
        <w:spacing w:after="0"/>
        <w:tabs>
          <w:tab w:leader="none" w:pos="260" w:val="left"/>
        </w:tabs>
        <w:numPr>
          <w:ilvl w:val="1"/>
          <w:numId w:val="6"/>
        </w:numPr>
        <w:rPr>
          <w:rFonts w:ascii="Arial" w:cs="Arial" w:eastAsia="Arial" w:hAnsi="Arial"/>
          <w:sz w:val="16"/>
          <w:szCs w:val="16"/>
          <w:color w:val="auto"/>
        </w:rPr>
      </w:pPr>
      <w:r>
        <w:rPr>
          <w:rFonts w:ascii="Arial" w:cs="Arial" w:eastAsia="Arial" w:hAnsi="Arial"/>
          <w:sz w:val="16"/>
          <w:szCs w:val="16"/>
          <w:color w:val="auto"/>
        </w:rPr>
        <w:t>Obligations for tenant improvements are amortized as a reduction of rental expense over the respective lease term.</w:t>
      </w:r>
    </w:p>
    <w:p>
      <w:pPr>
        <w:spacing w:after="0" w:line="135" w:lineRule="exact"/>
        <w:rPr>
          <w:rFonts w:ascii="Arial" w:cs="Arial" w:eastAsia="Arial" w:hAnsi="Arial"/>
          <w:sz w:val="16"/>
          <w:szCs w:val="16"/>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of Financial Assets and Liabilities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280" w:hanging="110"/>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117" w:lineRule="exact"/>
        <w:rPr>
          <w:rFonts w:ascii="Arial" w:cs="Arial" w:eastAsia="Arial" w:hAnsi="Arial"/>
          <w:sz w:val="18"/>
          <w:szCs w:val="18"/>
          <w:color w:val="auto"/>
        </w:rPr>
      </w:pPr>
    </w:p>
    <w:p>
      <w:pPr>
        <w:jc w:val="both"/>
        <w:ind w:left="180" w:hanging="10"/>
        <w:spacing w:after="0" w:line="264"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jc w:val="both"/>
        <w:ind w:left="180" w:hanging="10"/>
        <w:spacing w:after="0" w:line="264"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of Financial Assets and Liabilities (continued)</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cash and cash equivalents approximates fair value due to the short 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related allowances for doubtful accounts.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Credit Agreements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long-term debt is traded in private markets on a less-than-daily basis. Fair value is based on the average of trading prices and bid/ask quotes around period-end (Level 2 inputs). The estimated fair values of our combined First and Second Lien Term Loans were $928.8 million and $753.0 million as of September 30, 2017 and December 31, 2016, respectively, compared to carrying values of $913.5 million and $742.9 million, which includes the current portion, and is net of unamortized discounts and deferred debt issuance costs. See Note 6 - Debt for further information related to debt transactions recorded during the three and nine months ended September 30,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Capital Leases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capital lease obligations is based on estimated future contractual cash flows discounted at an appropriate market rate of interest (Level 2 inputs). The estimated fair values of our capital leases were $10.6 million and $2.9 million as of September 30, 2017 and December 31, 2016, respectively, compared to carrying values of $8.9 million and $2.7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Lien Credit Agreement. The Company designated these swap agreements as cash flow hedges at inception. Changes in the cash flows of each derivative are expected to be highly effective in offsetting the changes in interest payments on a principal balance equal to the derivative’s notional amount, attributable to the hedged risk. We have not had any ineffectiveness related to these instruments since inception.</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swaps prior to their scheduled expiration dates. We record the period change in fair value of cash flow hedges, net of tax, in the accompanying condensed consolidated statements of comprehensive income and the cumulative change in fair value of cash flow hedges since inception, net of tax, in accumulated other comprehensive loss (“AOCL”) in the accompanying condensed consolidated balances sheets. Fair value is based on information that is model-driven and whose inputs are observable (Level 2 inputs).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of Financial Assets and Liabilities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cash flow hedge position related to interest rate derivative contracts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Other Payables and</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840" w:type="dxa"/>
            <w:vAlign w:val="bottom"/>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20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Notional Amount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Final Maturity Date</w:t>
            </w:r>
          </w:p>
        </w:tc>
        <w:tc>
          <w:tcPr>
            <w:tcW w:w="16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Accrued Expenses</w:t>
            </w:r>
          </w:p>
        </w:tc>
        <w:tc>
          <w:tcPr>
            <w:tcW w:w="22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0"/>
                <w:szCs w:val="20"/>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color w:val="auto"/>
                <w:w w:val="97"/>
              </w:rPr>
              <w:t>AOCL, Net of Tax</w:t>
            </w:r>
          </w:p>
        </w:tc>
      </w:tr>
      <w:tr>
        <w:trPr>
          <w:trHeight w:val="27"/>
        </w:trPr>
        <w:tc>
          <w:tcPr>
            <w:tcW w:w="1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As of</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7"/>
        </w:trPr>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30,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13,223</w:t>
            </w:r>
          </w:p>
        </w:tc>
      </w:tr>
      <w:tr>
        <w:trPr>
          <w:trHeight w:val="229"/>
        </w:trPr>
        <w:tc>
          <w:tcPr>
            <w:tcW w:w="1840" w:type="dxa"/>
            <w:vAlign w:val="bottom"/>
          </w:tcPr>
          <w:p>
            <w:pPr>
              <w:jc w:val="center"/>
              <w:spacing w:after="0"/>
              <w:rPr>
                <w:sz w:val="20"/>
                <w:szCs w:val="20"/>
                <w:color w:val="auto"/>
              </w:rPr>
            </w:pPr>
            <w:r>
              <w:rPr>
                <w:rFonts w:ascii="Arial" w:cs="Arial" w:eastAsia="Arial" w:hAnsi="Arial"/>
                <w:sz w:val="18"/>
                <w:szCs w:val="18"/>
                <w:color w:val="auto"/>
                <w:w w:val="97"/>
              </w:rPr>
              <w:t>As of</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1840" w:type="dxa"/>
            <w:vAlign w:val="bottom"/>
          </w:tcPr>
          <w:p>
            <w:pPr>
              <w:jc w:val="center"/>
              <w:spacing w:after="0"/>
              <w:rPr>
                <w:sz w:val="20"/>
                <w:szCs w:val="20"/>
                <w:color w:val="auto"/>
              </w:rPr>
            </w:pPr>
            <w:r>
              <w:rPr>
                <w:rFonts w:ascii="Arial" w:cs="Arial" w:eastAsia="Arial" w:hAnsi="Arial"/>
                <w:sz w:val="18"/>
                <w:szCs w:val="18"/>
                <w:color w:val="auto"/>
                <w:w w:val="89"/>
              </w:rPr>
              <w:t>December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2021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15,518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14,556</w:t>
            </w:r>
          </w:p>
        </w:tc>
      </w:tr>
    </w:tbl>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September 30, 2017, the Company expects to reclassify $8.5 million of AOCL into earnings in the next 12 months. See Note 11- Accumulated Other Comprehensive Loss. Subsequent to the nine months ended September 30, 2017, the Company used proceeds in connection with the IPO to reduce outstanding debt. This event did not have a material impact on the hedge position for the nine months ended September 30, 2017 and is not expected to have an impact on the hedge position for the remainder of 2017. See Note 12 - Subsequent Events for transactions in connection with the IPO.</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Incentive Plan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2014, our Board of Directors and stockholders of the Company approved the 2014 Stock Incentive Plan for Key Employees of NVHI (previously known as Nautilus Parent, Inc.) and Subsidiaries (the “2014 Stock Incentive Plan”). The 2014 Stock Incentive Plan was subsequently amended by our Board of Directors and our stockholders on November 9, 2015 and June 5, 2017 to increase the share reserve. The 2014 Stock Incentive Plan provides for the grant of stock options and other stock-based awards to employees, non-employee members of our Board of Directors, consultants, and other persons having a service relationship with us. We have reserved an aggregate of 10,988,827 shares of our common stock for issuance under our 2014 Stock Incentive Plan. As of September 30, 2017, options to purchase a total of 10,347,067 shares of common stock were issued and outstanding (excluding rollover options), 565,860 shares of common stock had been issued upon the exercise of options and 69,452 shares remained available for future grants.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roll-forward of stock options, giving retroactive effect to the reverse stock split, for the nine months ended September 30, 2017:</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1140"/>
              <w:spacing w:after="0"/>
              <w:rPr>
                <w:sz w:val="20"/>
                <w:szCs w:val="20"/>
                <w:color w:val="auto"/>
              </w:rPr>
            </w:pPr>
            <w:r>
              <w:rPr>
                <w:rFonts w:ascii="Arial" w:cs="Arial" w:eastAsia="Arial" w:hAnsi="Arial"/>
                <w:sz w:val="18"/>
                <w:szCs w:val="18"/>
                <w:b w:val="1"/>
                <w:bCs w:val="1"/>
                <w:color w:val="auto"/>
              </w:rPr>
              <w:t>Options issued and outstanding</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Vested Rollover</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Service-Based</w:t>
            </w:r>
          </w:p>
        </w:tc>
        <w:tc>
          <w:tcPr>
            <w:tcW w:w="1680" w:type="dxa"/>
            <w:vAlign w:val="bottom"/>
            <w:gridSpan w:val="2"/>
          </w:tcPr>
          <w:p>
            <w:pPr>
              <w:ind w:left="80"/>
              <w:spacing w:after="0"/>
              <w:rPr>
                <w:sz w:val="20"/>
                <w:szCs w:val="20"/>
                <w:color w:val="auto"/>
              </w:rPr>
            </w:pPr>
            <w:r>
              <w:rPr>
                <w:rFonts w:ascii="Arial" w:cs="Arial" w:eastAsia="Arial" w:hAnsi="Arial"/>
                <w:sz w:val="18"/>
                <w:szCs w:val="18"/>
                <w:color w:val="auto"/>
                <w:w w:val="98"/>
              </w:rPr>
              <w:t>Performance-Based</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169,050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3,528,526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5,765,156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9,462,732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Issued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505,928</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759,025</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1,264,953</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(211,568)</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(211,568)</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September 30, 2017</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169,050</w:t>
            </w:r>
          </w:p>
        </w:tc>
        <w:tc>
          <w:tcPr>
            <w:tcW w:w="120" w:type="dxa"/>
            <w:vAlign w:val="bottom"/>
            <w:tcBorders>
              <w:bottom w:val="single" w:sz="8" w:color="CCEEFF"/>
            </w:tcBorders>
          </w:tcPr>
          <w:p>
            <w:pPr>
              <w:spacing w:after="0"/>
              <w:rPr>
                <w:sz w:val="24"/>
                <w:szCs w:val="24"/>
                <w:color w:val="auto"/>
              </w:rPr>
            </w:pP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3,822,886</w:t>
            </w:r>
          </w:p>
        </w:tc>
        <w:tc>
          <w:tcPr>
            <w:tcW w:w="12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6,524,181</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10,516,117</w:t>
            </w:r>
          </w:p>
        </w:tc>
      </w:tr>
      <w:tr>
        <w:trPr>
          <w:trHeight w:val="311"/>
        </w:trPr>
        <w:tc>
          <w:tcPr>
            <w:tcW w:w="47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4700" w:type="dxa"/>
            <w:vAlign w:val="bottom"/>
          </w:tcPr>
          <w:p>
            <w:pPr>
              <w:ind w:left="1180"/>
              <w:spacing w:after="0"/>
              <w:rPr>
                <w:sz w:val="20"/>
                <w:szCs w:val="20"/>
                <w:color w:val="auto"/>
              </w:rPr>
            </w:pPr>
            <w:r>
              <w:rPr>
                <w:rFonts w:ascii="Arial" w:cs="Arial" w:eastAsia="Arial" w:hAnsi="Arial"/>
                <w:sz w:val="18"/>
                <w:szCs w:val="18"/>
                <w:b w:val="1"/>
                <w:bCs w:val="1"/>
                <w:color w:val="auto"/>
              </w:rPr>
              <w:t>Options vested and exercisable</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169,050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1,073,960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1,243,010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Vested during period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719,864</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719,864</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 during period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(211,568)</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(211,568)</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September 30, 2017</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169,050</w:t>
            </w:r>
          </w:p>
        </w:tc>
        <w:tc>
          <w:tcPr>
            <w:tcW w:w="12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1,582,256</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1,751,306</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estimated fair value of service-based options granted during the nine months ended September 30, 2017 was $4.6 million. During the same period, there were 16,274, 36,618, and 158,676 service-based options exercised at a price of $9.24 per share, $7.24 per share, and $4.27 per share, respectively, for a total intrinsic value of $1.5 million. As a result of the application of ASU No. 2016-09, the Company recorded an income tax benefit of $0.2 million in the condensed consolidated statement of operations and comprehensive income related to these exercises. There was no additional significant activity for the three months ended September 30, 2017.</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service-based options vested and outstanding as of September 30, 2017 was $9.4 million. The remaining unrecognized service cost for service-based options was $7.6 million as of September 30, 2017.</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expense associated with service-based stock options is presented in selling, general, and administrative expenses (“SG&amp;A”) in the accompanying condensed consolidated statements of operations and comprehensive income. The vesting of performance-based options is conditional upon the achievement by the majority stockholder in NVHI, KKR, with respect to its investment in NVHI, of both a minimum internal rate of return and a minimum multiple of invested capital and then increases proportionally as the multiple of invested capital increases up to a defined target. No compensation expense has been recorded in relation to performance based options since achievement of the conditions triggering vesting by the IPO, or otherwise, have not been deemed to be probable as of September 30, 2017.</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12 - Subsequent Events for information about the adoption of a new omnibus incentive plan and related equity compensation matters in connection with the IPO.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Equity Sponsors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Under certain agreements we have entered into with our equity sponsors, we recorded the following expenses related to management and/or advisory fees: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Nine Months Ended</w:t>
            </w:r>
          </w:p>
        </w:tc>
        <w:tc>
          <w:tcPr>
            <w:tcW w:w="240" w:type="dxa"/>
            <w:vAlign w:val="bottom"/>
          </w:tcPr>
          <w:p>
            <w:pPr>
              <w:spacing w:after="0"/>
              <w:rPr>
                <w:sz w:val="18"/>
                <w:szCs w:val="18"/>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color w:val="auto"/>
                <w:w w:val="97"/>
              </w:rPr>
              <w:t>Nine Months Ended</w:t>
            </w:r>
          </w:p>
        </w:tc>
      </w:tr>
      <w:tr>
        <w:trPr>
          <w:trHeight w:val="230"/>
        </w:trPr>
        <w:tc>
          <w:tcPr>
            <w:tcW w:w="2420" w:type="dxa"/>
            <w:vAlign w:val="bottom"/>
          </w:tcPr>
          <w:p>
            <w:pPr>
              <w:ind w:left="7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September 30, 2017</w:t>
            </w:r>
          </w:p>
        </w:tc>
        <w:tc>
          <w:tcPr>
            <w:tcW w:w="22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October 1, 2016</w:t>
            </w: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September 30, 2017</w:t>
            </w:r>
          </w:p>
        </w:tc>
        <w:tc>
          <w:tcPr>
            <w:tcW w:w="240" w:type="dxa"/>
            <w:vAlign w:val="bottom"/>
          </w:tcPr>
          <w:p>
            <w:pPr>
              <w:spacing w:after="0"/>
              <w:rPr>
                <w:sz w:val="20"/>
                <w:szCs w:val="20"/>
                <w:color w:val="auto"/>
              </w:rPr>
            </w:pPr>
          </w:p>
        </w:tc>
        <w:tc>
          <w:tcPr>
            <w:tcW w:w="1920" w:type="dxa"/>
            <w:vAlign w:val="bottom"/>
          </w:tcPr>
          <w:p>
            <w:pPr>
              <w:jc w:val="right"/>
              <w:ind w:right="410"/>
              <w:spacing w:after="0"/>
              <w:rPr>
                <w:sz w:val="20"/>
                <w:szCs w:val="20"/>
                <w:color w:val="auto"/>
              </w:rPr>
            </w:pPr>
            <w:r>
              <w:rPr>
                <w:rFonts w:ascii="Arial" w:cs="Arial" w:eastAsia="Arial" w:hAnsi="Arial"/>
                <w:sz w:val="18"/>
                <w:szCs w:val="18"/>
                <w:color w:val="auto"/>
              </w:rPr>
              <w:t>October 1, 2016</w:t>
            </w:r>
          </w:p>
        </w:tc>
      </w:tr>
      <w:tr>
        <w:trPr>
          <w:trHeight w:val="27"/>
        </w:trPr>
        <w:tc>
          <w:tcPr>
            <w:tcW w:w="2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KKR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Berkshire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149</w:t>
            </w:r>
          </w:p>
        </w:tc>
      </w:tr>
    </w:tbl>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Fees paid to equity sponsors include retainer fees and certain other on-going project-oriented initiatives and are presented in SG&amp;A in the accompanying condensed consolidated statements of operations and comprehensive income, except, as discussed further below in Note 6 - Debt, KCM fees for the nine months ended September 30, 2017 include $2.3 million presented in debt issuance costs, which were incurred in the first quarter of 2017. See Note 1 - Description of Business and Basis of Presentation for further details regarding transactions with our equity sponsors in conjunction with and following the IPO.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&amp; Stockholders’ Equity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 2017, the Company declared a recapitalization dividend to its stockholders, which included KKR, Berkshire, and management. Common stockholders received a dividend per common share of $1.51. There were 110.5 million common shares outstanding and eligible for the dividend. Vested and roll-over option holders received an additional cash payment of $1.51 per option, for an aggregate payment of $3.7 million. The income tax benefit of the additional cash payment was $1.4 million, which was incurred in the first quarter of 2017, is included in the condensed consolidated statement of operations and comprehensive income for the nine months ended September 30, 2017. The exercise price of unvested options was reduced by $1.51 per option, the amount of the dividend. Since the Company was in an accumulated deficit position on the date of declaration of the dividend, according to our accounting policy the combined total cash payment of $171.0 million was recorded as a reduction to additional paid-in capital. No other material non-recurring charges were recorded to stockholders’ equity during the three and nine months ended September 30, 2017.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dividend discussed in Note 5 - Related Party Transactions was funded with $175.0 million in borrowed funds under the Company’s First Lien Credit Agreement, net of a $1.3 million original issue discount. The borrowing rate was 4.0%, consistent with the existing credit agreement. Quarterly principal payments increased $0.5 million, which increased current maturities from $6.5 million as of December 31, 2016, to $8.3 million as of September 30, 2017. The additional principal matures consistent with the original First Lien Term Loans on March 13, 2021. We recorded $2.3 million in fees to KKR and $0.4 million in third party fees in debt issuance costs in the condensed consolidated statement of operations and comprehensive income during the nine months ended September 30, 2017, which were incurred in the first quarter of 2017. See Note 12 - Subsequent Events for further details regarding debt in conjunction with and following the IPO.</w:t>
      </w:r>
    </w:p>
    <w:p>
      <w:pPr>
        <w:spacing w:after="0" w:line="8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Company entered into multiple new capital leases during the nine months ended September 30, 2017. As of September 30, 2017, our capital lease commitments are $0.5 million, $2.2 million, $1.7 million, $1.4 million, $1.3 million and $6.4 million for fiscal years 2017, 2018, 2019, 2020, 2021 and thereafter,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Method Investment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an investment in a private start-up company whose principal business is licensing software to eyeglass retailers. Under the equity method of accounting we are required to record our interest in the investee’s reported net income or loss for each reporting period, which is presented in other expense, net in the Company’s condensed consolidated statements of operations and comprehensive income.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On August 29, 2017, the investee issued a secured convertible promissory note to the Company, in a principal amount of $1.5 million, due at maturity,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was recorded in other assets in the accompanying balance sheets. The promissory note, which matures on August 29, 2020 bears interest at a fixed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with an additional variable interest component based on the base rate of Bank of England, as published on the first day of each calendar year, which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0.25% for 2017.</w:t>
      </w:r>
    </w:p>
    <w:p>
      <w:pPr>
        <w:spacing w:after="0" w:line="10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After adjusting our investment for our interest in the investee’s reported net losses, our investment balance in the business was $2.6 million and $3.3 million as of September 30, 2017 and December 31, 2016, respectively, which is included in other assets in the accompanying condensed consolidated balance sheets.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is involved in various legal proceedings incidental to its business. The Company reviews the status of its legal proceedings and records a provision for a liability when it is considered probable that both a liability has been incurred and the amount of the loss can be reasonably estimated.</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subsidiary, FirstSight Vision Services, Inc.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On March 23, 2017, the court granted the motion to dismiss previously filed by FirstSight and dismissed the complaint with prejudice. The plaintiffs filed an appeal to the U.S. Court of Appeals for the Ninth Circuit in April 2017. The Company believes that the claims are without merit.</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subsidiary, Arlington Contact Lens Service, Inc. (“AC Lens”), to suppress certain online advertising and that each defendant thereby engaged in anticompetitive conduct in violation of the Sherman Antitrust Act (the “1-800 Contacts Matter”). The Company has settled the 1-800 Contacts Matter for $7.0 million, without admitting liability. Accordingly, the Company recorded a $7.0 million charge in litigation settlement in the accompanying condensed consolidated statement of operations and comprehensive income during the nine months ended September 30, 2017, which were incurred in the second quarter of 2017. See Note 12 - Subsequent Events.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reportable segments were determined on the same basis as used by the Chief Operating Decision Maker (“CODM”) to evaluate performance internally. Our operations consist of two reportable segments:</w:t>
      </w:r>
    </w:p>
    <w:p>
      <w:pPr>
        <w:spacing w:after="0" w:line="62" w:lineRule="exact"/>
        <w:rPr>
          <w:sz w:val="20"/>
          <w:szCs w:val="20"/>
          <w:color w:val="auto"/>
        </w:rPr>
      </w:pPr>
    </w:p>
    <w:p>
      <w:pPr>
        <w:jc w:val="both"/>
        <w:ind w:left="260" w:hanging="9"/>
        <w:spacing w:after="0" w:line="259"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Owned &amp; host store brands - Our owned brands consist of our America’s Best and Eyeglass World operating segments. Our host brands consist of our Vista Optical operating segments at certain U.S. Military Branches and inside Fred Meyer stores. We have aggregated our owned and host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78" w:lineRule="exact"/>
        <w:rPr>
          <w:rFonts w:ascii="Arial" w:cs="Arial" w:eastAsia="Arial" w:hAnsi="Arial"/>
          <w:sz w:val="18"/>
          <w:szCs w:val="18"/>
          <w:color w:val="auto"/>
        </w:rPr>
      </w:pPr>
    </w:p>
    <w:p>
      <w:pPr>
        <w:jc w:val="both"/>
        <w:ind w:left="260" w:hanging="9"/>
        <w:spacing w:after="0" w:line="289" w:lineRule="auto"/>
        <w:tabs>
          <w:tab w:leader="none" w:pos="39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Legacy - The Company manages the operations of 227 legacy retail vision centers within Walmart stores.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processing services for the finished eyeglasses and frames expected to be sold to our legacy partner’s customers. We lease space from our legacy partner within or adjacent to each of the locations we manage and use this space for the provision of optometric examination services.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$9.1 million and $28.3 million for the three and nine months ended September 30, 2017 and $9.7 million and $29.9 million for the three and nine months ended October 1, 2016, respectively.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“Corporate/Other” category includes the results of operations of our other operating segments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Revenues from the Corporate/Other segments are attributable to the AC Lens, and FirstSight operating segments and the Company’s corporate function. AC Lens sells contact lenses and optical accessory products to retail customers through e-commerce. AC Lens also distributes contact lenses to Walmart and Sam’s Club under fee for services arrangements. FirstSight sells single service health plans in connection with the operations of America’s Best in California,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reportable segment profit measure is EBITDA, or net revenue, less cost applicable to revenue, less selling, general and administrative costs. Asset impairment, depreciation and amortization, and other corporate costs that are not allocated to the segments, including interest expense, debt issuance costs and litigation settlements, are excluded from segment EBITDA.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summary of certain financial data for each of our segments. Reportable segment information is presented on the same basis as our condensed consolidated financial statements, except for net revenue, which is presented on a cash basis, excluding the effects of unearned and deferred revenue, consistent with the basis on which the CODM regularly reviews performance segments. Asset information is not included in the following summary since the CODM does not regularly review such information for the reportable segments.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8"/>
          </w:tcPr>
          <w:p>
            <w:pPr>
              <w:ind w:left="580"/>
              <w:spacing w:after="0"/>
              <w:rPr>
                <w:sz w:val="20"/>
                <w:szCs w:val="20"/>
                <w:color w:val="auto"/>
              </w:rPr>
            </w:pPr>
            <w:r>
              <w:rPr>
                <w:rFonts w:ascii="Arial" w:cs="Arial" w:eastAsia="Arial" w:hAnsi="Arial"/>
                <w:sz w:val="18"/>
                <w:szCs w:val="18"/>
                <w:color w:val="auto"/>
              </w:rPr>
              <w:t>Three Months Ended September 30, 2017</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4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283,648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48,119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62,441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259,154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346,089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63,159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40,699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115,752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46,606</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102,554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16,006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162,358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151,251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31,912</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14,851</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restart"/>
          </w:tcPr>
          <w:p>
            <w:pPr>
              <w:jc w:val="right"/>
              <w:ind w:right="7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Three Months Ended October 1, 2016</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4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184,292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246,638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40,331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54,578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301,216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54,157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99,096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39,568</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86,973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14,682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138,664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134,457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46,650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9,688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27,532</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13,217</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9,728</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gridSpan w:val="8"/>
            <w:vMerge w:val="restart"/>
          </w:tcPr>
          <w:p>
            <w:pPr>
              <w:jc w:val="center"/>
              <w:ind w:right="360"/>
              <w:spacing w:after="0"/>
              <w:rPr>
                <w:sz w:val="20"/>
                <w:szCs w:val="20"/>
                <w:color w:val="auto"/>
              </w:rPr>
            </w:pPr>
            <w:r>
              <w:rPr>
                <w:rFonts w:ascii="Arial" w:cs="Arial" w:eastAsia="Arial" w:hAnsi="Arial"/>
                <w:sz w:val="18"/>
                <w:szCs w:val="18"/>
                <w:color w:val="auto"/>
                <w:w w:val="90"/>
              </w:rPr>
              <w:t>Nine Months Ended September 30, 2017</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8"/>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4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649,526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867,192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146,415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37,840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186,297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795,941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1,053,489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190,604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37,138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349,099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113,902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135,474</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304,506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49,047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129,779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484,573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445,714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Litigation settlement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187,267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28,534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(98,039)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111,756</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40,965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26,387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restart"/>
          </w:tcPr>
          <w:p>
            <w:pPr>
              <w:jc w:val="right"/>
              <w:ind w:right="77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gridSpan w:val="8"/>
          </w:tcPr>
          <w:p>
            <w:pPr>
              <w:ind w:left="720"/>
              <w:spacing w:after="0"/>
              <w:rPr>
                <w:sz w:val="20"/>
                <w:szCs w:val="20"/>
                <w:color w:val="auto"/>
              </w:rPr>
            </w:pPr>
            <w:r>
              <w:rPr>
                <w:rFonts w:ascii="Arial" w:cs="Arial" w:eastAsia="Arial" w:hAnsi="Arial"/>
                <w:sz w:val="18"/>
                <w:szCs w:val="18"/>
                <w:color w:val="auto"/>
              </w:rPr>
              <w:t>Nine Months Ended October 1, 2016</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14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560,794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756,787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122,455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37,749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13,483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162,294</w:t>
            </w: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919,081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163,059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37,118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299,420</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115,033</w:t>
            </w: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257,890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45,841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109,788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414,453</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260,537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395,385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164,822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31,224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107,974</w:t>
            </w: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29,377</w:t>
            </w: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40,360</w:t>
            </w: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Basic earnings per share (“EPS”) is computed by dividing net income by the weighted average number of common shares outstanding for the period. Diluted EPS is computed by dividing net income by the weighted average shares outstanding for the period and include the dilutive impact of potential new shares issuable upon exercise of stock options and vesting of restricted stock units. Potentially dilutive securities are excluded from the computation of diluted EPS if their effect is anti-dilutive. A reconciliation of the numerators and denominators of the basic and diluted EPS calculations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58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2860" w:type="dxa"/>
            <w:vAlign w:val="bottom"/>
            <w:gridSpan w:val="4"/>
          </w:tcPr>
          <w:p>
            <w:pPr>
              <w:jc w:val="right"/>
              <w:ind w:right="710"/>
              <w:spacing w:after="0"/>
              <w:rPr>
                <w:sz w:val="20"/>
                <w:szCs w:val="20"/>
                <w:color w:val="auto"/>
              </w:rPr>
            </w:pPr>
            <w:r>
              <w:rPr>
                <w:rFonts w:ascii="Arial" w:cs="Arial" w:eastAsia="Arial" w:hAnsi="Arial"/>
                <w:sz w:val="18"/>
                <w:szCs w:val="18"/>
                <w:color w:val="auto"/>
              </w:rPr>
              <w:t>Nine Months Ended</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October 1,</w:t>
            </w:r>
          </w:p>
        </w:tc>
        <w:tc>
          <w:tcPr>
            <w:tcW w:w="200" w:type="dxa"/>
            <w:vAlign w:val="bottom"/>
          </w:tcPr>
          <w:p>
            <w:pPr>
              <w:spacing w:after="0"/>
              <w:rPr>
                <w:sz w:val="19"/>
                <w:szCs w:val="19"/>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w w:val="92"/>
              </w:rPr>
              <w:t>October 1,</w:t>
            </w:r>
          </w:p>
        </w:tc>
      </w:tr>
      <w:tr>
        <w:trPr>
          <w:trHeight w:val="230"/>
        </w:trPr>
        <w:tc>
          <w:tcPr>
            <w:tcW w:w="5160" w:type="dxa"/>
            <w:vAlign w:val="bottom"/>
          </w:tcPr>
          <w:p>
            <w:pPr>
              <w:ind w:left="1480"/>
              <w:spacing w:after="0"/>
              <w:rPr>
                <w:sz w:val="20"/>
                <w:szCs w:val="20"/>
                <w:color w:val="auto"/>
              </w:rPr>
            </w:pPr>
            <w:r>
              <w:rPr>
                <w:rFonts w:ascii="Arial" w:cs="Arial" w:eastAsia="Arial" w:hAnsi="Arial"/>
                <w:sz w:val="18"/>
                <w:szCs w:val="18"/>
                <w:i w:val="1"/>
                <w:iCs w:val="1"/>
                <w:color w:val="auto"/>
              </w:rPr>
              <w:t>In thousands, except EPS data</w:t>
            </w: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shares outstanding for basic EPS</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56,414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56,211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56,363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56,176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for diluted EPS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Anti-dilutive options outstanding excluded from EPS</w:t>
            </w:r>
          </w:p>
        </w:tc>
        <w:tc>
          <w:tcPr>
            <w:tcW w:w="2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59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9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fair value of the Company’s cash flow hedge derivative instruments since inception are recorded in AOCL. The following table presents the change in AOCL during the three and nine months ended September 30, 2017 and October 1, 2016, respectively, net of tax:</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1700" w:type="dxa"/>
            <w:vAlign w:val="bottom"/>
            <w:gridSpan w:val="3"/>
          </w:tcPr>
          <w:p>
            <w:pPr>
              <w:ind w:left="40"/>
              <w:spacing w:after="0"/>
              <w:rPr>
                <w:sz w:val="20"/>
                <w:szCs w:val="20"/>
                <w:color w:val="auto"/>
              </w:rPr>
            </w:pPr>
            <w:r>
              <w:rPr>
                <w:rFonts w:ascii="Arial" w:cs="Arial" w:eastAsia="Arial" w:hAnsi="Arial"/>
                <w:sz w:val="18"/>
                <w:szCs w:val="18"/>
                <w:color w:val="auto"/>
                <w:w w:val="97"/>
              </w:rPr>
              <w:t>Three Months Ended</w:t>
            </w:r>
          </w:p>
        </w:tc>
        <w:tc>
          <w:tcPr>
            <w:tcW w:w="1700" w:type="dxa"/>
            <w:vAlign w:val="bottom"/>
            <w:gridSpan w:val="3"/>
          </w:tcPr>
          <w:p>
            <w:pPr>
              <w:ind w:left="80"/>
              <w:spacing w:after="0"/>
              <w:rPr>
                <w:sz w:val="20"/>
                <w:szCs w:val="20"/>
                <w:color w:val="auto"/>
              </w:rPr>
            </w:pPr>
            <w:r>
              <w:rPr>
                <w:rFonts w:ascii="Arial" w:cs="Arial" w:eastAsia="Arial" w:hAnsi="Arial"/>
                <w:sz w:val="18"/>
                <w:szCs w:val="18"/>
                <w:color w:val="auto"/>
              </w:rPr>
              <w:t>Nine Months Ended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Nine Months Ended</w:t>
            </w: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i w:val="1"/>
                <w:iCs w:val="1"/>
                <w:color w:val="auto"/>
              </w:rPr>
              <w:t>In thousands</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 2017</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October 1, 2016</w:t>
            </w:r>
          </w:p>
        </w:tc>
        <w:tc>
          <w:tcPr>
            <w:tcW w:w="1700" w:type="dxa"/>
            <w:vAlign w:val="bottom"/>
            <w:gridSpan w:val="3"/>
          </w:tcPr>
          <w:p>
            <w:pPr>
              <w:ind w:left="80"/>
              <w:spacing w:after="0"/>
              <w:rPr>
                <w:sz w:val="20"/>
                <w:szCs w:val="20"/>
                <w:color w:val="auto"/>
              </w:rPr>
            </w:pPr>
            <w:r>
              <w:rPr>
                <w:rFonts w:ascii="Arial" w:cs="Arial" w:eastAsia="Arial" w:hAnsi="Arial"/>
                <w:sz w:val="18"/>
                <w:szCs w:val="18"/>
                <w:color w:val="auto"/>
                <w:w w:val="98"/>
              </w:rPr>
              <w:t>September 30, 2017</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w w:val="91"/>
              </w:rPr>
              <w:t>October 1, 2016</w:t>
            </w:r>
          </w:p>
        </w:tc>
      </w:tr>
      <w:tr>
        <w:trPr>
          <w:trHeight w:val="27"/>
        </w:trPr>
        <w:tc>
          <w:tcPr>
            <w:tcW w:w="47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hedging activity</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(14,605)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(18,909)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(11,284)</w:t>
            </w:r>
          </w:p>
        </w:tc>
      </w:tr>
      <w:tr>
        <w:trPr>
          <w:trHeight w:val="27"/>
        </w:trPr>
        <w:tc>
          <w:tcPr>
            <w:tcW w:w="47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loss before reclassification</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(8,026)</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Amount reclassified from AOCL</w:t>
            </w:r>
          </w:p>
        </w:tc>
        <w:tc>
          <w:tcPr>
            <w:tcW w:w="5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Net current period other comprehensive income (loss), net</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 tax</w:t>
            </w: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(8,026)</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(19,310)</w:t>
            </w: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Amounts reclassified from AOCL to earnings are included in interest expense in the accompanying condensed consolidated statements of operations and comprehensive income. See Note 3 - Fair Value Measurements of Financial Assets and Liabilities for a description of the Company’s use of cash flow hedging derivatives.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completed the IPO of its common stock in October 2017. See Note 1 - Description of Business and Basis of Presentation for disclosures related to the IPO and other related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Effective October 24, 2017, the Company effected a 1.96627-for-one reverse stock split of the Company’s common stock. See Note 1 - Description of Business and Basis of Presentation for disclosure related to the Company’s reverse stock split.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Omnibus Incentive Plan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IPO, on October 23, 2017 the Company’s Board of Directors adopted, and its stockholders approved, the National Vision Holdings, Inc. 2017 Omnibus Incentive Plan (the “2017 Omnibus Incentive Plan”). The 2017 Omnibus Incentive Plan provides that the total number of shares of common stock that may be issued under the plan is 4,000,000. Under the plan, we may grant stock options, stock appreciation rights, restricted stock, restricted stock units, other equity-based awards and other cash-based awards to our employees, directors, officers, consultants and advisors. Additional information about the 2017 Omnibus Incentive Plan is included in the Prospectus, see “Management-Executive Compensation-Narrative to Summary Compensation Table and 2016 Grants of Plan-Based Awards-Equity Incentive Plans.”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2017 Issuances of Restricted Stock Units and Stock Options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October 25, 2017, we granted stock options to purchase 92,443 shares of our common stock at $22.00 per share to an employee under the 2017 Omnibus Incentive Plan. The stock options will vest in three equal installments on the first, second and third anniversary of the grant date. Non-cash stock based compensation expense associated with the grant will be approximately $0.8 million expensed over three years.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October 26, 2017, we granted an aggregate of 175,273 restricted stock units to certain employees under the 2017 Omnibus Incentive Plan, with 58,909 units vesting in two equal installments on the first and second anniversary of the grant date, and 116,364 units vesting in three equal installments on the first, second and third anniversary of the grant date. Non-cash stock based compensation expense associated with the grants will be approximately $1.3 million expensed over two years and $2.6 million expensed over three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Certificate of Incorporation and Bylaws</w:t>
      </w:r>
    </w:p>
    <w:p>
      <w:pPr>
        <w:spacing w:after="0" w:line="11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Company’s Second Amended and Restated Certificate of Incorporation became effective in connection with the completion of the IPO on October 30, 2017. The Charter, among other things, provides that the Company’s authorized capital stock consists of 200,000,000 shares of Common Stock, and 50,000,000 shares of preferred stock, par value $0.01 per share. The Company’s bylaws were also amended and restated as of October 30,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 Joinder and Amendment Agreement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31, 2017, the credit agreement dated as of March 13, 2014, among Nautilus Acquisition Holdings, Inc., a wholly-owned subsidiary of the Company, NVI, as borrower, Goldman Sachs Bank USA, as administrative agent, collateral agent, swingline lender and letter of credit issuer, and the lenders from time to time party thereto and the other parties thereto (the “Credit Agreement”), was amended pursuant to a joinder and amendment agreement to (a) increase the size of the first lien revolving credit facility thereunder from $75.0 million to $100.0 million and (b) extend the maturity of such facility to October 15, 2022 (subject to customary springing maturity provisions to the extent the existing first lien term loans are not extended).</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KCM, Goldman Sachs Bank USA and Merrill Lynch, Pierce, Fenner &amp; Smith Incorporated acted as joint lead arrangers with respect to the joinder and amendment agreement and in aggregate received fees of $0.7 million, of which $0.3 million was received by KCM. KKR Credit, the global credit business of KKR, did not participate in the new first lien loans and currently has no interest in our outstanding loans.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Credit Agreement - Joinder and Amendment Agreement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20, 2017, the Credit Agreement was amended pursuant to a joinder and amendment agreement to, among other things, (a) establish new first lien term loans in an aggregate principal amount of $570.0 million to refinance all of the first lien term loans outstanding immediately prior to the amendment, (b) extend the maturity of such term loans to November 20, 2024 and (c) reprice the rates applicable to such term loans by amending the definitions of ABR, Applicable Margin and LIBOR Rate (each, as defined in the Credit Agreement). Pursuant to the joinder and amendment agreement, the initial new Applicable Margins are (i) 2.75% for the new first lien term loans that are LIBOR Loans (as defined in the Credit Agreement), which is 25 basis points lower than the previous interest rate margin and (ii) 1.75% for the new first lien term loans that are ABR Loans (as defined in the Credit Agreement), which is 25 basis points lower than the previous interest rate margin. The joinder and amendment agreement further provides that the above Applicable Margins for the new term loans will be based on NVI’s public corporate credit rating from Moody’s as follows: (i) if NVI’s rating is lower than Ba3 (stable), the Applicable Margin will be 2.75% for LIBOR Loans and 1.75% for ABR Loans and (ii) if NVI’s rating is Ba3 (stable) or better, the Applicable Margin will step down to 2.50% for LIBOR Loans and 1.5% for ABR Loans, as specified in the joinder and amendment agreement.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 (continued)</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KCM, Goldman Sachs Bank USA and Merrill Lynch, Pierce, Fenner &amp; Smith Incorporated acted as joint lead arrangers with respect to the joinder and amendment agreement and in aggregate received fees of $0.7 million, of which $0.3 million was received by KCM. KKR Credit, the global credit business of KKR, did not participate in the new first lien loans and currently has no interest in our outstanding loans.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1-800 Contacts Matter</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November 8, 2017, the court in the 1-800 Contacts Matter entered an order preliminarily approving the settlement agreement, subject to a settlement hearing. Pursuant to this order, the Company deposited 50% of the settlement amount, or $3.5 million, into an escrow account, to be distributed subject to and in accordance the terms of the settlement agreement and any further order of the court. See Note 8 - Commitments and Contingencies for additional details.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following discussion contains management’s discussion and analysis of our financial condition and results of operations and should be read together with the unaudited condensed consolidated financial statements and the related notes thereto included elsewhere in this Form 10-Q and “Management’s Discussion and Analysis of Financial Condition and Results of Operations” section of the Prospectus. This discussion contains forward-looking statements that reflect our plans, estimates and beliefs and involve numerous risks and uncertainties, including, but not limited to, those described in the “Risk Factors” section of the Prospectus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996 retail stores across five brands and 19 consumer websites as of September 30,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7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Owned &amp; host – As of September 30, 2017, our owned brands consisted of 577 America’s Best Contacts and Eyeglasses (“America’s Best”) retail stores and 107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independent optometrists who perform eye exams and on-site optical laboratories that enable stores to quickly fulfill many customer orders and make repairs on site. Eyeglass World stores are primarily located in freestanding or in-suite locations near high-foot-traffic shopping centers. Our two host brands consisted of 56 Vista Optical locations on military bases and 29 Vista Optical locations within Fred Meyer stores as of September 30, 2017. We have strong, long-standing relationships with our host partners and have maintained each partnership for over 18 years. Both host brands compete within the value segment of the U.S. optical retail industry. These brands provide eye exams principally by independent optometrists in nearly all locations. All brands utilize our centralized laboratories. This segment also includes sales from our four store websites, three of which are omni-channel.</w:t>
      </w:r>
    </w:p>
    <w:p>
      <w:pPr>
        <w:spacing w:after="0" w:line="69" w:lineRule="exact"/>
        <w:rPr>
          <w:rFonts w:ascii="Arial" w:cs="Arial" w:eastAsia="Arial" w:hAnsi="Arial"/>
          <w:sz w:val="17"/>
          <w:szCs w:val="17"/>
          <w:color w:val="auto"/>
        </w:rPr>
      </w:pPr>
    </w:p>
    <w:p>
      <w:pPr>
        <w:jc w:val="both"/>
        <w:ind w:left="660" w:hanging="328"/>
        <w:spacing w:after="0" w:line="26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Legacy - We managed the operations of, and supplied inventory and laboratory processing services to, 227 Vision Centers in Walmart retail locations as of September 30, 2017. Under our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we record revenue related to sales of products and product protection plans on a net basis. Our management &amp; services agreement also allows our legacy partner to collect penalties if the Vision Centers do not generate a requisite amount of revenues. We also sell to our legacy partner merchandise that is stocked in retail locations we manage pursuant to a separate supplier agreement, and provide to our legacy partner centralized laboratory services for the finished eyeglasses for our legacy partner’s customers in stores that we manage. We lease space from Walmart within or adjacent to each of the locations we manage and use this space for the provision of optometric examination services. During the nine months ended September 30, 2017, sales to our legacy partner represented 11.1% of consolidated net revenue. This exposes us to concentration of customer risk. Our agreements with our legacy partner expire on August 23, 2020, and will automatically renew for a three-year period unless a party elects not to renew.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other non-reportable segment activity recorded in our corporate/other category, and includes:</w:t>
      </w:r>
    </w:p>
    <w:p>
      <w:pPr>
        <w:spacing w:after="0" w:line="117" w:lineRule="exact"/>
        <w:rPr>
          <w:sz w:val="20"/>
          <w:szCs w:val="20"/>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e-commerce platform of 14 dedicated websites managed by our wholly-owned subsidiary, Arlington Contact Lens Service, Inc. (“AC Lens”). Our e-commerce business consists of seven proprietary branded websites, including aclens.com and discountcontactlenses.com, and eight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 care accessories.</w:t>
      </w:r>
    </w:p>
    <w:p>
      <w:pPr>
        <w:spacing w:after="0" w:line="8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 Lens also distributes contact lenses to Walmart and Sam’s Club under fee for service arrangements. We record revenue for these activities and we incur costs at a higher percentage of sales than other product categories, given the wholesale nature of the business.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Managed care business conducted by FirstSight Vision Services, Inc. (“FirstSight”), our wholly-owned subsidiary that is licensed as a single-service health plan under California law, which arranges for the provision of optometric services at the optometric offices next to Eyeglass World, Walmart and Sam’s Club stores throughout California, and also issues individual vision care benefit plans in connection with our America’s Best operations in California.</w:t>
      </w:r>
    </w:p>
    <w:p>
      <w:pPr>
        <w:spacing w:after="0" w:line="78"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Unallocated corporate overhead expenses, which are a component of selling, general and administrative expenses and are comprised of various home office general and administrative expenses such as payroll expenses, occupancy costs, and consulting and professional fees. Corporate overhead expenses also include field supervision for stores included in our owned &amp; host and legacy segments.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Reportable segment information is presented on the same basis as our consolidated financial statements, except for owned &amp; host reportable segment revenue, which is presented on a cash basis,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(“GAAP”), specifically the change in unearned and deferred revenues during the period. There are no revenue transactions between reportable segments, and there are no other items in the reconciliations other than deferred and unearned revenue items previously described.</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revenue represents cash basis sales of product protection plans and club memberships, and is the timing difference of when we collect the cash from the customer and performance of the service to the customer. The increases or decreases in deferred revenue represent cash collections in the reporting period in excess of or below the recognition of previous deferrals and are presented in the reconciliation column in Note 9 - Segment Reporting to adjust segment revenues on a cash basis to revenues as presented in our condensed consolidated financial statements.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Due to the application of purchase accounting in connection with the acquisition (the “KKR Acquisition”) of the Company by affiliates of KKR in March 2014, our deferred revenue was adjusted to fair value, resulting in a reduction of the carrying value of deferred revenue of approximately $25.5 million on the date of the KKR Acquisition. The adjustment reduced the subsequent recognition of previously deferred revenues, including $3.0 million in fiscal year 2016. This reduction in recognition of previous deferrals drove higher increases in deferred revenue balances in the respective periods.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Unearned revenue represents cash basis sales of prescription eyewear only for approximately the last week of the reporting period and is the timing difference of when we collect the cash from the customer and the delivery/customer acceptance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employee costs at the time of a new store opening associated with set-up and other opening costs. The multi-year maturation process of our stores is influenced by customer purchasing behavior in our industry, with consumers getting eye exams every 20 months on average and with a substantial majority of our customers being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margins.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is a key driver of our business. Various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recurring nature of eye care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customer preferences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provide an assortment of high quality/low cost product offerings that generate new and repeat visits to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customer experience we provide in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vision care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source and receive products accurately and timely;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product pricing, including promotional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items purchased per store visit;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stores that have been in operation for more than 12 months.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new store is included in the comparable store sales calculation during the thirteenth full fiscal month following the store’s opening. Closed stores are removed from the calculation for time periods that are not comparable. In the past, we have closed our stores as a result of poor store performance, lease expiration or non-renewal and/or the terms of our arrangements with our host and legacy partners.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Care and Insurance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Managed care has become increasingly important to the optical retail industry. Managed care means vision care programs and associated benefits (i) sponsored by employers or other groups, (ii) provided by insurers and managed care entities, such as health maintenance organizations to individuals, and (iii) delivered, typically on a fee-for-service or capitated basis, by health care providers, such as ophthalmologists, optometrists and opticians. We have relationships with almost all vision care insurers in the United States and with all of the major carriers.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and Coverage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ability to operate our stores is largely dependent upon our ability to attract and retain qualified vision care professionals, and to maintain our relationships with independent optometrists and professional corporations owned by eye care practitioners that provide vision care services in our stores.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Economic Trends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However, eye care purchases are predominantly a medical necessity and are considered non-discretionary in nature. Therefore, the overall economic environment and related changes in consumer behavior have less of an impact on our business than for retailers in other industries. We also benefit from our low prices during periods of economic downturn and uncertainty.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Preferences and Demand</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while contact lens customers typically order new lenses every six to twelve months, reflecting the predictability of these recurring purchase behaviors.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results of operations reflect the impact of our ongoing investments in infrastructure to support our growth. We have made significant investments in information technology systems, supply chain systems and marketing. These investments include significant additions to our personnel, including experienced industry executives, and management and merchandising teams to support our long-term growth objectives. We intend to continue making targeted investments in our infrastructure as necessary to support our growth.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providing our products to our customers at low prices. We generally employ a simple low price/high value strategy that consistently delivers savings to our customers without the need for extensive promotions.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Source and Distribute Products Effectively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and operating income are affected by our ability to 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merchandise in a manner that is able to match market demand from our customers, leading to lost revenue. 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results can be expected to be directly impacted by substantial increases in product costs due to materials cost increases or general inflation which could lead to greater profitability pressure as costs may not be able to be passed on to consumers. To date, changes in materials prices and general inflation have not materially impacted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Because our target market consists of cost-conscious and low-income consumers, a delay in the issuance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during that period is deferred until January due to our policy of recognizing revenue only after the product has been accepted by the customer, further contributing to higher first quarter results. In addition to reduced revenues in the fourth quarter compared to the other quarters, our fourth quarter operating income may include annual impairment charges, and to a lesser extent, higher depreciation of property and equipment due to timing of placing property and equipment in service, which further reduces operating income relative to other quarters. 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optical retail industry is highly competitive. Competition is generally based upon brand name recognition, price, selection, service, product quality and convenience. We operate within the value segment of the U.S. optical retail industry, which emphasizes price and value. This segment is fragmented. We compete with mass merchants, specialty retail chains and independent eye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in the Industry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Recently announced mergers of large, global competitors will create organizations that are involved in virtually every sector of the optical industry, from retail and wholesale to frames, spectacle lenses, and managed vision care. These companies will benefit from purchasing advantages and by leveraging management capabilities across a larger revenue base. Recent trends indicate that national and regional optical retail chains are gaining market share from independent vision care providers, benefiting from economies of scale unavailable to smaller competitors. Other trends include the formation of buying groups and similar forms of practice affiliations.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business is performing are net revenue, costs applicable to revenue, and selling, general, and administrative expenses. In addition, we also review other important metrics such as store growth, adjusted comparable store sales growth and Adjusted EBITDA.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 as net revenue amounts generated in transactions with customers who are the end users of our products, services, and plans. Net product sales include sales of prescription and non-prescription eyewear, contact lenses, and related accessories to retail customers and sales of inventory in which our customer is another retail entity. Net sales of services and plans include sales of eye exams, discount clubs memberships, product protection plans (i.e. warranties), and HMO memberships. Net sales of services and plans also includes fees we earn for managing certain Vision Centers located in Walmart stores, for laboratory services to Walmart, and fulfillment fees earned by AC Lens.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and discount club memberships, HMO membership fees, eye care practitioner and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or SG&amp;A, include store associate (including optician) payroll, taxes and benefits, store occupancy, advertising and promotion, field supervision, corporate support and other costs associated with the provision of vision care services. Non-capital expenditures associated with opening new stores, including rent, store remodels,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 We expect slight decreases in SG&amp;A as a percentage of net revenue given our ongoing focus on cost containment.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as described above in “— Trends and Other Factors Affecting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Adjusted EBITDA as net income, plus interest expense, income tax provision (benefit) and depreciation and amortization, as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 Adjusted EBITDA is a key metric used by management to assess our financial performance. Adjusted EBITDA is also frequently used by analysts, investors and other interested parties. We use Adjusted EBITDA to supplement GAAP measures of performance to evaluate the effectiveness of our business strategies, to make budgeting decisions, to establish discretionary annual incentive compensation and to compare our performance against that of other peer companies using similar measures.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key components of our results of operations for the periods indicated, both in dollars and as a percentage of our net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Three Months</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76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Nine Months Ended</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740" w:type="dxa"/>
            <w:vAlign w:val="bottom"/>
          </w:tcPr>
          <w:p>
            <w:pPr>
              <w:ind w:left="40"/>
              <w:spacing w:after="0"/>
              <w:rPr>
                <w:sz w:val="20"/>
                <w:szCs w:val="20"/>
                <w:color w:val="auto"/>
              </w:rPr>
            </w:pPr>
            <w:r>
              <w:rPr>
                <w:rFonts w:ascii="Arial" w:cs="Arial" w:eastAsia="Arial" w:hAnsi="Arial"/>
                <w:sz w:val="18"/>
                <w:szCs w:val="18"/>
                <w:i w:val="1"/>
                <w:iCs w:val="1"/>
                <w:color w:val="auto"/>
              </w:rPr>
              <w:t>($ in thousands, except percentage and store data)</w:t>
            </w:r>
          </w:p>
        </w:tc>
        <w:tc>
          <w:tcPr>
            <w:tcW w:w="17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September 30, 2017</w:t>
            </w: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October 1, 2016</w:t>
            </w:r>
          </w:p>
        </w:tc>
        <w:tc>
          <w:tcPr>
            <w:tcW w:w="1760" w:type="dxa"/>
            <w:vAlign w:val="bottom"/>
            <w:gridSpan w:val="3"/>
          </w:tcPr>
          <w:p>
            <w:pPr>
              <w:ind w:left="100"/>
              <w:spacing w:after="0"/>
              <w:rPr>
                <w:sz w:val="20"/>
                <w:szCs w:val="20"/>
                <w:color w:val="auto"/>
              </w:rPr>
            </w:pPr>
            <w:r>
              <w:rPr>
                <w:rFonts w:ascii="Arial" w:cs="Arial" w:eastAsia="Arial" w:hAnsi="Arial"/>
                <w:sz w:val="18"/>
                <w:szCs w:val="18"/>
                <w:color w:val="auto"/>
              </w:rPr>
              <w:t>September 30, 2017</w:t>
            </w:r>
          </w:p>
        </w:tc>
        <w:tc>
          <w:tcPr>
            <w:tcW w:w="14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w w:val="91"/>
              </w:rPr>
              <w:t>October 1, 2016</w:t>
            </w:r>
          </w:p>
        </w:tc>
      </w:tr>
      <w:tr>
        <w:trPr>
          <w:trHeight w:val="27"/>
        </w:trPr>
        <w:tc>
          <w:tcPr>
            <w:tcW w:w="4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283,648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246,638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867,192</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756,787</w:t>
            </w:r>
          </w:p>
        </w:tc>
      </w:tr>
      <w:tr>
        <w:trPr>
          <w:trHeight w:val="27"/>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62,441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54,578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186,297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162,294</w:t>
            </w:r>
          </w:p>
        </w:tc>
      </w:tr>
      <w:tr>
        <w:trPr>
          <w:trHeight w:val="237"/>
        </w:trPr>
        <w:tc>
          <w:tcPr>
            <w:tcW w:w="474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346,089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301,216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1,053,489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919,081</w:t>
            </w:r>
          </w:p>
        </w:tc>
      </w:tr>
      <w:tr>
        <w:trPr>
          <w:trHeight w:val="27"/>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3"/>
              </w:rPr>
              <w:t>Costs applicable to revenue (exclusive of depreciation and</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1"/>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5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Products</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115,752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99,096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349,099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299,420</w:t>
            </w:r>
          </w:p>
        </w:tc>
      </w:tr>
      <w:tr>
        <w:trPr>
          <w:trHeight w:val="27"/>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46,606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39,568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135,474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115,033</w:t>
            </w:r>
          </w:p>
        </w:tc>
      </w:tr>
      <w:tr>
        <w:trPr>
          <w:trHeight w:val="237"/>
        </w:trPr>
        <w:tc>
          <w:tcPr>
            <w:tcW w:w="474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162,358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138,664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484,573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414,453</w:t>
            </w:r>
          </w:p>
        </w:tc>
      </w:tr>
      <w:tr>
        <w:trPr>
          <w:trHeight w:val="27"/>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151,251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134,457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445,714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395,385</w:t>
            </w:r>
          </w:p>
        </w:tc>
      </w:tr>
      <w:tr>
        <w:trPr>
          <w:trHeight w:val="27"/>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13,217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44,404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38,237</w:t>
            </w: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50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52</w:t>
            </w:r>
          </w:p>
        </w:tc>
      </w:tr>
      <w:tr>
        <w:trPr>
          <w:trHeight w:val="27"/>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1,217</w:t>
            </w:r>
          </w:p>
        </w:tc>
      </w:tr>
      <w:tr>
        <w:trPr>
          <w:trHeight w:val="27"/>
        </w:trPr>
        <w:tc>
          <w:tcPr>
            <w:tcW w:w="4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167,171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148,237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498,862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434,891</w:t>
            </w: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14,315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70,054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69,737</w:t>
            </w:r>
          </w:p>
        </w:tc>
      </w:tr>
      <w:tr>
        <w:trPr>
          <w:trHeight w:val="27"/>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29,377</w:t>
            </w: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50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40,360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9,267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15,893</w:t>
            </w:r>
          </w:p>
        </w:tc>
      </w:tr>
      <w:tr>
        <w:trPr>
          <w:trHeight w:val="27"/>
        </w:trPr>
        <w:tc>
          <w:tcPr>
            <w:tcW w:w="4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17,120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24,467</w:t>
            </w:r>
          </w:p>
        </w:tc>
      </w:tr>
      <w:tr>
        <w:trPr>
          <w:trHeight w:val="20"/>
        </w:trPr>
        <w:tc>
          <w:tcPr>
            <w:tcW w:w="4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1"/>
        </w:trPr>
        <w:tc>
          <w:tcPr>
            <w:tcW w:w="4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Number of stores open at end of period</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932</w:t>
            </w:r>
          </w:p>
        </w:tc>
      </w:tr>
      <w:tr>
        <w:trPr>
          <w:trHeight w:val="27"/>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stores opened</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36,161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30,738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134,686</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116,803</w:t>
            </w:r>
          </w:p>
        </w:tc>
      </w:tr>
      <w:tr>
        <w:trPr>
          <w:trHeight w:val="27"/>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Total costs applicable to revenue (exclusive of depreciation and</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567"/>
        </w:trPr>
        <w:tc>
          <w:tcPr>
            <w:tcW w:w="4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280"/>
        <w:spacing w:after="0" w:line="378" w:lineRule="auto"/>
        <w:rPr>
          <w:sz w:val="20"/>
          <w:szCs w:val="20"/>
          <w:color w:val="auto"/>
        </w:rPr>
      </w:pPr>
      <w:r>
        <w:rPr>
          <w:rFonts w:ascii="Arial" w:cs="Arial" w:eastAsia="Arial" w:hAnsi="Arial"/>
          <w:sz w:val="18"/>
          <w:szCs w:val="18"/>
          <w:b w:val="1"/>
          <w:bCs w:val="1"/>
          <w:color w:val="auto"/>
        </w:rPr>
        <w:t xml:space="preserve">Three Months Ended September 30, 2017 compared to Three Months Ended October 1, 2016 </w:t>
      </w:r>
      <w:r>
        <w:rPr>
          <w:rFonts w:ascii="Arial" w:cs="Arial" w:eastAsia="Arial" w:hAnsi="Arial"/>
          <w:sz w:val="18"/>
          <w:szCs w:val="18"/>
          <w:i w:val="1"/>
          <w:iCs w:val="1"/>
          <w:color w:val="auto"/>
        </w:rPr>
        <w:t>Net revenue</w:t>
      </w:r>
    </w:p>
    <w:p>
      <w:pPr>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September 30, 2017 compared to the three months ended October 1,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Comparable store sales growth</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Stores open at end of period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Net revenue</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3"/>
                <w:szCs w:val="13"/>
                <w:color w:val="auto"/>
              </w:rPr>
            </w:pPr>
          </w:p>
        </w:tc>
        <w:tc>
          <w:tcPr>
            <w:tcW w:w="11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340" w:type="dxa"/>
            <w:vAlign w:val="bottom"/>
            <w:gridSpan w:val="2"/>
            <w:vMerge w:val="continue"/>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percentage and store data)</w:t>
            </w:r>
          </w:p>
        </w:tc>
        <w:tc>
          <w:tcPr>
            <w:tcW w:w="12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240" w:type="dxa"/>
            <w:vAlign w:val="bottom"/>
            <w:gridSpan w:val="2"/>
            <w:vMerge w:val="continue"/>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October 1, 2016</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1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October 1, 2016</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October 1, 2016</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America’s Best</w:t>
            </w:r>
          </w:p>
        </w:tc>
        <w:tc>
          <w:tcPr>
            <w:tcW w:w="126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212,329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179,687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Eyeglass World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36,979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34,376</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Military</w:t>
            </w: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6,268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 Meyer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Owned &amp; host segment total</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259,154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224,623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Legacy segment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37,367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37,354</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Corporate/Other</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49,531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42,385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Reconciliations</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346,089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301,216</w:t>
            </w:r>
          </w:p>
        </w:tc>
        <w:tc>
          <w:tcPr>
            <w:tcW w:w="0" w:type="dxa"/>
            <w:vAlign w:val="bottom"/>
          </w:tcPr>
          <w:p>
            <w:pPr>
              <w:spacing w:after="0"/>
              <w:rPr>
                <w:sz w:val="1"/>
                <w:szCs w:val="1"/>
                <w:color w:val="auto"/>
              </w:rPr>
            </w:pPr>
          </w:p>
        </w:tc>
      </w:tr>
      <w:tr>
        <w:trPr>
          <w:trHeight w:val="257"/>
        </w:trPr>
        <w:tc>
          <w:tcPr>
            <w:tcW w:w="366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5"/>
                <w:szCs w:val="25"/>
                <w:color w:val="auto"/>
                <w:vertAlign w:val="superscript"/>
              </w:rPr>
              <w:t>(2)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60" w:hanging="328"/>
        <w:spacing w:after="0" w:line="257"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77" w:lineRule="exact"/>
        <w:rPr>
          <w:rFonts w:ascii="Arial" w:cs="Arial" w:eastAsia="Arial" w:hAnsi="Arial"/>
          <w:sz w:val="14"/>
          <w:szCs w:val="14"/>
          <w:color w:val="auto"/>
        </w:rPr>
      </w:pPr>
    </w:p>
    <w:p>
      <w:pPr>
        <w:jc w:val="both"/>
        <w:ind w:left="660" w:hanging="328"/>
        <w:spacing w:after="0" w:line="273"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1.3% and 1.0% from total comparable store sales growth based on consolidated net revenue for the three months ended September 30, 2017 and October 1, 2016, respectively, and (ii) adjusted comparable store sales growth includes retail sales to the legacy partner’s customers (rather than the revenues recognized consistent with the management &amp; services agreement), resulting in a decrease of 0.0% and 0.5% from total comparable store sales growth based on consolidated net revenue for the three months ended September 30, 2017 and October 1, 2016, respectively.</w:t>
      </w:r>
    </w:p>
    <w:p>
      <w:pPr>
        <w:spacing w:after="0" w:line="7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Total net revenue of $346.1 million for the three months ended September 30, 2017 increased $44.9 million, or 14.9%, from $301.2 million for the three months ended October 1, 2016. This increase was driven approximately 50% by comparable store sales growth, approximately 40% by new stores and approximately 10% by order volume in our AC Lens business within the Corporate/Other segment.</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Comparable store sales growth was 8.3% for the three months ended September 30, 2017. Adjusted comparable store sales growth was 7.0% for the three months ended September 30, 2017. Comparable store sales growth and adjusted comparable store sales growth were driven by increases in customer transactions. We believe the increase in net revenue and customer transactions was due to execution of our key strategies, including advertising and expansion of our participation in managed care programs. New stores also contributed to net revenue growth. In the three months ended September 30, 2017, we opened 19 new stores, including 18 new America’s Best stores and one new Eyeglass World store. Additionally, we closed two Eyeglass World stores and one Vista Optical location on a military base in the three months ended September 30, 2017. Overall, store count grew 6.9% from October 1, 2016 to September 30, 2017 (net of four America’s Best store closures, two Eyeglass World store closures and one Vista Optical location on a military base closure in the 12 months ended September 30, 2017).</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product sales increased $37.0 million, or 15.0%, in the three months ended September 30, 2017 compared to the three months ended October 1, 2016, driven primarily by store maturation and store growth. From a product perspective, the increase was primarily driven by eyeglass sales and, to a lesser extent, contact lens sales and unit growth in our wholesale order fulfillment business. Net sales of services and plans increased $7.9 million, or 14.4%, primarily due to strong eye exam sales in our owned &amp; host segment. The increase in eye exam sales was driven primarily by store growth and our expanding participation in managed care programs. To a lesser extent, warranty program sales and Eyecare Club membership sales, driven by increased sales in our America’s Best brand, also contributed to the increase.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and September of 2017, we temporarily closed certain stores in the Houston, Texas area and in Alabama, Florida and Georgia due to Hurricanes Harvey and Irma, respectively. We estimate that these storms affected 203 stores and had an adverse impact of between 1.5% and 1.7% on each of our comparable store sales growth and adjusted comparable store sales growth for the three months ended September 30, 2017. In addition, we estimate that these storms had an adverse impact of between $3.5 million and $4.1 million on our consolidated net revenue for the three months ended September 30, 2017. One store in the Houston area remains closed.</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revenue and costs applicable to revenue in the three months ended September 30, 2017 were affected by operations changes in our legacy segment and Corporate/Other segment, with no impact on our consolidated financial results. As a result of changes in applicable California law, certain optometrists employed by FirstSight were transferred to a professional corporation that contracts directly with our legacy segment. This change led to an increase in legacy segment eye exam revenue and optometrist payroll costs of $1.2 million and $0.9 million, respectively, in the three months ended September 30, 2017. A corresponding decrease was recorded in our FirstSight subsidiary within the Corporate/Other segment. As of September 30, 2017, approximately half of the applicable optometrists have been transferred and we expect the remaining half to be transferred in the fourth quarter of fiscal year 2018.</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an additional result of these changes in California law, FirstSight ceased, effective October 1, 2017, the sale of vision managed care products in Walmart locations in California that are not operated by the Company. Its revenues in the fourth quarter of fiscal year 2017 will be accordingly reduced; we expect an immaterial impact on net income.</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for our owned &amp; host segment increased $34.5 million, or 15.4%, due to comparable store sales growth and</w:t>
      </w:r>
      <w:r>
        <w:rPr>
          <w:rFonts w:ascii="Arial" w:cs="Arial" w:eastAsia="Arial" w:hAnsi="Arial"/>
          <w:sz w:val="18"/>
          <w:szCs w:val="18"/>
          <w:i w:val="1"/>
          <w:iCs w:val="1"/>
          <w:color w:val="auto"/>
        </w:rPr>
        <w:t xml:space="preserve"> </w:t>
      </w:r>
      <w:r>
        <w:rPr>
          <w:rFonts w:ascii="Arial" w:cs="Arial" w:eastAsia="Arial" w:hAnsi="Arial"/>
          <w:sz w:val="18"/>
          <w:szCs w:val="18"/>
          <w:color w:val="auto"/>
        </w:rPr>
        <w:t>new store openings. Within our owned &amp; host segment, net revenue from our Vista Optical locations on military bases declined $0.7 million, or 10.2%, as a result of lower customer transaction volume.</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Legacy segment net revenue. </w:t>
      </w:r>
      <w:r>
        <w:rPr>
          <w:rFonts w:ascii="Arial" w:cs="Arial" w:eastAsia="Arial" w:hAnsi="Arial"/>
          <w:sz w:val="17"/>
          <w:szCs w:val="17"/>
          <w:color w:val="auto"/>
        </w:rPr>
        <w:t>Incremental eye exam sales of $1.2 million as a result of changes to our FirstSight operations required by changes in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law discussed above, offset by a decline in customer transaction volume, led to flat net revenue in our legacy segment. The FirstSight operations changes resulted in a favorable impact of approximately 270 basis points in comparable store sales growth in the legacy segment.</w:t>
      </w:r>
    </w:p>
    <w:p>
      <w:pPr>
        <w:spacing w:after="0" w:line="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Corporate/Other segment net revenue. </w:t>
      </w:r>
      <w:r>
        <w:rPr>
          <w:rFonts w:ascii="Arial" w:cs="Arial" w:eastAsia="Arial" w:hAnsi="Arial"/>
          <w:sz w:val="16"/>
          <w:szCs w:val="16"/>
          <w:color w:val="auto"/>
        </w:rPr>
        <w:t>Net revenue in the Corporate/Other segment increased $7.1 million, or 16.9%, driven by unit growth in our wholesale</w:t>
      </w:r>
      <w:r>
        <w:rPr>
          <w:rFonts w:ascii="Arial" w:cs="Arial" w:eastAsia="Arial" w:hAnsi="Arial"/>
          <w:sz w:val="16"/>
          <w:szCs w:val="16"/>
          <w:i w:val="1"/>
          <w:iCs w:val="1"/>
          <w:color w:val="auto"/>
        </w:rPr>
        <w:t xml:space="preserve"> </w:t>
      </w:r>
      <w:r>
        <w:rPr>
          <w:rFonts w:ascii="Arial" w:cs="Arial" w:eastAsia="Arial" w:hAnsi="Arial"/>
          <w:sz w:val="16"/>
          <w:szCs w:val="16"/>
          <w:color w:val="auto"/>
        </w:rPr>
        <w:t>order fulfillment business, partially offset by a $1.2 million reduction in sales as a result of the FirstSight operations changes as discussed above.</w:t>
      </w:r>
    </w:p>
    <w:p>
      <w:pPr>
        <w:spacing w:after="0" w:line="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Reconciliations include increases in deferred revenue of $1.7 million and $2.4 million, and a decrease in unearned revenue of</w:t>
      </w:r>
      <w:r>
        <w:rPr>
          <w:rFonts w:ascii="Arial" w:cs="Arial" w:eastAsia="Arial" w:hAnsi="Arial"/>
          <w:sz w:val="16"/>
          <w:szCs w:val="16"/>
          <w:i w:val="1"/>
          <w:iCs w:val="1"/>
          <w:color w:val="auto"/>
        </w:rPr>
        <w:t xml:space="preserve"> </w:t>
      </w:r>
      <w:r>
        <w:rPr>
          <w:rFonts w:ascii="Arial" w:cs="Arial" w:eastAsia="Arial" w:hAnsi="Arial"/>
          <w:sz w:val="16"/>
          <w:szCs w:val="16"/>
          <w:color w:val="auto"/>
        </w:rPr>
        <w:t>$1.7 million and an increase in unearned revenue of $0.8 million for the three months ended September 30, 2017 and October 1, 2016, respectively. The purchase accounting adjustment related to the KKR Acquisition described in “—Overview” above contributed to the increase in deferred revenue by $0.6 million for the three months ended October 1, 2016, resulting in larger increases in deferred revenue compared to corresponding periods. Absent the impact of the KKR Acquisition, deferred revenue is comparable to the prior year period due to slower growth in our warranty program sales and Eyecare Club membership sales than other product categories. The decrease in unearned revenue in the three months ended September 30, 2017 was driven by a shift back to one-day shipping to our retail locations during the quarter, changed from the two-day shipping adopted during the second quarter of 2017.</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applicable to revenue of $162.4 million for the three months ended September 30, 2017 increased $23.7 million, or 17.1%, from $138.7 million for the three months ended October 1, 2016. As a percentage of net revenue, costs applicable to revenue increased from 46.0% for the three months ended October 1, 2016 to 46.9% for the three months ended September 30, 2017. The increase was primarily driven by higher optometrist costs and higher wholesale fulfillment mix.</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of products as a percentage of net product sales increased from 40.2% for the three months ended October 1, 2016 to 40.8% for the three months ended September 30, 2017, driven primarily by higher wholesale fulfillment mix. Our wholesale order fulfillment units, which have a higher cost as a percentage of sales than other product categories, increased.</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In the owned &amp; host segment, costs of products as a percentage of net product sales increased from 29.4%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October 1, 2016 to 29.9% for the three months ended September 30, 2017. The increase was primarily driven by modest increases in contact lens costs.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In the legacy segment, costs of products as a percentage of net product sales decreased from 46.7%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1, 2016 to 46.6% for the three months ended September 30, 2017. The decrease was primarily driven by favorable eyeglass costs and the mix of our accessory sales, partially offset by increased other cost of sales and modest increases in contact lens costs. Accessory sales include products such as eyeglass cases, eyeglass cleaning kits and eyeglass cords.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Costs of services and plans as a percentage of net sales of services and plans increased from 72.5% for the three months ended October 1, 2016 to 74.6% for the three months ended September 30, 2017. The increase was primarily driven by higher optometrist costs and a lower mix of management fees from our legacy segment, partially offset by a higher mix of eye exam sales. Optometrist costs increased as a result of increased store coverage and overall wage pressure. Additionally, optometrists continued to be paid when certain stores were closed in the third quarter as a result of Hurricanes Harvey and Irma. The lower mix of management fees from our legacy segment was driven by a decline in customer transaction volume in the legacy segment described in “—</w:t>
      </w:r>
      <w:r>
        <w:rPr>
          <w:rFonts w:ascii="Arial" w:cs="Arial" w:eastAsia="Arial" w:hAnsi="Arial"/>
          <w:sz w:val="17"/>
          <w:szCs w:val="17"/>
          <w:i w:val="1"/>
          <w:iCs w:val="1"/>
          <w:color w:val="auto"/>
        </w:rPr>
        <w:t>Net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revenue” </w:t>
      </w:r>
      <w:r>
        <w:rPr>
          <w:rFonts w:ascii="Arial" w:cs="Arial" w:eastAsia="Arial" w:hAnsi="Arial"/>
          <w:sz w:val="17"/>
          <w:szCs w:val="17"/>
          <w:color w:val="auto"/>
        </w:rPr>
        <w:t>above. Eye exam sales mix increased as a result of our growing managed care business.</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Owned &amp; host segment costs of services and plans. </w:t>
      </w:r>
      <w:r>
        <w:rPr>
          <w:rFonts w:ascii="Arial" w:cs="Arial" w:eastAsia="Arial" w:hAnsi="Arial"/>
          <w:sz w:val="17"/>
          <w:szCs w:val="17"/>
          <w:color w:val="auto"/>
        </w:rPr>
        <w:t>Costs of services and plans as a percentage of net sales of services and plans in the owned &amp; host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from 81.4% for the three months ended October 1, 2016 to 81.9% for the three months ended September 30, 2017. The increase was driven by a lower mix of Eyecare Club and warranty program sales and higher optometrist costs, partially offset by a higher mix of eye exam sales. The increased optometrist costs were primarily as a result of increased store coverage, overall wage pressure and the impact of Hurricanes Harvey and Irma discussed above. Eye exam sales mix increased as a result of our growing managed care business.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In the legacy segment, costs of services and plans as a percentage of net sales of services and plans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24.0% for the three months ended October 1, 2016 to 35.6% for the three months ended September 30, 2017. The increase was primarily driven by a classification change in reporting for certain technicians beginning in 2017, and to a lessor extent higher optometrist costs and a lower mix of management fees, partially offset by a higher mix of eye exam sales. The higher optometrist costs were a result of increased store coverage, overall wage pressure and the impact of Hurricanes Harvey and Irma discussed above. The lower mix of management fees from our legacy segment was driven by a decline in customer transaction volume in the legacy segment described in “—</w:t>
      </w:r>
      <w:r>
        <w:rPr>
          <w:rFonts w:ascii="Arial" w:cs="Arial" w:eastAsia="Arial" w:hAnsi="Arial"/>
          <w:sz w:val="18"/>
          <w:szCs w:val="18"/>
          <w:i w:val="1"/>
          <w:iCs w:val="1"/>
          <w:color w:val="auto"/>
        </w:rPr>
        <w:t>Net revenue”</w:t>
      </w:r>
      <w:r>
        <w:rPr>
          <w:rFonts w:ascii="Arial" w:cs="Arial" w:eastAsia="Arial" w:hAnsi="Arial"/>
          <w:sz w:val="18"/>
          <w:szCs w:val="18"/>
          <w:color w:val="auto"/>
        </w:rPr>
        <w:t xml:space="preserve"> above. The higher eye exam sales were driven by the FirstSight operations changes described in “—</w:t>
      </w:r>
      <w:r>
        <w:rPr>
          <w:rFonts w:ascii="Arial" w:cs="Arial" w:eastAsia="Arial" w:hAnsi="Arial"/>
          <w:sz w:val="18"/>
          <w:szCs w:val="18"/>
          <w:i w:val="1"/>
          <w:iCs w:val="1"/>
          <w:color w:val="auto"/>
        </w:rPr>
        <w:t>Net revenue”</w:t>
      </w:r>
      <w:r>
        <w:rPr>
          <w:rFonts w:ascii="Arial" w:cs="Arial" w:eastAsia="Arial" w:hAnsi="Arial"/>
          <w:sz w:val="18"/>
          <w:szCs w:val="18"/>
          <w:color w:val="auto"/>
        </w:rPr>
        <w:t xml:space="preserve"> above.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of $151.3 million for the three months ended September 30, 2017 increased $16.8 million, or 12.5%, compared to $134.5 million for the three months ended October 1, 2016. As a percentage of net revenue, SG&amp;A decreased from 44.6% for the three months ended October 1, 2016 to 43.7% for the three months ended September 30, 2017. The decrease as a percentage of net revenue was primarily driven by timing of advertising. Our fiscal year 2017 planned advertising expense as a percentage of net revenue is in line with fiscal year 2016 results. However, the fiscal year 2017 spend was weighted lower in the third quarter. The weighting shift is a result of our launch of national advertising in the first quarter of fiscal year 2017, as well as adjustments to our advertising placement approach.</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Owned &amp; host segment SG&amp;A. </w:t>
      </w:r>
      <w:r>
        <w:rPr>
          <w:rFonts w:ascii="Arial" w:cs="Arial" w:eastAsia="Arial" w:hAnsi="Arial"/>
          <w:sz w:val="16"/>
          <w:szCs w:val="16"/>
          <w:color w:val="auto"/>
        </w:rPr>
        <w:t>In the owned &amp; host segment, SG&amp;A as a percentage of net revenue was 40.1%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compared to 40.5% for the three months ended October 1, 2016, driven primarily by advertising timing and reduced spend, as described above. To a lesser extent, occupancy costs also contributed to the decrease. In fiscal year 2017, we began signing an increased number of leases with longer terms which were designated as capital leases (as opposed to operating leases) and, as a result, our occupancy expense as a percentage of net revenue decreased accordingly compared to the comparable prior year period. Partially offsetting the lower advertising and occupancy costs, store payroll, as a percentage of net revenue, increased. The increase in store payroll as a percentage of net revenue was driven by lower than anticipated store transactions, and ultimately net revenue, as a result of Hurricanes Harvey and Irma. Additionally, we continued to pay our store associates while our stores were closed due to the hurricanes.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Legacy segment SG&amp;A. </w:t>
      </w:r>
      <w:r>
        <w:rPr>
          <w:rFonts w:ascii="Arial" w:cs="Arial" w:eastAsia="Arial" w:hAnsi="Arial"/>
          <w:sz w:val="17"/>
          <w:szCs w:val="17"/>
          <w:color w:val="auto"/>
        </w:rPr>
        <w:t>In the legacy segment, SG&amp;A as a percentage of net revenue decreased from 34.8% for the three months ended October 1, 2016 to</w:t>
      </w:r>
      <w:r>
        <w:rPr>
          <w:rFonts w:ascii="Arial" w:cs="Arial" w:eastAsia="Arial" w:hAnsi="Arial"/>
          <w:sz w:val="17"/>
          <w:szCs w:val="17"/>
          <w:i w:val="1"/>
          <w:iCs w:val="1"/>
          <w:color w:val="auto"/>
        </w:rPr>
        <w:t xml:space="preserve"> </w:t>
      </w:r>
      <w:r>
        <w:rPr>
          <w:rFonts w:ascii="Arial" w:cs="Arial" w:eastAsia="Arial" w:hAnsi="Arial"/>
          <w:sz w:val="17"/>
          <w:szCs w:val="17"/>
          <w:color w:val="auto"/>
        </w:rPr>
        <w:t>34.5% for the three months ended September 30, 2017, driven primarily by the impact of the technician classification reporting change previously described in “—</w:t>
      </w:r>
      <w:r>
        <w:rPr>
          <w:rFonts w:ascii="Arial" w:cs="Arial" w:eastAsia="Arial" w:hAnsi="Arial"/>
          <w:sz w:val="17"/>
          <w:szCs w:val="17"/>
          <w:i w:val="1"/>
          <w:iCs w:val="1"/>
          <w:color w:val="auto"/>
        </w:rPr>
        <w:t>Costs applicable to revenue”</w:t>
      </w:r>
      <w:r>
        <w:rPr>
          <w:rFonts w:ascii="Arial" w:cs="Arial" w:eastAsia="Arial" w:hAnsi="Arial"/>
          <w:sz w:val="17"/>
          <w:szCs w:val="17"/>
          <w:color w:val="auto"/>
        </w:rPr>
        <w:t xml:space="preserve"> partially offset by higher write-offs associated with increased managed care activity.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Depreciation and amortization expense of $15.4 million for the three months ended September 30, 2017 increased $2.1 million, or 16.2%, from $13.2 million for the three months ended October 1, 2016, primarily driven by new store openings and other ongoing growth capital projects. Our property and equipment, net balance increased $9.3 million, or 5.5%, during the three months ended September 30, 2017, reflective of $22.3 million in purchases of property and equipment less $13.0 million in depreciation expense. New assets are out-pacing retirements by a significant margin and, therefore, we expect continued increases in depreciation expense for the foreseeable future as we continue to execute our growth strategy.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expense, net, of $14.9 million for the three months ended September 30, 2017 increased $5.1 million, or 52.7%, from $9.7 million for the three months ended October 1, 2016. On February 2, 2017, we declared a recapitalization dividend to our stockholders. The dividend was funded with $175.0 million of incremental term loans under our first lien credit agreement. The borrowing rate was consistent with the initial term loans under the first lien credit agreement. Interest expense, net, increased $1.9 million resulting from the additional principal outstanding under the first lien credit agreement during the three months ended September 30, 2017. Additionally, we accrued $2.6 million in additional interest expense during the three months ended September 30, 2017 related to interest payments due to counterparties associated with our derivative cash flow hedges.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income tax rate (“ETR”) was 9.5% during the three months ended September 30, 2017 compared to 34.1% during the three months ended October 1, 2016. The 9.5% rate in the three months ended September 30, 2017 resulted from a change to our expected annual ETR (before discrete items) of 39.5%, with the cumulative results of that change recorded in the three months ended September 30, 2017. Similarly, for the three months ended October 1, 2016, we recorded the cumulative effects of a change to our annual expected annual ETR.</w:t>
      </w:r>
    </w:p>
    <w:p>
      <w:pPr>
        <w:spacing w:after="0" w:line="75" w:lineRule="exact"/>
        <w:rPr>
          <w:sz w:val="20"/>
          <w:szCs w:val="20"/>
          <w:color w:val="auto"/>
        </w:rPr>
      </w:pPr>
    </w:p>
    <w:p>
      <w:pPr>
        <w:ind w:right="4480"/>
        <w:spacing w:after="0" w:line="378" w:lineRule="auto"/>
        <w:rPr>
          <w:sz w:val="20"/>
          <w:szCs w:val="20"/>
          <w:color w:val="auto"/>
        </w:rPr>
      </w:pPr>
      <w:r>
        <w:rPr>
          <w:rFonts w:ascii="Arial" w:cs="Arial" w:eastAsia="Arial" w:hAnsi="Arial"/>
          <w:sz w:val="18"/>
          <w:szCs w:val="18"/>
          <w:b w:val="1"/>
          <w:bCs w:val="1"/>
          <w:color w:val="auto"/>
        </w:rPr>
        <w:t xml:space="preserve">Nine Months Ended September 30, 2017 compared to Nine Months Ended October 1, 2016 </w:t>
      </w:r>
      <w:r>
        <w:rPr>
          <w:rFonts w:ascii="Arial" w:cs="Arial" w:eastAsia="Arial" w:hAnsi="Arial"/>
          <w:sz w:val="18"/>
          <w:szCs w:val="18"/>
          <w:i w:val="1"/>
          <w:iCs w:val="1"/>
          <w:color w:val="auto"/>
        </w:rPr>
        <w:t>Net revenue</w:t>
      </w:r>
    </w:p>
    <w:p>
      <w:pPr>
        <w:jc w:val="both"/>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nine months ended September 30, 2017 compared to the nine months ended October 1,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Comparable store sales growth</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Stores open at end of period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Net revenue</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Nine Months</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Nine Months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3"/>
                <w:szCs w:val="13"/>
                <w:color w:val="auto"/>
              </w:rPr>
            </w:pPr>
          </w:p>
        </w:tc>
        <w:tc>
          <w:tcPr>
            <w:tcW w:w="11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360" w:type="dxa"/>
            <w:vAlign w:val="bottom"/>
            <w:gridSpan w:val="2"/>
            <w:vMerge w:val="continue"/>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percentage and store data)</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220" w:type="dxa"/>
            <w:vAlign w:val="bottom"/>
            <w:gridSpan w:val="2"/>
            <w:vMerge w:val="continue"/>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October 1, 2016</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1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1, 2016</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October 1, 2016</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America’s Best</w:t>
            </w:r>
          </w:p>
        </w:tc>
        <w:tc>
          <w:tcPr>
            <w:tcW w:w="126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9.2 %</w:t>
            </w: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651,167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548,196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Eyeglass World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114,632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103,314</w:t>
            </w: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Military</w:t>
            </w: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19,357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20,696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 Meyer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11,043</w:t>
            </w:r>
          </w:p>
        </w:tc>
        <w:tc>
          <w:tcPr>
            <w:tcW w:w="0" w:type="dxa"/>
            <w:vAlign w:val="bottom"/>
          </w:tcPr>
          <w:p>
            <w:pPr>
              <w:spacing w:after="0"/>
              <w:rPr>
                <w:sz w:val="1"/>
                <w:szCs w:val="1"/>
                <w:color w:val="auto"/>
              </w:rPr>
            </w:pPr>
          </w:p>
        </w:tc>
      </w:tr>
      <w:tr>
        <w:trPr>
          <w:trHeight w:val="237"/>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Owned &amp; host segment total</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795,941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683,249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Legacy segment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116,668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116,848</w:t>
            </w: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Corporate/Other</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145,645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127,122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Reconciliations</w:t>
            </w:r>
          </w:p>
        </w:tc>
        <w:tc>
          <w:tcPr>
            <w:tcW w:w="13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1,053,489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919,081</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5"/>
                <w:szCs w:val="25"/>
                <w:color w:val="auto"/>
                <w:vertAlign w:val="superscript"/>
              </w:rPr>
              <w:t>(2)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60" w:hanging="328"/>
        <w:spacing w:after="0" w:line="257"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660" w:hanging="328"/>
        <w:spacing w:after="0" w:line="273" w:lineRule="auto"/>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0.5% and 0.5% from total comparable store sales growth based on consolidated net revenue for the nine months ended September 30, 2017 and October 1, 2016, respectively, and (ii) adjusted comparable store sales growth includes retail sales to the legacy partner’s customers (rather than the revenues recognized consistent with the management &amp; services agreement), resulting in a decrease of 0.2% and 0.5% from total comparable store sales growth based on consolidated net revenue for the nine months ended September 30, 2017 and October 1, 2016, respectively.</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 of $1,053.5 million for the nine months ended September 30, 2017 increased $134.4 million, or 14.6%, from $919.1 million for the nine months ended October 1, 2016. This increase was driven approximately 45% by new stores, approximately 40% by comparable store sales growth and approximately 15% by order volume in our AC Lens business within the Corporate/Other segment.</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nine months ended September 30, 2017, we opened 59 new stores, including 51 new America’s Best stores, seven new Eyeglass World stores and one new Vista Optical location on a military base. Additionally, we closed three America’s Best stores, two Eyeglass World stores and one Vista Optical location on a military base. Overall, store count grew 6.9% from October 1, 2016 to September 30, 2017 (net of four America’s Best store closures, two Eyeglass World store closures and one Vista Optical location on a military base closure in the 12 months ended September 30, 2017). Comparable store sales growth was 7.4% for the nine months ended September 30, 2017. Adjusted comparable store sales growth was 6.7% for the nine months ended September 30, 2017. Comparable store sales growth and adjusted comparable store sales growth were driven by increases in customer transactions. We believe the increase in net revenue and customer transactions was due to execution of our key strategies, including advertising and expansion of our participation in managed care programs.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product sales increased $110.4 million, or 14.6%, in the nine months ended September 30, 2017 compared to the nine months ended October 1, 2016, driven primarily by strong eyeglass sales. To a lesser extent, unit growth in our wholesale order fulfillment business and contact lenses also contributed to the increase. Net sales of services and plans increased $24.0 million, or 14.8%, driven primarily by strong eye exam sales in our owned &amp; host segment. The eye exam increase was driven primarily by our expanding participation in managed care programs. To a lesser extent, warranty program sales and Eyecare Club membership sales, driven by increased sales in our America’s Best brand, also contributed to the increase.</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our first quarter of fiscal year 2017 was negatively impacted by the Earned Income Tax Credit processing rules implemented by the federal government in 2017 which caused a two- to three-week delay in many federal tax refunds in the first quarter. This delay caused our store transactions, and ultimately net revenue, to fall short of planned levels in the first quarter. A weaker than expected first quarter was partially offset by strong performance in our comparable store sales growth and overall customer transactions in the second quarter of fiscal year 2017. Additionally, in the third quarter of fiscal year 2017, we temporarily closed certain stores in the Houston, Texas area and in Alabama, Florida and Georgia due to Hurricanes Harvey and Irma, respectively. We estimate that these storms affected 203 stores and had an adverse impact of between 0.4% and 0.5% on each of our comparable store sales growth and adjusted comparable store sales growth for the nine months ended September 30, 2017. In addition, we estimate that the storms had an adverse impact of between $3.5 million and $4.1 million on our consolidated net revenue for the nine months ended September 30, 2017. One store in the Houston area remains closed.</w:t>
      </w:r>
    </w:p>
    <w:p>
      <w:pPr>
        <w:spacing w:after="0" w:line="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revenue and costs applicable to revenue in the nine months ended September 30, 2017 were affected by operations changes in our legacy segment and Corporate/Other segment, with no impact on our consolidated financial results. As a result of changes in California law, certain optometrists employed by FirstSight were transferred to a professional corporation that contracts directly with our legacy segment. This change led to an increase in legacy segment eye exam revenue and optometrist payroll costs of $1.6 million and $1.2 million, respectively, in the nine months ended September 30, 2017. A corresponding decrease was recorded in our FirstSight subsidiary within the Corporate/Other segment. As of September 30, 2017, approximately half of the applicable optometrists have been transferred and we expect the remaining half to be transferred in the fourth quarter of fiscal year 2018.</w:t>
      </w:r>
    </w:p>
    <w:p>
      <w:pPr>
        <w:spacing w:after="0" w:line="13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an additional result of these changes in California law, FirstSight ceased, effective October 1, 2017, the sale of vision managed care products in Walmart locations in California that are not operated by the Company. Its revenues in the fourth quarter of fiscal year 2017 will be accordingly reduced; we expect an immaterial impact on net income.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for our owned &amp; host segment increased $112.7 million, or 16.5%, due to new store openings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store sales growth. Within our owned &amp; host segment, net revenue from our Vista Optical locations on military bases declined $1.3 million, or 6.5%, and net revenue from our Vista Optical locations in Fred Meyer stores declined $0.3 million, or 2.3%. The declines were a result of lower customer transaction volume.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Legacy segment net revenue. </w:t>
      </w:r>
      <w:r>
        <w:rPr>
          <w:rFonts w:ascii="Arial" w:cs="Arial" w:eastAsia="Arial" w:hAnsi="Arial"/>
          <w:sz w:val="16"/>
          <w:szCs w:val="16"/>
          <w:color w:val="auto"/>
        </w:rPr>
        <w:t>Customer transaction volume drove the $0.2 million, or 0.2%, decline in our legacy segment, partially offset by $1.6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incremental eye exam sales as a result of changes to our FirstSight operations required by changes in applicable California law discussed above. The FirstSight operations changes resulted in a favorable impact of approximately 110 basis points in comparable store sales growth in the legacy segment.</w:t>
      </w:r>
    </w:p>
    <w:p>
      <w:pPr>
        <w:spacing w:after="0" w:line="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Corporate/Other segment net revenue. </w:t>
      </w:r>
      <w:r>
        <w:rPr>
          <w:rFonts w:ascii="Arial" w:cs="Arial" w:eastAsia="Arial" w:hAnsi="Arial"/>
          <w:sz w:val="16"/>
          <w:szCs w:val="16"/>
          <w:color w:val="auto"/>
        </w:rPr>
        <w:t>Net revenue in the Corporate/Other segment increased $18.5 million, or 14.6%, driven by unit growth in our wholesale</w:t>
      </w:r>
      <w:r>
        <w:rPr>
          <w:rFonts w:ascii="Arial" w:cs="Arial" w:eastAsia="Arial" w:hAnsi="Arial"/>
          <w:sz w:val="16"/>
          <w:szCs w:val="16"/>
          <w:i w:val="1"/>
          <w:iCs w:val="1"/>
          <w:color w:val="auto"/>
        </w:rPr>
        <w:t xml:space="preserve"> </w:t>
      </w:r>
      <w:r>
        <w:rPr>
          <w:rFonts w:ascii="Arial" w:cs="Arial" w:eastAsia="Arial" w:hAnsi="Arial"/>
          <w:sz w:val="16"/>
          <w:szCs w:val="16"/>
          <w:color w:val="auto"/>
        </w:rPr>
        <w:t>order fulfillment business, partially offset by a $1.6 million reduction in sales as a result of the FirstSight operations changes discussed above.</w:t>
      </w:r>
    </w:p>
    <w:p>
      <w:pPr>
        <w:spacing w:after="0" w:line="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Reconciliations include increases in deferred revenue of $9.2 million and $11.4 million</w:t>
      </w:r>
      <w:r>
        <w:rPr>
          <w:rFonts w:ascii="Arial" w:cs="Arial" w:eastAsia="Arial" w:hAnsi="Arial"/>
          <w:sz w:val="16"/>
          <w:szCs w:val="16"/>
          <w:color w:val="FF0000"/>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decreases in unearned revenue of</w:t>
      </w:r>
      <w:r>
        <w:rPr>
          <w:rFonts w:ascii="Arial" w:cs="Arial" w:eastAsia="Arial" w:hAnsi="Arial"/>
          <w:sz w:val="16"/>
          <w:szCs w:val="16"/>
          <w:i w:val="1"/>
          <w:iCs w:val="1"/>
          <w:color w:val="auto"/>
        </w:rPr>
        <w:t xml:space="preserve"> </w:t>
      </w:r>
      <w:r>
        <w:rPr>
          <w:rFonts w:ascii="Arial" w:cs="Arial" w:eastAsia="Arial" w:hAnsi="Arial"/>
          <w:sz w:val="16"/>
          <w:szCs w:val="16"/>
          <w:color w:val="auto"/>
        </w:rPr>
        <w:t>$4.5 million and $3.3 million for the nine months ended September 30, 2017 and October 1, 2016, respectively. The purchase accounting adjustment related to the KKR Acquisition described in “—Overview” above contributed to the increases in deferred revenue by $0.2 million and $2.6 million for the nine months ended September 30, 2017 and October 1, 2016, respectively, resulting in larger increases in deferred revenue compared to corresponding periods. Absent the impact of the KKR Acquisition, deferred revenue is comparable to the prior year period due to slower growth in our warranty program sales and Eyecare Club membership sales than other product categories. The decrease in unearned revenue was primarily the result of seasonal influences on cash basis sales of prescription eyewear in our stores the last few days of the respective month ending each quarter. We have consistently observed that cash basis sales of prescription eyewear that must be deferred to the next fiscal period is higher the last week of December compared to the following September month-end, resulting in a decrease in unearned revenue between year-end and the third fiscal quarter end of the next fiscal year.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applicable to revenue of $484.6 million for the nine months ended September 30, 2017 increased $70.1 million, or 16.9%, from $414.5 million for the nine months ended October 1, 2016. As a percentage of net revenue, costs applicable to revenue increased from 45.1% for the nine months ended October 1, 2016 to 46.0% for the nine months ended September 30, 2017. The increase was primarily driven by higher wholesale fulfillment mix and higher optometrist costs.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of products as a percentage of net product sales increased from 39.6% for the nine months ended October 1, 2016 to 40.3% for the nine months ended September 30, 2017, driven by wholesale fulfillment mix and a $2.3 million inventory write-off related to a slow-moving contact lens product which had expired or would expire prior to possible sale, partially offset by lower mix of contact lens sales. Our wholesale order fulfillment units, which have a higher cost as a percentage of sales than other product categories, increased. Our contact lens units, which have a higher cost as a percentage of sales than other product categories, decreased.</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In the owned &amp; host segment, costs of products as a percentage of net product sales increased from 29.1%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October 1, 2016 to 29.3% for the nine months ended September 30, 2017. The increase was primarily driven by modest increases in contact lens costs.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In the legacy segment, costs of products as a percentage of net product sales increased from 46.9%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1, 2016 to 47.1% for the nine months ended September 30, 2017. The increase was primarily driven by other cost of sales and modest increases in contact lens costs as a percentage of net product sales, partially offset by a lower mix of contact lens sales.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Costs of services and plans as a percentage of net sales of services and plans increased from 70.9% for the nine months ended October 1, 2016 to 72.7% for the nine months ended September 30, 2017. The increase was primarily driven by a lower mix of management fees from our legacy segment and higher optometrist costs, partially offset by a higher mix of eye exam sales. The lower mix of management fees from our legacy segment was driven by a decline in customer transaction volume in the legacy segment described in “—</w:t>
      </w:r>
      <w:r>
        <w:rPr>
          <w:rFonts w:ascii="Arial" w:cs="Arial" w:eastAsia="Arial" w:hAnsi="Arial"/>
          <w:sz w:val="17"/>
          <w:szCs w:val="17"/>
          <w:i w:val="1"/>
          <w:iCs w:val="1"/>
          <w:color w:val="auto"/>
        </w:rPr>
        <w:t>Net revenue”</w:t>
      </w:r>
      <w:r>
        <w:rPr>
          <w:rFonts w:ascii="Arial" w:cs="Arial" w:eastAsia="Arial" w:hAnsi="Arial"/>
          <w:sz w:val="17"/>
          <w:szCs w:val="17"/>
          <w:color w:val="auto"/>
        </w:rPr>
        <w:t xml:space="preserve"> above. Optometrist costs increased as a result of increased store coverage and overall wage pressure. In the first quarter of fiscal year 2017, optometrists were staffed in anticipation of our seasonally strong first quarter. When sales fell short of plan (as previously discussed), optometrist staffing was maintained in anticipation of customer transaction recovery. Additionally, optometrists continued to be paid when certain stores were closed in the third quarter as a result of Hurricanes Harvey and Irma. Eye exam sales mix increased as a result of our growing managed care business.</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Owned &amp; host segment costs of services and plans. </w:t>
      </w:r>
      <w:r>
        <w:rPr>
          <w:rFonts w:ascii="Arial" w:cs="Arial" w:eastAsia="Arial" w:hAnsi="Arial"/>
          <w:sz w:val="17"/>
          <w:szCs w:val="17"/>
          <w:color w:val="auto"/>
        </w:rPr>
        <w:t>Costs of services and plans as a percentage of net sales of services and plans in the owned &amp; host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from 77.4% for the nine months ended October 1, 2016 to 77.8% for the nine months ended September 30, 2017. The increase was driven by a lower mix of Eyecare Club and warranty program sales and higher optometrist costs, partially offset by an increased mix of eye exam sales. The higher optometrist costs were primarily a result of increased store coverage, overall wage pressure and the impact of Hurricanes Harvey and Irma discussed above. The increased mix of eye exam sales was driven by our growing managed care business.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Legacy segment costs of services and plans. </w:t>
      </w:r>
      <w:r>
        <w:rPr>
          <w:rFonts w:ascii="Arial" w:cs="Arial" w:eastAsia="Arial" w:hAnsi="Arial"/>
          <w:sz w:val="16"/>
          <w:szCs w:val="16"/>
          <w:color w:val="auto"/>
        </w:rPr>
        <w:t>In the legacy segment, costs of services and plans as a percentage of net sales of services and plans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from 23.1% for the nine months ended October 1, 2016 to 31.5% for the nine months ended September 30, 2017. The increase was primarily driven by a classification change in reporting for certain technicians beginning in 2017, and to a lessor extent by higher optometrist costs and a lower mix of management fees, partially offset by a higher mix of eye exam sales. The higher optometrist costs were as a result of increased store coverage, overall wage pressure and impact of Hurricanes Harvey and Irma discussed above. Additionally, in the legacy segment, increased optometrist labor costs paired with declining revenue also contributed to the increase. The lower mix of management fees was driven by a decline in customer transaction volume in the legacy segment described in “—</w:t>
      </w:r>
      <w:r>
        <w:rPr>
          <w:rFonts w:ascii="Arial" w:cs="Arial" w:eastAsia="Arial" w:hAnsi="Arial"/>
          <w:sz w:val="16"/>
          <w:szCs w:val="16"/>
          <w:i w:val="1"/>
          <w:iCs w:val="1"/>
          <w:color w:val="auto"/>
        </w:rPr>
        <w:t>Net revenue”</w:t>
      </w:r>
      <w:r>
        <w:rPr>
          <w:rFonts w:ascii="Arial" w:cs="Arial" w:eastAsia="Arial" w:hAnsi="Arial"/>
          <w:sz w:val="16"/>
          <w:szCs w:val="16"/>
          <w:color w:val="auto"/>
        </w:rPr>
        <w:t xml:space="preserve"> above. Higher eye exam sales were driven by the FirstSight operations changes described in “—</w:t>
      </w:r>
      <w:r>
        <w:rPr>
          <w:rFonts w:ascii="Arial" w:cs="Arial" w:eastAsia="Arial" w:hAnsi="Arial"/>
          <w:sz w:val="16"/>
          <w:szCs w:val="16"/>
          <w:i w:val="1"/>
          <w:iCs w:val="1"/>
          <w:color w:val="auto"/>
        </w:rPr>
        <w:t>Net revenue”</w:t>
      </w:r>
      <w:r>
        <w:rPr>
          <w:rFonts w:ascii="Arial" w:cs="Arial" w:eastAsia="Arial" w:hAnsi="Arial"/>
          <w:sz w:val="16"/>
          <w:szCs w:val="16"/>
          <w:color w:val="auto"/>
        </w:rPr>
        <w:t xml:space="preserve"> above.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SG&amp;A of $445.7 million for the nine months ended September 30, 2017 increased $50.3 million, or 12.7%, from the nine months ended October 1, 2016. As a percentage of net revenue, SG&amp;A decreased from 43.0% for the nine months ended October 1, 2016 to 42.3% for the nine months ended September 30, 2017. The decrease as a percentage of net revenue was primarily driven by certain e-commerce partner fees, occupancy costs, performance-based incentive compensation and corporate payroll. In our e-commerce business, we remit earnings back to certain partners and keep a fulfillment fee. The year-over-year decline of e-commerce partner fees was driven by certain partner pricing strategy changes, which reduced the partner fees that we remit back. In fiscal year 2017, we began signing an increased number of leases with longer terms which were designated as capital leases (as opposed to operating leases) and, as a result, our occupancy expense as a percentage of net revenue decreased compared to the comparable prior year period. We incurred lower performance-based incentive compensation expense as a percentage of net revenue in the nine months ended September 30, 2017 compared to the nine months ended October 1, 2016. The decrease in corporate payroll was primarily driven by a slower growth rate of corporate payroll spend compared to net revenue.</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Owned &amp; host SG&amp;A. </w:t>
      </w:r>
      <w:r>
        <w:rPr>
          <w:rFonts w:ascii="Arial" w:cs="Arial" w:eastAsia="Arial" w:hAnsi="Arial"/>
          <w:sz w:val="17"/>
          <w:szCs w:val="17"/>
          <w:color w:val="auto"/>
        </w:rPr>
        <w:t>In the owned &amp; host segment, SG&amp;A as a percentage of net revenue was essentially flat at 38.2%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compared to 38.1% for the nine months ended October 1, 2016, driven primarily by store payroll and, to a lesser extent, fees and write-offs associated with certain managed care providers, substantially offset by occupancy expense, as described above, and advertising. The increase in store payroll as a percentage of net revenue was driven by lower than anticipated store transactions in the first quarter of fiscal year 2017. Our stores were fully staffed in anticipation of our seasonally strong first quarter. When sales fell short of plan, we maintained store staffing in anticipation of customer transaction recovery. Additionally, in the third quarter, we continued to pay our store associates while our stores were closed due to Hurricanes Harvey and Irma. The decrease in advertising expense as a percentage of net revenue was primarily driven by reduced advertising spend in our America’s Best brand as a result of delayed income tax returns, as previously discussed under “—</w:t>
      </w:r>
      <w:r>
        <w:rPr>
          <w:rFonts w:ascii="Arial" w:cs="Arial" w:eastAsia="Arial" w:hAnsi="Arial"/>
          <w:sz w:val="17"/>
          <w:szCs w:val="17"/>
          <w:i w:val="1"/>
          <w:iCs w:val="1"/>
          <w:color w:val="auto"/>
        </w:rPr>
        <w:t>Net revenue”</w:t>
      </w:r>
      <w:r>
        <w:rPr>
          <w:rFonts w:ascii="Arial" w:cs="Arial" w:eastAsia="Arial" w:hAnsi="Arial"/>
          <w:sz w:val="17"/>
          <w:szCs w:val="17"/>
          <w:color w:val="auto"/>
        </w:rPr>
        <w:t>. Additionally, the growing mix shift of America’s Best brand stores compared to other brands within the owned &amp; host segment contributed to the decrease. America’s Best advertising expense as a percentage of net revenue is lower than our Eyeglass World brand.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In the legacy segment, SG&amp;A as a percentage of net revenue decreased from 34.0% for the nine months ended October 1, 2016 to</w:t>
      </w:r>
      <w:r>
        <w:rPr>
          <w:rFonts w:ascii="Arial" w:cs="Arial" w:eastAsia="Arial" w:hAnsi="Arial"/>
          <w:sz w:val="18"/>
          <w:szCs w:val="18"/>
          <w:i w:val="1"/>
          <w:iCs w:val="1"/>
          <w:color w:val="auto"/>
        </w:rPr>
        <w:t xml:space="preserve"> </w:t>
      </w:r>
      <w:r>
        <w:rPr>
          <w:rFonts w:ascii="Arial" w:cs="Arial" w:eastAsia="Arial" w:hAnsi="Arial"/>
          <w:sz w:val="18"/>
          <w:szCs w:val="18"/>
          <w:color w:val="auto"/>
        </w:rPr>
        <w:t>33.5% for the nine months ended September 30, 2017, driven primarily by decreases in store payroll reflecting the impact of the technician classification reporting change previously described in “—</w:t>
      </w:r>
      <w:r>
        <w:rPr>
          <w:rFonts w:ascii="Arial" w:cs="Arial" w:eastAsia="Arial" w:hAnsi="Arial"/>
          <w:sz w:val="18"/>
          <w:szCs w:val="18"/>
          <w:i w:val="1"/>
          <w:iCs w:val="1"/>
          <w:color w:val="auto"/>
        </w:rPr>
        <w:t>Costs applicable to revenue”</w:t>
      </w:r>
      <w:r>
        <w:rPr>
          <w:rFonts w:ascii="Arial" w:cs="Arial" w:eastAsia="Arial" w:hAnsi="Arial"/>
          <w:sz w:val="18"/>
          <w:szCs w:val="18"/>
          <w:color w:val="auto"/>
        </w:rPr>
        <w:t xml:space="preserve"> partially offset by increased direct mail advertising spend and higher write-offs associated with increased managed care activity.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and amortization expense of $44.4 million for the nine months ended September 30, 2017 increased $6.2 million, or 16.1%, from $38.2 million for the nine months ended October 1, 2016 primarily driven by new store openings and other ongoing growth capital projects related to building our information technology infrastructure, eyeglass laboratories, and distribution centers. Our property and equipment balance, net increased $34.2 million, or 13.4%, during the nine months ended September 30, 2017, reflective of $66.3 million in purchases of property and equipment, $6.0 million in new capital leases, less $38.1 million in depreciation expense. New assets are out-pacing retirements by a significant margin and, therefore, we expect continued increases in depreciation expense for the foreseeable future as we continue to execute our growth strategy.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of $41.0 million for the nine months ended September 30, 2017 increased $11.6 million, or 39.4%, from $29.4 million for the nine months ended October 1, 2016. On February 2, 2017, we declared a recapitalization dividend to our stockholders. The dividend was funded with $175.0 million of incremental term loans under our first lien credit agreement. The borrowing rate was consistent with the initial term loans under the first lien credit agreement.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expense, net, increased $4.8 million resulting from the additional principal outstanding under the first lien credit agreement following the recapitalization dividend. Additionally, we incurred $6.1 million in additional interest expense during the nine months ended September 30, 2017 related to interest payments due to counterparties associated with our derivative cash flow hedges.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$2.7 million in fees associated with the incurrence of additional term loans under the first lien credit agreement discussed above during the nine months ended September 30, 2017. No such transaction occurred in the nine months ended October 1,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ETR was 35.2% during the nine months ended September 30, 2017 compared to 39.4% during the nine months ended October 1, 2016. The ETR during the nine months ended October 1, 2016 primarily reflected the 2016 expected combined statutory federal and state rate. During the nine months ended September 30, 2017, our expected combined statutory federal and state rate was reduced by a $1.4 million income tax benefit (5.3%) resulting from the recapitalization dividend described in Note 5 - Related Party Transactions to our condensed consolidated financial statements included in Part I of this Form 10-Q. Other items aggregated to a 0.5% further reduction in the rate for the period. These benefits were partially offset by an increase in tax expense of $0.4 million (1.5%) associated with the non-deductibility of $1.0 million in impairment expense related to a cost method investment.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and Adjusted Net Income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define EBITDA as net income, plus interest expense, income tax provision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and other expenses. We describe these adjustments reconciling net income to EBITDA and Adjusted EBITDA in the tables below. We define Adjusted Net Income as net income, plus stock compensation expense, costs associated with debt refinancing, asset impairment, non-cash inventory write-offs, management fees, new store pre-opening expenses, non-cash rent, litigation settlement, amortization of acquisition intangibles and deferred financing costs and other expenses, less the tax effect of these adjustments. We describe these adjustments reconciling net income to Adjusted Net Income in the tables below.</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Adjusted EBITDA and Adjusted Net Income have been presented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32" w:lineRule="exact"/>
        <w:rPr>
          <w:rFonts w:ascii="Arial" w:cs="Arial" w:eastAsia="Arial" w:hAnsi="Arial"/>
          <w:sz w:val="16"/>
          <w:szCs w:val="16"/>
          <w:color w:val="auto"/>
        </w:rPr>
      </w:pPr>
    </w:p>
    <w:p>
      <w:pPr>
        <w:ind w:left="660" w:right="20" w:hanging="328"/>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Adjusted EBITDA and Adjusted Net Income should not be considered as measures of discretionary cash available to invest in business growth or to reduce indebtedness.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net income to EBITDA, Adjusted EBITDA and Adjusted Net Income for the periods presented: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1700" w:type="dxa"/>
            <w:vAlign w:val="bottom"/>
            <w:gridSpan w:val="3"/>
          </w:tcPr>
          <w:p>
            <w:pPr>
              <w:ind w:left="40"/>
              <w:spacing w:after="0"/>
              <w:rPr>
                <w:sz w:val="20"/>
                <w:szCs w:val="20"/>
                <w:color w:val="auto"/>
              </w:rPr>
            </w:pPr>
            <w:r>
              <w:rPr>
                <w:rFonts w:ascii="Arial" w:cs="Arial" w:eastAsia="Arial" w:hAnsi="Arial"/>
                <w:sz w:val="18"/>
                <w:szCs w:val="18"/>
                <w:color w:val="auto"/>
                <w:w w:val="97"/>
              </w:rPr>
              <w:t>Three Months Ended</w:t>
            </w:r>
          </w:p>
        </w:tc>
        <w:tc>
          <w:tcPr>
            <w:tcW w:w="1700" w:type="dxa"/>
            <w:vAlign w:val="bottom"/>
            <w:gridSpan w:val="3"/>
          </w:tcPr>
          <w:p>
            <w:pPr>
              <w:ind w:left="80"/>
              <w:spacing w:after="0"/>
              <w:rPr>
                <w:sz w:val="20"/>
                <w:szCs w:val="20"/>
                <w:color w:val="auto"/>
              </w:rPr>
            </w:pPr>
            <w:r>
              <w:rPr>
                <w:rFonts w:ascii="Arial" w:cs="Arial" w:eastAsia="Arial" w:hAnsi="Arial"/>
                <w:sz w:val="18"/>
                <w:szCs w:val="18"/>
                <w:color w:val="auto"/>
              </w:rPr>
              <w:t>Nine Months Ended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Nine Months Ended</w:t>
            </w: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i w:val="1"/>
                <w:iCs w:val="1"/>
                <w:color w:val="auto"/>
              </w:rPr>
              <w:t>In thousands</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 2017</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October 1, 2016</w:t>
            </w:r>
          </w:p>
        </w:tc>
        <w:tc>
          <w:tcPr>
            <w:tcW w:w="1700" w:type="dxa"/>
            <w:vAlign w:val="bottom"/>
            <w:gridSpan w:val="3"/>
          </w:tcPr>
          <w:p>
            <w:pPr>
              <w:ind w:left="80"/>
              <w:spacing w:after="0"/>
              <w:rPr>
                <w:sz w:val="20"/>
                <w:szCs w:val="20"/>
                <w:color w:val="auto"/>
              </w:rPr>
            </w:pPr>
            <w:r>
              <w:rPr>
                <w:rFonts w:ascii="Arial" w:cs="Arial" w:eastAsia="Arial" w:hAnsi="Arial"/>
                <w:sz w:val="18"/>
                <w:szCs w:val="18"/>
                <w:color w:val="auto"/>
                <w:w w:val="98"/>
              </w:rPr>
              <w:t>September 30, 2017</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w w:val="91"/>
              </w:rPr>
              <w:t>October 1, 2016</w:t>
            </w:r>
          </w:p>
        </w:tc>
      </w:tr>
      <w:tr>
        <w:trPr>
          <w:trHeight w:val="27"/>
        </w:trPr>
        <w:tc>
          <w:tcPr>
            <w:tcW w:w="4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9,728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40,965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29,377</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44,404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38,237</w:t>
            </w:r>
          </w:p>
        </w:tc>
      </w:tr>
      <w:tr>
        <w:trPr>
          <w:trHeight w:val="27"/>
        </w:trPr>
        <w:tc>
          <w:tcPr>
            <w:tcW w:w="4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107,974</w:t>
            </w:r>
          </w:p>
        </w:tc>
      </w:tr>
      <w:tr>
        <w:trPr>
          <w:trHeight w:val="297"/>
        </w:trPr>
        <w:tc>
          <w:tcPr>
            <w:tcW w:w="4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3,308</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5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5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5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56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1,672</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5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(i)</w:t>
            </w:r>
          </w:p>
        </w:tc>
        <w:tc>
          <w:tcPr>
            <w:tcW w:w="5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1,878</w:t>
            </w:r>
          </w:p>
        </w:tc>
      </w:tr>
      <w:tr>
        <w:trPr>
          <w:trHeight w:val="297"/>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Adjusted EBITDA</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36,161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30,738</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134,686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116,803</w:t>
            </w:r>
          </w:p>
        </w:tc>
      </w:tr>
      <w:tr>
        <w:trPr>
          <w:trHeight w:val="284"/>
        </w:trPr>
        <w:tc>
          <w:tcPr>
            <w:tcW w:w="47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24,467</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3,308</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5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5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5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56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1,672</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5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(i)</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1,878</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5"/>
              </w:rPr>
              <w:t>Amortization of acquisition intangibles and deferred financing</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7"/>
        </w:trPr>
        <w:tc>
          <w:tcPr>
            <w:tcW w:w="47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5"/>
                <w:szCs w:val="25"/>
                <w:color w:val="auto"/>
                <w:vertAlign w:val="superscript"/>
              </w:rPr>
              <w:t>(j)</w:t>
            </w:r>
          </w:p>
        </w:tc>
        <w:tc>
          <w:tcPr>
            <w:tcW w:w="5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8,500</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(k)</w:t>
            </w:r>
          </w:p>
        </w:tc>
        <w:tc>
          <w:tcPr>
            <w:tcW w:w="5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w:t>
            </w: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2"/>
                <w:szCs w:val="22"/>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36,055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34,865</w:t>
            </w:r>
          </w:p>
        </w:tc>
      </w:tr>
      <w:tr>
        <w:trPr>
          <w:trHeight w:val="20"/>
        </w:trPr>
        <w:tc>
          <w:tcPr>
            <w:tcW w:w="4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associated with the borrowing of $175.0 million in additional principal under our first lien credit agreement during the first fiscal quarter of 2017.</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the complete write-off of a cost based investment.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management fees paid to KKR and Berkshire in accordance with our monitoring agreement with them.</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1" w:lineRule="exact"/>
        <w:rPr>
          <w:rFonts w:ascii="Arial" w:cs="Arial" w:eastAsia="Arial" w:hAnsi="Arial"/>
          <w:sz w:val="14"/>
          <w:szCs w:val="14"/>
          <w:color w:val="auto"/>
        </w:rPr>
      </w:pPr>
    </w:p>
    <w:p>
      <w:pPr>
        <w:jc w:val="both"/>
        <w:ind w:left="660" w:hanging="328"/>
        <w:spacing w:after="0" w:line="260" w:lineRule="auto"/>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ind w:left="660" w:hanging="328"/>
        <w:spacing w:after="0" w:line="25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Note 8 - Commitments and Contingencies in our unaudited condensed consolidated financial statements included in Item 1 for further details.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660" w:hanging="328"/>
        <w:spacing w:after="0" w:line="261" w:lineRule="auto"/>
        <w:tabs>
          <w:tab w:leader="none" w:pos="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including our share of losses on equity method investments of $0.4 million, $0.2 million, $0.7 million and $1.0 million for the three months ended September 30, 2017 and October 1, 2016 and nine months ended September 30, 2017 and October 1, 2016, respectively; the amortization impact of the KKR Acquisition-related adjustments (e.g., fair value of leasehold interests) of $(0.1) million, $(0.1) million, $(0.2) million and $(0.6) million for the three months ended September 30, 2017 and October 1, 2016 and nine months ended September 30, 2017 and October 1, 2016, respectively, related to prior acquisitions; expenses related to preparation for being an SEC registrant that were not directly attributable to our initial public offering (“the IPO”) and therefore not charged to equity of $0.6 million, $0.6 million, $1.8 million and $0.9 million for the three months ended September 30, 2017 and October 1, 2016 and nine months ended September 30, 2017 and October 1, 2016, respectively; differences between the timing of expense versus cash payments related to contributions to charitable organizations of $(0.3) million for three months ended September 30, 2017 and October 1, 2016, and $(0.8) million during nine months ended September 30, 2017 and October 1, 2016; costs of severance and relocation of $0.7 million, $0.4 million, $1.0 million, and $0.8 million for the three months ended September 30, 2017 and October 1, 2016 and nine months ended September 30, 2017 and October 1, 2016 respectively; and other expenses and adjustments totaling $0.4 million, $0.4 million, $0.5 million, and $0.6 million for the three months ended September 30, 2017 and October 1, 2016 and nine months ended September 30, 2017 and October 1, 2016, respectively.</w:t>
      </w:r>
    </w:p>
    <w:p>
      <w:pPr>
        <w:spacing w:after="0" w:line="6" w:lineRule="exact"/>
        <w:rPr>
          <w:rFonts w:ascii="Arial" w:cs="Arial" w:eastAsia="Arial" w:hAnsi="Arial"/>
          <w:sz w:val="13"/>
          <w:szCs w:val="13"/>
          <w:color w:val="auto"/>
        </w:rPr>
      </w:pPr>
    </w:p>
    <w:p>
      <w:pPr>
        <w:jc w:val="both"/>
        <w:ind w:left="660" w:hanging="328"/>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additional expense incurred due to the increase in the carrying values of amortizing intangible assets as a result of the KKR Acquisition of $1.9 million for the three months ended September 30, 2017 and October 1, 2016 and $5.6 million for nine months ended September 30, 2017 and October 1, 2016.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of $1.0 million, $1.0 million, $3.1 million and $2.9 million for the three months ended September 30, 2017 and October 1, 2016 and nine months ended September 30, 2017 and October 1, 2016,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effective tax rate.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principally rely on cash flows from operations as our primary source of liquidity and, if needed, up to $75.0 million in revolving loans under our revolving credit facility. Following the IPO, and as described in Note 12- Subsequent Events in our condensed consolidated financial statements included in Part I, we increased the size of the first lien revolving credit facility from $75.0 million to $100.0 million and extended the maturity of such facility to October 15, 2022.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other payables, and accrued expenses. Due to the seasonality of our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September 30, 2017, we had $27.6 million in cash and cash equivalents and $69.5 million of additional availability under our revolving credit facility, which represents the full available amount under the revolving credit facility as of September 30, 2017, less $5.5 million in outstanding letters of credit.</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plan to spend approximately $92.9 million in capital expenditures during fiscal year 2017, including approximately $46 million in connection with our store growth and improvement plans, approximately $23 million for laboratories, distribution centers, and optometric equipment, and approximately $24 million for maintenance and infrastructure. We spent $67.1 million in capital expenditures in the nine months ended September 30, 2017. Approximately 80% of our planned capital spend is related to our expected growth (i.e. new stores, optometric equipment, additional capacity in our optical laboratories and distribution centers, and our IT infrastructure). We plan on opening approximately 75 stores during fiscal year 2017 (inclusive of the 59 new stores opened through September 30, 2017). Our working capital requirements for inventory will increase as we continue to open additional stores. We primarily fund our working capital needs using cash provided by operations.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net cash provided by (used for) operating activities, investing activities and financing activities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Nine Months Ended</w:t>
            </w:r>
          </w:p>
        </w:tc>
        <w:tc>
          <w:tcPr>
            <w:tcW w:w="240" w:type="dxa"/>
            <w:vAlign w:val="bottom"/>
          </w:tcPr>
          <w:p>
            <w:pPr>
              <w:spacing w:after="0"/>
              <w:rPr>
                <w:sz w:val="18"/>
                <w:szCs w:val="18"/>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i w:val="1"/>
                <w:iCs w:val="1"/>
                <w:color w:val="auto"/>
              </w:rPr>
              <w:t>(In thousands)</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September 30, 2017</w:t>
            </w:r>
          </w:p>
        </w:tc>
        <w:tc>
          <w:tcPr>
            <w:tcW w:w="240" w:type="dxa"/>
            <w:vAlign w:val="bottom"/>
          </w:tcPr>
          <w:p>
            <w:pPr>
              <w:spacing w:after="0"/>
              <w:rPr>
                <w:sz w:val="20"/>
                <w:szCs w:val="20"/>
                <w:color w:val="auto"/>
              </w:rPr>
            </w:pPr>
          </w:p>
        </w:tc>
        <w:tc>
          <w:tcPr>
            <w:tcW w:w="1920" w:type="dxa"/>
            <w:vAlign w:val="bottom"/>
          </w:tcPr>
          <w:p>
            <w:pPr>
              <w:jc w:val="right"/>
              <w:ind w:right="410"/>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For):</w:t>
            </w:r>
          </w:p>
        </w:tc>
        <w:tc>
          <w:tcPr>
            <w:tcW w:w="2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96,251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91,076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(68,505)</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18,143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3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and amortization, asset impairment, deferred income taxes, non-cash stock option compensation and changes in operating assets and liabilities.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operating activities increased $5.2 million, or 5.7%, during the nine months ended September 30, 2017 compared to the nine months ended October 1, 2016. Net cash provided by operating activities was $96.3 million for the nine months ended September 30, 2017, as non-cash items of $68.3 million were combined with $17.1 million of net income and a decrease in net working capital and other assets and liabilities of $10.8 million. Net cash provided by operating activities was $91.1 million for the nine months ended October 1, 2016, as non-cash items of $62.2 million were combined with $24.5 million of net income and a decrease in net working capital and other assets and liabilities of $4.4 million.</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decrease in net working capital and other assets and liabilities during the nine months ended September 30, 2017 was primarily due to an increase in accrued expenses and other liabilities of $21.6 million and deferred and unearned revenues of $4.3 million. Increases in accrued expenses and other liabilities is reflective of our growth as new stores are added monthly. We opened 59 new stores during the nine months ended September 30, 2017, with six closures. Liabilities for deferred and unearned revenues represent cash basis sales that are deferred until we meet our performance obligations to deliver products and provide services. Increases in deferred and unearned revenues are consistent with increased overall net revenue resulting from new stores and positive comparable store sales growth. These changes were partially offset by an increase in inventories of $7.0 million, increase in accounts receivable of $4.7 million, increase of other assets of $2.5 million and a decrease in accounts payable of $5.8 million. Increases in accounts receivable primarily reflect our overall net revenue growth, and decreases in accounts payable reflect the timing of payments to vendors. Increases in inventory are generally expected each period, and reflect our growth in sales of products, including product replenishment needs at existing stores and inventory needed to outfit new stores. Other assets increase primarily consists of deferred offering costs in connection with preparing for the IPO.</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net working capital and other assets and liabilities during the nine months ended October 1, 2016 was primarily due to decreases in accounts payable of $8.7 million, an increase in inventory of $8.0 million and an increase in other assets of $1.2 million, offset by increases in accrued expenses and other liabilities of $13.7 million, and increases in deferred and unearned revenues of $8.1 million. Increases in accrued expenses, deferred revenue and inventory reflect the Company’s overall growth. We opened 74 new stores during the nine months ended October 1, 2016, with no closures. Decreases in accounts payable reflect the timing of payments.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for investing activities increased by $0.2 million, to $68.7 million, during the nine months ended September 30, 2017 from $68.5 million during the nine months ended October 1, 2016. The change in cash used for investing activities included a increase of $0.3 million in purchases of property and equipment driven by timing of purchases. In addition, during the nine months ended September 30, 2017 we made an investment of $1.5 million and received a secured convertible promissory note in the same amount, as described in Note 7 - Equity Method Investment of the condensed consolidated financial statements included in Part I. Comparatively, during the nine months ended October 1, 2016, we purchased an investment for $1.0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Financing Activities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for financing activities increased by $0.4 million, to $4.8 million, during the nine months ended September 30, 2017 from $4.4 million during the nine months ended October 1, 2016. The primary driver of the overall cash used for financing activities was quarterly principal payments required under our first lien credit agreement. We paid $6.2 million and $4.9 million in principal payments during the nine months ended September 30, 2017 and October 1, 2016 respectively. This was partially offset by $1.1 million and $0.9 million in proceeds related to the exercise of stock options during the nine months ended September 30, 2017 and October 1, 2016, respectively. We received $1.0 million in proceeds from the issuance of common stock during nine months ended September 30, 2017. Also, on February 2, 2017, we declared a recapitalization dividend to our stockholders. The dividend was funded with $175.0 million of incremental term loans under our first lien credit agreement. Proceeds from the additional first lien term loans were $173.7 million, net of discounts and fees, offset by the dividend payment of $171.0 million and $2.7 million in debt issuance costs. No such transactions occurred in the nine months ended October 1, 2016.</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2017, we had $794.0 million of first lien term loans and $125.0 million of second lien term loans outstanding. As of September 30, 2017, we also had $69.5 million of additional availability under our first lien revolving credit facility, which represented the then full available amount under the revolving credit facility, less $5.5 million in outstanding letters of credit.</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31, 2017, we used the net proceeds from the IPO to repay approximately $235.0 million of our first lien term loans and all outstanding $125.0 million of our second lien term loans. On October 31, 2017, the first lien revolving credit facility was amended to increase its size to $100.0 million and extend its maturity to October 15, 2022 (subject to customary springing maturity provisions to the extent the existing first lien terms are not extended).</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20, 2017, the first lien credit agreement was amended by a joinder and amendment agreement (the “Joinder”) to (a) establish new first lien term loans in an aggregate principal amount of $570.0 million to refinance all of the first lien term loans outstanding immediately prior to such date, (ii) extend the maturity of such term loans to November 20, 2024 and (iii) reprice the rates applicable to such term loans by amending the definitions of ABR, Applicable Margin and LIBOR Rate (each, as defined in the Joinder).</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first lien credit agreement contains customary covenants that, among other things, limit our ability to incur additional debt, create liens against our assets, make acquisitions, pay dividends or distributions on our stock, merge or consolidate with another entity and transfer or sell assets. If we draw more than 30% of the revolving credit facility (including non-cash collateralized letters of credit in excess of $10 million), the revolving credit facility is subject to a springing first lien leverage covenant pursuant to which the Consolidated First Lien Secured Debt to Consolidated EBITDA Ratio (each as defined in the first lien credit agreement) must not exceed 7.75 to 1.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 As of September 30, 2017, we were in compliance with all of our debt covenants and no event of default had occurred or was ongoing.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operating leases or with long-term marketing and promotional commitments. We have disclosed the amount of future commitments associated with these items in our consolidated financial statements. We are not a party to any other off-balance sheet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2017, there were no material changes outside the ordinary course of business in our contractual obligations and commercial commitments from those reported as of July 1, 2017 in the Prospectus.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has evaluated the accounting policies used in the preparation of the Company’s condensed consolidated financial statements and related notes and believe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Prospectus, in the “Critical Accounting Policies and Estimates” section of “Management’s Discussion and Analysis.” There have been no material changes to our critical accounting policies as compared to the critical accounting policies described in the Prospectus.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Intangible Assets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Historically, we have utilized a two-step process to test goodwill for impairment annually or whenever events or changes in circumstances indicate goodwill may be impaired. We consider each of our operating segments to be separate reporting units. We calculate the fair value of our reporting units primarily utilizing the income approach. The income approach is based on a discounted cash flow analysis and calculates the fair value of reporting units by estimating after-tax cash flows attributable to the reporting units and then discounting the after-tax cash flows using the weighted average cost of capital. The cash flows utilized in the discounted cash flow analysis are based on financial forecasts developed internally by management and require significant judgment. In the first quarter 2017, we adopted new guidance that eliminates the second step in the goodwill impairment analysis. Accordingly, our policy now requires us to record goodwill impairment in an amount by which a reporting unit’s carrying value exceeds its fair value not to exceed the carrying value of goodwill.</w:t>
      </w:r>
    </w:p>
    <w:p>
      <w:pPr>
        <w:spacing w:after="0" w:line="5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annual impairment analysis performed during the fourth quarter of fiscal year 2016, we determined that the fair value and the carrying value of our Fred Meyer reporting unit were $38.2 million and $32.8 million respectively. As such, during the fiscal year ended 2016, the carrying value of the Fred Meyer reporting unit represented 85.9% of the fair value. We determined that there were no impairment triggers for the nine months ended September 30, 2017. We will continue to evaluate the Fred Meyer reporting unit in conjunction with our annual impairment analysis performed during the fourth quarter of 2017.</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Policies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Note 1- Description of Business and Basis of Presentation to our condensed consolidated financial statements under Part I, Item 1, under the heading “</w:t>
      </w:r>
      <w:r>
        <w:rPr>
          <w:rFonts w:ascii="Arial" w:cs="Arial" w:eastAsia="Arial" w:hAnsi="Arial"/>
          <w:sz w:val="18"/>
          <w:szCs w:val="18"/>
          <w:i w:val="1"/>
          <w:iCs w:val="1"/>
          <w:color w:val="auto"/>
        </w:rPr>
        <w:t>Recently Issued Accounting Pronouncements”</w:t>
      </w:r>
      <w:r>
        <w:rPr>
          <w:rFonts w:ascii="Arial" w:cs="Arial" w:eastAsia="Arial" w:hAnsi="Arial"/>
          <w:sz w:val="18"/>
          <w:szCs w:val="18"/>
          <w:color w:val="auto"/>
        </w:rPr>
        <w:t xml:space="preserve"> is incorporated herein by reference.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market risk exposure from changes in interest rates. We, when appropriate, use derivative financial instruments to mitigate the risk from such exposure. A discussion of our accounting policies for derivative financial instruments is included in Note 3 - Fair Value Measurement of Financial Assets and Liabilities, to our condensed consolidated financial statements included in Part I.</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 in the condensed consolidated balance sheets.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2017, all of our $927.4 million in term loan debt was subject to variable interest rates, with a weighted average borrowing rate of 4.5%. After inclusion of the notional amount of $500.0 million of interest rate swaps fixing a portion of the variable rate debt, $427.4 million, or 46.1% of our debt, is subject to variable rates. Assuming an increase to market rates of 1.0% as of September 30, 2017, we would incur an annual increase to interest expense of approximately $4.3 million related to debt subject to variable rates. See Note 12 - Subsequent Events to our condensed consolidated financial statements included in Part I.</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management, with the participation of our CEO and our CFO, evaluated the effectiveness of our disclosure controls and procedures (as defined in Rules 13a-15(e) and 15d-15(e) of the Exchange Act) as of the end of the period covered by this Form 10-Q. Based on their evaluation, our CEO and CFO concluded that, because the previously identified material weaknesses in our internal control over financial reporting described below had not been remediated by the end of the period covered by this Form 10-Q, our disclosure controls and procedures were not effective as of the end of the period covered by this Form 10-Q.</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and Status of Material Weakness Remediation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disclosed in the Prospectus, we had identified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Remediation Plan </w:t>
      </w:r>
      <w:r>
        <w:rPr>
          <w:rFonts w:ascii="Arial" w:cs="Arial" w:eastAsia="Arial" w:hAnsi="Arial"/>
          <w:sz w:val="18"/>
          <w:szCs w:val="18"/>
          <w:color w:val="auto"/>
        </w:rPr>
        <w:t>- We are in the process of designing controls to remediate these material weaknesses and have implemented or are finalizing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of the following new policies, procedures, and internal controls:</w:t>
      </w:r>
    </w:p>
    <w:p>
      <w:pPr>
        <w:spacing w:after="0" w:line="62" w:lineRule="exact"/>
        <w:rPr>
          <w:sz w:val="20"/>
          <w:szCs w:val="20"/>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Removed higher obsolescence risk contact lenses from our stores to our Distribution Center in order to better manage inventory turns and related obsolescence potential and established a policy requiring stores to return all contact lenses expiring within the next twelve months to our central distribution center.</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Changed our store inventory observation procedures to monitor the compliance with the policy described above, in order to allow for the Company to sell or exchange products with respective vendors for newer products with similar value.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Initiated quarterly reviews with accounting and merchandising teams to evaluate the impact of product inventory turns on inventory obsolescence.</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Implemented an automated reporting system to report financial results consistent with Regulation S-X and to provide reconciliations between internal and external reporting, highlighting any changes in reporting and business requirements.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Established a disclosure committee, consisting of certain key members of management, to assist in formalizing our disclosure. risk assessment, internal controls and procedures.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Established an internal audit department that reports directly to the Audit Committee.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committed to maintaining a strong internal control environment, and we expect to continue our efforts to remediate the material weaknesses described above. However, the material weaknesses cannot be considered remediated until the applicable remedial controls operate for a sufficient period of time and management has concluded, through testing, that these controls are operating effectively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Rules 13a-15(f) and 15d-15(f) that occurred during the third quarter of fiscal year 2017 that have materially affected, or are reasonably likely to materially affect, our internal control over financial reporting, other than as described above under “Material Weakness and Status of Material Weakness Remediation.”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normal course of our business.</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subsidiary, FirstSight Vision Services, Inc.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On March 23, 2017, the court granted the motion to dismiss previously filed by FirstSight and dismissed the complaint with prejudice. The plaintiffs filed an appeal to the U.S. Court of Appeals for the Ninth Circuit in April 2017. We intend to continue to defend the litigation vigorously. We believe that the claims alleged are without merit.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2017, a complaint was filed against us and other defendants alleging, on behalf of a proposed class of consumers who purchased contact lenses online, that 1-800 Contacts, Inc. entered into a series of agreements with the other defendants, including our subsidiary Arlington Contact Lens Service, Inc., to suppress certain online advertising and that each defendant thereby engaged in anticompetitive conduct in violation of the Sherman Antitrust Act. We have settled this litigation for $7.0 million, without admitting liability. The settlement agreement was subject to the approval of the court. Accordingly, we recorded a $7.0 million charge to accrue for this settlement in the nine months ended September 30, 2017. On November 8, 2017, the court entered an order preliminarily approving the settlement agreement, subject to a settlement hearing. Pursuant to this order, the Company deposited 50% of the settlement amount, or $3.5 million, into an escrow account, to be distributed subject to and in accordance the terms of the settlement agreement and any further order of the court.</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currently party to any other legal proceedings that we believe would have a material adverse effect on our financial position, results of operations or cash flows.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our potential risks and uncertainties, see the information under the heading “Risk Factors” in the Prospectus. There have been no material changes to the risk factors disclosed in the Prospectus.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Sales of Unregistered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sets forth information regarding all unregistered sales of securities by the Company during the quarter ended September 30, 2017. The following reflects the 1.96627-for-one reverse stock split of the Company’s common stock effective October 24, 2017:</w:t>
      </w:r>
    </w:p>
    <w:p>
      <w:pPr>
        <w:spacing w:after="0" w:line="62" w:lineRule="exact"/>
        <w:rPr>
          <w:sz w:val="20"/>
          <w:szCs w:val="20"/>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24, 2017, we issued 6,357 shares of restricted stock, based on the fair market value of $15.73 per share as of the award date, to a non-employee director.</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24, 2017, we granted stock options to purchase an aggregate of 101,715 shares of our common stock with an exercise price of $15.73 per share to an employee.</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14, 2017, we granted stock options to purchase an aggregate of 642,034 shares of our common stock with an exercise price of $15.73 per share to certain employees, including an executive officer.</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14, 2017, we issued 63,572 shares of our common stock at a price per share of $15.73 to an executive officer.</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24, 2017, we granted stock options to purchase an aggregate of 76,286 shares of our common stock with an exercise price of $15.73 per share to an employee.</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issuance and sales described above were made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Use of Proceeds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30, 2017, we completed the IPO in which we issued and sold 18,170,000 shares of common stock, including 2,370,000 shares of common stock pursuant to the exercise in full of the underwriters’ option to purchase additional shares. The shares sold in the IPO were registered under the Securities Act pursuant to our Registration Statement on Form S-1 (File No. 333-220719), which was declared effective by the SEC on October 25, 2017. The common stock is listed on the NASDAQ Global Select Market under the symbol “EYE.” The shares of our common stock were sold at an initial offering price of $22.00 per share, which generated net proceeds of approximately $371.8 million to us, after deducting underwriting discounts and commissions of approximately $24.0 million and other offering expenses. We used the net proceeds from the IPO to repay all $125.0 million outstanding aggregate amount of our second lien term loans and approximately $235.0 million of the outstanding amount of our first lien term loans and accrued and unpaid interest thereon.</w:t>
      </w:r>
    </w:p>
    <w:p>
      <w:pPr>
        <w:spacing w:after="0" w:line="5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Merrill Lynch, Pierce, Fenner &amp; Smith Incorporated, Goldman Sachs &amp; Co. LLC, Citigroup Global Markets Inc. and KKR Capital Markets LLC acted as joint book-running managers and as representatives of the underwriters in the IPO. Morgan Stanley &amp; Co. LLC, Jefferies LLC, UBS Securities LLC, Wells Fargo Securities, LLC, Guggenheim Securities, LLC, Mizuho Securities USA LLC and Macquarie Capital (USA) Inc. acted as co-managers in the IPO.</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341"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50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480"/>
        </w:trPr>
        <w:tc>
          <w:tcPr>
            <w:tcW w:w="128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w w:val="95"/>
              </w:rPr>
              <w:t>Item 6. Exhibits</w:t>
            </w:r>
          </w:p>
        </w:tc>
        <w:tc>
          <w:tcPr>
            <w:tcW w:w="220" w:type="dxa"/>
            <w:vAlign w:val="bottom"/>
            <w:gridSpan w:val="2"/>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507"/>
        </w:trPr>
        <w:tc>
          <w:tcPr>
            <w:tcW w:w="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8"/>
                <w:szCs w:val="18"/>
                <w:b w:val="1"/>
                <w:bCs w:val="1"/>
                <w:color w:val="auto"/>
              </w:rPr>
              <w:t>Exhibit No.</w:t>
            </w: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6"/>
              </w:rPr>
              <w:t>Second Amended and Restated Certificate of Incorporation of National Vision Holdings, Inc. -incorporated herein by reference to</w:t>
            </w:r>
          </w:p>
        </w:tc>
      </w:tr>
      <w:tr>
        <w:trPr>
          <w:trHeight w:val="190"/>
        </w:trPr>
        <w:tc>
          <w:tcPr>
            <w:tcW w:w="340" w:type="dxa"/>
            <w:vAlign w:val="bottom"/>
            <w:gridSpan w:val="3"/>
          </w:tcPr>
          <w:p>
            <w:pPr>
              <w:ind w:left="40"/>
              <w:spacing w:after="0" w:line="190" w:lineRule="exact"/>
              <w:rPr>
                <w:rFonts w:ascii="Arial" w:cs="Arial" w:eastAsia="Arial" w:hAnsi="Arial"/>
                <w:sz w:val="18"/>
                <w:szCs w:val="18"/>
                <w:color w:val="0000FF"/>
              </w:rPr>
            </w:pPr>
            <w:hyperlink r:id="rId12">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Exhibit 3.1 to the Company’s Current Report on Form 8-K filed on October 31, 2017.</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8"/>
              </w:rPr>
              <w:t>Second Amended and Restated Bylaws of National Vision Holdings, Inc. -incorporated herein by reference to Exhibit 3.2 to the</w:t>
            </w:r>
          </w:p>
        </w:tc>
      </w:tr>
      <w:tr>
        <w:trPr>
          <w:trHeight w:val="190"/>
        </w:trPr>
        <w:tc>
          <w:tcPr>
            <w:tcW w:w="340" w:type="dxa"/>
            <w:vAlign w:val="bottom"/>
            <w:gridSpan w:val="3"/>
          </w:tcPr>
          <w:p>
            <w:pPr>
              <w:ind w:left="40"/>
              <w:spacing w:after="0" w:line="190" w:lineRule="exact"/>
              <w:rPr>
                <w:rFonts w:ascii="Arial" w:cs="Arial" w:eastAsia="Arial" w:hAnsi="Arial"/>
                <w:sz w:val="18"/>
                <w:szCs w:val="18"/>
                <w:color w:val="0000FF"/>
              </w:rPr>
            </w:pPr>
            <w:hyperlink r:id="rId13">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Company’s Current Report on Form 8-K filed on October 31, 2017</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Amended and Restated Stockholders’ Agreement, dated as of October 30, 2017, by and among National Vision Holdings, Inc. and the</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6"/>
              </w:rPr>
              <w:t>stockholders party thereto -incorporated herein by reference to Exhibit 4.1 to the Company’s Current Report on Form 8-K filed on</w:t>
            </w:r>
          </w:p>
        </w:tc>
      </w:tr>
      <w:tr>
        <w:trPr>
          <w:trHeight w:val="190"/>
        </w:trPr>
        <w:tc>
          <w:tcPr>
            <w:tcW w:w="340" w:type="dxa"/>
            <w:vAlign w:val="bottom"/>
            <w:gridSpan w:val="3"/>
          </w:tcPr>
          <w:p>
            <w:pPr>
              <w:ind w:left="40"/>
              <w:spacing w:after="0" w:line="190" w:lineRule="exact"/>
              <w:rPr>
                <w:rFonts w:ascii="Arial" w:cs="Arial" w:eastAsia="Arial" w:hAnsi="Arial"/>
                <w:sz w:val="18"/>
                <w:szCs w:val="18"/>
                <w:color w:val="0000FF"/>
              </w:rPr>
            </w:pPr>
            <w:hyperlink r:id="rId14">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October 31, 2017</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5"/>
              </w:rPr>
              <w:t>Joinder and Amendment Agreement, dated as of October 31, 2017, among National Vision, Inc., as borrower, the guarantors party</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thereto, each revolving credit lender, Goldman Sachs Bank USA, as administrative agent, collateral agent, swingline lender and a letter</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of credit issuer, Bank of America, N.A., as a letter of credit issuer, and Citibank, N.A., as a letter of credit issuer -incorporated herein by</w:t>
            </w:r>
          </w:p>
        </w:tc>
      </w:tr>
      <w:tr>
        <w:trPr>
          <w:trHeight w:val="190"/>
        </w:trPr>
        <w:tc>
          <w:tcPr>
            <w:tcW w:w="360" w:type="dxa"/>
            <w:vAlign w:val="bottom"/>
            <w:gridSpan w:val="4"/>
          </w:tcPr>
          <w:p>
            <w:pPr>
              <w:ind w:left="40"/>
              <w:spacing w:after="0" w:line="190" w:lineRule="exact"/>
              <w:rPr>
                <w:rFonts w:ascii="Arial" w:cs="Arial" w:eastAsia="Arial" w:hAnsi="Arial"/>
                <w:sz w:val="18"/>
                <w:szCs w:val="18"/>
                <w:color w:val="0000FF"/>
                <w:w w:val="85"/>
              </w:rPr>
            </w:pPr>
            <w:hyperlink r:id="rId1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reference to Exhibit 10.1 to the Company’s Current Report on Form 8-K filed on October 31, 2017</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3"/>
              </w:rPr>
              <w:t>Joinder and Amendment Agreement, dated as of November 20, 2017, among National Vision, Inc., as borrower, the guarantors party</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5"/>
              </w:rPr>
              <w:t>thereto, each lender party thereto, Goldman Sachs Bank USA, as administrative agent and collateral agent-incorporated herein by</w:t>
            </w:r>
          </w:p>
        </w:tc>
      </w:tr>
      <w:tr>
        <w:trPr>
          <w:trHeight w:val="190"/>
        </w:trPr>
        <w:tc>
          <w:tcPr>
            <w:tcW w:w="360" w:type="dxa"/>
            <w:vAlign w:val="bottom"/>
            <w:gridSpan w:val="4"/>
          </w:tcPr>
          <w:p>
            <w:pPr>
              <w:ind w:left="40"/>
              <w:spacing w:after="0" w:line="190" w:lineRule="exact"/>
              <w:rPr>
                <w:rFonts w:ascii="Arial" w:cs="Arial" w:eastAsia="Arial" w:hAnsi="Arial"/>
                <w:sz w:val="18"/>
                <w:szCs w:val="18"/>
                <w:color w:val="0000FF"/>
                <w:w w:val="85"/>
              </w:rPr>
            </w:pPr>
            <w:hyperlink r:id="rId1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reference to Exhibit 10.5 to the Company’s Current Report on Form 8-K filed on November 20, 2017</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1"/>
              </w:rPr>
              <w:t>National Vision Holdings, Inc. 2017 Omnibus Incentive Plan -incorporated herein by reference to Exhibit 10.2 to the Company’s Current</w:t>
            </w:r>
          </w:p>
        </w:tc>
      </w:tr>
      <w:tr>
        <w:trPr>
          <w:trHeight w:val="190"/>
        </w:trPr>
        <w:tc>
          <w:tcPr>
            <w:tcW w:w="360" w:type="dxa"/>
            <w:vAlign w:val="bottom"/>
            <w:gridSpan w:val="4"/>
          </w:tcPr>
          <w:p>
            <w:pPr>
              <w:ind w:left="40"/>
              <w:spacing w:after="0" w:line="190" w:lineRule="exact"/>
              <w:rPr>
                <w:rFonts w:ascii="Arial" w:cs="Arial" w:eastAsia="Arial" w:hAnsi="Arial"/>
                <w:sz w:val="18"/>
                <w:szCs w:val="18"/>
                <w:color w:val="0000FF"/>
                <w:w w:val="85"/>
              </w:rPr>
            </w:pPr>
            <w:hyperlink r:id="rId1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Report on Form 8-K filed on October 31, 2017</w:t>
            </w: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4"/>
          </w:tcPr>
          <w:p>
            <w:pPr>
              <w:ind w:left="40"/>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3"/>
              </w:rPr>
              <w:t>Certification of Periodic Report by Chief Executive Officer under Section 302 of the Sarbanes-Oxley Act of 2002 (furnished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4"/>
          </w:tcPr>
          <w:p>
            <w:pPr>
              <w:ind w:left="40"/>
              <w:spacing w:after="0"/>
              <w:rPr>
                <w:rFonts w:ascii="Arial" w:cs="Arial" w:eastAsia="Arial" w:hAnsi="Arial"/>
                <w:sz w:val="18"/>
                <w:szCs w:val="18"/>
                <w:color w:val="0000FF"/>
                <w:w w:val="85"/>
              </w:rPr>
            </w:pPr>
            <w:hyperlink w:anchor="page5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4"/>
              </w:rPr>
              <w:t>Certification of Periodic Report by Chief Financial Officer under Section 302 of the Sarbanes-Oxley Act of 2002 (furnished herewith)</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r>
      <w:tr>
        <w:trPr>
          <w:trHeight w:val="190"/>
        </w:trPr>
        <w:tc>
          <w:tcPr>
            <w:tcW w:w="360" w:type="dxa"/>
            <w:vAlign w:val="bottom"/>
            <w:gridSpan w:val="4"/>
          </w:tcPr>
          <w:p>
            <w:pPr>
              <w:ind w:left="40"/>
              <w:spacing w:after="0" w:line="190" w:lineRule="exact"/>
              <w:rPr>
                <w:rFonts w:ascii="Arial" w:cs="Arial" w:eastAsia="Arial" w:hAnsi="Arial"/>
                <w:sz w:val="18"/>
                <w:szCs w:val="18"/>
                <w:color w:val="0000FF"/>
                <w:w w:val="85"/>
              </w:rPr>
            </w:pPr>
            <w:hyperlink w:anchor="page5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Act of 2002 (furnished herewith)</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w:t>
            </w:r>
          </w:p>
        </w:tc>
      </w:tr>
      <w:tr>
        <w:trPr>
          <w:trHeight w:val="190"/>
        </w:trPr>
        <w:tc>
          <w:tcPr>
            <w:tcW w:w="360" w:type="dxa"/>
            <w:vAlign w:val="bottom"/>
            <w:gridSpan w:val="4"/>
          </w:tcPr>
          <w:p>
            <w:pPr>
              <w:ind w:left="40"/>
              <w:spacing w:after="0" w:line="190" w:lineRule="exact"/>
              <w:rPr>
                <w:rFonts w:ascii="Arial" w:cs="Arial" w:eastAsia="Arial" w:hAnsi="Arial"/>
                <w:sz w:val="18"/>
                <w:szCs w:val="18"/>
                <w:color w:val="0000FF"/>
                <w:w w:val="85"/>
              </w:rPr>
            </w:pPr>
            <w:hyperlink w:anchor="page5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Act of 2002 (furnished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10"/>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2"/>
          </w:tcPr>
          <w:p>
            <w:pPr>
              <w:ind w:left="4120"/>
              <w:spacing w:after="0"/>
              <w:rPr>
                <w:sz w:val="20"/>
                <w:szCs w:val="20"/>
                <w:color w:val="auto"/>
              </w:rPr>
            </w:pPr>
            <w:r>
              <w:rPr>
                <w:rFonts w:ascii="Arial" w:cs="Arial" w:eastAsia="Arial" w:hAnsi="Arial"/>
                <w:sz w:val="18"/>
                <w:szCs w:val="18"/>
                <w:color w:val="auto"/>
              </w:rPr>
              <w:t>48</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324"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National Vision Holdings, Inc.</w:t>
      </w:r>
    </w:p>
    <w:p>
      <w:pPr>
        <w:spacing w:after="0" w:line="33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Dated: December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Dated: December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341"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2017 of National Vision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36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68"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2017 of National Vision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2155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1558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6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National Vision Holdings, Inc. (the “Company”) on Form 10-Q for the quarterly period ended September 30, 2017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6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36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68"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September 30, 2017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b w:val="1"/>
          <w:bCs w:val="1"/>
          <w:color w:val="auto"/>
        </w:rPr>
      </w:pPr>
    </w:p>
    <w:p>
      <w:pPr>
        <w:ind w:left="340" w:right="160" w:hanging="332"/>
        <w:spacing w:after="0" w:line="277"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21558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1558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lvl w:ilvl="1">
      <w:lvlJc w:val="left"/>
      <w:lvlText w:val="(%2)"/>
      <w:numFmt w:val="decimal"/>
      <w:start w:val="2"/>
    </w:lvl>
  </w:abstractNum>
  <w:abstractNum w:abstractNumId="6">
    <w:nsid w:val="41A7C4C9"/>
    <w:multiLevelType w:val="hybridMultilevel"/>
    <w:lvl w:ilvl="0">
      <w:lvlJc w:val="left"/>
      <w:lvlText w:val="%1."/>
      <w:numFmt w:val="decimal"/>
      <w:start w:val="3"/>
    </w:lvl>
    <w:lvl w:ilvl="1">
      <w:lvlJc w:val="left"/>
      <w:lvlText w:val="%2"/>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2"/>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9"/>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Archives/edgar/data/1710155/000156761917002270/s001582x19_ex3-1.htm" TargetMode="External"/><Relationship Id="rId13" Type="http://schemas.openxmlformats.org/officeDocument/2006/relationships/hyperlink" Target="http://www.sec.gov/Archives/edgar/data/1710155/000156761917002270/s001582x19_ex3-2.htm" TargetMode="External"/><Relationship Id="rId14" Type="http://schemas.openxmlformats.org/officeDocument/2006/relationships/hyperlink" Target="http://www.sec.gov/Archives/edgar/data/1710155/000156761917002270/s001582x19_ex4-1.htm" TargetMode="External"/><Relationship Id="rId15" Type="http://schemas.openxmlformats.org/officeDocument/2006/relationships/hyperlink" Target="http://www.sec.gov/Archives/edgar/data/1710155/000156761917002270/s001582x19_ex10-1.htm" TargetMode="External"/><Relationship Id="rId16" Type="http://schemas.openxmlformats.org/officeDocument/2006/relationships/hyperlink" Target="http://www.sec.gov/Archives/edgar/data/1710155/000156761917002367/s001971x1_ex10-5.htm" TargetMode="External"/><Relationship Id="rId17" Type="http://schemas.openxmlformats.org/officeDocument/2006/relationships/hyperlink" Target="http://www.sec.gov/Archives/edgar/data/1710155/000156761917002270/s001582x19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2019-12-29T02:19:11Z</dcterms:created>
  <dcterms:modified xsi:type="dcterms:W3CDTF">2019-12-29T02:19:11Z</dcterms:modified>
</cp:coreProperties>
</file>