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28, 2019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ind w:left="4200"/>
        <w:spacing w:after="0"/>
        <w:tabs>
          <w:tab w:leader="none" w:pos="67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8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57" w:lineRule="exact"/>
        <w:rPr>
          <w:sz w:val="24"/>
          <w:szCs w:val="24"/>
          <w:color w:val="auto"/>
        </w:rPr>
      </w:pPr>
    </w:p>
    <w:tbl>
      <w:tblPr>
        <w:tblLayout w:type="fixed"/>
        <w:tblInd w:w="2240" w:type="dxa"/>
        <w:tblCellMar>
          <w:top w:w="0" w:type="dxa"/>
          <w:left w:w="0" w:type="dxa"/>
          <w:bottom w:w="0" w:type="dxa"/>
          <w:right w:w="0" w:type="dxa"/>
        </w:tblCellMar>
      </w:tblPr>
      <w:tr>
        <w:trPr>
          <w:trHeight w:val="212"/>
        </w:trPr>
        <w:tc>
          <w:tcPr>
            <w:tcW w:w="3660" w:type="dxa"/>
            <w:vAlign w:val="bottom"/>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49"/>
        </w:trPr>
        <w:tc>
          <w:tcPr>
            <w:tcW w:w="3660" w:type="dxa"/>
            <w:vAlign w:val="bottom"/>
          </w:tcPr>
          <w:p>
            <w:pPr>
              <w:jc w:val="center"/>
              <w:ind w:right="16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900" w:type="dxa"/>
            <w:vAlign w:val="bottom"/>
          </w:tcPr>
          <w:p>
            <w:pPr>
              <w:jc w:val="center"/>
              <w:ind w:left="159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60" w:type="dxa"/>
            <w:vAlign w:val="bottom"/>
          </w:tcPr>
          <w:p>
            <w:pPr>
              <w:jc w:val="center"/>
              <w:ind w:right="16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900" w:type="dxa"/>
            <w:vAlign w:val="bottom"/>
          </w:tcPr>
          <w:p>
            <w:pPr>
              <w:jc w:val="center"/>
              <w:ind w:left="159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40"/>
        </w:trPr>
        <w:tc>
          <w:tcPr>
            <w:tcW w:w="36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2900" w:type="dxa"/>
            <w:vAlign w:val="bottom"/>
          </w:tcPr>
          <w:p>
            <w:pPr>
              <w:spacing w:after="0"/>
              <w:rPr>
                <w:sz w:val="24"/>
                <w:szCs w:val="24"/>
                <w:color w:val="auto"/>
              </w:rPr>
            </w:pPr>
          </w:p>
        </w:tc>
      </w:tr>
      <w:tr>
        <w:trPr>
          <w:trHeight w:val="270"/>
        </w:trPr>
        <w:tc>
          <w:tcPr>
            <w:tcW w:w="3660" w:type="dxa"/>
            <w:vAlign w:val="bottom"/>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2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70"/>
        </w:trPr>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 xml:space="preserve">Duluth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Georgia</w:t>
            </w:r>
          </w:p>
        </w:tc>
        <w:tc>
          <w:tcPr>
            <w:tcW w:w="2900" w:type="dxa"/>
            <w:vAlign w:val="bottom"/>
          </w:tcPr>
          <w:p>
            <w:pPr>
              <w:jc w:val="center"/>
              <w:ind w:left="16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0"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6"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94"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17"/>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EYE</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114" w:lineRule="exact"/>
        <w:rPr>
          <w:sz w:val="24"/>
          <w:szCs w:val="24"/>
          <w:color w:val="auto"/>
        </w:rPr>
      </w:pPr>
    </w:p>
    <w:p>
      <w:pPr>
        <w:ind w:right="14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760" w:type="dxa"/>
        <w:tblCellMar>
          <w:top w:w="0" w:type="dxa"/>
          <w:left w:w="0" w:type="dxa"/>
          <w:bottom w:w="0" w:type="dxa"/>
          <w:right w:w="0" w:type="dxa"/>
        </w:tblCellMar>
      </w:tblPr>
      <w:tr>
        <w:trPr>
          <w:trHeight w:val="277"/>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5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160"/>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3040"/>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5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Outstanding at October 31, 2019</w:t>
            </w:r>
          </w:p>
        </w:tc>
      </w:tr>
      <w:tr>
        <w:trPr>
          <w:trHeight w:val="33"/>
        </w:trPr>
        <w:tc>
          <w:tcPr>
            <w:tcW w:w="49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1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79,117,971</w:t>
            </w:r>
          </w:p>
        </w:tc>
      </w:tr>
      <w:tr>
        <w:trPr>
          <w:trHeight w:val="168"/>
        </w:trPr>
        <w:tc>
          <w:tcPr>
            <w:tcW w:w="49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tcPr>
          <w:p>
            <w:pPr>
              <w:spacing w:after="0"/>
              <w:rPr>
                <w:sz w:val="14"/>
                <w:szCs w:val="14"/>
                <w:color w:val="auto"/>
              </w:rPr>
            </w:pPr>
          </w:p>
        </w:tc>
      </w:tr>
      <w:tr>
        <w:trPr>
          <w:trHeight w:val="122"/>
        </w:trPr>
        <w:tc>
          <w:tcPr>
            <w:tcW w:w="49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0" w:right="23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30"/>
        </w:trPr>
        <w:tc>
          <w:tcPr>
            <w:tcW w:w="1052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SPECIAL NOTE REGARDING FORWARD-LOOKING STATEMENTS</w:t>
              </w:r>
            </w:hyperlink>
          </w:p>
        </w:tc>
        <w:tc>
          <w:tcPr>
            <w:tcW w:w="18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160" w:type="dxa"/>
            <w:vAlign w:val="bottom"/>
          </w:tcPr>
          <w:p>
            <w:pPr>
              <w:spacing w:after="0"/>
              <w:rPr>
                <w:sz w:val="19"/>
                <w:szCs w:val="19"/>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140" w:type="dxa"/>
            <w:vAlign w:val="bottom"/>
            <w:gridSpan w:val="7"/>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Part I – Financial Information</w:t>
              </w:r>
            </w:hyperlink>
          </w:p>
        </w:tc>
        <w:tc>
          <w:tcPr>
            <w:tcW w:w="3180" w:type="dxa"/>
            <w:vAlign w:val="bottom"/>
            <w:gridSpan w:val="9"/>
          </w:tcPr>
          <w:p>
            <w:pPr>
              <w:spacing w:after="0"/>
              <w:rPr>
                <w:sz w:val="21"/>
                <w:szCs w:val="21"/>
                <w:color w:val="auto"/>
              </w:rPr>
            </w:pPr>
          </w:p>
        </w:tc>
        <w:tc>
          <w:tcPr>
            <w:tcW w:w="5200" w:type="dxa"/>
            <w:vAlign w:val="bottom"/>
            <w:gridSpan w:val="5"/>
          </w:tcPr>
          <w:p>
            <w:pPr>
              <w:spacing w:after="0"/>
              <w:rPr>
                <w:sz w:val="21"/>
                <w:szCs w:val="21"/>
                <w:color w:val="auto"/>
              </w:rPr>
            </w:pPr>
          </w:p>
        </w:tc>
        <w:tc>
          <w:tcPr>
            <w:tcW w:w="180" w:type="dxa"/>
            <w:vAlign w:val="bottom"/>
            <w:gridSpan w:val="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160" w:type="dxa"/>
            <w:vAlign w:val="bottom"/>
          </w:tcPr>
          <w:p>
            <w:pPr>
              <w:spacing w:after="0"/>
              <w:rPr>
                <w:sz w:val="21"/>
                <w:szCs w:val="2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180" w:type="dxa"/>
            <w:vAlign w:val="bottom"/>
            <w:gridSpan w:val="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16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10"/>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Condensed Consolidated Balance Sheets</w:t>
              </w:r>
            </w:hyperlink>
          </w:p>
        </w:tc>
        <w:tc>
          <w:tcPr>
            <w:tcW w:w="6160" w:type="dxa"/>
            <w:vAlign w:val="bottom"/>
            <w:gridSpan w:val="7"/>
          </w:tcPr>
          <w:p>
            <w:pPr>
              <w:spacing w:after="0"/>
              <w:rPr>
                <w:sz w:val="21"/>
                <w:szCs w:val="21"/>
                <w:color w:val="auto"/>
              </w:rPr>
            </w:pPr>
          </w:p>
        </w:tc>
        <w:tc>
          <w:tcPr>
            <w:tcW w:w="180" w:type="dxa"/>
            <w:vAlign w:val="bottom"/>
            <w:gridSpan w:val="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16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Operations and Comprehensive Income</w:t>
              </w:r>
            </w:hyperlink>
          </w:p>
        </w:tc>
        <w:tc>
          <w:tcPr>
            <w:tcW w:w="3360" w:type="dxa"/>
            <w:vAlign w:val="bottom"/>
            <w:gridSpan w:val="2"/>
          </w:tcPr>
          <w:p>
            <w:pPr>
              <w:spacing w:after="0"/>
              <w:rPr>
                <w:sz w:val="21"/>
                <w:szCs w:val="21"/>
                <w:color w:val="auto"/>
              </w:rPr>
            </w:pPr>
          </w:p>
        </w:tc>
        <w:tc>
          <w:tcPr>
            <w:tcW w:w="180" w:type="dxa"/>
            <w:vAlign w:val="bottom"/>
            <w:gridSpan w:val="2"/>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16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Stockholders’ Equity</w:t>
              </w:r>
            </w:hyperlink>
          </w:p>
        </w:tc>
        <w:tc>
          <w:tcPr>
            <w:tcW w:w="3360" w:type="dxa"/>
            <w:vAlign w:val="bottom"/>
            <w:gridSpan w:val="2"/>
          </w:tcPr>
          <w:p>
            <w:pPr>
              <w:spacing w:after="0"/>
              <w:rPr>
                <w:sz w:val="21"/>
                <w:szCs w:val="21"/>
                <w:color w:val="auto"/>
              </w:rPr>
            </w:pPr>
          </w:p>
        </w:tc>
        <w:tc>
          <w:tcPr>
            <w:tcW w:w="180" w:type="dxa"/>
            <w:vAlign w:val="bottom"/>
            <w:gridSpan w:val="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16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gridSpan w:val="11"/>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Condensed Consolidated Statements of Cash Flows</w:t>
              </w:r>
            </w:hyperlink>
          </w:p>
        </w:tc>
        <w:tc>
          <w:tcPr>
            <w:tcW w:w="620" w:type="dxa"/>
            <w:vAlign w:val="bottom"/>
            <w:gridSpan w:val="3"/>
          </w:tcPr>
          <w:p>
            <w:pPr>
              <w:spacing w:after="0"/>
              <w:rPr>
                <w:sz w:val="21"/>
                <w:szCs w:val="21"/>
                <w:color w:val="auto"/>
              </w:rPr>
            </w:pPr>
          </w:p>
        </w:tc>
        <w:tc>
          <w:tcPr>
            <w:tcW w:w="4740" w:type="dxa"/>
            <w:vAlign w:val="bottom"/>
            <w:gridSpan w:val="3"/>
          </w:tcPr>
          <w:p>
            <w:pPr>
              <w:spacing w:after="0"/>
              <w:rPr>
                <w:sz w:val="21"/>
                <w:szCs w:val="21"/>
                <w:color w:val="auto"/>
              </w:rPr>
            </w:pPr>
          </w:p>
        </w:tc>
        <w:tc>
          <w:tcPr>
            <w:tcW w:w="180" w:type="dxa"/>
            <w:vAlign w:val="bottom"/>
            <w:gridSpan w:val="2"/>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c>
          <w:tcPr>
            <w:tcW w:w="16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Condensed Consolidated Financial Statements</w:t>
              </w:r>
            </w:hyperlink>
          </w:p>
        </w:tc>
        <w:tc>
          <w:tcPr>
            <w:tcW w:w="5080" w:type="dxa"/>
            <w:vAlign w:val="bottom"/>
            <w:gridSpan w:val="4"/>
          </w:tcPr>
          <w:p>
            <w:pPr>
              <w:spacing w:after="0"/>
              <w:rPr>
                <w:sz w:val="21"/>
                <w:szCs w:val="21"/>
                <w:color w:val="auto"/>
              </w:rPr>
            </w:pPr>
          </w:p>
        </w:tc>
        <w:tc>
          <w:tcPr>
            <w:tcW w:w="1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10</w:t>
              </w:r>
            </w:hyperlink>
          </w:p>
        </w:tc>
        <w:tc>
          <w:tcPr>
            <w:tcW w:w="16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28</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3.</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Quantitative and Qualitative Disclosures About Market Risk</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Item 4.</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Controls and Procedures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48</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9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Part II – Other Information</w:t>
              </w:r>
            </w:hyperlink>
          </w:p>
        </w:tc>
        <w:tc>
          <w:tcPr>
            <w:tcW w:w="8580" w:type="dxa"/>
            <w:vAlign w:val="bottom"/>
            <w:gridSpan w:val="16"/>
          </w:tcPr>
          <w:p>
            <w:pPr>
              <w:spacing w:after="0"/>
              <w:rPr>
                <w:sz w:val="21"/>
                <w:szCs w:val="21"/>
                <w:color w:val="auto"/>
              </w:rPr>
            </w:pPr>
          </w:p>
        </w:tc>
        <w:tc>
          <w:tcPr>
            <w:tcW w:w="1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49</w:t>
              </w:r>
            </w:hyperlink>
          </w:p>
        </w:tc>
        <w:tc>
          <w:tcPr>
            <w:tcW w:w="16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1.</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Legal Proceedings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49</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Item 1A.</w:t>
              </w:r>
            </w:hyperlink>
          </w:p>
        </w:tc>
        <w:tc>
          <w:tcPr>
            <w:tcW w:w="360" w:type="dxa"/>
            <w:vAlign w:val="bottom"/>
          </w:tcPr>
          <w:p>
            <w:pPr>
              <w:spacing w:after="0"/>
              <w:rPr>
                <w:sz w:val="21"/>
                <w:szCs w:val="21"/>
                <w:color w:val="auto"/>
              </w:rPr>
            </w:pPr>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Risk Factors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2.</w:t>
              </w:r>
            </w:hyperlink>
          </w:p>
        </w:tc>
        <w:tc>
          <w:tcPr>
            <w:tcW w:w="360" w:type="dxa"/>
            <w:vAlign w:val="bottom"/>
          </w:tcPr>
          <w:p>
            <w:pPr>
              <w:spacing w:after="0"/>
              <w:rPr>
                <w:sz w:val="21"/>
                <w:szCs w:val="21"/>
                <w:color w:val="auto"/>
              </w:rPr>
            </w:pPr>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Unregistered Sales of Equity Securities and Use of Proceeds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3.</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Defaults Upon Senior Securities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4.</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Mine Safety Disclosures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5.</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Other Information</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760" w:type="dxa"/>
            <w:vAlign w:val="bottom"/>
            <w:gridSpan w:val="11"/>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6.</w:t>
              </w:r>
            </w:hyperlink>
          </w:p>
        </w:tc>
        <w:tc>
          <w:tcPr>
            <w:tcW w:w="9080" w:type="dxa"/>
            <w:vAlign w:val="bottom"/>
            <w:gridSpan w:val="1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Exhibits</w:t>
              </w:r>
            </w:hyperlink>
          </w:p>
        </w:tc>
        <w:tc>
          <w:tcPr>
            <w:tcW w:w="340" w:type="dxa"/>
            <w:vAlign w:val="bottom"/>
            <w:gridSpan w:val="3"/>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51</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Signatures</w:t>
              </w:r>
            </w:hyperlink>
          </w:p>
        </w:tc>
        <w:tc>
          <w:tcPr>
            <w:tcW w:w="8320" w:type="dxa"/>
            <w:vAlign w:val="bottom"/>
            <w:gridSpan w:val="13"/>
          </w:tcPr>
          <w:p>
            <w:pPr>
              <w:spacing w:after="0"/>
              <w:rPr>
                <w:sz w:val="21"/>
                <w:szCs w:val="21"/>
                <w:color w:val="auto"/>
              </w:rPr>
            </w:pPr>
          </w:p>
        </w:tc>
        <w:tc>
          <w:tcPr>
            <w:tcW w:w="1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52</w:t>
              </w:r>
            </w:hyperlink>
          </w:p>
        </w:tc>
        <w:tc>
          <w:tcPr>
            <w:tcW w:w="160" w:type="dxa"/>
            <w:vAlign w:val="bottom"/>
          </w:tcPr>
          <w:p>
            <w:pPr>
              <w:spacing w:after="0"/>
              <w:rPr>
                <w:sz w:val="21"/>
                <w:szCs w:val="21"/>
                <w:color w:val="auto"/>
              </w:rPr>
            </w:pPr>
          </w:p>
        </w:tc>
      </w:tr>
    </w:tbl>
    <w:p>
      <w:pPr>
        <w:sectPr>
          <w:pgSz w:w="11900" w:h="16838" w:orient="portrait"/>
          <w:cols w:equalWidth="0" w:num="1">
            <w:col w:w="10860"/>
          </w:cols>
          <w:pgMar w:left="460" w:top="383"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29, 2018 (the “Annual Report”), as filed with the Securities and Exchange Commission (the “SEC”), as such risk factors may be updated from time to time in our periodic filings with the SEC, which are accessible on the SEC’s website at www.sec.gov, and also include the following:</w:t>
      </w:r>
    </w:p>
    <w:p>
      <w:pPr>
        <w:spacing w:after="0" w:line="80"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and operate new stores in a timely and cost-effective manner, and to successfully enter new markets;</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vision care professionals for our stores;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managed vision care companies, vision insurance providers and other third-party payors;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operating relationships with our host and legacy partners;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extensive state, local and federal vision care and healthcare laws and regulations;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levels of cash flow from our operations to grow;</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disruption in the operations of, one or more of our distribution centers and/or optical laboratories;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vendors from whom our products are sourced;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spending affecting consumer purchases;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compete in the highly competitive optical retail industry;</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suppliers;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vendors’ ability to safeguard personal information and payment card data;</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inadequacy, interruption, security failure or breach of our information technology systems;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straining our existing resources and causing the performance of our existing stores to suffer;</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senior management team and attract qualified new personnel;</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wage rate increases, inflation, cost increases and increases in raw material prices and energy prices;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marketing, advertising and promotional efforts;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leasing substantial amounts of space;</w:t>
      </w:r>
    </w:p>
    <w:p>
      <w:pPr>
        <w:spacing w:after="0" w:line="9" w:lineRule="exact"/>
        <w:rPr>
          <w:rFonts w:ascii="Times New Roman" w:cs="Times New Roman" w:eastAsia="Times New Roman" w:hAnsi="Times New Roman"/>
          <w:sz w:val="18"/>
          <w:szCs w:val="18"/>
          <w:color w:val="auto"/>
        </w:rPr>
      </w:pPr>
    </w:p>
    <w:p>
      <w:pPr>
        <w:ind w:left="180" w:hanging="172"/>
        <w:spacing w:after="0" w:line="250"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product recall or personal injury issues;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managed vision care laws and regulations;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reimbursement for a portion of our revenues;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 and inventory shrinkage;</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operating results and inventory levels;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losses arising from our investments in technological innovators in the optical retail industry;</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or changes in, laws, regulations, enforcement activities and other requirements;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adverse litigation judgments or settlements resulting from legal proceedings relating to our business operations;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49" w:right="239" w:bottom="1440" w:gutter="0" w:footer="0" w:header="0"/>
        </w:sectPr>
      </w:pPr>
    </w:p>
    <w:bookmarkStart w:id="3" w:name="page4"/>
    <w:bookmarkEnd w:id="3"/>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credit agreement that limits our flexibility in operating our business;</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 to satisfy our significant debt service obligations;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subsidiaries to fund all of our operations and expenses;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maintaining the requirements of being a public company;</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requirements to maintain effective internal controls; and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owning our common stock.</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4"/>
                <w:szCs w:val="24"/>
                <w:color w:val="auto"/>
              </w:rPr>
            </w:pPr>
          </w:p>
        </w:tc>
        <w:tc>
          <w:tcPr>
            <w:tcW w:w="798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798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As of September 28, 2019 and December 29, 2018</w:t>
            </w: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5700" w:type="dxa"/>
            <w:vAlign w:val="bottom"/>
          </w:tcPr>
          <w:p>
            <w:pPr>
              <w:jc w:val="center"/>
              <w:ind w:left="3090"/>
              <w:spacing w:after="0"/>
              <w:rPr>
                <w:sz w:val="20"/>
                <w:szCs w:val="20"/>
                <w:color w:val="auto"/>
              </w:rPr>
            </w:pPr>
            <w:r>
              <w:rPr>
                <w:rFonts w:ascii="Times New Roman" w:cs="Times New Roman" w:eastAsia="Times New Roman" w:hAnsi="Times New Roman"/>
                <w:sz w:val="18"/>
                <w:szCs w:val="18"/>
                <w:i w:val="1"/>
                <w:iCs w:val="1"/>
                <w:color w:val="auto"/>
                <w:w w:val="99"/>
              </w:rPr>
              <w:t>In Thousands, Except Par Value</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70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4"/>
                <w:szCs w:val="24"/>
                <w:color w:val="auto"/>
              </w:rPr>
            </w:pP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9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278,649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214,704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5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355,117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777,613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Right of 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1,799,775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1,446,685</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2,078,424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5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43,642</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211,652</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 and finance lease obligations, less current portion and debt discount</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570,545</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operating lease obligations</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53,964</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61,940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136,038</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9)</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Common stock, $0.01 par value; 200,000 shares authorized; 79,920 and 78,246 shares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issued as of September 28, 2019 and December 29, 2018, respectively; 79,022 and 78,167</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shares outstanding as of September 28, 2019 and December 29, 2018, respectively</w:t>
            </w:r>
          </w:p>
        </w:tc>
        <w:tc>
          <w:tcPr>
            <w:tcW w:w="32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672,503</w:t>
            </w:r>
          </w:p>
        </w:tc>
        <w:tc>
          <w:tcPr>
            <w:tcW w:w="0" w:type="dxa"/>
            <w:vAlign w:val="bottom"/>
          </w:tcPr>
          <w:p>
            <w:pPr>
              <w:spacing w:after="0"/>
              <w:rPr>
                <w:sz w:val="1"/>
                <w:szCs w:val="1"/>
                <w:color w:val="auto"/>
              </w:rPr>
            </w:pPr>
          </w:p>
        </w:tc>
      </w:tr>
      <w:tr>
        <w:trPr>
          <w:trHeight w:val="243"/>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74,840</w:t>
            </w:r>
          </w:p>
        </w:tc>
        <w:tc>
          <w:tcPr>
            <w:tcW w:w="0" w:type="dxa"/>
            <w:vAlign w:val="bottom"/>
          </w:tcPr>
          <w:p>
            <w:pPr>
              <w:spacing w:after="0"/>
              <w:rPr>
                <w:sz w:val="1"/>
                <w:szCs w:val="1"/>
                <w:color w:val="auto"/>
              </w:rPr>
            </w:pPr>
          </w:p>
        </w:tc>
      </w:tr>
      <w:tr>
        <w:trPr>
          <w:trHeight w:val="225"/>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Treasury stock, at cost; 898 and 79 shares as of September 28, 2019 and December 29,</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2018, respectively</w:t>
            </w: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765,471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2,078,424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1,661,389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08"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81"/>
        </w:trPr>
        <w:tc>
          <w:tcPr>
            <w:tcW w:w="128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444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540" w:type="dxa"/>
            <w:vAlign w:val="bottom"/>
            <w:gridSpan w:val="9"/>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8540" w:type="dxa"/>
            <w:vAlign w:val="bottom"/>
            <w:gridSpan w:val="11"/>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September 28, 2019 and September 29, 2018</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0" w:type="dxa"/>
            <w:vAlign w:val="bottom"/>
            <w:gridSpan w:val="5"/>
          </w:tcPr>
          <w:p>
            <w:pPr>
              <w:jc w:val="center"/>
              <w:ind w:left="370"/>
              <w:spacing w:after="0"/>
              <w:rPr>
                <w:sz w:val="20"/>
                <w:szCs w:val="20"/>
                <w:color w:val="auto"/>
              </w:rPr>
            </w:pPr>
            <w:r>
              <w:rPr>
                <w:rFonts w:ascii="Times New Roman" w:cs="Times New Roman" w:eastAsia="Times New Roman" w:hAnsi="Times New Roman"/>
                <w:sz w:val="18"/>
                <w:szCs w:val="18"/>
                <w:i w:val="1"/>
                <w:iCs w:val="1"/>
                <w:color w:val="auto"/>
                <w:w w:val="99"/>
              </w:rPr>
              <w:t>In Thousands, Except Earnings Per Share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29, 2018</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29, 2018</w:t>
            </w:r>
          </w:p>
        </w:tc>
      </w:tr>
      <w:tr>
        <w:trPr>
          <w:trHeight w:val="27"/>
        </w:trPr>
        <w:tc>
          <w:tcPr>
            <w:tcW w:w="12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355,789</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319,312</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1,096,482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977,497</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76,113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68,113</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226,086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203,435</w:t>
            </w:r>
          </w:p>
        </w:tc>
      </w:tr>
      <w:tr>
        <w:trPr>
          <w:trHeight w:val="237"/>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10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431,902</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1,322,568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1,180,932</w:t>
            </w:r>
          </w:p>
        </w:tc>
      </w:tr>
      <w:tr>
        <w:trPr>
          <w:trHeight w:val="27"/>
        </w:trPr>
        <w:tc>
          <w:tcPr>
            <w:tcW w:w="128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1"/>
        </w:trPr>
        <w:tc>
          <w:tcPr>
            <w:tcW w:w="50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5"/>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144,518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130,951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444,177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389,560</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1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59,984</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51,637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150,541</w:t>
            </w:r>
          </w:p>
        </w:tc>
      </w:tr>
      <w:tr>
        <w:trPr>
          <w:trHeight w:val="237"/>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0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204,502</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182,588</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618,978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540,101</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190,290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185,028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566,444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521,344</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22,336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63,570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54,783</w:t>
            </w: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r>
      <w:tr>
        <w:trPr>
          <w:trHeight w:val="237"/>
        </w:trPr>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216,288</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206,920</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638,376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579,093</w:t>
            </w:r>
          </w:p>
        </w:tc>
      </w:tr>
      <w:tr>
        <w:trPr>
          <w:trHeight w:val="27"/>
        </w:trPr>
        <w:tc>
          <w:tcPr>
            <w:tcW w:w="12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61,738</w:t>
            </w: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25,902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28,144</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10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29,526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33,594</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297"/>
        </w:trPr>
        <w:tc>
          <w:tcPr>
            <w:tcW w:w="36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r>
      <w:tr>
        <w:trPr>
          <w:trHeight w:val="271"/>
        </w:trPr>
        <w:tc>
          <w:tcPr>
            <w:tcW w:w="128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0.56</w:t>
            </w: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78,474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76,118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78,387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81,510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78,571</w:t>
            </w:r>
          </w:p>
        </w:tc>
      </w:tr>
      <w:tr>
        <w:trPr>
          <w:trHeight w:val="284"/>
        </w:trPr>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r>
      <w:tr>
        <w:trPr>
          <w:trHeight w:val="27"/>
        </w:trPr>
        <w:tc>
          <w:tcPr>
            <w:tcW w:w="1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11,842</w:t>
            </w:r>
          </w:p>
        </w:tc>
      </w:tr>
      <w:tr>
        <w:trPr>
          <w:trHeight w:val="225"/>
        </w:trPr>
        <w:tc>
          <w:tcPr>
            <w:tcW w:w="504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Tax provision (benefit) of unrealized gain (loss) on hedge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instruments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3,033</w:t>
            </w:r>
          </w:p>
        </w:tc>
      </w:tr>
      <w:tr>
        <w:trPr>
          <w:trHeight w:val="27"/>
        </w:trPr>
        <w:tc>
          <w:tcPr>
            <w:tcW w:w="12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50,902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454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4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28, 2019</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28, 2019</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2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2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Additional</w:t>
            </w:r>
          </w:p>
        </w:tc>
        <w:tc>
          <w:tcPr>
            <w:tcW w:w="22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Paid-In</w:t>
            </w:r>
          </w:p>
        </w:tc>
        <w:tc>
          <w:tcPr>
            <w:tcW w:w="220" w:type="dxa"/>
            <w:vAlign w:val="bottom"/>
          </w:tcPr>
          <w:p>
            <w:pPr>
              <w:spacing w:after="0"/>
              <w:rPr>
                <w:sz w:val="16"/>
                <w:szCs w:val="16"/>
                <w:color w:val="auto"/>
              </w:rPr>
            </w:pPr>
          </w:p>
        </w:tc>
        <w:tc>
          <w:tcPr>
            <w:tcW w:w="14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Comprehensive</w:t>
            </w:r>
          </w:p>
        </w:tc>
        <w:tc>
          <w:tcPr>
            <w:tcW w:w="180" w:type="dxa"/>
            <w:vAlign w:val="bottom"/>
          </w:tcPr>
          <w:p>
            <w:pPr>
              <w:spacing w:after="0"/>
              <w:rPr>
                <w:sz w:val="16"/>
                <w:szCs w:val="16"/>
                <w:color w:val="auto"/>
              </w:rPr>
            </w:pPr>
          </w:p>
        </w:tc>
        <w:tc>
          <w:tcPr>
            <w:tcW w:w="8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9"/>
              </w:rPr>
              <w:t>Retained</w:t>
            </w:r>
          </w:p>
        </w:tc>
        <w:tc>
          <w:tcPr>
            <w:tcW w:w="160" w:type="dxa"/>
            <w:vAlign w:val="bottom"/>
          </w:tcPr>
          <w:p>
            <w:pPr>
              <w:spacing w:after="0"/>
              <w:rPr>
                <w:sz w:val="16"/>
                <w:szCs w:val="16"/>
                <w:color w:val="auto"/>
              </w:rPr>
            </w:pPr>
          </w:p>
        </w:tc>
        <w:tc>
          <w:tcPr>
            <w:tcW w:w="8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Treasury</w:t>
            </w:r>
          </w:p>
        </w:tc>
        <w:tc>
          <w:tcPr>
            <w:tcW w:w="180" w:type="dxa"/>
            <w:vAlign w:val="bottom"/>
          </w:tcPr>
          <w:p>
            <w:pPr>
              <w:spacing w:after="0"/>
              <w:rPr>
                <w:sz w:val="16"/>
                <w:szCs w:val="16"/>
                <w:color w:val="auto"/>
              </w:rPr>
            </w:pPr>
          </w:p>
        </w:tc>
        <w:tc>
          <w:tcPr>
            <w:tcW w:w="130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w:t>
            </w:r>
          </w:p>
        </w:tc>
        <w:tc>
          <w:tcPr>
            <w:tcW w:w="22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Earnings</w:t>
            </w:r>
          </w:p>
        </w:tc>
        <w:tc>
          <w:tcPr>
            <w:tcW w:w="16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29, 2018</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743,154</w:t>
            </w:r>
          </w:p>
        </w:tc>
        <w:tc>
          <w:tcPr>
            <w:tcW w:w="0" w:type="dxa"/>
            <w:vAlign w:val="bottom"/>
          </w:tcPr>
          <w:p>
            <w:pPr>
              <w:spacing w:after="0"/>
              <w:rPr>
                <w:sz w:val="1"/>
                <w:szCs w:val="1"/>
                <w:color w:val="auto"/>
              </w:rPr>
            </w:pPr>
          </w:p>
        </w:tc>
      </w:tr>
      <w:tr>
        <w:trPr>
          <w:trHeight w:val="22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principle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30, 2018 - as adjusted</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78,167</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672,503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74,334</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742,648</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2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(loss) on hedge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instruments, net of tax</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Balances at March 30, 2019</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78,218</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675,952</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91,763</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762,580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hedge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net of tax</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June 29, 2019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78,484</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679,216</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102,020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774,434</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hedge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instruments, net of tax</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September 28, 2019</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765,471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08"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1"/>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454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4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29, 2018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29, 2018</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2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20" w:type="dxa"/>
            <w:vAlign w:val="bottom"/>
            <w:tcBorders>
              <w:bottom w:val="single" w:sz="8" w:color="auto"/>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Additional</w:t>
            </w:r>
          </w:p>
        </w:tc>
        <w:tc>
          <w:tcPr>
            <w:tcW w:w="22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Paid-In</w:t>
            </w:r>
          </w:p>
        </w:tc>
        <w:tc>
          <w:tcPr>
            <w:tcW w:w="220" w:type="dxa"/>
            <w:vAlign w:val="bottom"/>
          </w:tcPr>
          <w:p>
            <w:pPr>
              <w:spacing w:after="0"/>
              <w:rPr>
                <w:sz w:val="16"/>
                <w:szCs w:val="16"/>
                <w:color w:val="auto"/>
              </w:rPr>
            </w:pPr>
          </w:p>
        </w:tc>
        <w:tc>
          <w:tcPr>
            <w:tcW w:w="14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Comprehensive</w:t>
            </w:r>
          </w:p>
        </w:tc>
        <w:tc>
          <w:tcPr>
            <w:tcW w:w="180" w:type="dxa"/>
            <w:vAlign w:val="bottom"/>
          </w:tcPr>
          <w:p>
            <w:pPr>
              <w:spacing w:after="0"/>
              <w:rPr>
                <w:sz w:val="16"/>
                <w:szCs w:val="16"/>
                <w:color w:val="auto"/>
              </w:rPr>
            </w:pPr>
          </w:p>
        </w:tc>
        <w:tc>
          <w:tcPr>
            <w:tcW w:w="8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9"/>
              </w:rPr>
              <w:t>Retained</w:t>
            </w:r>
          </w:p>
        </w:tc>
        <w:tc>
          <w:tcPr>
            <w:tcW w:w="180" w:type="dxa"/>
            <w:vAlign w:val="bottom"/>
          </w:tcPr>
          <w:p>
            <w:pPr>
              <w:spacing w:after="0"/>
              <w:rPr>
                <w:sz w:val="16"/>
                <w:szCs w:val="16"/>
                <w:color w:val="auto"/>
              </w:rPr>
            </w:pPr>
          </w:p>
        </w:tc>
        <w:tc>
          <w:tcPr>
            <w:tcW w:w="8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Treasury</w:t>
            </w:r>
          </w:p>
        </w:tc>
        <w:tc>
          <w:tcPr>
            <w:tcW w:w="180" w:type="dxa"/>
            <w:vAlign w:val="bottom"/>
          </w:tcPr>
          <w:p>
            <w:pPr>
              <w:spacing w:after="0"/>
              <w:rPr>
                <w:sz w:val="16"/>
                <w:szCs w:val="16"/>
                <w:color w:val="auto"/>
              </w:rPr>
            </w:pPr>
          </w:p>
        </w:tc>
        <w:tc>
          <w:tcPr>
            <w:tcW w:w="130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w:t>
            </w:r>
          </w:p>
        </w:tc>
        <w:tc>
          <w:tcPr>
            <w:tcW w:w="22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Earnings</w:t>
            </w:r>
          </w:p>
        </w:tc>
        <w:tc>
          <w:tcPr>
            <w:tcW w:w="18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30, 2017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654,600</w:t>
            </w:r>
          </w:p>
        </w:tc>
        <w:tc>
          <w:tcPr>
            <w:tcW w:w="0" w:type="dxa"/>
            <w:vAlign w:val="bottom"/>
          </w:tcPr>
          <w:p>
            <w:pPr>
              <w:spacing w:after="0"/>
              <w:rPr>
                <w:sz w:val="1"/>
                <w:szCs w:val="1"/>
                <w:color w:val="auto"/>
              </w:rPr>
            </w:pPr>
          </w:p>
        </w:tc>
      </w:tr>
      <w:tr>
        <w:trPr>
          <w:trHeight w:val="225"/>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principle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19,030</w:t>
            </w:r>
          </w:p>
        </w:tc>
        <w:tc>
          <w:tcPr>
            <w:tcW w:w="1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December 31, 2017 - as adjusted</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74,654</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631,798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673,630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hedge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net of tax</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24,455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March 31, 2018</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75,078</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635,637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75,642</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705,698</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hedge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net of tax</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2,498</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12,467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June 30, 2018</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75,334</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638,377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88,109</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723,400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1,803</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10,618</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hedge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instruments, net of tax</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at September 29, 2018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751,338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08" w:right="239" w:bottom="1440" w:gutter="0" w:footer="0" w:header="0"/>
        </w:sectPr>
      </w:pPr>
    </w:p>
    <w:bookmarkStart w:id="8" w:name="page9"/>
    <w:bookmarkEnd w:id="8"/>
    <w:p>
      <w:pPr>
        <w:spacing w:after="0" w:line="1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28, 2019 and September 29,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0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28, 2019</w:t>
            </w:r>
          </w:p>
        </w:tc>
        <w:tc>
          <w:tcPr>
            <w:tcW w:w="1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29, 2018</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42,093</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63,570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54,783</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loan costs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Asset impairment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2,137</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13,749</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Inventory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2,491</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Bad debt expense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4,981</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1,555</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6,235</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11,062</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170,938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115,952</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(78,813)</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(78,677)</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issuance of long-term debt, net of discounts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566,550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14,032</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7,601</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44,876</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5,193</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50,069</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3"/>
        </w:trPr>
        <w:tc>
          <w:tcPr>
            <w:tcW w:w="7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28,988</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accrued at the end of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9,060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9,722</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Right of use assets acquired under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following table provides a reconciliation of cash and cash equivalents reported within the condensed consolidated balance sheets to the total of cash, cash equivalents and restricted cash shown above: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01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28, 2019</w:t>
            </w:r>
          </w:p>
        </w:tc>
        <w:tc>
          <w:tcPr>
            <w:tcW w:w="1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29, 2018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94,086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48,881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62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56" w:orient="portrait"/>
          <w:cols w:equalWidth="0" w:num="1">
            <w:col w:w="11420"/>
          </w:cols>
          <w:pgMar w:left="240" w:top="121" w:right="239" w:bottom="0" w:gutter="0" w:footer="0" w:header="0"/>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56" w:orient="portrait"/>
          <w:cols w:equalWidth="0" w:num="1">
            <w:col w:w="11420"/>
          </w:cols>
          <w:pgMar w:left="240" w:top="121" w:right="239" w:bottom="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and its territories. We operated 1,145 and 1,082 retail optical locations as of September 28, 2019 and December 29, 2018, respectively, through our five store brands, including America’s Best Contacts and Eyeglasses (“America’s Best”), Eyeglass World, Vista Optical locations on U.S. Army/Air Force military bases (“Military”) and within Fred Meyer stores, and our management and services arrangement with Walmart (“Legacy”).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prepared the accompanying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29, 2018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financial position as of September 28, 2019, the consolidated results of operations and comprehensive income, the statements of changes in stockholders’ equity for the three and nine months ended September 28, 2019 and September 29, 2018, and its statements of cash flows for the nine months ended September 28, 2019 and September 29, 2018.</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29, 2018 included in the Company’s Annual Report on Form 10-K filed with the SEC on February 27, 2019.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September 28, 2019, except for the adoption of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See “Adoption of New Accounting Pronouncements” below for further discussion.</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consists of 52 or 53 weeks ending on the Saturday closest to December 31. Fiscal year 2019 contains 52 weeks and will end on December 28, 2019. All three and nine month periods presented herein contain 13 and 39 weeks, respectively. All references to years and quarters relate to fiscal periods rather than calendar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results of operations for the three and nine months ended September 28, 2019 and September 29, 2018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fiscal quarter, and a lower portion of net revenue, income from operations, and cash flows from operations in the fourth fiscal quarter. The seasonally larger first quarter is attributable primarily to the timing of our customers’ personal income tax refunds and annual health insurance program start or reset periods. Seasonality related to fourth quarter holiday spending by retail customers generally does not impact our business. Our quarterly consolidated results may also be affected by the timing of new store openings, store closings, and certain holidays.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impairment of long-lived tangible and right of use (“ROU”) store assets at the store level, which is the lowest level at which independent cash flows can be identified, when events or conditions indicate the carrying value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shorter of the remaining useful life or the remaining term of the lease are less than the carrying value of the subject assets, we then measure impairment based on a discounted cash flow model and market-based indications of value of the ROU asset and record an impairment charge as the excess of carrying value over estimated fair value. As directed in the accounting guidance for long-lived assets held and used, we use entity-specific assumptions related to our anticipated use of the assets when developing the projected undiscounted cash flows.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identified indicators of impairment of certain stores and recorded $3.5 million and $7.4 million of related asset impairment charges during the three and nine months ended September 28, 2019, respectively, in Corporate/Other. These impairment charges were primarily driven by lower than projected customer sales volume in certain stores. The estimated fair value of the impaired assets was $14.6 million as of September 28, 2019; this value includes fair value estimates related to impairments recorded in the first and second quarters of 2019. The cash flows used in the estimation were discounted to fair value using a rate of 8%. A significant decrease in the estimated cash flows would lead to a lower fair value measurement, as would a significant increase in the discount rate. The market-based indications of value of ROU assets were based on third-party information without adjustment. These measurements were classified as Level 3 measurements in the fair value hierarchy.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income tax rate for the three months ended September 28, 2019 reflected our statutory federal and state rate of 25.6%, offset by a discrete benefit of $6.3 million associated primarily with stock option exercises. Our income tax benefit for the nine months ended September 28, 2019 reflected income tax expense at our statutory federal and state rate of 25.6%, offset by a discrete benefit of $7.7 million associated primarily with stock option exercises. In comparison, the income tax rate associated with the three and nine months ended September 29, 2018 was reduced by $13.9 million and $18.0 million respective income tax benefit resulting from stock option exercises.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Secondary Offering and Common Stock Repurchase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7, 2019, the Company entered into an Underwriting Agreement by and among the Company, KKR Vision Aggregator L.P. (the “Selling Stockholder”), and Goldman Sachs &amp; Co. LLC, as underwriter (the “Underwriter”), relating to an underwritten offering of 9,149,908 shares of the Company’s common stock, par value $0.01 per share. The offering was completed on August 12, 2019. In connection with the offering, our Board of Directors authorized, and the Company completed, a repurchase of 819,134 shares out of the 9,149,908 shares of common stock subject to the offering from the Underwriter at $30.52 per share, which was the price the Underwriter purchased the shares from the Selling Stockholder in the offering. The Company did not receive any proceeds from the offering. As a result of this underwritten offering and concurrent share repurchase, the Selling Stockholder no longer owns any shares of our common stock as of September 28, 2019.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secondary offering constituted a vesting event whereby a final portion of the performance-based options vested and the remaining portion of unvested performance options awarded under the 2014 Stock Incentive Plan was forfeited. Refer to Note 5. “Stock Incentive Plans.” for further information on stock based compensation activity for the nine months ended September 28, 2019. As a result of the offering, we incurred $4.2 million of non-cash stock-based compensation expense during the three months ended September 28, 2019. We additionally recorded $1.1 million in long-term cash incentive compensation expense and $0.4 million in offering related expenses in selling, general and administrative (“SG&amp;A”) during the three months ended September 28, 2019.</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In February 2016, the Financial Accounting Standards Board (“FASB”) issued ASU No. 2016-02,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This new guidance establishes a ROU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model that requires a lessee to record a ROU asset and a lease liability on the balance sheet for all leases with terms longer than 12 months. Leases are classified as either finance or operating, with such classification affecting the pattern of expense recognition in the statement of operations. </w:t>
      </w:r>
      <w:r>
        <w:rPr>
          <w:rFonts w:ascii="Times New Roman" w:cs="Times New Roman" w:eastAsia="Times New Roman" w:hAnsi="Times New Roman"/>
          <w:sz w:val="18"/>
          <w:szCs w:val="18"/>
          <w:color w:val="252525"/>
        </w:rPr>
        <w:t>Disclosure of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information about leasing arrangements is also required.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adopted ASU No. 2016-02, as amended, as of December 30, 2018 (the first day of fiscal year 2019), using the modified retrospective transition approach without adjusting the comparative periods presented. We elected the package of practical expedients permitted under the transition guidance within the new standard, which allowed us to carry forward historical lease classification for leases in existence as of the adoption date, to not assess whether any expired or existing contracts are leases or contain leases and to not assess whether unamortized initial direct costs for existing leases meet the definition of initial direct costs. In addition, we elected the practical expedients to not separate lease components from non-lease components and to not apply this new guidance to leases with terms of less than 12 months.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adoption, we recorded operating lease liabilities of approximately $349.7 million as of December 30, 2018. The Company treated tenant improvement allowances (“TIAs”) and deferred rent of $28.6 million and $11.9 million, respectively, as of December 30, 2018 as reductions of lease payments used to measure ROU assets and recorded $308.5 million of lease ROU assets upon adoption. The difference between the additional lease assets and lease liabilities net of the deferred tax impact was $0.5 million, which was recorded as an adjustment to fiscal year 2019 opening retained earnings. Adoption of this new guidance did not result in significant changes to our results of operations or cash flows. See Note 8. “Leases”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252525"/>
        </w:rPr>
        <w:t xml:space="preserve">Cloud Computing. </w:t>
      </w:r>
      <w:r>
        <w:rPr>
          <w:rFonts w:ascii="Times New Roman" w:cs="Times New Roman" w:eastAsia="Times New Roman" w:hAnsi="Times New Roman"/>
          <w:sz w:val="18"/>
          <w:szCs w:val="18"/>
          <w:color w:val="000000"/>
        </w:rPr>
        <w:t>In August 2018, the FASB issued ASU No. 2018-15,</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i w:val="1"/>
          <w:iCs w:val="1"/>
          <w:color w:val="000000"/>
        </w:rPr>
        <w:t>Customer’s Accounting for Implementation Costs Incurred in a Cloud Computing</w:t>
      </w:r>
      <w:r>
        <w:rPr>
          <w:rFonts w:ascii="Times New Roman" w:cs="Times New Roman" w:eastAsia="Times New Roman" w:hAnsi="Times New Roman"/>
          <w:sz w:val="18"/>
          <w:szCs w:val="18"/>
          <w:i w:val="1"/>
          <w:iCs w:val="1"/>
          <w:color w:val="252525"/>
        </w:rPr>
        <w:t xml:space="preserve"> </w:t>
      </w:r>
      <w:r>
        <w:rPr>
          <w:rFonts w:ascii="Times New Roman" w:cs="Times New Roman" w:eastAsia="Times New Roman" w:hAnsi="Times New Roman"/>
          <w:sz w:val="18"/>
          <w:szCs w:val="18"/>
          <w:i w:val="1"/>
          <w:iCs w:val="1"/>
          <w:color w:val="000000"/>
        </w:rPr>
        <w:t xml:space="preserve">Arrangement That Is a Service Contract. </w:t>
      </w:r>
      <w:r>
        <w:rPr>
          <w:rFonts w:ascii="Times New Roman" w:cs="Times New Roman" w:eastAsia="Times New Roman" w:hAnsi="Times New Roman"/>
          <w:sz w:val="18"/>
          <w:szCs w:val="18"/>
          <w:color w:val="000000"/>
        </w:rPr>
        <w:t>This new guidance aligns the requirements for capitalizing implementation costs incurred in a hosting arrangement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and may be adopted on a prospective or retrospective basis. The Company is in the process of assessing the new guidance.</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In June 2016, the FASB issued ASU No. 2016-13,</w:t>
      </w:r>
      <w:r>
        <w:rPr>
          <w:rFonts w:ascii="Times New Roman" w:cs="Times New Roman" w:eastAsia="Times New Roman" w:hAnsi="Times New Roman"/>
          <w:sz w:val="18"/>
          <w:szCs w:val="18"/>
          <w:i w:val="1"/>
          <w:iCs w:val="1"/>
          <w:color w:val="auto"/>
        </w:rPr>
        <w:t xml:space="preserve"> Measurement of Credit Losses on Financial Instruments. </w:t>
      </w:r>
      <w:r>
        <w:rPr>
          <w:rFonts w:ascii="Times New Roman" w:cs="Times New Roman" w:eastAsia="Times New Roman" w:hAnsi="Times New Roman"/>
          <w:sz w:val="18"/>
          <w:szCs w:val="18"/>
          <w:color w:val="auto"/>
        </w:rPr>
        <w:t>This new guidance requires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 The Company is in the process of assessing the new guidance.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Details of Certain Balance Sheet Accounts</w:t>
            </w:r>
          </w:p>
        </w:tc>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24"/>
                <w:szCs w:val="24"/>
                <w:color w:val="auto"/>
              </w:rPr>
            </w:pPr>
          </w:p>
        </w:tc>
        <w:tc>
          <w:tcPr>
            <w:tcW w:w="20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452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32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27,356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receivables</w:t>
            </w:r>
          </w:p>
        </w:tc>
        <w:tc>
          <w:tcPr>
            <w:tcW w:w="2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16,636</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Tenant improvement allowances receivable</w:t>
            </w: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4,206</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uncollectible accounts</w:t>
            </w:r>
          </w:p>
        </w:tc>
        <w:tc>
          <w:tcPr>
            <w:tcW w:w="2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50,735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5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Details of Certain Balance Sheet Accounts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18"/>
                <w:szCs w:val="18"/>
                <w:color w:val="auto"/>
              </w:rPr>
            </w:pPr>
          </w:p>
        </w:tc>
        <w:tc>
          <w:tcPr>
            <w:tcW w:w="20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32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57,844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59,946</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56,076</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111,894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5" w:lineRule="exact"/>
        <w:rPr>
          <w:sz w:val="20"/>
          <w:szCs w:val="20"/>
          <w:color w:val="auto"/>
        </w:rPr>
      </w:pPr>
    </w:p>
    <w:p>
      <w:pPr>
        <w:ind w:left="40" w:right="560" w:hanging="5"/>
        <w:spacing w:after="0" w:line="262" w:lineRule="auto"/>
        <w:tabs>
          <w:tab w:leader="none" w:pos="28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-216535</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18"/>
                <w:szCs w:val="18"/>
                <w:color w:val="auto"/>
              </w:rPr>
            </w:pP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and building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160,958</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systems hardware and software</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48,992</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207,113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186,499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40,697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under finance leases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628,711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568,033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256,642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212,916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372,069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355,117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24"/>
                <w:szCs w:val="24"/>
                <w:color w:val="auto"/>
              </w:rPr>
            </w:pP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20,529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Self-insurance reserves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management and services agreement</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14,179</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101,556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81,004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320" w:type="dxa"/>
            <w:vAlign w:val="bottom"/>
          </w:tcPr>
          <w:p>
            <w:pPr>
              <w:spacing w:after="0"/>
              <w:rPr>
                <w:sz w:val="24"/>
                <w:szCs w:val="24"/>
                <w:color w:val="auto"/>
              </w:rPr>
            </w:pP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5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32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Tenant improvements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2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30,851</w:t>
            </w: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Deferred rental expenses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Self-insurance reserves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53,964</w:t>
            </w:r>
          </w:p>
        </w:tc>
        <w:tc>
          <w:tcPr>
            <w:tcW w:w="0" w:type="dxa"/>
            <w:vAlign w:val="bottom"/>
          </w:tcPr>
          <w:p>
            <w:pPr>
              <w:spacing w:after="0"/>
              <w:rPr>
                <w:sz w:val="1"/>
                <w:szCs w:val="1"/>
                <w:color w:val="auto"/>
              </w:rPr>
            </w:pPr>
          </w:p>
        </w:tc>
      </w:tr>
      <w:tr>
        <w:trPr>
          <w:trHeight w:val="20"/>
        </w:trPr>
        <w:tc>
          <w:tcPr>
            <w:tcW w:w="6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40" w:right="300" w:hanging="5"/>
        <w:spacing w:after="0" w:line="265" w:lineRule="auto"/>
        <w:tabs>
          <w:tab w:leader="none" w:pos="28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Tenant improvements and deferred rental expenses are used to measure ROU assets on the balance sheet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 of September 28, 2019. See Note 8. “Leases”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-217805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ectPr>
          <w:pgSz w:w="11900" w:h="16838" w:orient="portrait"/>
          <w:cols w:equalWidth="0" w:num="1">
            <w:col w:w="11420"/>
          </w:cols>
          <w:pgMar w:left="240" w:top="310" w:right="239" w:bottom="563"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10" w:right="239" w:bottom="563"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 of Financial Assets and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inputs are based upon unadjusted quoted prices for identical instruments traded in active markets.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cash and cash equivalents approximates fair value due to the short-term maturity of the instruments. All cash and cash equivalents are denominated in U.S. currency.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accounts receivable approximates fair value due to the short-term nature of those items and the effect of related allowances for doubtful accounts.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Other Payables and Accrued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other payables and accrued expenses approximate fair value due to the short-term nature of those items.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 Term Loan and Revolving Credit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borrowings under the Term Loan (as defined below) and revolving credit facility utilize variable interest rate setting mechanisms such as LIBOR, the fair values of these borrowings are deemed to approximate the carrying values. Refer to Note 4. “Long-term Debt” for additional information on the Term Loan and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 Obligations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finance lease obligations is based on estimated future contractual cash flows discounted at an appropriate market rate of interest (Level 2 inputs). The estimated fair values of our finance leases were $39.4 million and $30.7 million as of September 28, 2019 and December 29, 2018, respectively, compared to carrying values of $34.2 million and $24.5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three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 During the first quarter of 2019, in accordance with the original agreements with the counterparties, the notional amount of the first derivative decreased from $140.0 million to $105.0 million. There were no other changes in the terms of the arrangements.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 of Financial Assets and Liabilities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swaps prior to their scheduled expiration dates. Fair value is based on information that is model-driven and whose inputs are observable (Level 2 inputs). Cumulative unrealized losses on derivative instruments are recorded in accumulated other comprehensive loss (“AOCL”), net of tax. As of September 28, 2019, the Company expects to reclassify $4.7 million of unrealized losses on derivative instruments, net of tax, from AOCL into earnings in the next 12 months as the derivative instruments mature. See Note 12. “Accumulated Other Comprehensive Loss” for further details.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cash flows of each derivative are expected to be highly effective in offsetting the changes in interest payments on a principal balance equal to the derivative’s notional amount, attributable to the hedged risk. Our hedges have been deemed highly effective since inception as a result of our quarterly hedge effectiveness testing.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Other Payables and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4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Notional Amount</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Maturity Date</w:t>
            </w:r>
          </w:p>
        </w:tc>
        <w:tc>
          <w:tcPr>
            <w:tcW w:w="140" w:type="dxa"/>
            <w:vAlign w:val="bottom"/>
          </w:tcPr>
          <w:p>
            <w:pPr>
              <w:spacing w:after="0"/>
              <w:rPr>
                <w:sz w:val="22"/>
                <w:szCs w:val="22"/>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1700" w:type="dxa"/>
            <w:vAlign w:val="bottom"/>
            <w:gridSpan w:val="2"/>
          </w:tcPr>
          <w:p>
            <w:pPr>
              <w:jc w:val="right"/>
              <w:spacing w:after="0" w:line="262" w:lineRule="exact"/>
              <w:rPr>
                <w:sz w:val="20"/>
                <w:szCs w:val="20"/>
                <w:color w:val="auto"/>
              </w:rPr>
            </w:pPr>
            <w:r>
              <w:rPr>
                <w:rFonts w:ascii="Times New Roman" w:cs="Times New Roman" w:eastAsia="Times New Roman" w:hAnsi="Times New Roman"/>
                <w:sz w:val="18"/>
                <w:szCs w:val="18"/>
                <w:color w:val="auto"/>
              </w:rPr>
              <w:t xml:space="preserve">AOCL, Net of Tax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05"/>
        </w:trPr>
        <w:tc>
          <w:tcPr>
            <w:tcW w:w="2420" w:type="dxa"/>
            <w:vAlign w:val="bottom"/>
            <w:tcBorders>
              <w:top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As of</w:t>
            </w: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28,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430,000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25"/>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As of</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465,000</w:t>
            </w: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hanging="328"/>
        <w:spacing w:after="0"/>
        <w:tabs>
          <w:tab w:leader="none" w:pos="66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stranded tax benefit of $2.1 million within AOCL from adopting provisions of the Tax Cuts and Jobs Act of 2017 during the year ended December 30, 2017.</w:t>
      </w:r>
    </w:p>
    <w:p>
      <w:pPr>
        <w:spacing w:after="0" w:line="163"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52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29, 2018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Lien - Term Loan B</w:t>
            </w:r>
          </w:p>
        </w:tc>
        <w:tc>
          <w:tcPr>
            <w:tcW w:w="1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364,300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Lien - Term Loan A</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Lien - Term Loan, due July 18, 2024</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Lien - Revolving credit facility, due July 18, 2024</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 loans before unamortized discount</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discount</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term loans</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563,804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553,627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loans - non-current portion</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548,627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1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 and unamortized debt discount</w:t>
            </w:r>
          </w:p>
        </w:tc>
        <w:tc>
          <w:tcPr>
            <w:tcW w:w="17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584,250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570,545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72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ind w:left="390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02"/>
        </w:trPr>
        <w:tc>
          <w:tcPr>
            <w:tcW w:w="926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 (continued)</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67"/>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Scheduled maturities of the Term Loan and revolving credit facility are as follows:</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86"/>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Period</w:t>
            </w:r>
          </w:p>
        </w:tc>
        <w:tc>
          <w:tcPr>
            <w:tcW w:w="62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 fourth quarter</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2,625</w:t>
            </w: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w:t>
            </w: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13,125</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510,250</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9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568,000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 Joinder and Amendment and Restatement Agreement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2019 (the “Closing Date”), the credit agreement, dated as of October 9, 2018 (the “Existing Credit Agreement”), by and among Nautilus Acquisition Holdings, Inc. (“Holdings”), a Delaware corporation and a wholly-owned subsidiary of the Company, NVI, Goldman Sachs Bank USA, as administrative agent and collateral agent, and the lenders from time to time party thereto and the other parties thereto, was amended and restated pursuant to that certain Joinder and Amendment and Restatement Agreement, dated as of July 18, 2019 (the “Restatement Agreement”) by and among Holdings, NVI, as borrower, certain subsidiaries of NVI, as guarantors, Goldman Sachs Bank USA, as former administrative agent and collateral agent, Bank of America, N.A., as new administrative agent and collateral agent, and the lenders from time to time party thereto (the Existing Credit Agreement, as amended and restated by the Restatement Agreement, the “Credit Agreement”).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Existing Credit Agreement was amended and restated to, among other things, (i) establish new first lien term loans in an aggregate principal amount of $420.0 million (“Term Loan”) to repay all principal, interest fees and other amounts outstanding under the Existing Credit Agreement immediately prior to the Closing Date, (ii) establish a new revolving credit facility in an aggregate principal amount of $300.0 million, of which $148.0 million was drawn as of closing and (iii) replace Goldman Sachs Bank USA with Bank of America, N.A. as administrative agent and collateral agent under the Credit Agreement and related documentation. In connection with the principal repayments of our existing debt, the Company wrote off associated deferred debt issuance costs of $6.0 million and associated unamortized debt discount of $3.8 million, in the third quarter of 2019.</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Restatement Agreement, the initial new Applicable Margins, as defined in the Credit Agreement, are (i) 1.50% for the new first lien term loans that are London Inter-bank Offered Rate (“LIBOR”) Loans and (ii) 0.50% for the new first lien term loans that are Alternative Base Rate (“ABR”) Loans. The Restatement Agreement further provides that following the Closing Date, the above Applicable Margins for the new first lien term loans will be based on NVI’s consolidated first lien leverage ratio as follows: (a) if NVI’s consolidated first lien leverage ratio is greater than 3.75 to 1.00, the Applicable Margin will be 2.00% for LIBOR Loans and 1.00% for ABR Loans, (b) if NVI’s consolidated first lien leverage ratio is less than or equal to 3.75 to 1.00, but greater than 2.75 to 1.00, the Applicable Margin will be 1.75% for LIBOR Loans and 0.75% for ABR Loans, (c) if NVI’s consolidated first lien leverage ratio is less than or equal to 2.75 to 1.00 but greater than 1.75 to 1.00, the Applicable Margin will be 1.50% for LIBOR Loans and 0.50% for ABR Loans, (d) if NVI’s consolidated first lien leverage ratio is less than or equal to 1.75 to 1.00 but greater than 0.75 to 1.00, the Applicable Margin will be 1.25% for LIBOR Loans and 0.25% for ABR Loans and (e) if NVI’s consolidated first lien leverage ratio is less than or equal to 0.75 to 1.00, the Applicable Margin will be 1.00% for LIBOR Loans and 0.00% for ABR Loans. The new first lien term loans will amortize in quarterly installments equal to 2.50% per annum in the first three years of the loan and 5.00% per annum thereafter.</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pursuant to the Restatement Agreement, solely with respect to the Term Loan, commencing on the fiscal quarter ending on December 28, 2019, Holdings will not permit (i) the Consolidated Total Debt to Consolidated EBITDA Ratio, as defined in the Credit Agreement, as of the last day of any fiscal quarter of Holdings to be greater than 4.75 to 1.00 for the first two years, and 4.50 to 1.00 thereafter, subject to certain step-ups after the consummation of a Material Acquisition, as defined in the Credit Agreement, or (ii) the Consolidated Interest Coverage Ratio of Holdings, as defined in the Credit Agreement, as of the last day of any fiscal quarter of Holdings to be less than 3.00 to 1.00.</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Incentive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stock based compensation activity for the nine months ended September 28,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Performance-based</w:t>
            </w:r>
          </w:p>
        </w:tc>
        <w:tc>
          <w:tcPr>
            <w:tcW w:w="1800" w:type="dxa"/>
            <w:vAlign w:val="bottom"/>
          </w:tcPr>
          <w:p>
            <w:pPr>
              <w:spacing w:after="0"/>
              <w:rPr>
                <w:sz w:val="18"/>
                <w:szCs w:val="18"/>
                <w:color w:val="auto"/>
              </w:rPr>
            </w:pPr>
          </w:p>
        </w:tc>
      </w:tr>
      <w:tr>
        <w:trPr>
          <w:trHeight w:val="261"/>
        </w:trPr>
        <w:tc>
          <w:tcPr>
            <w:tcW w:w="5720" w:type="dxa"/>
            <w:vAlign w:val="bottom"/>
          </w:tcPr>
          <w:p>
            <w:pPr>
              <w:spacing w:after="0"/>
              <w:rPr>
                <w:sz w:val="22"/>
                <w:szCs w:val="22"/>
                <w:color w:val="auto"/>
              </w:rPr>
            </w:pPr>
          </w:p>
        </w:tc>
        <w:tc>
          <w:tcPr>
            <w:tcW w:w="1960" w:type="dxa"/>
            <w:vAlign w:val="bottom"/>
            <w:gridSpan w:val="2"/>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Service-based options </w:t>
            </w:r>
            <w:r>
              <w:rPr>
                <w:rFonts w:ascii="Times New Roman" w:cs="Times New Roman" w:eastAsia="Times New Roman" w:hAnsi="Times New Roman"/>
                <w:sz w:val="25"/>
                <w:szCs w:val="25"/>
                <w:color w:val="auto"/>
                <w:vertAlign w:val="superscript"/>
              </w:rPr>
              <w:t>(1)</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 options</w:t>
            </w:r>
          </w:p>
        </w:tc>
      </w:tr>
      <w:tr>
        <w:trPr>
          <w:trHeight w:val="244"/>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29, 2018</w:t>
            </w:r>
          </w:p>
        </w:tc>
        <w:tc>
          <w:tcPr>
            <w:tcW w:w="1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2,583,380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4,143,781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6,727,161</w:t>
            </w: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299,207</w:t>
            </w:r>
          </w:p>
        </w:tc>
        <w:tc>
          <w:tcPr>
            <w:tcW w:w="1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299,207</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(644,766)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(987,340)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(1,632,106)</w:t>
            </w: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(1,258,280)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(1,276,112)</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28, 2019</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2,219,989</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1,898,161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4,118,150</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exercisable at September 28, 2019</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1,386,225</w:t>
            </w:r>
          </w:p>
        </w:tc>
        <w:tc>
          <w:tcPr>
            <w:tcW w:w="12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1,767,727</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3,153,952</w:t>
            </w:r>
          </w:p>
        </w:tc>
      </w:tr>
    </w:tbl>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Includes service-based options under the Vision Holding Corp. Amended and Restated 2013 Equity Incentive Plan, the 2014 Stock Incentive Plan, and the 2017 Omnibus Incentive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Performance-based</w:t>
            </w:r>
          </w:p>
        </w:tc>
        <w:tc>
          <w:tcPr>
            <w:tcW w:w="18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Service-based restricted</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restricted stock unit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Restricted stock (RSA)</w:t>
            </w:r>
          </w:p>
        </w:tc>
      </w:tr>
      <w:tr>
        <w:trPr>
          <w:trHeight w:val="234"/>
        </w:trPr>
        <w:tc>
          <w:tcPr>
            <w:tcW w:w="572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unit (RSU) awards</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(PSU) awards</w:t>
            </w: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awards</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29, 2018</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98,076</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11,431</w:t>
            </w: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108,256</w:t>
            </w: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115,665</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13,712</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28, 2019</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196,499</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113,391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20,628</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28, 2019, the Company made grants of stock options, performance-based restricted stock units (“PSUs”) and/or restricted stock units (“RSUs”) to eligible employees under the National Vision Holdings, Inc. 2017 Omnibus Incentive Plan (the “2017 Omnibus Incentive Plan”). The service-based options granted in fiscal 2019 vest in three equal annual installments, with one-third of the total options vesting on each of the first, second, and third anniversaries of the grant date, subject to continued employment through the applicable vesting date. The PSUs granted in fiscal 2019 are settled after the end of the performance period (i.e., cliff vesting), which begins on the first day of our 2019 fiscal year and ends on the last day of our 2021 fiscal year, and are based on the Company’s achievement of certain performance targets. The RSUs granted in fiscal 2019 vest in three equal installments. The weighted average grant date fair values per share of RSUs and PSUs granted during the nine months ended September 28, 2019 were $34.82 and $34.54, respectively.</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28, 2019, we granted an aggregate of 13,712 restricted stock awards (“RSAs”) to eligible members of the Company’s Board of Directors under the 2017 Omnibus Incentive Plan. The awards vest one year from the grant date. The weighted average grant date fair value per share of each of the awards, based on the stock price on the date of grant, was $29.18.</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price of stock options exercised during the nine months ended September 28, 2019 was $5.77. The weighted average grant date fair value of the stock options granted during the nine months ended September 28, 2019 was $13.68.</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compensation expense under the Company’s plans, which is included in SG&amp;A in the accompanying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29, 2018</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29,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and PSUs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RSAs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Associate stock purchase plan</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Incentive Plans (continued)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unrecognized compensation cost as of September 28, 2019 related to RSUs, PSUs, RSAs and service-based stock options granted in 2019 was $2.7 million, $3.2 million, $0.3 million and $3.3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KKR</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28, 2019, KKR Capital Markets LLC acted as a lead arranger with respect to the refinancing of our Credit Agreement, and received $1.0 million in fees in connection therewith. See Note 4. “Long-term Debt” for additional information on the refinancing.</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28, 2019, the Company completed a secondary offering pursuant to which KKR Vision Aggregator L.P. sold 9,149,908 shares of the Company’s common stock in an underwritten offering. See Note 1. “Description of Business and Basis of Presentation-Secondary Offering and Common Stock Repurchase” for further details.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Assets of Non-Consolidated Investee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Our interest in the investee’s net losses was $0.2 million and $1.2 million for the three and nine months ended September 28, 2019, respectively and $0.4 million and $1.0 million for the three and nine months ended September 29, 2018, respectively. There is no remaining investment balance associated with this investee as of September 28, 2019.</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2017, the investee issued a secured convertible promissory note to the Company, in the principal amount of $1.5 million, due on August 29, 2020. The net carrying amount of the convertible promissory note after applying the investee’s net losses of $0.2 million was $1.3 million, and is included in prepaid expenses and other current assets in the accompanying condensed consolidated balance sheets as of September 28, 2019. Interest income associated with the note was immaterial for the three and nine months ended September 28, 2019 and September 29,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from Contracts with Customers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recognized either at the point of sale or upon delivery and customer acceptance, paid for at the time of sale in cash, credit card, or on account with managed care payors having terms generally between 14 and 120 days, with most paying within 90 days.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is based on the timing of revenue recognition: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33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29, 2018</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394,709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1,211,942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1,075,355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110,626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105,577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431,902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387,425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1,322,568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1,180,932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From Contracts with Customers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contract assets and contract liabilities primarily result from timing differences between the performance of our obligations and the customer’s payment.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Trade receivables and credit card receivables are included in accounts receivable, net, on our condensed consolidated balance sheets, and are presented separately in Note 2. “Details of Certain Balance Sheet Accounts.”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reduced by allowances for amounts that may become uncollectible. Estimates of our allowance for uncollectible accounts are based on our historical and current operating, billing, and collection trends. Impairment losses (i.e., bad debt expense) recognized on our receivables were approximately $2.4 million and $6.3 million for the three and nine months ended September 28, 2019, respectively, and $1.7 million and $5.0 million for the three and nine months ended September 29, 2018,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four to 10 days. All unearned revenue at the end of a reporting period is recognized in the next fiscal period.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 liabilities also consist of deferred revenue on services and plans obligations, primarily product protection plans and eye care club memberships. The unamortized portion of amounts we collect in advance for these services and plans is reported as deferred revenue in the accompanying condensed consolidated balance sheets (current and non-current portions). Our deferred revenue balance as of September 28, 2019 was $79.3 million. We expect future revenue recognition of this balance of $20.3 million, $42.2 million, $13.4 million, $3.2 million, and $0.2 million in fiscal years 2019, 2020, 2021, 2022, and thereafter, respectively. We recognized $27.9 million and $83.2 million of previously deferred revenues during the three and nine months ended September 28, 2019, respectively and $26.5 million and $78.5 million during the three and nine months ended September 29, 2018,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our stores, laboratories, distribution centers, and corporate offices. These leases generally have noncancellable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agreements do not contain any material residual value guarantees or material restrictive covenants. The Company does not consider its management and services agreement with its legacy partner to contain a lease arrangement.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lease arrangements include TIAs, which are contractual amounts received from a lessor for improvements made to leased properties by the Company. For operating leases, TIAs are treated as a reduction of the lease payments used to measure the ROU assets in the accompanying consolidated balance sheet as of September 28, 2019 (non-current liabilities as of December 29, 2018), and are amortized as a reduction in rental expense over the life of the respective leases.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finance leases, a lease ROU asset is recorded as property and equipment and corresponding amounts are recorded as finance lease debt obligations at an amount equal to the lesser of the net present value of minimum lease payments to be made over the lease term or the fair value of the property for leases in existence as of fiscal year end 2018 and at the net present value of the minimum lease payments to be made over the lease term for new finance leases entered into subsequent to fiscal year end 2018.</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rent or sublease certain parts of our stores to third parties. Our sublease portfolio consists mainly of operating leases with our ophthalmologists and optometrists within our stores.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1240" w:type="dxa"/>
            <w:vAlign w:val="bottom"/>
            <w:vMerge w:val="continue"/>
          </w:tcPr>
          <w:p>
            <w:pPr>
              <w:spacing w:after="0"/>
              <w:rPr>
                <w:sz w:val="20"/>
                <w:szCs w:val="20"/>
                <w:color w:val="auto"/>
              </w:rPr>
            </w:pPr>
          </w:p>
        </w:tc>
        <w:tc>
          <w:tcPr>
            <w:tcW w:w="7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September 28, 2019</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Type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29,314</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7780" w:type="dxa"/>
            <w:vAlign w:val="bottom"/>
            <w:tcBorders>
              <w:bottom w:val="single" w:sz="8" w:color="CCEEFF"/>
            </w:tcBorders>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Right of use assets </w:t>
            </w:r>
            <w:r>
              <w:rPr>
                <w:rFonts w:ascii="Times New Roman" w:cs="Times New Roman" w:eastAsia="Times New Roman" w:hAnsi="Times New Roman"/>
                <w:sz w:val="25"/>
                <w:szCs w:val="25"/>
                <w:color w:val="auto"/>
                <w:vertAlign w:val="superscript"/>
              </w:rPr>
              <w:t>(a)</w:t>
            </w:r>
          </w:p>
        </w:tc>
        <w:tc>
          <w:tcPr>
            <w:tcW w:w="30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344,179</w:t>
            </w: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373,493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Pr>
          <w:p>
            <w:pPr>
              <w:spacing w:after="0"/>
              <w:rPr>
                <w:sz w:val="20"/>
                <w:szCs w:val="20"/>
                <w:color w:val="auto"/>
              </w:rPr>
            </w:pPr>
          </w:p>
        </w:tc>
        <w:tc>
          <w:tcPr>
            <w:tcW w:w="77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56,814</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30,946</w:t>
            </w: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326,492</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40" w:type="dxa"/>
            <w:vAlign w:val="bottom"/>
            <w:tcBorders>
              <w:bottom w:val="single" w:sz="8" w:color="CCEEFF"/>
            </w:tcBorders>
            <w:shd w:val="clear" w:color="auto" w:fill="CCEEFF"/>
          </w:tcPr>
          <w:p>
            <w:pPr>
              <w:spacing w:after="0"/>
              <w:rPr>
                <w:sz w:val="22"/>
                <w:szCs w:val="22"/>
                <w:color w:val="auto"/>
              </w:rPr>
            </w:pPr>
          </w:p>
        </w:tc>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417,488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40" w:right="420"/>
        <w:spacing w:after="0" w:line="262" w:lineRule="auto"/>
        <w:rPr>
          <w:sz w:val="20"/>
          <w:szCs w:val="20"/>
          <w:color w:val="auto"/>
        </w:rPr>
      </w:pPr>
      <w:r>
        <w:rPr>
          <w:rFonts w:ascii="Times New Roman" w:cs="Times New Roman" w:eastAsia="Times New Roman" w:hAnsi="Times New Roman"/>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 TIA of $34.2 million and deferred rent of $14.2 million are treated as reductions of lease payments used to measure ROU assets as of September 28, 2019.</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Finance lease assets are recorded net of accumulated amortization of $7.1 million and $4.1 million as of September 28, 2019 and December 30, 2018,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7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September 28, 2019</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28, 2019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Lease cost by classification</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5"/>
                <w:szCs w:val="25"/>
                <w:color w:val="auto"/>
                <w:vertAlign w:val="superscript"/>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54,955</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5"/>
                <w:szCs w:val="25"/>
                <w:color w:val="auto"/>
                <w:vertAlign w:val="superscript"/>
              </w:rPr>
              <w:t>(b)</w:t>
            </w:r>
          </w:p>
        </w:tc>
        <w:tc>
          <w:tcPr>
            <w:tcW w:w="16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5"/>
                <w:szCs w:val="25"/>
                <w:color w:val="auto"/>
                <w:vertAlign w:val="superscript"/>
              </w:rPr>
              <w:t>(c)</w:t>
            </w:r>
          </w:p>
        </w:tc>
        <w:tc>
          <w:tcPr>
            <w:tcW w:w="16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97"/>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77,797</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hanging="245"/>
        <w:spacing w:after="0"/>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41" w:lineRule="exact"/>
        <w:rPr>
          <w:rFonts w:ascii="Times New Roman" w:cs="Times New Roman" w:eastAsia="Times New Roman" w:hAnsi="Times New Roman"/>
          <w:sz w:val="14"/>
          <w:szCs w:val="14"/>
          <w:color w:val="auto"/>
        </w:rPr>
      </w:pPr>
    </w:p>
    <w:p>
      <w:pPr>
        <w:ind w:left="40" w:right="340" w:hanging="5"/>
        <w:spacing w:after="0" w:line="261" w:lineRule="auto"/>
        <w:tabs>
          <w:tab w:leader="none" w:pos="2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well as lease costs above minimum thresholds for Fred Meyer stores and lease costs for Military stores.</w:t>
      </w:r>
    </w:p>
    <w:p>
      <w:pPr>
        <w:ind w:left="280" w:hanging="245"/>
        <w:spacing w:after="0"/>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operating lease properties to ophthalmologists and optometrists who are independent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-447040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24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8940" w:type="dxa"/>
            <w:vAlign w:val="bottom"/>
            <w:gridSpan w:val="2"/>
            <w:vMerge w:val="continue"/>
          </w:tcPr>
          <w:p>
            <w:pPr>
              <w:spacing w:after="0"/>
              <w:rPr>
                <w:sz w:val="20"/>
                <w:szCs w:val="20"/>
                <w:color w:val="auto"/>
              </w:rPr>
            </w:pPr>
          </w:p>
        </w:tc>
        <w:tc>
          <w:tcPr>
            <w:tcW w:w="2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September 28, 2019</w:t>
            </w:r>
          </w:p>
        </w:tc>
        <w:tc>
          <w:tcPr>
            <w:tcW w:w="0" w:type="dxa"/>
            <w:vAlign w:val="bottom"/>
          </w:tcPr>
          <w:p>
            <w:pPr>
              <w:spacing w:after="0"/>
              <w:rPr>
                <w:sz w:val="1"/>
                <w:szCs w:val="1"/>
                <w:color w:val="auto"/>
              </w:rPr>
            </w:pPr>
          </w:p>
        </w:tc>
      </w:tr>
      <w:tr>
        <w:trPr>
          <w:trHeight w:val="27"/>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Weighted average remaining lease term (months)</w:t>
            </w:r>
          </w:p>
        </w:tc>
        <w:tc>
          <w:tcPr>
            <w:tcW w:w="2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894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i w:val="1"/>
                <w:iCs w:val="1"/>
                <w:color w:val="auto"/>
              </w:rPr>
              <w:t xml:space="preserve">Weighted average discount rate </w:t>
            </w:r>
            <w:r>
              <w:rPr>
                <w:rFonts w:ascii="Times New Roman" w:cs="Times New Roman" w:eastAsia="Times New Roman" w:hAnsi="Times New Roman"/>
                <w:sz w:val="25"/>
                <w:szCs w:val="25"/>
                <w:i w:val="1"/>
                <w:iCs w:val="1"/>
                <w:color w:val="auto"/>
                <w:vertAlign w:val="superscript"/>
              </w:rPr>
              <w:t>(a)</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90"/>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5"/>
                <w:szCs w:val="25"/>
                <w:color w:val="auto"/>
                <w:vertAlign w:val="superscript"/>
              </w:rPr>
              <w:t>(b)</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ind w:left="40" w:right="340" w:hanging="5"/>
        <w:spacing w:after="0" w:line="233" w:lineRule="auto"/>
        <w:tabs>
          <w:tab w:leader="none" w:pos="2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used to determine the lease assets and lease liabilities was derived upon considering (i) incremental borrowing rates on our long-term debt; (ii) fixed rates we pay on our interest rate swaps; (iii) LIBOR margins for issuers of similar credit rating; (iv) borrowing rates on five-year and ten-year US Treasuries; and (v) effect of collateralization. As a majority of our leases are five-year and 10-year leases, we determined a lease discount rate for such tenors and determined this discount rate is reasonable for leases that were entered into during the period.</w:t>
      </w:r>
    </w:p>
    <w:p>
      <w:pPr>
        <w:spacing w:after="0" w:line="14" w:lineRule="exact"/>
        <w:rPr>
          <w:rFonts w:ascii="Times New Roman" w:cs="Times New Roman" w:eastAsia="Times New Roman" w:hAnsi="Times New Roman"/>
          <w:sz w:val="14"/>
          <w:szCs w:val="14"/>
          <w:color w:val="auto"/>
        </w:rPr>
      </w:pPr>
    </w:p>
    <w:p>
      <w:pPr>
        <w:ind w:left="40" w:right="260" w:hanging="5"/>
        <w:spacing w:after="0" w:line="262" w:lineRule="auto"/>
        <w:tabs>
          <w:tab w:leader="none" w:pos="2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28, 2019</w:t>
            </w:r>
          </w:p>
        </w:tc>
      </w:tr>
      <w:tr>
        <w:trPr>
          <w:trHeight w:val="27"/>
        </w:trPr>
        <w:tc>
          <w:tcPr>
            <w:tcW w:w="53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Cash paid for amounts included in the measurement of lease liabilities</w:t>
            </w:r>
          </w:p>
        </w:tc>
        <w:tc>
          <w:tcPr>
            <w:tcW w:w="3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3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55,817</w:t>
            </w:r>
          </w:p>
        </w:tc>
      </w:tr>
      <w:tr>
        <w:trPr>
          <w:trHeight w:val="810"/>
        </w:trPr>
        <w:tc>
          <w:tcPr>
            <w:tcW w:w="5380" w:type="dxa"/>
            <w:vAlign w:val="bottom"/>
          </w:tcPr>
          <w:p>
            <w:pPr>
              <w:spacing w:after="0"/>
              <w:rPr>
                <w:sz w:val="24"/>
                <w:szCs w:val="24"/>
                <w:color w:val="auto"/>
              </w:rPr>
            </w:pPr>
          </w:p>
        </w:tc>
        <w:tc>
          <w:tcPr>
            <w:tcW w:w="3540" w:type="dxa"/>
            <w:vAlign w:val="bottom"/>
          </w:tcPr>
          <w:p>
            <w:pPr>
              <w:jc w:val="right"/>
              <w:ind w:right="30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our lease liabilities as of September 28, 2019:</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Operating</w:t>
            </w: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7"/>
              </w:rPr>
              <w:t xml:space="preserve">Leases </w:t>
            </w:r>
            <w:r>
              <w:rPr>
                <w:rFonts w:ascii="Times New Roman" w:cs="Times New Roman" w:eastAsia="Times New Roman" w:hAnsi="Times New Roman"/>
                <w:sz w:val="25"/>
                <w:szCs w:val="25"/>
                <w:color w:val="auto"/>
                <w:w w:val="97"/>
                <w:vertAlign w:val="superscript"/>
              </w:rPr>
              <w:t>(a)</w:t>
            </w:r>
          </w:p>
        </w:tc>
      </w:tr>
      <w:tr>
        <w:trPr>
          <w:trHeight w:val="23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2019 fourth quarter</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13,090</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77,497</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71,292</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63,978</w:t>
            </w:r>
          </w:p>
        </w:tc>
      </w:tr>
      <w:tr>
        <w:trPr>
          <w:trHeight w:val="27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56,958</w:t>
            </w:r>
          </w:p>
        </w:tc>
      </w:tr>
      <w:tr>
        <w:trPr>
          <w:trHeight w:val="270"/>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168,637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451,452</w:t>
            </w:r>
          </w:p>
        </w:tc>
      </w:tr>
      <w:tr>
        <w:trPr>
          <w:trHeight w:val="270"/>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1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68,146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r>
              <w:rPr>
                <w:rFonts w:ascii="Times New Roman" w:cs="Times New Roman" w:eastAsia="Times New Roman" w:hAnsi="Times New Roman"/>
                <w:sz w:val="25"/>
                <w:szCs w:val="25"/>
                <w:color w:val="auto"/>
                <w:vertAlign w:val="superscript"/>
              </w:rPr>
              <w:t>(c)</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-1238885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-1590040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280" w:hanging="245"/>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include $75.9 million related to options to extend lease terms that are reasonably certain of being exercised.</w:t>
      </w:r>
    </w:p>
    <w:p>
      <w:pPr>
        <w:spacing w:after="0" w:line="25" w:lineRule="exact"/>
        <w:rPr>
          <w:rFonts w:ascii="Times New Roman" w:cs="Times New Roman" w:eastAsia="Times New Roman" w:hAnsi="Times New Roman"/>
          <w:sz w:val="14"/>
          <w:szCs w:val="14"/>
          <w:color w:val="auto"/>
        </w:rPr>
      </w:pPr>
    </w:p>
    <w:p>
      <w:pPr>
        <w:ind w:left="280" w:hanging="245"/>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payments include $1.1 million related to options to extend lease terms that are reasonably certain of being exercised.</w:t>
      </w:r>
    </w:p>
    <w:p>
      <w:pPr>
        <w:spacing w:after="0" w:line="41" w:lineRule="exact"/>
        <w:rPr>
          <w:rFonts w:ascii="Times New Roman" w:cs="Times New Roman" w:eastAsia="Times New Roman" w:hAnsi="Times New Roman"/>
          <w:sz w:val="14"/>
          <w:szCs w:val="14"/>
          <w:color w:val="auto"/>
        </w:rPr>
      </w:pPr>
    </w:p>
    <w:p>
      <w:pPr>
        <w:ind w:left="240" w:hanging="205"/>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lease liabilities excludes $19.1 million of legally binding minimum lease payments for leases signed but not yet commenced.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5"/>
          <w:szCs w:val="25"/>
          <w:color w:val="auto"/>
          <w:vertAlign w:val="superscript"/>
        </w:rPr>
        <w:t>(b)</w:t>
      </w:r>
    </w:p>
    <w:p>
      <w:pPr>
        <w:spacing w:after="0" w:line="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1,398</w:t>
      </w:r>
    </w:p>
    <w:p>
      <w:pPr>
        <w:spacing w:after="0" w:line="4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7,196</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7,116</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7,051</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6,077</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20,021</w:t>
      </w:r>
    </w:p>
    <w:p>
      <w:pPr>
        <w:spacing w:after="0" w:line="7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48,859</w:t>
      </w:r>
    </w:p>
    <w:p>
      <w:pPr>
        <w:spacing w:after="0" w:line="6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14,677</w:t>
      </w:r>
    </w:p>
    <w:p>
      <w:pPr>
        <w:spacing w:after="0" w:line="7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8" w:lineRule="exact"/>
        <w:rPr>
          <w:sz w:val="20"/>
          <w:szCs w:val="20"/>
          <w:color w:val="auto"/>
        </w:rPr>
      </w:pPr>
    </w:p>
    <w:p>
      <w:pPr>
        <w:sectPr>
          <w:pgSz w:w="11900" w:h="16838" w:orient="portrait"/>
          <w:cols w:equalWidth="0" w:num="2">
            <w:col w:w="8920" w:space="140"/>
            <w:col w:w="2360"/>
          </w:cols>
          <w:pgMar w:left="240" w:top="121" w:right="23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fiscal year end 2018, aggregate future minimum rental payments under our operating leases were as follows:</w:t>
            </w: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86"/>
        </w:trPr>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4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69,372</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63,218</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56,219</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49,303</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42,545</w:t>
            </w:r>
          </w:p>
        </w:tc>
      </w:tr>
      <w:tr>
        <w:trPr>
          <w:trHeight w:val="243"/>
        </w:trPr>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126,388</w:t>
            </w: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407,045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future minimum rental payments above do not include amounts for variable executory costs such as insurance, real estate taxes and the common area maintenance. These costs were approximately $18.0 million, $14.9 million and $13.9 million during the fiscal years ended 2018,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2018, the Company renewed an eyeglass lenses supply agreement with a trade vendor effective June 2019. The Company also renewed certain other agreements with the vendor, including a cloud computing service arrangement. As a result, as previously disclosed, this arrangement includes minimum purchase commitments of approximately $30.0 million over the four year term. Additionally, during the nine months ended September 28, 2019, we entered into minimum purchase commitments with our trade vendors of approximately $17.0 million annually through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2016, FirstSight,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FirstSight participated in arrangements that caused the illegal delivery of eye examinations to the plaintiffs, and that FirstSight thereby violated, among other statutes, the Unfair Competition and False Advertising laws of California. In March 2017, the Court granted a motion to dismiss previously filed by FirstSight. The plaintiffs filed an appeal to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seeking, among other claims, unspecified damages and attorneys’ fees, and in November 2018, FirstSight filed a motion to dismiss. The Company believes that the claims are without merit and intends to continue to vigorously defend the litigation.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2017, a complaint (the “1-800 Contacts Matter”) was filed against the Company and other defendants alleging, on behalf of a proposed class of consumers who purchased contact lenses online, that 1-800 Contacts, Inc. entered into a series of agreements with the other defendants, including AC Lens, the Company’s subsidiary, to suppress certain online advertising and that each defendant thereby engaged in anticompetitive conduct in violation of the Sherman Antitrust Act. The Company has settled the 1-800 Contacts Matter for $7.0 million, without admitting liability. Accordingly, the Company recorded a charge for this amount during the second quarter of fiscal year 2017. 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Mediation has been scheduled in the first quarter of 2020. The Company continues to believe that the plaintiff’s amended complaint lacks merit and will vigorously defend the litigation.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 (continued)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is a summary of certain financial data for each of our segments. Reportable segment information is presented on the same basis as our condensed consolidated financial statements, except for net revenue and associated costs applicable to revenue, which is presented on a cash basis, including point of sales for managed care payors and excluding the effects of unearned and deferred revenue, consistent with what the chief operating decision maker (“CODM”) regularly reviews. Asset information is not included in the following summary since the CODM does not regularly review such information for the reportable segments. Our reportable segment profit measure is earnings before interest, tax, depreciation and amortization (“EBITDA”), or net revenue, less costs applicable to revenue, less selling, general and administrative costs. Depreciation and amortization, asset impairment, litigation settlement and other corporate costs that are not allocated to the reportable segments, including interest expense and debt issuance costs are excluded from segment EBITDA. There are no transactions between our reportable segments. We measure assets in our reportable segments on the same basis as consolidated assets. There have been no changes from prior periods in the measurement methods used to determine reportable segment profit or loss, and there have been no asymmetrical allocations to segments. As the reportable segments are aligned by similar economic factors, trends and customers, this disaggregation view best depicts how the nature, amount, and uncertainty of revenue and cash flows are affected by economic factors.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Three Months Ended September 28, 2019</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Legacy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355,789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431,902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144,518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59,984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131,135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204,502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190,290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23,662</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22,336</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color w:val="auto"/>
              </w:rPr>
              <w:t>Three Months Ended September 29,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Legacy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240,882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319,312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387,425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130,951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51,637</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118,113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16,452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182,588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118,988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185,028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59,454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17,261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8"/>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 September 28, 2019</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8"/>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Legacy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827,957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1,096,482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226,086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1,019,074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1,322,568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239,975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444,177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174,801</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395,685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166,534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618,978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387,345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566,444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21"/>
                <w:szCs w:val="21"/>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236,044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118,998</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63,570</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25,902</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29,526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Nine Months Ended September 29,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Legacy</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738,886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977,497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167,679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203,435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1,180,932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217,195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389,560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132,708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150,541</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349,903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51,321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137,599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540,101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521,344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205,643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27,252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(113,576)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116,521</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54,783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28,144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33,594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Revenues associated with managing operations of our legacy partner were $9.3 million and $27.5 million for the three and nine months ended September 28, 2019, respectively and $8.6 million and $27.0 million for the three and nine months ended September 29, 2018, respectively. During the nine months ended September 28, 2019, sales associated with our legacy partner arrangement represented 9.3% of consolidated net revenue. This exposes us to concentration of customer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vesting and exercise of stock options and vesting of restricted stock units. Potential shares of common stock are excluded from the computation of diluted EPS if their effect is anti-dilutive. A reconciliation of the numerators and denominators of the basic and diluted EPS calculations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33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29, 2018</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29, 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for basic EPS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for diluted EPS</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81,561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81,510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78,571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Anti-dilutive options, RSUs outstanding excluded from</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83"/>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Company’s cash flow hedge derivative instruments since inception are recorded in AOCL. The following table presents the changes in AOCL during the three and nine months ended September 28, 2019 and September 29, 2018,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Nine Months Ended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29, 2018</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29, 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 hedging activity:</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6,696</w:t>
            </w:r>
          </w:p>
        </w:tc>
        <w:tc>
          <w:tcPr>
            <w:tcW w:w="0" w:type="dxa"/>
            <w:vAlign w:val="bottom"/>
          </w:tcPr>
          <w:p>
            <w:pPr>
              <w:spacing w:after="0"/>
              <w:rPr>
                <w:sz w:val="1"/>
                <w:szCs w:val="1"/>
                <w:color w:val="auto"/>
              </w:rPr>
            </w:pPr>
          </w:p>
        </w:tc>
      </w:tr>
      <w:tr>
        <w:trPr>
          <w:trHeight w:val="225"/>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other comprehensive income (loss) before</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w:t>
            </w:r>
          </w:p>
        </w:tc>
        <w:tc>
          <w:tcPr>
            <w:tcW w:w="5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 reclassified from AOCL into interest expense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25"/>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amount reclassified from AOCL into interest</w:t>
            </w: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Net current period other comprehensive income (loss), net</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 tax</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8,809</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“Fair Value Measurements of Financial Assets and Liabilities” for a description of the Company’s use of cash flow hedging derivatives.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and the audited consolidated financial statements and “Management’s Discussion and Analysis of Financial Condition and Results of Operations” included in our Annual Report on Form 10-K filed with the Securities and Exchange Commission (the “SEC”) on February 27, 2019 (the “Annual Report”). This discussion contains forward-looking statements that reflect our plans, estimates and beliefs and involve numerous risks and uncertainties, including, but not limited to, those described in the “Risk Factors” section of the Annual Report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1,145 retail stores across five brands and 19 consumer websites as of September 28, 2019.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September 28, 2019, our owned brands consisted of 718 America’s Best Contacts and Eyeglasses (“America’s Best”) retail stores and 118 Eyeglass World retail stores. In America’s Best stores, vision care services are provided by optometrists employed by us or by independent professional corporations. America’s Best stores are primarily located in high-traffic strip centers next to nationally-known discount retailers. Eyeglass World locations primarily feature vision care services provided by independent optometrists and on-site optical laboratories that enable stores to quickly fulfill many customer orders and make repairs on site. Eyeglass World stores are primarily located in freestanding or in-suite locations near high-foot-traffic shopping centers. Our host brands consisted of 54 Vista Optical locations on military bases and 29 Vista Optical locations within Fred Meyer stores as of September 28, 2019. We have strong, long-standing relationships with our host partners and have maintained each partnership for over 19 years. These brands provide eye exams principally by independent optometrists. All brands utilize our centralized laboratories. This segment also includes sales from our America’s Best, Eyeglass World, and Military omni-channel websites.</w:t>
      </w:r>
    </w:p>
    <w:p>
      <w:pPr>
        <w:spacing w:after="0" w:line="8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 We manage the operations of, and supply inventory and laboratory processing services to, 226 Vision Centers in Walmart retail locations as of September 28, 2019. Under our management &amp; services agreement with Walmart,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doctors or doctors employed by us or by independent professional corporations. During the nine months ended September 28, 2019, sales associated with our legacy partner arrangement represented 9.3% of consolidated net revenue. This exposes us to concentration of customer risk. Our agreements with our legacy partner expire on August 23, 2020, and will automatically renew for a three-year period unless a party elects not to renew.</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5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platform of 15 dedicated websites managed by our wholly-owned subsidiary, Arlington Contact Lens Service, Inc.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Lens also distributes contact lenses wholesale to Walmart and Sam’s Club. We incur costs at a higher percentage of sales than other product categories.</w:t>
      </w: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care business conducted by FirstSight Vision Services, Inc.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consolidated financial statements, except reportable segment sales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Unearned revenue represents the timing difference of when we collect cash from the customer and delivery/customer acceptance, and includes sales of prescription eyewear during the last week to 10 days of the reporting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trends and other factors will affect or have affected our operating results, including: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store opening date, the time of year of a particular opening, the amount of store pre-opening costs, labor and occupancy costs in the specified market, level of participation in managed care plans, and location, including whether they are in new or existing markets. We typically incur higher than normal employee costs at the time of a new store opening associated with set-up and other opening costs, including training and development of our store associates. The multi-year maturation process of our stores is influenced by customer purchasing behavior in our industry. Consumers return for eye exams every 20 months on average and a substantial majority of our customers are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optometric professionals, store management and store personnel, which, together with increased marketing costs, may affect our operating margins.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Store Sales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store sales growth is a key driver of our business. Many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 including amount and timing of tax refunds;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strategies;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managed care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nature of eye care purchases;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customer preferences and trends;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an assortment of high quality/low cost product offerings that generate new and repeat visits to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 traffic in retail shopping centers where our stores are predominantly located;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experience we provide in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vision care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optometrist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receive products accurately and timely;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including promotional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items purchased per store visit;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that have been in operation for more than 12 months;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and timing of weather related store closures.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and legacy partners.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Care and Insurance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managed care business relates to vision care programs and associated benefits which are either: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increasing percentage of our customers receive vision care insurance coverage through managed care payors. Our participation in these programs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future operational success could depend on our ability to negotiate, maintain and extend contracts with managed vision care companies, vision insurance providers and other third-party payors, several of whom have significant market share. In addition, as our participation in managed care programs continues to approach overall industry penetration levels, we expect our associated managed care revenue growth rate to slow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Vision Care Professional Recruitment and Coverage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continue to attract and retain qualified vision care professionals is key to store operations, as well as maintaining our relationships with independent optometrists and professional corporations owned by eye care practitioners that provide vision care services in our stores.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During periods of economic downturn and uncertainty, our customers benefit from our low prices. However, eye care purchases are predominantly a medical necessity and are considered non-discretionary in nature. Therefore, the overall economic environment and related changes in consumer behavior may have less of an impact on our business than for retailers in other industries.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 and Demand</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and contact lens customers order new lenses every six to 12 months, reflecting the predictability of these recurring purchase behaviors.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results of operations reflect the impact of our ongoing investments in infrastructure to support our growth. We have made significant investments in information technology systems, supply chain systems, marketing, and personnel, including experienced industry executives, and management and merchandising teams to support our long-term growth objectives. We intend to continue to make targeted investments in our infrastructure to support our growth.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Strategy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Source and Distribute Products Effectively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We rely on a small number of vendors to supply the majority of our eyeglass frames, eyeglass lenses and contact lenses, and are thus exposed to supplier concentration risk. In particular, we have agreed to exclusively purchase almost all of our spectacle lenses from one supplier.</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source merchandise from suppliers located in China, a significant amount of our domestically-purchased merchandise is manufactured in China, and one of our outsourced optometric labs is located in China. Historically, tariffs have not materially affected our financial results, and we believe that less than 16% of costs applicable to revenue are subject to tariffs on Chinese imports. Effective September 1, 2019, the U.S. government implemented a 15% tariff on specified products imported into the U.S. from China. While costs with respect to products subject to these tariffs have increased, we have implemented mitigation plans and continue to focus on additional mitigation strategies to offset the impact of tariffs. If we are unable to mitigate the full impact of the enacted tariffs or if there is a further escalation of tariffs, costs on a significant portion of our products may increase further and our financial results may be negatively affected. While it is too early to predict how the China tariffs will impact our business, our financial results may also be impacted by consumers’ fear of a prolonged trade war with China and an economic slowdown.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Results and Seasonality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or changes in the amount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of the next fiscal year due to our policy of recognizing revenue only after the product has been accepted by the customer.</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optical retail industry is highly competitive and fragmented. Competition is generally based upon brand name recognition, price, convenience, selection, service and product quality. We operate within the value segment of the U.S. optical retail industry, which emphasizes price and value. We compete with mass merchants, specialty retail chains, online retailers and independent eye practitioners and opticians. We also compete with large national retailers such as, in alphabetical order, LensCrafters, Pearle Vision and Visionworks.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in the Industry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recently completed merger of large, global competitors and other consolidation activity has created, and further consolidation activity may create, organizations that are involved in virtually every sector of the optical industry, from retail and wholesale to frames, spectacle lenses, and managed vision care. This increased consolidation activity may enable these companies to benefit from purchasing advantages and the ability to leverage management capabilities across a larger business base. Other trends include an increase in private equity-backed consolidation of smaller and mid-size independent practices and the formation of buying groups and similar forms of practice affiliations.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EBITDA, Adjusted EBITDA Margin and Adjusted Net Income.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includes fees we earn for managing certain Vision Centers located in Walmart stores and for laboratory services provided to Walmart.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or SG&amp;A, include store associate (including optician) payroll, taxes and benefits, occupancy, advertising and promotion, field supervision,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and will continue to have, an impact on our results as described above in “Trends and Other Factors Affecting Our Business.”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and Adjusted Net Income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income, plus interest expense, income tax provision (benefit) and depreciation and amortization, as further adjusted to exclude stock compensation expense, asset impairment, new store pre-opening expenses, non-cash rent, secondary offering expenses, management realignment expense, long-term incentive plan expense, loss on extinguishment of debt and other expenses. We define Adjusted EBITDA Margin as Adjusted EBITDA as a percentage of total net revenue. We define Adjusted Net Income as net income, adjusted to exclude stock compensation expense, asset impairment, new store pre-opening expenses, non-cash rent, secondary offering expenses, management realignment expense, long-term incentive plan expense, loss on extinguishment of debt, other expenses, amortization of acquisition intangibles and deferred financing costs, the tax benefit of stock option exercises, effect of the Tax Cuts and Jobs Act, and the tax effect of adjustments. Adjusted EBITDA, Adjusted EBITDA Margin and Adjusted Net Income are key metrics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6"/>
          </w:tcPr>
          <w:p>
            <w:pPr>
              <w:jc w:val="right"/>
              <w:ind w:right="93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store data</w:t>
            </w: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2"/>
            <w:vMerge w:val="continue"/>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September 29, 2018</w:t>
            </w:r>
          </w:p>
        </w:tc>
        <w:tc>
          <w:tcPr>
            <w:tcW w:w="120" w:type="dxa"/>
            <w:vAlign w:val="bottom"/>
          </w:tcPr>
          <w:p>
            <w:pPr>
              <w:spacing w:after="0"/>
              <w:rPr>
                <w:sz w:val="20"/>
                <w:szCs w:val="20"/>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September 29,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355,789</w:t>
            </w:r>
          </w:p>
        </w:tc>
        <w:tc>
          <w:tcPr>
            <w:tcW w:w="80" w:type="dxa"/>
            <w:vAlign w:val="bottom"/>
          </w:tcPr>
          <w:p>
            <w:pPr>
              <w:spacing w:after="0"/>
              <w:rPr>
                <w:sz w:val="21"/>
                <w:szCs w:val="21"/>
                <w:color w:val="auto"/>
              </w:rPr>
            </w:pPr>
          </w:p>
        </w:tc>
        <w:tc>
          <w:tcPr>
            <w:tcW w:w="9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977,497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203,435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431,902</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1,322,568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1,180,932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Products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389,560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 and plans</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204,502</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182,588</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618,978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521,344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Asset impairment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216,288</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206,920</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638,376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579,093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stores opened</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47,937</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6"/>
          </w:tcPr>
          <w:p>
            <w:pPr>
              <w:jc w:val="right"/>
              <w:ind w:right="97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28, 2019</w:t>
            </w:r>
          </w:p>
        </w:tc>
        <w:tc>
          <w:tcPr>
            <w:tcW w:w="20" w:type="dxa"/>
            <w:vAlign w:val="bottom"/>
          </w:tcPr>
          <w:p>
            <w:pPr>
              <w:spacing w:after="0"/>
              <w:rPr>
                <w:sz w:val="20"/>
                <w:szCs w:val="20"/>
                <w:color w:val="auto"/>
              </w:rPr>
            </w:pP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September 29, 2018</w:t>
            </w:r>
          </w:p>
        </w:tc>
        <w:tc>
          <w:tcPr>
            <w:tcW w:w="18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September 28, 2019</w:t>
            </w: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September 29,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right="39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Three Months Ended September 28, 2019 compared to Three Months Ended September 29, 2018 </w:t>
      </w:r>
      <w:r>
        <w:rPr>
          <w:rFonts w:ascii="Times New Roman" w:cs="Times New Roman" w:eastAsia="Times New Roman" w:hAnsi="Times New Roman"/>
          <w:sz w:val="18"/>
          <w:szCs w:val="18"/>
          <w:i w:val="1"/>
          <w:iCs w:val="1"/>
          <w:color w:val="auto"/>
        </w:rPr>
        <w:t>Net revenue</w:t>
      </w: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the three months ended September 28, 2019 compared to the three months ended September 29,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Comparable store sales growth</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8"/>
                <w:szCs w:val="8"/>
                <w:b w:val="1"/>
                <w:bCs w:val="1"/>
                <w:color w:val="auto"/>
              </w:rPr>
              <w:t>(2)</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percentage and</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240" w:type="dxa"/>
            <w:vAlign w:val="bottom"/>
          </w:tcPr>
          <w:p>
            <w:pPr>
              <w:spacing w:after="0"/>
              <w:rPr>
                <w:sz w:val="12"/>
                <w:szCs w:val="12"/>
                <w:color w:val="auto"/>
              </w:rPr>
            </w:pPr>
          </w:p>
        </w:tc>
        <w:tc>
          <w:tcPr>
            <w:tcW w:w="18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2"/>
                <w:szCs w:val="12"/>
                <w:color w:val="auto"/>
              </w:rPr>
            </w:pPr>
          </w:p>
        </w:tc>
        <w:tc>
          <w:tcPr>
            <w:tcW w:w="184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2580" w:type="dxa"/>
            <w:vAlign w:val="bottom"/>
            <w:gridSpan w:val="2"/>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store data</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September 29, 2018</w:t>
            </w:r>
          </w:p>
        </w:tc>
        <w:tc>
          <w:tcPr>
            <w:tcW w:w="0" w:type="dxa"/>
            <w:vAlign w:val="bottom"/>
          </w:tcPr>
          <w:p>
            <w:pPr>
              <w:spacing w:after="0"/>
              <w:rPr>
                <w:sz w:val="1"/>
                <w:szCs w:val="1"/>
                <w:color w:val="auto"/>
              </w:rPr>
            </w:pPr>
          </w:p>
        </w:tc>
      </w:tr>
      <w:tr>
        <w:trPr>
          <w:trHeight w:val="249"/>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Owned &amp; Host segment</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America’s Best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279,883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64.8 %</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246,414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Eyeglass World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44,178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40,733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Military</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6,097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6,032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Fred Meyer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3,280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3,376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Owned &amp; Host segment total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333,438</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296,555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Legacy segment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39,355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37,228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63,174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54,198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Reconciliations</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(4,065)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(556)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84"/>
        </w:trPr>
        <w:tc>
          <w:tcPr>
            <w:tcW w:w="2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431,902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387,425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76"/>
        </w:trPr>
        <w:tc>
          <w:tcPr>
            <w:tcW w:w="258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6"/>
                <w:szCs w:val="16"/>
                <w:color w:val="auto"/>
              </w:rPr>
              <w:t>Adjusted comparable store sales</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growth</w:t>
            </w:r>
            <w:r>
              <w:rPr>
                <w:rFonts w:ascii="Times New Roman" w:cs="Times New Roman" w:eastAsia="Times New Roman" w:hAnsi="Times New Roman"/>
                <w:sz w:val="21"/>
                <w:szCs w:val="21"/>
                <w:color w:val="auto"/>
                <w:vertAlign w:val="superscript"/>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660" w:hanging="328"/>
        <w:spacing w:after="0" w:line="246"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 w:lineRule="exact"/>
        <w:rPr>
          <w:rFonts w:ascii="Times New Roman" w:cs="Times New Roman" w:eastAsia="Times New Roman" w:hAnsi="Times New Roman"/>
          <w:sz w:val="14"/>
          <w:szCs w:val="14"/>
          <w:color w:val="auto"/>
        </w:rPr>
      </w:pPr>
    </w:p>
    <w:p>
      <w:pPr>
        <w:jc w:val="both"/>
        <w:ind w:left="660" w:hanging="328"/>
        <w:spacing w:after="0" w:line="245"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0.6% and a decrease of 0.1% from total comparable store sales growth based on consolidated net revenue for the three months ended September 28, 2019 and September 29, 2018, respectively, and (ii) adjusted comparable store sales growth includes retail sales to the legacy partner’s customers (rather than the revenues recognized consistent with the management &amp; services agreement with the legacy partner), resulting in a decrease of 0.1% from total comparable store sales growth based on consolidated net revenue for each of the three months ended September 28, 2019 and September 29, 2018.</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$431.9 million for the three months ended September 28, 2019 increased $44.5 million, or 11.5%, from $387.4 million for the three months ended September 29, 2018. This increase was driven approximately 50% by comparable store sales growth, approximately 40% by new stores, and approximately 10% by order volume in our AC Lens business.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28, 2019, we opened 17 new stores, including 16 America’s Best stores and one Eyeglass World store. Overall, store count grew 7.3% from September 29, 2018 to September 28, 2019 (75 and five net new America’s Best and Eyeglass World stores were added, respectively, and one Military store and one legacy store closed during that same period).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were 5.7% and 6.2%, respectively, for the three months ended September 28, 2019. Comparable store sales growth and adjusted comparable store sales growth were primarily driven by increases in average ticket and customer transactions. The increases in net revenue were primarily due to execution of our key strategies, including new store openings and maturation, advertising, expansion of our participation in managed care programs and the recent expansion of our AC Lens contact lens distribution business with Walmart.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product sales comprised 82.4% and 82.4% of total net revenue for the three months ended September 28, 2019 and September 29, 2018, respectively. Net product sales increased $36.5 million, or 11.4%, in the three months ended September 28, 2019 compared to the three months ended September 29, 2018, driven primarily by eyeglass sales and, to a lesser extent, growth in our contact lens sales and AC Lens contact lens distribution business. Net sales of services and plans increased $8.0 million, or 11.7%, driven primarily by eye exam sales in our owned &amp; host segment resulting from expanding participation in managed care programs and our store count growth.</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changes in applicable California law, certain optometrists employed by FirstSight were transferred to a professional corporation that contracts directly with our legacy segment in the fourth quarter of fiscal year 2018, similar to optometrist transfers that occurred in the third quarter of 2017. This completed the transfer of optometrists from FirstSight to our legacy segment. This change led to an increase of $0.9 million in legacy segment eye exam revenue and optometrist payroll costs, in the three months ended September 28, 2019. A corresponding decrease was recorded in our FirstSight subsidiary within the corporate/other segment. Therefore, the change had no impact on consolidated income from operations.</w:t>
      </w:r>
    </w:p>
    <w:p>
      <w:pPr>
        <w:spacing w:after="0" w:line="7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$36.9 million, or 12.4%, due to comparable store sales growth and new store openings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sales across our product categories. The growth was predominantly driven by performance in America’s Best and Eyeglass World.</w:t>
      </w:r>
    </w:p>
    <w:p>
      <w:pPr>
        <w:spacing w:after="0" w:line="5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increased $2.1 million, or 5.7%, primarily driven by higher exam sales and an increase in average ticket.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eye exam sales were primarily the result of changes to our FirstSight operations required by changes in applicable California law discussed above. The FirstSight operations changes resulted in a favorable impact of approximately 200 basis points in comparable store sales growth in this segment.</w:t>
      </w:r>
    </w:p>
    <w:p>
      <w:pPr>
        <w:spacing w:after="0" w:line="7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$9.0 million, or 16.6%, driven by growth in our AC Lens contact lens distribution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online retail business, which was partially offset by a $0.9 million reduction in sales as a result of the FirstSight operations changes discussed above.</w:t>
      </w:r>
    </w:p>
    <w:p>
      <w:pPr>
        <w:spacing w:after="0" w:line="6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Reconciliations include increases in deferred revenue of $1.3 million and $1.0 million, and increases in unearned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million and decreases in unearned revenue of $0.4 million for the three months ended September 28, 2019 and September 29, 2018, respectively. The increase in deferred revenue for the three months ended September 28, 2019 was driven by growth in product protection plans and eye care club membership sales.</w:t>
      </w:r>
    </w:p>
    <w:p>
      <w:pPr>
        <w:spacing w:after="0" w:line="7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Differences between the changes in unearned revenue for the three months ended September 28, 2019 and September 29, 2018 were primarily the result of volume differences in sales of prescription eyewear during the last week to 10 days of the current quarters compared to the preceding quarters (i.e. three months ending June 29, 2019 and June 30, 2018, respectively), and to a lesser extent, an increase in the average length of time from customer purchase to customer pickup in the three months ending September 28, 2019 compared to September 29, 2018.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applicable to revenue of $204.5 million for the three months ended September 28, 2019 increased $21.9 million, or 12.0%, from $182.6 million for the three months ended September 29, 2018. As a percentage of net revenue, costs applicable to revenue increased from 47.1% for the three months ended September 29, 2018 to 47.3% for the three months ended September 28, 2019. This increase as a percentage of net revenue was primarily driven by increased net revenue from AC Lens contact lens distribution business growth. Additionally, higher eyeglass margin and a higher mix of exam sales as a result of the Company's growing managed care business were partially offset by higher optometrist costs due to planned increases in store coverage and to a lesser extent wage pressure in certain geographic markets.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products as a percentage of net product sales decreased from 41.0% for the three months ended September 29, 2018 to 40.6% for the three months ended September 28, 2019, primarily driven by higher eyeglass margin partially offset by growth in the AC Lens business. Our AC Lens net revenue grew faster than our store brands in the three months ended September 28, 2019, and AC Lens had a higher cost of products as a percentage of net revenue than our store brands.</w:t>
      </w:r>
    </w:p>
    <w:p>
      <w:pPr>
        <w:spacing w:after="0" w:line="7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decreased from 30.1%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29, 2018 to 28.7% for the three months ended September 28, 2019. The decrease was primarily driven by higher eyeglass margin in the three months ended September 28, 2019.</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increased from 45.8% for the three months ended September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to 46.3% for the three months ended September 28, 2019. The increase was primarily driven by a higher mix of non-managed care customer transactions versus 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Decreases in managed care mix increase costs of products as a percentage of net product sales and have a corresponding positive impact on costs of services as a percentage of net sales of services and plans in our Legacy segment.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75.8% for the three months ended September 29, 2018 to 78.8% for the three months ended September 28, 2019. The increase was primarily driven by higher optometrist costs, partially offset by increased eye exam sales as a result of our growing managed care business. Optometrist costs increased as a result of planned increases in store coverage and to a lesser extent wage pressure in certain geographic markets.</w:t>
      </w:r>
    </w:p>
    <w:p>
      <w:pPr>
        <w:spacing w:after="0" w:line="70"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 the owned &amp; host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from 81.9% for the three months ended September 29, 2018 to 84.5% for the three months ended September 28, 2019. The increase was driven by higher optometrist costs as described above, partially offset by increased eye exam sales as a result of increased managed care transactions. Eye exams purchased by managed care customers are excluded from our signature two-pair offer at our America’s Best brand, and are therefore recorded as services revenue.</w:t>
      </w:r>
    </w:p>
    <w:p>
      <w:pPr>
        <w:spacing w:after="0" w:line="7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41.0%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29, 2018 to 46.2% for the three months ended September 28, 2019. The increase was primarily driven by increased optometrist costs, partially offset by increased eye exam sales. The higher optometrist costs and increased eye exam sales were both primarily the result of the FirstSight operations changes discussed in “</w:t>
      </w: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of $190.3 million for the three months ended September 28, 2019 increased $5.3 million, or 2.8%, from the three months ended September 29, 2018. As a percentage of net revenue, SG&amp;A decreased from 47.8% for the three months ended September 29, 2018 to 44.1% for the three months ended September 28, 2019. The decrease in SG&amp;A as a percentage of net revenue was primarily due to lower stock compensation expense and cash expenses pursuant to a long-term incentive plan for non-executive employees, increased net revenue from our AC Lens contact lens distribution business growth and store payroll and advertising leverage.</w:t>
      </w:r>
    </w:p>
    <w:p>
      <w:pPr>
        <w:spacing w:after="0" w:line="74"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was 38.4% for the three months ended September 28, 2019 compared to 40.1%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29, 2018, driven primarily by store payroll and advertising leverage.</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decreased from 36.6% for the three months ended September 29, 2018 to 35.4%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28, 2019, driven primarily by store payroll leverage.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and amortization expense of $22.3 million for the three months ended September 28, 2019 increased $3.0 million, or 15.5%, from $19.3 million for the three months ended September 29, 2018 primarily driven by new store openings, as well as investments in optical laboratories, distribution centers and information technology infrastructure, including omni-channel platform related investments. Beginning in 2015, we accelerated our unit growth to approximately 75 new stores annually. We also invested in more efficient lab and IT technology to support our growth. Many of these incremental investments have depreciable lives of five to eight years; therefore, we expect depreciation expense to continue to outpace revenue growth over the next few years. In recent years, a higher percentage of our new store leases were deemed to be finance leases, further increasing depreciation expense on finance lease assets. Our property and equipment balance, net, decreased $7.9 million, or 2.1%, during the three months ended September 28, 2019, reflective of $20.9 million in purchases of property and equipment less $20.5 million in depreciation expense and $8.3 million in impairment and other adjustments.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indicators of impairment of certain stores and recorded $3.5 million and $2.1 million of related asset impairment charges during the three months ended September 28, 2019 and September 29, 2018, respectively, in Corporate/Other. These increased impairment charges were primarily related to our Owned &amp; Host segment, caused by lower than projected customer sales volume in certain stores, and were determined using entity-specific assumptions related to our anticipated use of store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of $7.9 million for the three months ended September 28, 2019 decreased $1.5 million, or 16.3%, from $9.4 million for the three months ended September 29, 2018. Interest expense decreased $1.8 million from the July 18, 2019 and October 9, 2018 refinancing impacts and the credit rating upgrades received during the third quarter of 2018 and the first quarter of 2019. These reductions were partially offset by $0.3 million in additional interest expense relating to finance lease obligations during the three months ended September 28, 2019.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income tax expense for the three months ended September 28, 2019 reflected our combined statutory federal and state rate of 25.6%, offset by a discrete benefit of $6.3 million associated primarily with the exercise of stock options. During the three months ended September 29, 2018, our expected combined statutory federal and state rate was reduced by a $13.9 million income tax benefit resulting from stock option exercises.</w:t>
      </w:r>
    </w:p>
    <w:p>
      <w:pPr>
        <w:spacing w:after="0" w:line="280" w:lineRule="exact"/>
        <w:rPr>
          <w:sz w:val="20"/>
          <w:szCs w:val="20"/>
          <w:color w:val="auto"/>
        </w:rPr>
      </w:pPr>
    </w:p>
    <w:p>
      <w:pPr>
        <w:ind w:right="41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Nine Months Ended September 28, 2019 compared to Nine Months Ended September 29, 2018 </w:t>
      </w:r>
      <w:r>
        <w:rPr>
          <w:rFonts w:ascii="Times New Roman" w:cs="Times New Roman" w:eastAsia="Times New Roman" w:hAnsi="Times New Roman"/>
          <w:sz w:val="18"/>
          <w:szCs w:val="18"/>
          <w:i w:val="1"/>
          <w:iCs w:val="1"/>
          <w:color w:val="auto"/>
        </w:rPr>
        <w:t>Net revenue</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the nine months ended September 28, 2019 compared to the nine months ended September 29,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Comparable store sales growth</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44"/>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8"/>
                <w:szCs w:val="8"/>
                <w:b w:val="1"/>
                <w:bCs w:val="1"/>
                <w:color w:val="auto"/>
              </w:rPr>
              <w:t>(2)</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percentage and</w:t>
            </w: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29,</w:t>
            </w:r>
          </w:p>
        </w:tc>
        <w:tc>
          <w:tcPr>
            <w:tcW w:w="200" w:type="dxa"/>
            <w:vAlign w:val="bottom"/>
          </w:tcPr>
          <w:p>
            <w:pPr>
              <w:spacing w:after="0"/>
              <w:rPr>
                <w:sz w:val="12"/>
                <w:szCs w:val="12"/>
                <w:color w:val="auto"/>
              </w:rPr>
            </w:pPr>
          </w:p>
        </w:tc>
        <w:tc>
          <w:tcPr>
            <w:tcW w:w="19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2"/>
                <w:szCs w:val="12"/>
                <w:color w:val="auto"/>
              </w:rPr>
            </w:pPr>
          </w:p>
        </w:tc>
        <w:tc>
          <w:tcPr>
            <w:tcW w:w="1880" w:type="dxa"/>
            <w:vAlign w:val="bottom"/>
            <w:gridSpan w:val="2"/>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58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29,</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store data</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September 29, 2018</w:t>
            </w:r>
          </w:p>
        </w:tc>
        <w:tc>
          <w:tcPr>
            <w:tcW w:w="0" w:type="dxa"/>
            <w:vAlign w:val="bottom"/>
          </w:tcPr>
          <w:p>
            <w:pPr>
              <w:spacing w:after="0"/>
              <w:rPr>
                <w:sz w:val="1"/>
                <w:szCs w:val="1"/>
                <w:color w:val="auto"/>
              </w:rPr>
            </w:pPr>
          </w:p>
        </w:tc>
      </w:tr>
      <w:tr>
        <w:trPr>
          <w:trHeight w:val="269"/>
        </w:trPr>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Owned &amp; Host segment</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America’s Best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7.6 %</w:t>
            </w:r>
          </w:p>
        </w:tc>
        <w:tc>
          <w:tcPr>
            <w:tcW w:w="100" w:type="dxa"/>
            <w:vAlign w:val="bottom"/>
          </w:tcPr>
          <w:p>
            <w:pPr>
              <w:spacing w:after="0"/>
              <w:rPr>
                <w:sz w:val="23"/>
                <w:szCs w:val="23"/>
                <w:color w:val="auto"/>
              </w:rPr>
            </w:pPr>
          </w:p>
        </w:tc>
        <w:tc>
          <w:tcPr>
            <w:tcW w:w="10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Pr>
          <w:p>
            <w:pPr>
              <w:spacing w:after="0"/>
              <w:rPr>
                <w:sz w:val="23"/>
                <w:szCs w:val="23"/>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643</w:t>
            </w:r>
          </w:p>
        </w:tc>
        <w:tc>
          <w:tcPr>
            <w:tcW w:w="100" w:type="dxa"/>
            <w:vAlign w:val="bottom"/>
          </w:tcPr>
          <w:p>
            <w:pPr>
              <w:spacing w:after="0"/>
              <w:rPr>
                <w:sz w:val="23"/>
                <w:szCs w:val="23"/>
                <w:color w:val="auto"/>
              </w:rPr>
            </w:pP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851,759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64.4 %</w:t>
            </w:r>
          </w:p>
        </w:tc>
        <w:tc>
          <w:tcPr>
            <w:tcW w:w="10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749,896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63.5 %</w:t>
            </w:r>
          </w:p>
        </w:tc>
        <w:tc>
          <w:tcPr>
            <w:tcW w:w="0" w:type="dxa"/>
            <w:vAlign w:val="bottom"/>
          </w:tcPr>
          <w:p>
            <w:pPr>
              <w:spacing w:after="0"/>
              <w:rPr>
                <w:sz w:val="1"/>
                <w:szCs w:val="1"/>
                <w:color w:val="auto"/>
              </w:rPr>
            </w:pPr>
          </w:p>
        </w:tc>
      </w:tr>
      <w:tr>
        <w:trPr>
          <w:trHeight w:val="274"/>
        </w:trPr>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Eyeglass World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5.7 %</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138,451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126,620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10.7 %</w:t>
            </w:r>
          </w:p>
        </w:tc>
        <w:tc>
          <w:tcPr>
            <w:tcW w:w="0" w:type="dxa"/>
            <w:vAlign w:val="bottom"/>
          </w:tcPr>
          <w:p>
            <w:pPr>
              <w:spacing w:after="0"/>
              <w:rPr>
                <w:sz w:val="1"/>
                <w:szCs w:val="1"/>
                <w:color w:val="auto"/>
              </w:rPr>
            </w:pPr>
          </w:p>
        </w:tc>
      </w:tr>
      <w:tr>
        <w:trPr>
          <w:trHeight w:val="266"/>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Military</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23"/>
                <w:szCs w:val="23"/>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tcPr>
          <w:p>
            <w:pPr>
              <w:spacing w:after="0"/>
              <w:rPr>
                <w:sz w:val="23"/>
                <w:szCs w:val="23"/>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18,540</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19,057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Fred Meyer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10,324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10,992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0" w:type="dxa"/>
            <w:vAlign w:val="bottom"/>
          </w:tcPr>
          <w:p>
            <w:pPr>
              <w:spacing w:after="0"/>
              <w:rPr>
                <w:sz w:val="1"/>
                <w:szCs w:val="1"/>
                <w:color w:val="auto"/>
              </w:rPr>
            </w:pPr>
          </w:p>
        </w:tc>
      </w:tr>
      <w:tr>
        <w:trPr>
          <w:trHeight w:val="250"/>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Owned &amp; Host segment total</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919</w:t>
            </w:r>
          </w:p>
        </w:tc>
        <w:tc>
          <w:tcPr>
            <w:tcW w:w="100" w:type="dxa"/>
            <w:vAlign w:val="bottom"/>
          </w:tcPr>
          <w:p>
            <w:pPr>
              <w:spacing w:after="0"/>
              <w:rPr>
                <w:sz w:val="21"/>
                <w:szCs w:val="21"/>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840</w:t>
            </w:r>
          </w:p>
        </w:tc>
        <w:tc>
          <w:tcPr>
            <w:tcW w:w="100" w:type="dxa"/>
            <w:vAlign w:val="bottom"/>
          </w:tcPr>
          <w:p>
            <w:pPr>
              <w:spacing w:after="0"/>
              <w:rPr>
                <w:sz w:val="21"/>
                <w:szCs w:val="21"/>
                <w:color w:val="auto"/>
              </w:rPr>
            </w:pP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1,019,074</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77.1 %</w:t>
            </w:r>
          </w:p>
        </w:tc>
        <w:tc>
          <w:tcPr>
            <w:tcW w:w="100" w:type="dxa"/>
            <w:vAlign w:val="bottom"/>
          </w:tcPr>
          <w:p>
            <w:pPr>
              <w:spacing w:after="0"/>
              <w:rPr>
                <w:sz w:val="21"/>
                <w:szCs w:val="21"/>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906,565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76.7 %</w:t>
            </w:r>
          </w:p>
        </w:tc>
        <w:tc>
          <w:tcPr>
            <w:tcW w:w="0" w:type="dxa"/>
            <w:vAlign w:val="bottom"/>
          </w:tcPr>
          <w:p>
            <w:pPr>
              <w:spacing w:after="0"/>
              <w:rPr>
                <w:sz w:val="1"/>
                <w:szCs w:val="1"/>
                <w:color w:val="auto"/>
              </w:rPr>
            </w:pPr>
          </w:p>
        </w:tc>
      </w:tr>
      <w:tr>
        <w:trPr>
          <w:trHeight w:val="274"/>
        </w:trPr>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Legacy segment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123,197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119,092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0" w:type="dxa"/>
            <w:vAlign w:val="bottom"/>
          </w:tcPr>
          <w:p>
            <w:pPr>
              <w:spacing w:after="0"/>
              <w:rPr>
                <w:sz w:val="1"/>
                <w:szCs w:val="1"/>
                <w:color w:val="auto"/>
              </w:rPr>
            </w:pPr>
          </w:p>
        </w:tc>
      </w:tr>
      <w:tr>
        <w:trPr>
          <w:trHeight w:val="266"/>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Corporate/Other</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23"/>
                <w:szCs w:val="23"/>
                <w:color w:val="auto"/>
              </w:rPr>
            </w:pPr>
          </w:p>
        </w:tc>
        <w:tc>
          <w:tcPr>
            <w:tcW w:w="100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189,401</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156,795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13.3 %</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Reconciliations</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(9,104)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(1,520)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81"/>
        </w:trPr>
        <w:tc>
          <w:tcPr>
            <w:tcW w:w="2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5"/>
                <w:szCs w:val="15"/>
                <w:color w:val="auto"/>
              </w:rPr>
              <w:t>Total</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5.5 %</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1,145</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1,067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1,322,568</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1,180,932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123"/>
        </w:trPr>
        <w:tc>
          <w:tcPr>
            <w:tcW w:w="2580" w:type="dxa"/>
            <w:vAlign w:val="bottom"/>
            <w:gridSpan w:val="2"/>
            <w:shd w:val="clear" w:color="auto" w:fill="CCEEFF"/>
          </w:tcPr>
          <w:p>
            <w:pPr>
              <w:ind w:left="40"/>
              <w:spacing w:after="0" w:line="123" w:lineRule="exact"/>
              <w:rPr>
                <w:sz w:val="20"/>
                <w:szCs w:val="20"/>
                <w:color w:val="auto"/>
              </w:rPr>
            </w:pPr>
            <w:r>
              <w:rPr>
                <w:rFonts w:ascii="Times New Roman" w:cs="Times New Roman" w:eastAsia="Times New Roman" w:hAnsi="Times New Roman"/>
                <w:sz w:val="14"/>
                <w:szCs w:val="14"/>
                <w:color w:val="auto"/>
              </w:rPr>
              <w:t>Adjusted comparable store sales</w:t>
            </w: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40"/>
              <w:spacing w:after="0" w:line="209" w:lineRule="exact"/>
              <w:rPr>
                <w:sz w:val="20"/>
                <w:szCs w:val="20"/>
                <w:color w:val="auto"/>
              </w:rPr>
            </w:pPr>
            <w:r>
              <w:rPr>
                <w:rFonts w:ascii="Times New Roman" w:cs="Times New Roman" w:eastAsia="Times New Roman" w:hAnsi="Times New Roman"/>
                <w:sz w:val="15"/>
                <w:szCs w:val="15"/>
                <w:color w:val="auto"/>
              </w:rPr>
              <w:t>growth</w:t>
            </w:r>
            <w:r>
              <w:rPr>
                <w:rFonts w:ascii="Times New Roman" w:cs="Times New Roman" w:eastAsia="Times New Roman" w:hAnsi="Times New Roman"/>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660" w:hanging="328"/>
        <w:spacing w:after="0" w:line="246"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0.3% and a decrease of 0.7% from total comparable store sales growth based on consolidated net revenue for the nine months ended September 28, 2019 and September 29, 2018, respectively, and (ii) adjusted comparable store sales growth includes retail sales to the legacy partner’s customers (rather than the revenues recognized consistent with the management &amp; services agreement with the legacy partner), resulting in a decrease of 0.2% and 0.1% from total comparable store sales growth based on consolidated net revenue for the nine months ended September 28, 2019 and September 29, 2018, respectively.</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$1,322.6 million for the nine months ended September 28, 2019 increased $141.6 million, or 12.0%, from $1,180.9 million for the nine months ended September 29, 2018. This increase was driven approximately 40% by new stores, approximately 40% by comparable store sales growth and approximately 20% by order volume in our AC Lens business within the corporate/other segment.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28, 2019, we opened 67 new stores, including 63 America’s Best stores and four Eyeglass World stores. Additionally, we closed two America’s Best stores, one Eyeglass World store and one legacy store. Overall, store count grew 7.3% from September 29, 2018 to September 28, 2019 (75 and five net new America’s Best and Eyeglass World stores were added, respectively, and one Military store and one legacy store closed during the same period). Comparable store sales growth and adjusted comparable store sales growth were 5.5% and 5.6%, respectively, for the nine months ended September 28, 2019.</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were driven primarily by increases in average ticket and customer transactions. We believe the increases in net revenue were primarily due to execution of our key strategies, including new store openings and maturation, advertising and expansion of our participation in managed care programs as well as our expanded role in our contact lens distribution business with Walmart.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product sales comprised 82.9% and 82.8% of total net revenue for the nine months ended September 28, 2019 and September 29, 2018, respectively. Net product sales increased $119.0 million, or 12.2%, in the nine months ended September 28, 2019 compared to the nine months ended September 29, 2018, driven primarily by eyeglass sales and, to a lesser extent, unit growth in our AC Lens contact lens distribution business and contact lens sales. Net sales of services and plans increased $22.7 million, or 11.1%, driven primarily by eye exam sales in our owned &amp; host segment, resulting from expanded participation in managed care programs and our store count growth.</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changes in applicable California law, certain optometrists employed by FirstSight were transferred to a professional corporation that contracts directly with our legacy segment in the fourth quarter of fiscal year 2018, similar to optometrist transfers that occurred in the third quarter of 2017. This completed the transfer of optometrists from FirstSight to our legacy segment. This change led to an increase in legacy segment eye exam revenue and optometrist payroll costs of $2.7 million and $2.9 million, respectively, in the nine months ended September 28, 2019. A corresponding decrease was recorded in our FirstSight subsidiary within the corporate/other segment. Therefore, the change had no impact on consolidated income from operations.</w:t>
      </w:r>
    </w:p>
    <w:p>
      <w:pPr>
        <w:spacing w:after="0" w:line="7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increased $112.5 million, or 12.4%, due to new store openings and comparable store sales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increased sales across our product categories. The growth was predominantly driven by performance in America’s Best and Eyeglass World.</w:t>
      </w:r>
    </w:p>
    <w:p>
      <w:pPr>
        <w:spacing w:after="0" w:line="5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grew $4.1 million, or 3.4%, primarily driven by higher eye exam sales and an increase in average ticket,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a decline in customer transactions. The increased eye exam sales were primarily the result of changes to our FirstSight operations required by changes in applicable California law discussed above. The FirstSight operations changes resulted in a favorable impact of approximately 190 basis points in comparable store sales growth in this segment.</w:t>
      </w:r>
    </w:p>
    <w:p>
      <w:pPr>
        <w:spacing w:after="0" w:line="7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$32.6 million, or 20.8%, driven by unit growth in our AC Lens contact lens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and our online retail business, which was partially offset by a $2.7 million reduction in sales as a result of the FirstSight operations changes discussed above.</w:t>
      </w:r>
    </w:p>
    <w:p>
      <w:pPr>
        <w:spacing w:after="0" w:line="6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Reconciliations for the nine months ended September 28, 2019 and September 29, 2018 include increases in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$7.1 million and $6.3 million, respectively and increases in unearned revenue of $2.0 million and decreases in unearned revenue of $4.8 million, respectively. The increase in deferred revenue for the nine months ended September 28, 2019 was driven by growth in our product protection plans and eye care club membership sales.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Differences between the changes in unearned revenue for the nine months ended September 28, 2019 and September 29, 2018 were primarily the result of calendar influences on sales of prescription eyewear in our stores during the last week to 10 days of the current quarters compared to the preceding years. Unearned revenue was higher in December 2017 compared to December 2018 due to sales volume differences caused by shifts in the number of selling days after December 25. The higher opening balance for the nine months ended September 29, 2018 resulted in more unearned revenue being recognized during the nine months ended September 29, 2018 than for the nine months ended September 28, 2019.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applicable to revenue of $619.0 million for the nine months ended September 28, 2019 increased $78.9 million, or 14.6%, from $540.1 million for the nine months ended September 29, 2018. As a percentage of net revenue, costs applicable to revenue increased from 45.7% for the nine months ended September 29, 2018 to 46.8% for the nine months ended September 28, 2019. This increase as a percentage of net revenue was primarily driven by increased net revenue from AC Lens contact lens distribution business growth. Additionally, higher mix of exam sales as a result of the Company's growing managed care business and higher eyeglass margin were partially offset by higher optometrist costs due to planned increases in store coverage and to a lesser extent wage pressure in certain geographic markets.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39.9% for the nine months ended September 29, 2018 to 40.5% for the nine months ended September 28, 2019, driven by our growing AC Lens business partially offset by higher eyeglass margin. Our AC Lens net revenue grew faster than our store brands in the nine months ended September 28, 2019, and AC Lens had a higher cost of products as a percentage of net revenue than our other store brands.</w:t>
      </w:r>
    </w:p>
    <w:p>
      <w:pPr>
        <w:spacing w:after="0" w:line="7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decreased from 29.4%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29, 2018 to 29.0% for the nine months ended September 28, 2019 driven by higher eyeglass margin.</w:t>
      </w:r>
    </w:p>
    <w:p>
      <w:pPr>
        <w:spacing w:after="0" w:line="5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increased from 45.4% for the nine months ended September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to 47.0% for the nine months ended September 28, 2019. The increase was primarily driven by a higher mix of non-managed care customer transactions versus 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Decreases in managed care mix increase costs of products as a percentage of net product sales and have a corresponding positive impact on costs of services as a percentage of net sales of services and plans in our Legacy segment.</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74.0% for the nine months ended September 29, 2018 to 77.3% for the nine months ended September 28, 2019. The increase was primarily driven by higher optometrist costs as described above, partially offset by increased eye exam sales as a result of increased managed care transactions.</w:t>
      </w:r>
    </w:p>
    <w:p>
      <w:pPr>
        <w:spacing w:after="0" w:line="6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79.1%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29, 2018 to 81.5% for the nine months ended September 28, 2019. The increase was driven by higher optometrist costs as described above, partially offset by increased eye exam sales as a result of increased managed care transactions. Eye exams purchased by managed care customers are excluded from our signature two-pair offer at our America’s Best brand, and are therefore recorded as services revenue.</w:t>
      </w:r>
    </w:p>
    <w:p>
      <w:pPr>
        <w:spacing w:after="0" w:line="7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38.3%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29, 2018 to 45.4% for the nine months ended September 28, 2019. The increase was primarily driven by increased optometrist costs, partially offset by increased eye exam sales. The higher optometrist costs and increased eye exam sales were both primarily the result of the FirstSight operations changes discussed in “</w:t>
      </w: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xml:space="preserve">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of $566.4 million for the nine months ended September 28, 2019 increased $45.1 million, or 8.7%, from the nine months ended September 29, 2018. As a percentage of net revenue, SG&amp;A decreased from 44.1% for the nine months ended September 29, 2018 to 42.8% for the nine months ended September 28, 2019. The decrease in SG&amp;A as a percentage of net revenue was primarily due to increased net revenue from our AC Lens contact lens distribution business and store payroll leverage.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decreased from 38.7% for the nine months ended September 29, 2018 to 38.0%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28, 2019, driven primarily by store payroll leverage.</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increased from 34.0% for the nine months ended September 29, 2018 to 34.1%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28,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Depreciation and amortization expense of $63.6 million for the nine months ended September 28, 2019 increased $8.8 million, or 16.0%, from $54.8 million for the nine months ended September 29, 2018 primarily driven by new store openings, as well as investments in optical laboratories, distribution centers and information technology infrastructure, including omni-channel platform related investments. Beginning in 2015, we accelerated our unit growth to approximately 75 new stores annually. We also invested in more efficient lab and IT technology to support our growth. Many of these incremental investments have depreciable lives in the five to eight year categories; therefore, we expect depreciation expense to continue to outpace revenue growth over the next few years. In recent years, a higher percentage of our new store leases were deemed to be finance leases, further increasing depreciation expense on finance lease assets. Our property and equipment balance, net, increased $17.0 million, or 4.8%, during the nine months ended September 28, 2019, reflective of $76.2 million in purchases of property and equipment, $9.6 million in new finance leases, less $57.8 million in depreciation expense and $11.1 million in impairment and other adjustments.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indicators of impairment of certain stores and recorded $7.4 million and $2.1 million of related asset impairment charges during the nine months ended September 28, 2019 and September 29, 2018, respectively, in Corporate/Other. Impairment charges increased $5.3 million reflective of $0.7 million ROU asset impairment and $4.6 million of long-lived asset impairment. These increased impairment charges were primarily related to our Owned &amp; Host segment, driven by lower than projected customer sales volume in certain stores, and were determined using entity-specific assumptions related to our anticipated use of store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net, of $25.9 million for the nine months ended September 28, 2019 decreased $2.2 million, or 8.0%, from $28.1 million for the nine months ended September 29, 2018. Interest expense decreased $3.4 million from the July 18, 2019 and October 9, 2018 refinancing impacts and the credit rating upgrades received during the third quarter of 2018 and the first quarter of 2019 and from a decrease in the notional amount of our derivatives during the first quarter of 2019. These reductions were partially offset by $1.2 million in additional interest expense relating to finance lease obligations during the nine months ended September 28, 2019.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expense for the nine months ended September 28, 2019 reflected income tax expense at our statutory federal and state rate of 25.6%, offset by a discrete benefit of $7.7 million associated primarily with the exercise of stock options. During the nine months ended September 29, 2018, our expected combined statutory federal and state rate was reduced by an $18.0 million income tax benefit resulting from stock option exercises.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Adjusted EBITDA, Adjusted EBITDA Margin and Adjusted Net Income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EBITDA as net income, plus interest expense, income tax provision and depreciation and amortization. We define Adjusted EBITDA as EBITDA, further adjusted to exclude stock compensation expense, asset impairment, new store pre-opening expenses, non-cash rent, secondary offering expenses, management realignment expenses, long-term incentive plan expense, loss on extinguishment of debt and other expenses. We describe these adjustments reconciling net income to EBITDA and Adjusted EBITDA in the tables below. We define Adjusted EBITDA Margin as Adjusted EBITDA as a percentage of total net revenue. We define Adjusted Net Income as net income, further adjusted to exclude stock compensation expense, asset impairment, new store pre-opening expenses, non-cash rent, secondary offering expenses, management realignment expenses, long-term incentive plan expense, loss on extinguishment of debt, other expenses, amortization of acquisition intangibles and deferred financing costs, the tax benefit of stock option exercises and the tax effect of these adjustments. We describe these adjustments reconciling net income to Adjusted Net Income in the tables below.</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period to period changes in taxes, income tax expense or the cash necessary to pay income taxes;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net income to EBITDA, Adjusted EBITDA, Adjusted EBITDA Margin and Adjusted Net Income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Nine Months Ended</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September 28, 2019</w:t>
            </w:r>
          </w:p>
        </w:tc>
        <w:tc>
          <w:tcPr>
            <w:tcW w:w="160" w:type="dxa"/>
            <w:vAlign w:val="bottom"/>
          </w:tcPr>
          <w:p>
            <w:pPr>
              <w:spacing w:after="0"/>
              <w:rPr>
                <w:sz w:val="20"/>
                <w:szCs w:val="20"/>
                <w:color w:val="auto"/>
              </w:rPr>
            </w:pPr>
          </w:p>
        </w:tc>
        <w:tc>
          <w:tcPr>
            <w:tcW w:w="16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September 29, 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w w:val="98"/>
              </w:rPr>
              <w:t>September 29,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7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7,873</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28,144</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(16,661)</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22,336</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63,570</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54,783</w:t>
            </w: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23,662</w:t>
            </w: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118,998</w:t>
            </w:r>
          </w:p>
        </w:tc>
        <w:tc>
          <w:tcPr>
            <w:tcW w:w="74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116,521</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9.9%</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6,123</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13,749</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9,786</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9,786</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(c)</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7,387</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(d)</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2,862</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(e)</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2,386</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(f)</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3"/>
                <w:szCs w:val="23"/>
                <w:color w:val="auto"/>
              </w:rPr>
            </w:pPr>
          </w:p>
        </w:tc>
        <w:tc>
          <w:tcPr>
            <w:tcW w:w="6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(g)</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(h)</w:t>
            </w:r>
          </w:p>
        </w:tc>
        <w:tc>
          <w:tcPr>
            <w:tcW w:w="1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23"/>
                <w:szCs w:val="2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1,830</w:t>
            </w:r>
          </w:p>
        </w:tc>
        <w:tc>
          <w:tcPr>
            <w:tcW w:w="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(i)</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4,423</w:t>
            </w: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0" w:type="dxa"/>
            <w:vAlign w:val="bottom"/>
          </w:tcPr>
          <w:p>
            <w:pPr>
              <w:spacing w:after="0"/>
              <w:rPr>
                <w:sz w:val="1"/>
                <w:szCs w:val="1"/>
                <w:color w:val="auto"/>
              </w:rPr>
            </w:pPr>
          </w:p>
        </w:tc>
      </w:tr>
      <w:tr>
        <w:trPr>
          <w:trHeight w:val="201"/>
        </w:trPr>
        <w:tc>
          <w:tcPr>
            <w:tcW w:w="378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Adjusted EBITDA/ Adjusted EBITDA</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47,937</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161,073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vMerge w:val="restart"/>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145,648</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c>
          <w:tcPr>
            <w:tcW w:w="1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9.9%</w:t>
            </w:r>
          </w:p>
        </w:tc>
        <w:tc>
          <w:tcPr>
            <w:tcW w:w="10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gridSpan w:val="4"/>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12.2%</w:t>
            </w:r>
          </w:p>
        </w:tc>
        <w:tc>
          <w:tcPr>
            <w:tcW w:w="280" w:type="dxa"/>
            <w:vAlign w:val="bottom"/>
            <w:gridSpan w:val="2"/>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92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rounding.</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820" w:type="dxa"/>
            <w:vAlign w:val="bottom"/>
            <w:gridSpan w:val="3"/>
          </w:tcPr>
          <w:p>
            <w:pPr>
              <w:ind w:left="200"/>
              <w:spacing w:after="0" w:line="113" w:lineRule="exact"/>
              <w:rPr>
                <w:sz w:val="20"/>
                <w:szCs w:val="20"/>
                <w:color w:val="auto"/>
              </w:rPr>
            </w:pPr>
            <w:r>
              <w:rPr>
                <w:rFonts w:ascii="Times New Roman" w:cs="Times New Roman" w:eastAsia="Times New Roman" w:hAnsi="Times New Roman"/>
                <w:sz w:val="13"/>
                <w:szCs w:val="13"/>
                <w:color w:val="auto"/>
              </w:rPr>
              <w:t>Note: Percentages reflect line item as a percentage of net revenue, adjusted for</w:t>
            </w:r>
          </w:p>
        </w:tc>
        <w:tc>
          <w:tcPr>
            <w:tcW w:w="9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74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6"/>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rPr>
              <w:t>Nine Months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September 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September 29,</w:t>
            </w:r>
          </w:p>
        </w:tc>
        <w:tc>
          <w:tcPr>
            <w:tcW w:w="0" w:type="dxa"/>
            <w:vAlign w:val="bottom"/>
          </w:tcPr>
          <w:p>
            <w:pPr>
              <w:spacing w:after="0"/>
              <w:rPr>
                <w:sz w:val="1"/>
                <w:szCs w:val="1"/>
                <w:color w:val="auto"/>
              </w:rPr>
            </w:pPr>
          </w:p>
        </w:tc>
      </w:tr>
      <w:tr>
        <w:trPr>
          <w:trHeight w:val="234"/>
        </w:trPr>
        <w:tc>
          <w:tcPr>
            <w:tcW w:w="3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September 28, 2019</w:t>
            </w:r>
          </w:p>
        </w:tc>
        <w:tc>
          <w:tcPr>
            <w:tcW w:w="10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820" w:type="dxa"/>
            <w:vAlign w:val="bottom"/>
            <w:tcBorders>
              <w:bottom w:val="single" w:sz="8" w:color="CCEEFF"/>
            </w:tcBorders>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42,093</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5"/>
                <w:szCs w:val="25"/>
                <w:color w:val="auto"/>
                <w:vertAlign w:val="superscript"/>
              </w:rPr>
              <w:t>(a)</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13,749</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5"/>
                <w:szCs w:val="25"/>
                <w:color w:val="auto"/>
                <w:vertAlign w:val="superscript"/>
              </w:rPr>
              <w:t>(b)</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9,786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5"/>
                <w:szCs w:val="25"/>
                <w:color w:val="auto"/>
                <w:vertAlign w:val="superscript"/>
              </w:rPr>
              <w:t>(c)</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7,387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New store pre-opening expenses </w:t>
            </w:r>
            <w:r>
              <w:rPr>
                <w:rFonts w:ascii="Times New Roman" w:cs="Times New Roman" w:eastAsia="Times New Roman" w:hAnsi="Times New Roman"/>
                <w:sz w:val="25"/>
                <w:szCs w:val="25"/>
                <w:color w:val="auto"/>
                <w:vertAlign w:val="superscript"/>
              </w:rPr>
              <w:t>(d)</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2,862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Non-cash rent </w:t>
            </w:r>
            <w:r>
              <w:rPr>
                <w:rFonts w:ascii="Times New Roman" w:cs="Times New Roman" w:eastAsia="Times New Roman" w:hAnsi="Times New Roman"/>
                <w:sz w:val="25"/>
                <w:szCs w:val="25"/>
                <w:color w:val="auto"/>
                <w:vertAlign w:val="superscript"/>
              </w:rPr>
              <w:t>(e)</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2,386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5"/>
                <w:szCs w:val="25"/>
                <w:color w:val="auto"/>
                <w:vertAlign w:val="superscript"/>
              </w:rPr>
              <w:t>(f)</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5"/>
                <w:szCs w:val="25"/>
                <w:color w:val="auto"/>
                <w:vertAlign w:val="superscript"/>
              </w:rPr>
              <w:t>(g)</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Long-term incentive plan expense </w:t>
            </w:r>
            <w:r>
              <w:rPr>
                <w:rFonts w:ascii="Times New Roman" w:cs="Times New Roman" w:eastAsia="Times New Roman" w:hAnsi="Times New Roman"/>
                <w:sz w:val="25"/>
                <w:szCs w:val="25"/>
                <w:color w:val="auto"/>
                <w:vertAlign w:val="superscript"/>
              </w:rPr>
              <w:t>(h)</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1,830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(i)</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4,423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70"/>
        </w:trPr>
        <w:tc>
          <w:tcPr>
            <w:tcW w:w="5740" w:type="dxa"/>
            <w:vAlign w:val="bottom"/>
            <w:gridSpan w:val="6"/>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and deferred financing costs </w:t>
            </w:r>
            <w:r>
              <w:rPr>
                <w:rFonts w:ascii="Times New Roman" w:cs="Times New Roman" w:eastAsia="Times New Roman" w:hAnsi="Times New Roman"/>
                <w:sz w:val="25"/>
                <w:szCs w:val="25"/>
                <w:color w:val="auto"/>
                <w:vertAlign w:val="superscript"/>
              </w:rPr>
              <w:t>(j)</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6,625</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5"/>
                <w:szCs w:val="25"/>
                <w:color w:val="auto"/>
                <w:vertAlign w:val="superscript"/>
              </w:rPr>
              <w:t>(k)</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5"/>
                <w:szCs w:val="25"/>
                <w:color w:val="auto"/>
                <w:vertAlign w:val="superscript"/>
              </w:rPr>
              <w:t>(l)</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0" w:type="dxa"/>
            <w:vAlign w:val="bottom"/>
          </w:tcPr>
          <w:p>
            <w:pPr>
              <w:spacing w:after="0"/>
              <w:rPr>
                <w:sz w:val="1"/>
                <w:szCs w:val="1"/>
                <w:color w:val="auto"/>
              </w:rPr>
            </w:pPr>
          </w:p>
        </w:tc>
      </w:tr>
      <w:tr>
        <w:trPr>
          <w:trHeight w:val="25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Pr>
          <w:p>
            <w:pPr>
              <w:spacing w:after="0"/>
              <w:rPr>
                <w:sz w:val="22"/>
                <w:szCs w:val="22"/>
                <w:color w:val="auto"/>
              </w:rPr>
            </w:pPr>
          </w:p>
        </w:tc>
        <w:tc>
          <w:tcPr>
            <w:tcW w:w="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57,429</w:t>
            </w:r>
          </w:p>
        </w:tc>
        <w:tc>
          <w:tcPr>
            <w:tcW w:w="8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50,887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deferred financing fees related to the extinguishment of debt.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and equipment on closed or underperforming stores for the three and nine months ended September 28, 2019.</w:t>
      </w:r>
    </w:p>
    <w:p>
      <w:pPr>
        <w:spacing w:after="0" w:line="17" w:lineRule="exact"/>
        <w:rPr>
          <w:rFonts w:ascii="Times New Roman" w:cs="Times New Roman" w:eastAsia="Times New Roman" w:hAnsi="Times New Roman"/>
          <w:sz w:val="14"/>
          <w:szCs w:val="14"/>
          <w:color w:val="auto"/>
        </w:rPr>
      </w:pPr>
    </w:p>
    <w:p>
      <w:pPr>
        <w:jc w:val="both"/>
        <w:ind w:left="660" w:hanging="328"/>
        <w:spacing w:after="0" w:line="241"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are not indicative of ongoing core operating performance. We adjust for these costs to facilitate comparisons of store operating performance from period to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non-cash portion of rent expense, which reflects the extent to which our straight-line rent expense recognized under GAAP exceeds or is less than our cash rent payments.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our secondary public offerings for the three and nine months ended September 28, 2019 and September 29, 2018, respectively.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 non-recurring management realignment described in the current report on Form 8-K filed with the SEC on January 10, 2019.</w:t>
      </w:r>
    </w:p>
    <w:p>
      <w:pPr>
        <w:spacing w:after="0" w:line="1"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pursuant to a long-term incentive plan for non-executive employees who were not participants in the management equity plan. This plan was effective in 2014 following the acquisition of the Company by affiliates of KKR &amp; Co. Inc. (the "KKR Acquisition").</w:t>
      </w:r>
    </w:p>
    <w:p>
      <w:pPr>
        <w:jc w:val="both"/>
        <w:ind w:left="660" w:hanging="328"/>
        <w:spacing w:after="0" w:line="241"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$0.2 million and $0.4 million for the three months ended September 28, 2019 and September 29, 2018 and $1.2 million and $1.0 million for the nine months ended September 28, 2019 and September 29, 2018, respectively; the amortization impact of the KKR Acquisition-related adjustments (e.g., fair value of leasehold interests) of $0.1 million and $0.2 million for the three months ended September 28, 2019 and September 29, 2018 and $0.3 million for each of the nine months ended September 28, 2019 and September 29, 2018; differences between the timing of expense versus cash payments related to contributions to charitable organizations of $(0.3) million and $(0.8) million for the three and nine months ended September 29, 2018, respectively; costs of severance and relocation of $1.0 million and $0.3 million for the three months ended September 28, 2019 and September 29, 2018, respectively and $1.8 million and $0.9 million for the nine months ended September 28, 2019 and September 29, 2018, respectively; excess payroll taxes related to stock option exercises of $0.5 million and $0.9 million for the three months ended September 28, 2019 and September 29, 2018, respectively and $0.6 million and $1.2 million for the nine months ended September 28, 2019 and September 29, 2018, respectively; and other expenses and adjustments totaling $0.2 million and $0.4 million for the three months ended September 28, 2019 and September 29, 2018, respectively and $0.5 million for each of the nine months ended September 28, 2019 and September 29, 2018.</w:t>
      </w:r>
    </w:p>
    <w:p>
      <w:pPr>
        <w:spacing w:after="0" w:line="166" w:lineRule="exact"/>
        <w:rPr>
          <w:rFonts w:ascii="Times New Roman" w:cs="Times New Roman" w:eastAsia="Times New Roman" w:hAnsi="Times New Roman"/>
          <w:sz w:val="14"/>
          <w:szCs w:val="14"/>
          <w:color w:val="auto"/>
        </w:rPr>
      </w:pPr>
    </w:p>
    <w:p>
      <w:pPr>
        <w:jc w:val="both"/>
        <w:ind w:left="660" w:hanging="328"/>
        <w:spacing w:after="0" w:line="242"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definite-lived intangible assets resulting from the application of purchase accounting to the KKR Acquisition of $1.9 million for each of the three months ended September 28, 2019 and September 29, 2018, and $5.6 million for each of the nine months ended September 28, 2019 and September 29, 2018. Amortization of deferred financing costs is primarily associated with the March 2014 term loan borrowings in connection with the KKR Acquisition and, to a lesser extent, amortization of debt discounts associated with the May 2015 and February 2017 incremental First Lien - Term Loan B and the November 2017 First Lien - Term Loan B refinancing, aggregating to $0.2 million and $0.4 million for the three months ended September 28, 2019 and September 29, 2018 and $1.1 million and $1.3 million for the nine months ended September 28, 2019 and September 29, 2018, respectively.</w:t>
      </w:r>
    </w:p>
    <w:p>
      <w:pPr>
        <w:spacing w:after="0" w:line="160" w:lineRule="exact"/>
        <w:rPr>
          <w:rFonts w:ascii="Times New Roman" w:cs="Times New Roman" w:eastAsia="Times New Roman" w:hAnsi="Times New Roman"/>
          <w:sz w:val="14"/>
          <w:szCs w:val="14"/>
          <w:color w:val="auto"/>
        </w:rPr>
      </w:pPr>
    </w:p>
    <w:p>
      <w:pPr>
        <w:ind w:left="660" w:hanging="328"/>
        <w:spacing w:after="0" w:line="241"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Tax benefit associated with accounting guidance adopted at the beginning of fiscal year 2017 (Accounting Standards Update 2016-09, </w:t>
      </w:r>
      <w:r>
        <w:rPr>
          <w:rFonts w:ascii="Times New Roman" w:cs="Times New Roman" w:eastAsia="Times New Roman" w:hAnsi="Times New Roman"/>
          <w:sz w:val="14"/>
          <w:szCs w:val="14"/>
          <w:i w:val="1"/>
          <w:iCs w:val="1"/>
          <w:color w:val="auto"/>
        </w:rPr>
        <w:t>Compensation - Stock Compensation</w:t>
      </w:r>
      <w:r>
        <w:rPr>
          <w:rFonts w:ascii="Times New Roman" w:cs="Times New Roman" w:eastAsia="Times New Roman" w:hAnsi="Times New Roman"/>
          <w:sz w:val="14"/>
          <w:szCs w:val="14"/>
          <w:color w:val="auto"/>
        </w:rPr>
        <w:t>), requiring excess tax benefits related to stock option exercises to be recorded in earnings as discrete items in the reporting period in which they occur.</w:t>
      </w: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$300.0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deferred and unearned revenue and other payables and accrued expenses. Due to the seasonality of our business,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28, 2019, we had $94.1 million in cash and cash equivalents and $146.5 million of availability under our revolving credit facility, which includes $5.5 million in outstanding letters of credit.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purchased $76.5 million in capital items in the nine months ended September 28, 2019. Approximately 80% of our capital spend is related to our expected growth (i.e., new stores, optometric equipment, additional capacity in our optical laboratories and distribution centers, and our IT infrastructure, including omni-channel platform related investments). We plan on opening approximately 75 stores during fiscal year 2019 (inclusive of the 67 new stores opened through September 28, 2019). Our working capital requirements for inventory will increase as we continue to open additional stores. We primarily fund our working capital needs using cash provided by operations.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for) operating activities, investing activities and financing activities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28, 2019</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29, 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170,938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115,952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increased $55.0 million from $116.0 million during the nine months ended September 29, 2018 to $170.9 million for the nine months ended September 28, 2019. Net income decreased $13.2 million, primarily due to an increase in non-cash expense items, such as depreciation and amortization, asset impairment, and loss on extinguishment of debt. The impact of reduced net income was more than offset by an increase in non-cash expense items resulting in an increase to cash of $32.3 million including loss on extinguishment of debt of $9.8 million, deferred income tax expense of $9.3 million, depreciation and amortization of $8.8 million, and asset impairment charges of $5.3 million.</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Decreases in net working capital and other assets and liabilities contributed $35.9 million in cash compared to the nine months ended September 29, 2018. Increases in other liabilities contributed $11.2 million in year-over-year cash, primarily related to increases in compensation accruals due to the number of payroll days accrued. Decreases in other assets contributed $11.0 million in year-over-year cash, primarily the result of decreases in prepaid advertising and rent-related items. Decreases in inventory contributed $11.7 million in year-over-year cash, primarily related to the sale of late 2018 forward buys. Additionally, increases in accounts payable during the nine months ended September 28, 2019 contributed $6.5 million in year-over-year cash, primarily due to timing of payments.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Off-setting these items was a $5.4 million reduction in year-over-year cash related to increases in accounts receivable balances, reflective of year-over-year increases in the growth of our participation in managed care programs, increases in our contact lens distribution business with other major retailers, and increases in receivables for tenant improvements.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decreased by $2.8 million, to $75.9 million, during the nine months ended September 28, 2019 from $78.7 million during the nine months ended September 29, 2018. The decrease was primarily due to capital investments made in the prior year for our Texas lab not recurring in the current year as well as timing of new store capital investments.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For)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(used for) financing activities decreased $25.3 million, from $7.6 million provision of cash to $17.7 million use of cash during the nine months ended September 28, 2019. The change in cash provided by (used for) financing activities was due to the repurchase of shares of common stock of the Company of $25.0 million during the nine months ended September 28, 2019.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2019 (the “Closing Date”), we amended and restated the credit agreement, dated as of October 9, 2018 (the “Existing Credit Agreement”), by and among Nautilus Acquisition Holdings, Inc. (“Holdings”), a Delaware corporation and a wholly-owned subsidiary of the Company, NVI, Goldman Sachs Bank USA, as administrative agent and collateral agent, and the lenders from time to time party thereto and the other parties thereto, pursuant to a certain Joinder and Amendment and Restatement Agreement, dated as of July 18, 2019 (the “Restatement Agreement”) by and among Holdings, NVI, as borrower, certain subsidiaries of NVI, as guarantors, Goldman Sachs Bank USA, as former administrative agent and collateral agent, Bank of America, N.A., as new administrative agent and collateral agent, and the lenders from time to time party thereto (the Existing Credit Agreement, as amended and restated by the Restatement Agreement, the “Credit Agreement”).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Restatement Agreement, the initial new Applicable Margins are (i) 1.50% for the new first lien term loans that are LIBOR Loans and (ii) 0.50% for the new first lien term loans that are ABR Loans. The Restatement Agreement further provides that following the Closing Date, the above Applicable Margins for the new first lien term loans will be based on NVI’s consolidated first lien leverage ratio as follows: (a) if NVI’s consolidated first lien leverage ratio is greater than 3.75 to 1.00, the Applicable Margin will be 2.00% for LIBOR Loans and 1.00% for ABR Loans, (b) if NVI’s consolidated first lien leverage ratio is less than or equal to 3.75 to 1.00, but greater than 2.75 to 1.00, the Applicable Margin will be 1.75% for LIBOR Loans and 0.75% for ABR Loans, (c) if NVI’s consolidated first lien leverage ratio is less than or equal to 2.75 to 1.00 but greater than 1.75 to 1.00, the Applicable Margin will be 1.50% for LIBOR Loans and 0.50% for ABR Loans, (d) if NVI’s consolidated first lien leverage ratio is less than or equal to 1.75 to 1.00 but greater than</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0.75 to 1.00, the Applicable Margin will be 1.25% for LIBOR Loans and 0.25% for ABR Loans and (e) if NVI’s consolidated first lien leverage ratio is less than or equal to 0.75 to 1.00, the Applicable Margin will be 1.00% for LIBOR Loans and 0.00% for ABR Loans. The new first lien term loans will amortize in quarterly installments equal to 2.50% per annum in the first three years of the loan and 5.00% per annum thereafter. Capitalized terms used but not defined herein shall have the meanings assigned to such terms in the Credit Agreement and Restatement Agreement, as applicable, included in Exhibit 10.1 of Form 10-Q filed with the SEC on August 6, 2019.</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28, 2019, we had $420.0 million of first lien term loans outstanding under our Credit Agreement. As of September 28, 2019, we also had a $300.0 million revolving credit facility with $148.0 million outstanding, $5.5 million in outstanding letters of credit, and $146.5 million of additional availability. As of September 28, 2019, we were in compliance with all of our debt covenants under the Credit Agreement. Effective October 31, 2019, the Company used cash on hand to make a $25.0 million voluntary prepayment of outstanding principal under the first lien term loans of the Credit Agreement.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LIBOR is phased out as is currently expected, the Credit Agreement provides that the Company and the administrative agent may amend such Credit Agreement to replace the LIBOR definition with a successor rate based on prevailing market convention, subject to notifying the lending syndicate of such change and not receiving within five business days of such notification written objections to such replacement rate form, with respect to any class of loans under the Credit Agreement, lenders holdings at least a majority of the aggregate principal amount of loans and commitments then outstanding in each class. The consequences of these developments cannot be entirely predicted, but could include an increase in the interest cost of our variable rate indebtedness.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marketing and promotional commitments, or commitments to philanthropic endeavors. We have disclosed the amount of future commitments associated with these items in our fiscal year 2018 annual consolidated financial statements filed on the Form 10-K. We were not a party to any other off-balance sheet arrangements during the nine months ended September 28, 2019.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28, 2019, we entered into minimum purchase commitments with our trade vendors of approximately $17.0 million annually through 2021. These purchase commitments represent a small portion of our costs applicable to revenue. There were no other material changes outside the ordinary course of business in our contractual obligations and commercial commitments from those reported as of December 29, 2018 in the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Annual Report dated December 29, 2018,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Annual Report, except for the adoption of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discussed in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“Description of Business and Basis of Presentation” of our unaudited condensed consolidated financial statements included in Part I. Item 1. of this Form 10-Q.</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 “Description of Business and Basis of Presentation” to our unaudited condensed consolidated financial statements under Part I. Item 1. under the heading “</w:t>
      </w:r>
      <w:r>
        <w:rPr>
          <w:rFonts w:ascii="Times New Roman" w:cs="Times New Roman" w:eastAsia="Times New Roman" w:hAnsi="Times New Roman"/>
          <w:sz w:val="18"/>
          <w:szCs w:val="18"/>
          <w:i w:val="1"/>
          <w:iCs w:val="1"/>
          <w:color w:val="auto"/>
        </w:rPr>
        <w:t>Adoption of New Accounting Pronouncements</w:t>
      </w:r>
      <w:r>
        <w:rPr>
          <w:rFonts w:ascii="Times New Roman" w:cs="Times New Roman" w:eastAsia="Times New Roman" w:hAnsi="Times New Roman"/>
          <w:sz w:val="18"/>
          <w:szCs w:val="18"/>
          <w:color w:val="auto"/>
        </w:rPr>
        <w:t>” of this Form 10-Q is incorporated herein by reference.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unaudited condensed consolidated balance sheets.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28, 2019, all of our $568.0 million in term loan debt was subject to variable interest rates, with a weighted average borrowing rate of 3.6%. After inclusion of the notional amount of $430.0 million of interest rate swaps fixing a portion of the variable rate debt, $138.0 million, or 24.3% of our debt, is subject to variable interest rates. Assuming an increase to market rates of 1.0% as of September 28, 2019, we would incur an annual increase to interest expense of approximately $1.4 million related to debt subject to variable rates. Refer to Note 4.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in Part I. Item 1. of this Form 10-Q for information on the July 18, 2019 Joinder and Amendment and Restatement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September 28, 2019. Based on that evaluation, the CEO and the CFO have concluded that, because the previously identified material weakness in our internal control over financial reporting described below had not been remediated by the end of the period covered by this Form 10-Q, our disclosure controls and procedures were not effective as of the end of the period covered by this Form 10-Q.</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described below, based on the additional analysis and other post-closing procedures performed, management believes the financial statements included in this report are fairly presented, in all material respects, in conformity with accounting principles generally accepted in the United States of America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on February 27, 2019, we had identified a control deficiency that constituted a material weakness in our internal control over financial reporting as of December 29, 2018.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In part due to errors discovered as a result of the implementation of controls associated with the new lease accounting standard, the Company concluded the following material weakness still exists as of September 28, 2019:</w:t>
      </w:r>
    </w:p>
    <w:p>
      <w:pPr>
        <w:spacing w:after="0" w:line="7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The Company did not design and maintain effective entity level controls to identify and assess changes in our business environment that could significantly impact the system of internal control over financial reporting.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we designed and implemented the following controls responsive to the remediation of this material weakness:</w:t>
      </w:r>
    </w:p>
    <w:p>
      <w:pPr>
        <w:spacing w:after="0" w:line="117" w:lineRule="exact"/>
        <w:rPr>
          <w:sz w:val="20"/>
          <w:szCs w:val="20"/>
          <w:color w:val="auto"/>
        </w:rPr>
      </w:pPr>
    </w:p>
    <w:p>
      <w:pPr>
        <w:ind w:left="660" w:right="20" w:hanging="409"/>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periodic meeting of senior leaders from key business groups, including operations and finance, for purposes of identifying and assessing changes in our business environment that could significantly impact the system of internal control over financial reporting.</w:t>
      </w:r>
    </w:p>
    <w:p>
      <w:pPr>
        <w:ind w:left="660" w:hanging="4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control to incorporate those changes into our risk assessment and control activities.</w:t>
      </w:r>
    </w:p>
    <w:p>
      <w:pPr>
        <w:spacing w:after="0" w:line="9" w:lineRule="exact"/>
        <w:rPr>
          <w:rFonts w:ascii="Times New Roman" w:cs="Times New Roman" w:eastAsia="Times New Roman" w:hAnsi="Times New Roman"/>
          <w:sz w:val="18"/>
          <w:szCs w:val="18"/>
          <w:color w:val="auto"/>
        </w:rPr>
      </w:pPr>
    </w:p>
    <w:p>
      <w:pPr>
        <w:ind w:left="660" w:hanging="409"/>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disclosure committee, consisting of certain key members of management, to assist in formalizing our disclosure, risk assessment, internal controls and procedures.</w:t>
      </w:r>
    </w:p>
    <w:p>
      <w:pPr>
        <w:ind w:left="660" w:hanging="40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additional technical resources to enhance our overall control environment.</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tested the controls cited above and determined them to be effectively designed and implemented. In addition, we designed the following controls in 2019 to complete the remediation of this material weakness:</w:t>
      </w:r>
    </w:p>
    <w:p>
      <w:pPr>
        <w:spacing w:after="0" w:line="54" w:lineRule="exact"/>
        <w:rPr>
          <w:sz w:val="20"/>
          <w:szCs w:val="20"/>
          <w:color w:val="auto"/>
        </w:rPr>
      </w:pPr>
    </w:p>
    <w:p>
      <w:pPr>
        <w:ind w:left="660" w:hanging="409"/>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control deficiency remediation project plan, overseen by the Chief Financial Officer and internal audit, and reviewed with the Audit Committee at least quarterly.</w:t>
      </w:r>
    </w:p>
    <w:p>
      <w:pPr>
        <w:ind w:left="660" w:hanging="409"/>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enhanced risk assessment that incorporates cross-functional input, data analysis, and detailed reviews of accounting policies and operating procedures to identify and differentiate risks of material misstatement.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processes and the related internal controls were implemented this quarter and were not subject to the Company’s most recent annual evaluation and assessment of internal control over financial reporting. As risk assessment is a dynamic process that occurs throughout the year, we will monitor the effectiveness of these risk assessment controls, including their ability to identify and assess changes in our business environment, through the end of this year. We will evaluate the results of our control assessments to determine whether these new controls are operating effectively and whether the material weakness described in Part II. Item 9A. "Controls and Procedures" of the 2018 10-K has been remediated.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that occurred during the third quarter of fiscal year 2019 that have materially affected, or are reasonably likely to materially affect, our internal control over financial reporting, other than as described above under “Material Weakness and Status of Material Weakness Remediation.”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normal course of our business.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seeking, among other claims, unspecified damages and attorneys’ fees, and in November 2018, FirstSight filed a motion to dismiss. We believe that the claims alleged are without merit and intend to continue to defend the litigation vigorously.</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Monterey County Superior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Mediation has been scheduled in the first quarter of 2020. The Company continues to believe that the plaintiff’s amended complaint lacks merit and will vigorously defend the litigation.</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other legal proceedings that we believe would have a material adverse effect on our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repurchases of the Company’s common stock during the three months ended September 28,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4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16"/>
        </w:trPr>
        <w:tc>
          <w:tcPr>
            <w:tcW w:w="3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 May Yet Be</w:t>
            </w:r>
          </w:p>
        </w:tc>
      </w:tr>
      <w:tr>
        <w:trPr>
          <w:trHeight w:val="216"/>
        </w:trPr>
        <w:tc>
          <w:tcPr>
            <w:tcW w:w="3100" w:type="dxa"/>
            <w:vAlign w:val="bottom"/>
          </w:tcPr>
          <w:p>
            <w:pPr>
              <w:spacing w:after="0"/>
              <w:rPr>
                <w:sz w:val="18"/>
                <w:szCs w:val="18"/>
                <w:color w:val="auto"/>
              </w:rPr>
            </w:pPr>
          </w:p>
        </w:tc>
        <w:tc>
          <w:tcPr>
            <w:tcW w:w="2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r>
      <w:tr>
        <w:trPr>
          <w:trHeight w:val="265"/>
        </w:trPr>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40" w:type="dxa"/>
            <w:vAlign w:val="bottom"/>
            <w:tcBorders>
              <w:bottom w:val="single" w:sz="8" w:color="auto"/>
            </w:tcBorders>
          </w:tcPr>
          <w:p>
            <w:pPr>
              <w:jc w:val="right"/>
              <w:ind w:right="1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Shares Purchased </w:t>
            </w:r>
            <w:r>
              <w:rPr>
                <w:rFonts w:ascii="Times New Roman" w:cs="Times New Roman" w:eastAsia="Times New Roman" w:hAnsi="Times New Roman"/>
                <w:sz w:val="25"/>
                <w:szCs w:val="25"/>
                <w:b w:val="1"/>
                <w:bCs w:val="1"/>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55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5"/>
                <w:szCs w:val="25"/>
                <w:b w:val="1"/>
                <w:bCs w:val="1"/>
                <w:color w:val="auto"/>
                <w:vertAlign w:val="superscript"/>
              </w:rPr>
              <w:t>(1)</w:t>
            </w:r>
          </w:p>
        </w:tc>
        <w:tc>
          <w:tcPr>
            <w:tcW w:w="17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6"/>
              </w:rPr>
              <w:t xml:space="preserve">Programs </w:t>
            </w:r>
            <w:r>
              <w:rPr>
                <w:rFonts w:ascii="Times New Roman" w:cs="Times New Roman" w:eastAsia="Times New Roman" w:hAnsi="Times New Roman"/>
                <w:sz w:val="25"/>
                <w:szCs w:val="25"/>
                <w:b w:val="1"/>
                <w:bCs w:val="1"/>
                <w:color w:val="auto"/>
                <w:w w:val="96"/>
                <w:vertAlign w:val="superscript"/>
              </w:rPr>
              <w:t>(1)</w:t>
            </w:r>
          </w:p>
        </w:tc>
        <w:tc>
          <w:tcPr>
            <w:tcW w:w="24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5"/>
                <w:szCs w:val="25"/>
                <w:b w:val="1"/>
                <w:bCs w:val="1"/>
                <w:color w:val="auto"/>
                <w:w w:val="94"/>
                <w:vertAlign w:val="superscript"/>
              </w:rPr>
              <w:t>(1)</w:t>
            </w: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 August 3,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4 - August 31, 2019</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819,134</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30.52</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819,134</w:t>
            </w:r>
          </w:p>
        </w:tc>
        <w:tc>
          <w:tcPr>
            <w:tcW w:w="24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 September 28,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819,134</w:t>
            </w:r>
          </w:p>
        </w:tc>
        <w:tc>
          <w:tcPr>
            <w:tcW w:w="4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30.52</w:t>
            </w: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819,134</w:t>
            </w:r>
          </w:p>
        </w:tc>
        <w:tc>
          <w:tcPr>
            <w:tcW w:w="2400" w:type="dxa"/>
            <w:vAlign w:val="bottom"/>
            <w:tcBorders>
              <w:top w:val="single" w:sz="8" w:color="auto"/>
            </w:tcBorders>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8"/>
        <w:spacing w:after="0" w:line="218" w:lineRule="auto"/>
        <w:tabs>
          <w:tab w:leader="none" w:pos="258"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Information regarding the Company’s share repurchases can be found in Note 1, Description of Business and Basis of Presentation, in the condensed consolidated financial statements included in Part I. Item 1. of this Form 10-Q.</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500" w:type="dxa"/>
            <w:vAlign w:val="bottom"/>
            <w:gridSpan w:val="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804"/>
        </w:trPr>
        <w:tc>
          <w:tcPr>
            <w:tcW w:w="12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2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07"/>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196"/>
        </w:trPr>
        <w:tc>
          <w:tcPr>
            <w:tcW w:w="340" w:type="dxa"/>
            <w:vAlign w:val="bottom"/>
            <w:gridSpan w:val="3"/>
          </w:tcPr>
          <w:p>
            <w:pPr>
              <w:ind w:left="40"/>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Second Amended and Restated Certificate of Incorporation of National Vision Holdings, Inc. -incorporated herein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3.1 to the Company’s Current Report on Form 8-K filed on October 31, 2017.</w:t>
            </w:r>
          </w:p>
        </w:tc>
      </w:tr>
      <w:tr>
        <w:trPr>
          <w:trHeight w:val="230"/>
        </w:trPr>
        <w:tc>
          <w:tcPr>
            <w:tcW w:w="340" w:type="dxa"/>
            <w:vAlign w:val="bottom"/>
            <w:gridSpan w:val="3"/>
          </w:tcPr>
          <w:p>
            <w:pPr>
              <w:ind w:left="40"/>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National Vision Holdings, Inc. -incorporated herein by reference to Exhibit 3.2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Company’s Current Report on Form 8-K filed on October 31, 2017.</w:t>
            </w:r>
          </w:p>
        </w:tc>
      </w:tr>
      <w:tr>
        <w:trPr>
          <w:trHeight w:val="230"/>
        </w:trPr>
        <w:tc>
          <w:tcPr>
            <w:tcW w:w="360" w:type="dxa"/>
            <w:vAlign w:val="bottom"/>
            <w:gridSpan w:val="4"/>
          </w:tcPr>
          <w:p>
            <w:pPr>
              <w:ind w:left="40"/>
              <w:spacing w:after="0"/>
              <w:rPr>
                <w:rFonts w:ascii="Times New Roman" w:cs="Times New Roman" w:eastAsia="Times New Roman" w:hAnsi="Times New Roman"/>
                <w:sz w:val="18"/>
                <w:szCs w:val="18"/>
                <w:color w:val="0000FF"/>
                <w:w w:val="95"/>
              </w:rPr>
            </w:pPr>
            <w:hyperlink r:id="rId2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Joinder and Amendment and Restatement Agreement, including as Exhibit A thereto, the Amended and Restated Credit Agreement,</w:t>
            </w:r>
          </w:p>
        </w:tc>
      </w:tr>
      <w:tr>
        <w:trPr>
          <w:trHeight w:val="218"/>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dated as of July 18, 2019, by and among Nautilus Acquisition Holdings, Inc., National Vision, Inc., certain subsidiaries of National</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Vision, Inc., as guarantors, Goldman Sachs Bank USA, as former administrative agent and collateral agent, Bank of America, N.A., as</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administrative agent and collateral agent, and the lenders from time to time party thereto - incorporated herein by reference to</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10.1 to the Company’s Form 10-Q filed on August 6, 2019.</w:t>
            </w:r>
          </w:p>
        </w:tc>
      </w:tr>
      <w:tr>
        <w:trPr>
          <w:trHeight w:val="230"/>
        </w:trPr>
        <w:tc>
          <w:tcPr>
            <w:tcW w:w="360" w:type="dxa"/>
            <w:vAlign w:val="bottom"/>
            <w:gridSpan w:val="4"/>
          </w:tcPr>
          <w:p>
            <w:pPr>
              <w:ind w:left="40"/>
              <w:spacing w:after="0"/>
              <w:rPr>
                <w:rFonts w:ascii="Times New Roman" w:cs="Times New Roman" w:eastAsia="Times New Roman" w:hAnsi="Times New Roman"/>
                <w:sz w:val="18"/>
                <w:szCs w:val="18"/>
                <w:color w:val="0000FF"/>
                <w:w w:val="95"/>
              </w:rPr>
            </w:pPr>
            <w:hyperlink w:anchor="page53">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 (filed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Times New Roman" w:cs="Times New Roman" w:eastAsia="Times New Roman" w:hAnsi="Times New Roman"/>
                <w:sz w:val="18"/>
                <w:szCs w:val="18"/>
                <w:color w:val="0000FF"/>
                <w:w w:val="95"/>
              </w:rPr>
            </w:pPr>
            <w:hyperlink w:anchor="page54">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 (filed herewith).</w:t>
            </w:r>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4"/>
          </w:tcPr>
          <w:p>
            <w:pPr>
              <w:ind w:left="40"/>
              <w:spacing w:after="0"/>
              <w:rPr>
                <w:rFonts w:ascii="Times New Roman" w:cs="Times New Roman" w:eastAsia="Times New Roman" w:hAnsi="Times New Roman"/>
                <w:sz w:val="18"/>
                <w:szCs w:val="18"/>
                <w:color w:val="0000FF"/>
                <w:w w:val="95"/>
              </w:rPr>
            </w:pPr>
            <w:hyperlink w:anchor="page55">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30"/>
        </w:trPr>
        <w:tc>
          <w:tcPr>
            <w:tcW w:w="360" w:type="dxa"/>
            <w:vAlign w:val="bottom"/>
            <w:gridSpan w:val="4"/>
          </w:tcPr>
          <w:p>
            <w:pPr>
              <w:ind w:left="40"/>
              <w:spacing w:after="0"/>
              <w:rPr>
                <w:rFonts w:ascii="Times New Roman" w:cs="Times New Roman" w:eastAsia="Times New Roman" w:hAnsi="Times New Roman"/>
                <w:sz w:val="18"/>
                <w:szCs w:val="18"/>
                <w:color w:val="0000FF"/>
                <w:w w:val="95"/>
              </w:rPr>
            </w:pPr>
            <w:hyperlink w:anchor="page56">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hyperlink>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52"/>
        </w:trPr>
        <w:tc>
          <w:tcPr>
            <w:tcW w:w="40" w:type="dxa"/>
            <w:vAlign w:val="bottom"/>
          </w:tcPr>
          <w:p>
            <w:pPr>
              <w:spacing w:after="0"/>
              <w:rPr>
                <w:sz w:val="21"/>
                <w:szCs w:val="21"/>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40" w:type="dxa"/>
            <w:vAlign w:val="bottom"/>
          </w:tcPr>
          <w:p>
            <w:pPr>
              <w:spacing w:after="0"/>
              <w:rPr>
                <w:sz w:val="23"/>
                <w:szCs w:val="23"/>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36" w:lineRule="exact"/>
        <w:rPr>
          <w:sz w:val="20"/>
          <w:szCs w:val="20"/>
          <w:color w:val="auto"/>
        </w:rPr>
      </w:pPr>
    </w:p>
    <w:p>
      <w:pPr>
        <w:ind w:left="1520" w:right="20" w:hanging="1485"/>
        <w:spacing w:after="0" w:line="282" w:lineRule="auto"/>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September 28, 2019, formatted in Inline XBRL (included within the Exhibit 101 attachments)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2019</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L. Reade Fahs</w:t>
            </w:r>
          </w:p>
        </w:tc>
      </w:tr>
      <w:tr>
        <w:trPr>
          <w:trHeight w:val="27"/>
        </w:trPr>
        <w:tc>
          <w:tcPr>
            <w:tcW w:w="3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70"/>
        </w:trPr>
        <w:tc>
          <w:tcPr>
            <w:tcW w:w="37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7, 2019</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Patrick R. Moore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6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28, 2019 of National Vision Holdings,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1708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28, 2019 of National Vision Holdings,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2098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September 28, 2019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40"/>
        <w:spacing w:after="0"/>
        <w:tabs>
          <w:tab w:leader="none" w:pos="7000" w:val="left"/>
        </w:tabs>
        <w:rPr>
          <w:sz w:val="20"/>
          <w:szCs w:val="20"/>
          <w:color w:val="auto"/>
        </w:rPr>
      </w:pPr>
      <w:r>
        <w:rPr>
          <w:rFonts w:ascii="Times New Roman" w:cs="Times New Roman" w:eastAsia="Times New Roman" w:hAnsi="Times New Roman"/>
          <w:sz w:val="18"/>
          <w:szCs w:val="18"/>
          <w:color w:val="auto"/>
        </w:rPr>
        <w:t>/s/ L. Reade Fahs</w:t>
      </w:r>
      <w:r>
        <w:rPr>
          <w:sz w:val="20"/>
          <w:szCs w:val="20"/>
          <w:color w:val="auto"/>
        </w:rPr>
        <w:tab/>
      </w:r>
      <w:r>
        <w:rPr>
          <w:rFonts w:ascii="Times New Roman" w:cs="Times New Roman" w:eastAsia="Times New Roman" w:hAnsi="Times New Roman"/>
          <w:sz w:val="16"/>
          <w:szCs w:val="16"/>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1708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September 28, 2019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b w:val="1"/>
          <w:bCs w:val="1"/>
          <w:color w:val="auto"/>
        </w:rPr>
      </w:pPr>
    </w:p>
    <w:p>
      <w:pPr>
        <w:ind w:left="340" w:right="160" w:hanging="332"/>
        <w:spacing w:after="0" w:line="282"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-7620</wp:posOffset>
            </wp:positionV>
            <wp:extent cx="2098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098675"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lvl w:ilvl="1">
      <w:lvlJc w:val="left"/>
      <w:lvlText w:val="(%2)"/>
      <w:numFmt w:val="decimal"/>
      <w:start w:val="1"/>
    </w:lvl>
  </w:abstractNum>
  <w:abstractNum w:abstractNumId="8">
    <w:nsid w:val="257130A3"/>
    <w:multiLevelType w:val="hybridMultilevel"/>
    <w:lvl w:ilvl="0">
      <w:lvlJc w:val="left"/>
      <w:lvlText w:val="%1."/>
      <w:numFmt w:val="decimal"/>
      <w:start w:val="4"/>
    </w:lvl>
    <w:lvl w:ilvl="1">
      <w:lvlJc w:val="left"/>
      <w:lvlText w:val="%2"/>
      <w:numFmt w:val="decimal"/>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0" Type="http://schemas.openxmlformats.org/officeDocument/2006/relationships/hyperlink" Target="http://www.sec.gov/Archives/edgar/data/1710155/000156761917002270/s001582x19_ex3-1.htm" TargetMode="External"/><Relationship Id="rId21" Type="http://schemas.openxmlformats.org/officeDocument/2006/relationships/hyperlink" Target="http://www.sec.gov/Archives/edgar/data/1710155/000156761917002270/s001582x19_ex3-2.htm" TargetMode="External"/><Relationship Id="rId22" Type="http://schemas.openxmlformats.org/officeDocument/2006/relationships/hyperlink" Target="http://www.sec.gov/Archives/edgar/data/1710155/000171015519000053/a101-revisednvix2019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2019-12-28T02:26:20Z</dcterms:created>
  <dcterms:modified xsi:type="dcterms:W3CDTF">2019-12-28T02:26:20Z</dcterms:modified>
</cp:coreProperties>
</file>