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991235</wp:posOffset>
            </wp:positionH>
            <wp:positionV relativeFrom="page">
              <wp:posOffset>358775</wp:posOffset>
            </wp:positionV>
            <wp:extent cx="64128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865" cy="8255"/>
                    </a:xfrm>
                    <a:prstGeom prst="rect">
                      <a:avLst/>
                    </a:prstGeom>
                    <a:noFill/>
                  </pic:spPr>
                </pic:pic>
              </a:graphicData>
            </a:graphic>
          </wp:anchor>
        </w:drawing>
        <w:drawing>
          <wp:anchor simplePos="0" relativeHeight="251657728" behindDoc="1" locked="0" layoutInCell="0" allowOverlap="1">
            <wp:simplePos x="0" y="0"/>
            <wp:positionH relativeFrom="page">
              <wp:posOffset>991235</wp:posOffset>
            </wp:positionH>
            <wp:positionV relativeFrom="page">
              <wp:posOffset>318135</wp:posOffset>
            </wp:positionV>
            <wp:extent cx="64128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2865" cy="2476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5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w:t>
      </w:r>
    </w:p>
    <w:p>
      <w:pPr>
        <w:spacing w:after="0" w:line="84" w:lineRule="exact"/>
        <w:rPr>
          <w:sz w:val="24"/>
          <w:szCs w:val="24"/>
          <w:color w:val="auto"/>
        </w:rPr>
      </w:pPr>
    </w:p>
    <w:p>
      <w:pPr>
        <w:ind w:left="220" w:hanging="217"/>
        <w:spacing w:after="0"/>
        <w:tabs>
          <w:tab w:leader="none" w:pos="2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April 2, 2022</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77" w:lineRule="exact"/>
        <w:rPr>
          <w:sz w:val="24"/>
          <w:szCs w:val="24"/>
          <w:color w:val="auto"/>
        </w:rPr>
      </w:pPr>
    </w:p>
    <w:p>
      <w:pPr>
        <w:ind w:left="220" w:hanging="217"/>
        <w:spacing w:after="0"/>
        <w:tabs>
          <w:tab w:leader="none" w:pos="2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4" w:lineRule="exact"/>
        <w:rPr>
          <w:sz w:val="24"/>
          <w:szCs w:val="24"/>
          <w:color w:val="auto"/>
        </w:rPr>
      </w:pPr>
    </w:p>
    <w:p>
      <w:pPr>
        <w:ind w:left="4180"/>
        <w:spacing w:after="0"/>
        <w:tabs>
          <w:tab w:leader="none" w:pos="65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001-38257</w:t>
      </w:r>
    </w:p>
    <w:p>
      <w:pPr>
        <w:spacing w:after="0" w:line="11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National Vision Holdings,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3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w:t>
      </w:r>
    </w:p>
    <w:p>
      <w:pPr>
        <w:spacing w:after="0" w:line="128" w:lineRule="exact"/>
        <w:rPr>
          <w:sz w:val="24"/>
          <w:szCs w:val="24"/>
          <w:color w:val="auto"/>
        </w:rPr>
      </w:pPr>
    </w:p>
    <w:tbl>
      <w:tblPr>
        <w:tblLayout w:type="fixed"/>
        <w:tblInd w:w="2000" w:type="dxa"/>
        <w:tblCellMar>
          <w:top w:w="0" w:type="dxa"/>
          <w:left w:w="0" w:type="dxa"/>
          <w:bottom w:w="0" w:type="dxa"/>
          <w:right w:w="0" w:type="dxa"/>
        </w:tblCellMar>
      </w:tblPr>
      <w:tr>
        <w:trPr>
          <w:trHeight w:val="204"/>
        </w:trPr>
        <w:tc>
          <w:tcPr>
            <w:tcW w:w="3940" w:type="dxa"/>
            <w:vAlign w:val="bottom"/>
          </w:tcPr>
          <w:p>
            <w:pPr>
              <w:jc w:val="center"/>
              <w:ind w:right="140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64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46-4841717</w:t>
            </w:r>
          </w:p>
        </w:tc>
      </w:tr>
      <w:tr>
        <w:trPr>
          <w:trHeight w:val="200"/>
        </w:trPr>
        <w:tc>
          <w:tcPr>
            <w:tcW w:w="3940" w:type="dxa"/>
            <w:vAlign w:val="bottom"/>
          </w:tcPr>
          <w:p>
            <w:pPr>
              <w:jc w:val="center"/>
              <w:ind w:right="138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2640" w:type="dxa"/>
            <w:vAlign w:val="bottom"/>
          </w:tcPr>
          <w:p>
            <w:pPr>
              <w:jc w:val="center"/>
              <w:ind w:left="1423"/>
              <w:spacing w:after="0"/>
              <w:rPr>
                <w:sz w:val="20"/>
                <w:szCs w:val="20"/>
                <w:color w:val="auto"/>
              </w:rPr>
            </w:pPr>
            <w:r>
              <w:rPr>
                <w:rFonts w:ascii="Times New Roman" w:cs="Times New Roman" w:eastAsia="Times New Roman" w:hAnsi="Times New Roman"/>
                <w:sz w:val="15"/>
                <w:szCs w:val="15"/>
                <w:color w:val="auto"/>
              </w:rPr>
              <w:t>(I.R.S. Employer</w:t>
            </w:r>
          </w:p>
        </w:tc>
      </w:tr>
      <w:tr>
        <w:trPr>
          <w:trHeight w:val="200"/>
        </w:trPr>
        <w:tc>
          <w:tcPr>
            <w:tcW w:w="3940" w:type="dxa"/>
            <w:vAlign w:val="bottom"/>
          </w:tcPr>
          <w:p>
            <w:pPr>
              <w:jc w:val="center"/>
              <w:ind w:right="140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640" w:type="dxa"/>
            <w:vAlign w:val="bottom"/>
          </w:tcPr>
          <w:p>
            <w:pPr>
              <w:jc w:val="center"/>
              <w:ind w:left="1403"/>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258"/>
        </w:trPr>
        <w:tc>
          <w:tcPr>
            <w:tcW w:w="3940" w:type="dxa"/>
            <w:vAlign w:val="bottom"/>
          </w:tcPr>
          <w:p>
            <w:pPr>
              <w:jc w:val="center"/>
              <w:ind w:right="1403"/>
              <w:spacing w:after="0"/>
              <w:rPr>
                <w:sz w:val="20"/>
                <w:szCs w:val="20"/>
                <w:color w:val="auto"/>
              </w:rPr>
            </w:pPr>
            <w:r>
              <w:rPr>
                <w:rFonts w:ascii="Times New Roman" w:cs="Times New Roman" w:eastAsia="Times New Roman" w:hAnsi="Times New Roman"/>
                <w:sz w:val="15"/>
                <w:szCs w:val="15"/>
                <w:b w:val="1"/>
                <w:bCs w:val="1"/>
                <w:color w:val="auto"/>
              </w:rPr>
              <w:t>2435 Commerce Ave</w:t>
            </w:r>
          </w:p>
        </w:tc>
        <w:tc>
          <w:tcPr>
            <w:tcW w:w="2640" w:type="dxa"/>
            <w:vAlign w:val="bottom"/>
          </w:tcPr>
          <w:p>
            <w:pPr>
              <w:spacing w:after="0"/>
              <w:rPr>
                <w:sz w:val="22"/>
                <w:szCs w:val="22"/>
                <w:color w:val="auto"/>
              </w:rPr>
            </w:pPr>
          </w:p>
        </w:tc>
      </w:tr>
      <w:tr>
        <w:trPr>
          <w:trHeight w:val="206"/>
        </w:trPr>
        <w:tc>
          <w:tcPr>
            <w:tcW w:w="3940" w:type="dxa"/>
            <w:vAlign w:val="bottom"/>
          </w:tcPr>
          <w:p>
            <w:pPr>
              <w:jc w:val="center"/>
              <w:ind w:right="1383"/>
              <w:spacing w:after="0"/>
              <w:rPr>
                <w:sz w:val="20"/>
                <w:szCs w:val="20"/>
                <w:color w:val="auto"/>
              </w:rPr>
            </w:pPr>
            <w:r>
              <w:rPr>
                <w:rFonts w:ascii="Times New Roman" w:cs="Times New Roman" w:eastAsia="Times New Roman" w:hAnsi="Times New Roman"/>
                <w:sz w:val="15"/>
                <w:szCs w:val="15"/>
                <w:b w:val="1"/>
                <w:bCs w:val="1"/>
                <w:color w:val="auto"/>
              </w:rPr>
              <w:t>Building 2200</w:t>
            </w:r>
          </w:p>
        </w:tc>
        <w:tc>
          <w:tcPr>
            <w:tcW w:w="2640" w:type="dxa"/>
            <w:vAlign w:val="bottom"/>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30096</w:t>
            </w:r>
          </w:p>
        </w:tc>
      </w:tr>
      <w:tr>
        <w:trPr>
          <w:trHeight w:val="206"/>
        </w:trPr>
        <w:tc>
          <w:tcPr>
            <w:tcW w:w="3940" w:type="dxa"/>
            <w:vAlign w:val="bottom"/>
          </w:tcPr>
          <w:p>
            <w:pPr>
              <w:jc w:val="center"/>
              <w:ind w:right="1403"/>
              <w:spacing w:after="0"/>
              <w:rPr>
                <w:sz w:val="20"/>
                <w:szCs w:val="20"/>
                <w:color w:val="auto"/>
              </w:rPr>
            </w:pPr>
            <w:r>
              <w:rPr>
                <w:rFonts w:ascii="Times New Roman" w:cs="Times New Roman" w:eastAsia="Times New Roman" w:hAnsi="Times New Roman"/>
                <w:sz w:val="15"/>
                <w:szCs w:val="15"/>
                <w:b w:val="1"/>
                <w:bCs w:val="1"/>
                <w:color w:val="auto"/>
              </w:rPr>
              <w:t>Duluth, Georgia</w:t>
            </w:r>
          </w:p>
        </w:tc>
        <w:tc>
          <w:tcPr>
            <w:tcW w:w="2640" w:type="dxa"/>
            <w:vAlign w:val="bottom"/>
          </w:tcPr>
          <w:p>
            <w:pPr>
              <w:jc w:val="center"/>
              <w:ind w:left="1403"/>
              <w:spacing w:after="0"/>
              <w:rPr>
                <w:sz w:val="20"/>
                <w:szCs w:val="20"/>
                <w:color w:val="auto"/>
              </w:rPr>
            </w:pPr>
            <w:r>
              <w:rPr>
                <w:rFonts w:ascii="Times New Roman" w:cs="Times New Roman" w:eastAsia="Times New Roman" w:hAnsi="Times New Roman"/>
                <w:sz w:val="15"/>
                <w:szCs w:val="15"/>
                <w:color w:val="auto"/>
              </w:rPr>
              <w:t>(Zip Code)</w:t>
            </w:r>
          </w:p>
        </w:tc>
      </w:tr>
      <w:tr>
        <w:trPr>
          <w:trHeight w:val="206"/>
        </w:trPr>
        <w:tc>
          <w:tcPr>
            <w:tcW w:w="3940" w:type="dxa"/>
            <w:vAlign w:val="bottom"/>
          </w:tcPr>
          <w:p>
            <w:pPr>
              <w:jc w:val="center"/>
              <w:ind w:right="1403"/>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640" w:type="dxa"/>
            <w:vAlign w:val="bottom"/>
          </w:tcPr>
          <w:p>
            <w:pPr>
              <w:spacing w:after="0"/>
              <w:rPr>
                <w:sz w:val="17"/>
                <w:szCs w:val="17"/>
                <w:color w:val="auto"/>
              </w:rPr>
            </w:pPr>
          </w:p>
        </w:tc>
      </w:tr>
    </w:tbl>
    <w:p>
      <w:pPr>
        <w:spacing w:after="0" w:line="58" w:lineRule="exact"/>
        <w:rPr>
          <w:sz w:val="24"/>
          <w:szCs w:val="24"/>
          <w:color w:val="auto"/>
        </w:rPr>
      </w:pPr>
    </w:p>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(770) 822</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3600</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5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163"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00" w:type="dxa"/>
            <w:vAlign w:val="bottom"/>
          </w:tcPr>
          <w:p>
            <w:pPr>
              <w:spacing w:after="0"/>
              <w:rPr>
                <w:sz w:val="17"/>
                <w:szCs w:val="17"/>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EYE</w:t>
            </w:r>
          </w:p>
        </w:tc>
        <w:tc>
          <w:tcPr>
            <w:tcW w:w="3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174"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0"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1720" w:type="dxa"/>
        <w:tblCellMar>
          <w:top w:w="0" w:type="dxa"/>
          <w:left w:w="0" w:type="dxa"/>
          <w:bottom w:w="0" w:type="dxa"/>
          <w:right w:w="0" w:type="dxa"/>
        </w:tblCellMar>
      </w:tblPr>
      <w:tr>
        <w:trPr>
          <w:trHeight w:val="226"/>
        </w:trPr>
        <w:tc>
          <w:tcPr>
            <w:tcW w:w="160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Large accelerated filer</w:t>
            </w:r>
          </w:p>
        </w:tc>
        <w:tc>
          <w:tcPr>
            <w:tcW w:w="112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2600" w:type="dxa"/>
            <w:vAlign w:val="bottom"/>
          </w:tcPr>
          <w:p>
            <w:pPr>
              <w:jc w:val="center"/>
              <w:ind w:left="523"/>
              <w:spacing w:after="0"/>
              <w:rPr>
                <w:sz w:val="20"/>
                <w:szCs w:val="20"/>
                <w:color w:val="auto"/>
              </w:rPr>
            </w:pPr>
            <w:r>
              <w:rPr>
                <w:rFonts w:ascii="Times New Roman" w:cs="Times New Roman" w:eastAsia="Times New Roman" w:hAnsi="Times New Roman"/>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5"/>
        </w:trPr>
        <w:tc>
          <w:tcPr>
            <w:tcW w:w="1600" w:type="dxa"/>
            <w:vAlign w:val="bottom"/>
          </w:tcPr>
          <w:p>
            <w:pPr>
              <w:jc w:val="center"/>
              <w:ind w:right="143"/>
              <w:spacing w:after="0"/>
              <w:rPr>
                <w:sz w:val="20"/>
                <w:szCs w:val="20"/>
                <w:color w:val="auto"/>
              </w:rPr>
            </w:pPr>
            <w:r>
              <w:rPr>
                <w:rFonts w:ascii="Times New Roman" w:cs="Times New Roman" w:eastAsia="Times New Roman" w:hAnsi="Times New Roman"/>
                <w:sz w:val="15"/>
                <w:szCs w:val="15"/>
                <w:color w:val="auto"/>
              </w:rPr>
              <w:t>Non-accelerated filer</w:t>
            </w:r>
          </w:p>
        </w:tc>
        <w:tc>
          <w:tcPr>
            <w:tcW w:w="112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2600" w:type="dxa"/>
            <w:vAlign w:val="bottom"/>
          </w:tcPr>
          <w:p>
            <w:pPr>
              <w:jc w:val="center"/>
              <w:ind w:left="523"/>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0" w:type="dxa"/>
            <w:vAlign w:val="bottom"/>
          </w:tcPr>
          <w:p>
            <w:pPr>
              <w:jc w:val="center"/>
              <w:ind w:left="523"/>
              <w:spacing w:after="0"/>
              <w:rPr>
                <w:sz w:val="20"/>
                <w:szCs w:val="20"/>
                <w:color w:val="auto"/>
              </w:rPr>
            </w:pPr>
            <w:r>
              <w:rPr>
                <w:rFonts w:ascii="Times New Roman" w:cs="Times New Roman" w:eastAsia="Times New Roman" w:hAnsi="Times New Roman"/>
                <w:sz w:val="15"/>
                <w:szCs w:val="15"/>
                <w:color w:val="auto"/>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3" w:lineRule="exact"/>
        <w:rPr>
          <w:sz w:val="24"/>
          <w:szCs w:val="24"/>
          <w:color w:val="auto"/>
        </w:rPr>
      </w:pPr>
    </w:p>
    <w:p>
      <w:pPr>
        <w:ind w:right="48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3240"/>
        <w:spacing w:after="0" w:line="23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the number of shares outstanding of each of the issuer’s classes of common stock, as of the latest practicable date.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420" w:type="dxa"/>
            <w:vAlign w:val="bottom"/>
          </w:tcPr>
          <w:p>
            <w:pPr>
              <w:spacing w:after="0"/>
              <w:rPr>
                <w:sz w:val="17"/>
                <w:szCs w:val="17"/>
                <w:color w:val="auto"/>
              </w:rPr>
            </w:pP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 at April 29, 2022</w:t>
            </w:r>
          </w:p>
        </w:tc>
      </w:tr>
      <w:tr>
        <w:trPr>
          <w:trHeight w:val="19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81,421,901</w:t>
            </w:r>
          </w:p>
        </w:tc>
      </w:tr>
      <w:tr>
        <w:trPr>
          <w:trHeight w:val="109"/>
        </w:trPr>
        <w:tc>
          <w:tcPr>
            <w:tcW w:w="49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818"/>
        </w:trPr>
        <w:tc>
          <w:tcPr>
            <w:tcW w:w="49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20" w:type="dxa"/>
            <w:vAlign w:val="bottom"/>
            <w:gridSpan w:val="4"/>
          </w:tcPr>
          <w:p>
            <w:pPr>
              <w:ind w:left="1380"/>
              <w:spacing w:after="0"/>
              <w:rPr>
                <w:sz w:val="20"/>
                <w:szCs w:val="20"/>
                <w:color w:val="auto"/>
              </w:rPr>
            </w:pPr>
            <w:r>
              <w:rPr>
                <w:rFonts w:ascii="Times New Roman" w:cs="Times New Roman" w:eastAsia="Times New Roman" w:hAnsi="Times New Roman"/>
                <w:sz w:val="17"/>
                <w:szCs w:val="17"/>
                <w:color w:val="auto"/>
              </w:rPr>
              <w:t>Page</w:t>
            </w:r>
          </w:p>
        </w:tc>
      </w:tr>
      <w:tr>
        <w:trPr>
          <w:trHeight w:val="219"/>
        </w:trPr>
        <w:tc>
          <w:tcPr>
            <w:tcW w:w="180" w:type="dxa"/>
            <w:vAlign w:val="bottom"/>
          </w:tcPr>
          <w:p>
            <w:pPr>
              <w:spacing w:after="0"/>
              <w:rPr>
                <w:sz w:val="19"/>
                <w:szCs w:val="19"/>
                <w:color w:val="auto"/>
              </w:rPr>
            </w:pPr>
          </w:p>
        </w:tc>
        <w:tc>
          <w:tcPr>
            <w:tcW w:w="5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w w:val="99"/>
              </w:rPr>
              <w:t>SPECIAL NOTE REGARDING FORWARD-LOOKING STATEMENTS</w:t>
            </w:r>
          </w:p>
        </w:tc>
        <w:tc>
          <w:tcPr>
            <w:tcW w:w="3840" w:type="dxa"/>
            <w:vAlign w:val="bottom"/>
            <w:gridSpan w:val="6"/>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8"/>
        </w:trPr>
        <w:tc>
          <w:tcPr>
            <w:tcW w:w="180" w:type="dxa"/>
            <w:vAlign w:val="bottom"/>
          </w:tcPr>
          <w:p>
            <w:pPr>
              <w:spacing w:after="0"/>
              <w:rPr>
                <w:sz w:val="20"/>
                <w:szCs w:val="20"/>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5860" w:type="dxa"/>
            <w:vAlign w:val="bottom"/>
            <w:gridSpan w:val="11"/>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rPr>
              <w:t>5</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rPr>
              <w:t>5</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Income</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rPr>
              <w:t>6</w:t>
            </w:r>
          </w:p>
        </w:tc>
        <w:tc>
          <w:tcPr>
            <w:tcW w:w="56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1260" w:type="dxa"/>
            <w:vAlign w:val="bottom"/>
            <w:tcBorders>
              <w:top w:val="single" w:sz="8" w:color="0000FF"/>
            </w:tcBorders>
          </w:tcPr>
          <w:p>
            <w:pPr>
              <w:spacing w:after="0"/>
              <w:rPr>
                <w:sz w:val="20"/>
                <w:szCs w:val="20"/>
                <w:color w:val="auto"/>
              </w:rPr>
            </w:pPr>
          </w:p>
        </w:tc>
        <w:tc>
          <w:tcPr>
            <w:tcW w:w="2100" w:type="dxa"/>
            <w:vAlign w:val="bottom"/>
            <w:gridSpan w:val="2"/>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rPr>
              <w:t>8</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3740" w:type="dxa"/>
            <w:vAlign w:val="bottom"/>
            <w:gridSpan w:val="5"/>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20</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33</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34</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2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PART II – OTHER INFORMATION</w:t>
            </w:r>
          </w:p>
        </w:tc>
        <w:tc>
          <w:tcPr>
            <w:tcW w:w="6380" w:type="dxa"/>
            <w:vAlign w:val="bottom"/>
            <w:gridSpan w:val="14"/>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35</w:t>
            </w:r>
          </w:p>
        </w:tc>
        <w:tc>
          <w:tcPr>
            <w:tcW w:w="560" w:type="dxa"/>
            <w:vAlign w:val="bottom"/>
          </w:tcPr>
          <w:p>
            <w:pPr>
              <w:spacing w:after="0"/>
              <w:rPr>
                <w:sz w:val="20"/>
                <w:szCs w:val="20"/>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35</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320" w:type="dxa"/>
            <w:vAlign w:val="bottom"/>
          </w:tcPr>
          <w:p>
            <w:pPr>
              <w:spacing w:after="0"/>
              <w:rPr>
                <w:sz w:val="20"/>
                <w:szCs w:val="20"/>
                <w:color w:val="auto"/>
              </w:rPr>
            </w:pP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35</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2.</w:t>
            </w:r>
          </w:p>
        </w:tc>
        <w:tc>
          <w:tcPr>
            <w:tcW w:w="320" w:type="dxa"/>
            <w:vAlign w:val="bottom"/>
          </w:tcPr>
          <w:p>
            <w:pPr>
              <w:spacing w:after="0"/>
              <w:rPr>
                <w:sz w:val="20"/>
                <w:szCs w:val="20"/>
                <w:color w:val="auto"/>
              </w:rPr>
            </w:pP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35</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36</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36</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5.</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36</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30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6.</w:t>
            </w: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37</w:t>
            </w:r>
          </w:p>
        </w:tc>
        <w:tc>
          <w:tcPr>
            <w:tcW w:w="5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16"/>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560" w:type="dxa"/>
            <w:vAlign w:val="bottom"/>
            <w:gridSpan w:val="3"/>
          </w:tcPr>
          <w:p>
            <w:pPr>
              <w:ind w:left="1380"/>
              <w:spacing w:after="0"/>
              <w:rPr>
                <w:sz w:val="20"/>
                <w:szCs w:val="20"/>
                <w:color w:val="auto"/>
              </w:rPr>
            </w:pPr>
            <w:r>
              <w:rPr>
                <w:rFonts w:ascii="Times New Roman" w:cs="Times New Roman" w:eastAsia="Times New Roman" w:hAnsi="Times New Roman"/>
                <w:sz w:val="17"/>
                <w:szCs w:val="17"/>
                <w:color w:val="0000FF"/>
                <w:w w:val="93"/>
              </w:rPr>
              <w:t>38</w:t>
            </w:r>
          </w:p>
        </w:tc>
        <w:tc>
          <w:tcPr>
            <w:tcW w:w="560" w:type="dxa"/>
            <w:vAlign w:val="bottom"/>
          </w:tcPr>
          <w:p>
            <w:pPr>
              <w:spacing w:after="0"/>
              <w:rPr>
                <w:sz w:val="20"/>
                <w:szCs w:val="20"/>
                <w:color w:val="auto"/>
              </w:rPr>
            </w:pPr>
          </w:p>
        </w:tc>
      </w:tr>
      <w:tr>
        <w:trPr>
          <w:trHeight w:val="1082"/>
        </w:trPr>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January 1, 2022 (the “2021 Annual Report on Form 10-K”), as filed with the Securities and Exchange Commission (the “SEC”), as such risk factors may be updated from time to time in our periodic filings with the SEC, which are accessible on the SEC’s website at www.sec.gov, and also include the following:</w:t>
      </w:r>
    </w:p>
    <w:p>
      <w:pPr>
        <w:spacing w:after="0" w:line="70" w:lineRule="exact"/>
        <w:rPr>
          <w:sz w:val="20"/>
          <w:szCs w:val="20"/>
          <w:color w:val="auto"/>
        </w:rPr>
      </w:pPr>
    </w:p>
    <w:p>
      <w:pPr>
        <w:ind w:left="320" w:hanging="162"/>
        <w:spacing w:after="0" w:line="26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and its resurgence and variants, and the impact of evolving federal, state, and local governmental actions in response thereto, including risks stemming from vaccination and testing programs and mandates;</w:t>
      </w:r>
    </w:p>
    <w:p>
      <w:pPr>
        <w:ind w:left="320" w:hanging="162"/>
        <w:spacing w:after="0" w:line="25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behavior in response to the continuing pandemic and its more recent outbreaks of variants, including the impact of such behavior on in-store traffic and sales;</w:t>
      </w: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decline in the health of the economy and other factors impacting consumer spending, including inflation and geopolitical instability;</w:t>
      </w:r>
    </w:p>
    <w:p>
      <w:pPr>
        <w:spacing w:after="0" w:line="10" w:lineRule="exact"/>
        <w:rPr>
          <w:rFonts w:ascii="Times New Roman" w:cs="Times New Roman" w:eastAsia="Times New Roman" w:hAnsi="Times New Roman"/>
          <w:sz w:val="17"/>
          <w:szCs w:val="17"/>
          <w:color w:val="auto"/>
        </w:rPr>
      </w:pPr>
    </w:p>
    <w:p>
      <w:pPr>
        <w:ind w:left="320" w:hanging="162"/>
        <w:spacing w:after="0" w:line="25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open and operate new stores in a timely and cost-effective manner, or keep stores safely open in light of the continuing COVID-19 pandemic, and to successfully enter new markets;</w:t>
      </w: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vision care professionals for our stores in general and in light of the pandemic;</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maintain and extend relationships with managed vision care companies, vision insurance providers and other third-party payors;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performance of our Host and Legacy brands and our current operating relationships with our Host and Legacy partners;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adhere to extensive state, local and federal vision care and healthcare laws and regulations;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managed vision care laws and regulations;</w:t>
      </w:r>
    </w:p>
    <w:p>
      <w:pPr>
        <w:spacing w:after="0" w:line="10" w:lineRule="exact"/>
        <w:rPr>
          <w:rFonts w:ascii="Times New Roman" w:cs="Times New Roman" w:eastAsia="Times New Roman" w:hAnsi="Times New Roman"/>
          <w:sz w:val="17"/>
          <w:szCs w:val="17"/>
          <w:color w:val="auto"/>
        </w:rPr>
      </w:pPr>
    </w:p>
    <w:p>
      <w:pPr>
        <w:ind w:left="320" w:hanging="162"/>
        <w:spacing w:after="0" w:line="25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sufficient levels of cash flow from our operations to execute or sustain our growth strategy or obtain additional financing at satisfactory terms or at all;</w:t>
      </w:r>
    </w:p>
    <w:p>
      <w:pPr>
        <w:ind w:left="320" w:hanging="162"/>
        <w:spacing w:after="0" w:line="25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or disruption in the operations of, one or more of our distribution centers and/or optical laboratories, resulting in the inability to fulfill customer orders and deliver our products in a timely manner;</w:t>
      </w: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vendors from whom our products are sourced, including our dependence on a limited number of suppliers;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operate our information technology systems and prevent interruption or security breach;</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wage rate increases, inflation, cost increases and increases in raw material prices and energy prices;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growth strategy straining our existing resources and causing the performance of our existing stores to suffer;</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and efficiently implement our marketing, advertising and promotional efforts;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leasing substantial amounts of space, including future increases in occupancy costs;</w:t>
      </w:r>
    </w:p>
    <w:p>
      <w:pPr>
        <w:spacing w:after="0" w:line="10" w:lineRule="exact"/>
        <w:rPr>
          <w:rFonts w:ascii="Times New Roman" w:cs="Times New Roman" w:eastAsia="Times New Roman" w:hAnsi="Times New Roman"/>
          <w:sz w:val="17"/>
          <w:szCs w:val="17"/>
          <w:color w:val="auto"/>
        </w:rPr>
      </w:pPr>
    </w:p>
    <w:p>
      <w:pPr>
        <w:ind w:left="320" w:hanging="162"/>
        <w:spacing w:after="0" w:line="253" w:lineRule="auto"/>
        <w:tabs>
          <w:tab w:leader="none" w:pos="3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300" w:hanging="14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existing senior management team and attract qualified new personnel;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our inventory;</w:t>
      </w:r>
    </w:p>
    <w:p>
      <w:pPr>
        <w:spacing w:after="0" w:line="27"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fluctuations in our operating results and inventory levels;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third-party coverage and reimbursement, including government programs, for an increasing portion of our revenues;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e-commerce and omni-channel business;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liability, product recall or personal injury issues;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or changes in, laws, regulations, enforcement activities and other requirements;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adverse litigation judgments or settlements resulting from legal proceedings relating to our business operations;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losses arising from our investments in technological innovators in the optical retail industry;</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protect our intellectual property;</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environmental, social and governance issues, including climate change;</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significant amount of indebtedness and our ability to generate sufficient cash flow to satisfy our debt obligations;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interest rates as well as changes in benchmark rates and uncertainty related to the foregoing;</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in our credit agreement that limits our flexibility in operating our business;</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dilution to existing stockholders upon the conversion of our convertible notes; and</w:t>
      </w:r>
    </w:p>
    <w:p>
      <w:pPr>
        <w:spacing w:after="0" w:line="10" w:lineRule="exact"/>
        <w:rPr>
          <w:rFonts w:ascii="Times New Roman" w:cs="Times New Roman" w:eastAsia="Times New Roman" w:hAnsi="Times New Roman"/>
          <w:sz w:val="17"/>
          <w:szCs w:val="17"/>
          <w:color w:val="auto"/>
        </w:rPr>
      </w:pPr>
    </w:p>
    <w:p>
      <w:pPr>
        <w:ind w:left="300" w:hanging="14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owning our common stock, including our ability to comply with requirements to design and implement and maintain effective internal controls.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 Disclosure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(Unaudited)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National Vision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April 2, 2022 and January 1,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Par Value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6"/>
              </w:rPr>
              <w:t>As of</w:t>
            </w:r>
          </w:p>
        </w:tc>
        <w:tc>
          <w:tcPr>
            <w:tcW w:w="320" w:type="dxa"/>
            <w:vAlign w:val="bottom"/>
          </w:tcPr>
          <w:p>
            <w:pPr>
              <w:spacing w:after="0"/>
              <w:rPr>
                <w:sz w:val="17"/>
                <w:szCs w:val="17"/>
                <w:color w:val="auto"/>
              </w:rPr>
            </w:pPr>
          </w:p>
        </w:tc>
        <w:tc>
          <w:tcPr>
            <w:tcW w:w="184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As of</w:t>
            </w:r>
          </w:p>
        </w:tc>
      </w:tr>
      <w:tr>
        <w:trPr>
          <w:trHeight w:val="228"/>
        </w:trPr>
        <w:tc>
          <w:tcPr>
            <w:tcW w:w="6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April 2, 2022</w:t>
            </w:r>
          </w:p>
        </w:tc>
        <w:tc>
          <w:tcPr>
            <w:tcW w:w="320" w:type="dxa"/>
            <w:vAlign w:val="bottom"/>
          </w:tcPr>
          <w:p>
            <w:pPr>
              <w:spacing w:after="0"/>
              <w:rPr>
                <w:sz w:val="19"/>
                <w:szCs w:val="19"/>
                <w:color w:val="auto"/>
              </w:rPr>
            </w:pPr>
          </w:p>
        </w:tc>
        <w:tc>
          <w:tcPr>
            <w:tcW w:w="18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January 1, 2022</w:t>
            </w:r>
          </w:p>
        </w:tc>
      </w:tr>
      <w:tr>
        <w:trPr>
          <w:trHeight w:val="204"/>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305,800</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55,697</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123,669</w:t>
            </w:r>
          </w:p>
        </w:tc>
      </w:tr>
      <w:tr>
        <w:trPr>
          <w:trHeight w:val="21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29,410</w:t>
            </w:r>
          </w:p>
        </w:tc>
      </w:tr>
      <w:tr>
        <w:trPr>
          <w:trHeight w:val="212"/>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514,576</w:t>
            </w:r>
          </w:p>
        </w:tc>
      </w:tr>
      <w:tr>
        <w:trPr>
          <w:trHeight w:val="193"/>
        </w:trPr>
        <w:tc>
          <w:tcPr>
            <w:tcW w:w="6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346,436</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777,613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777,613</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240,547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240,547</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42,020</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Right of use assets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354,900</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16,999</w:t>
            </w:r>
          </w:p>
        </w:tc>
      </w:tr>
      <w:tr>
        <w:trPr>
          <w:trHeight w:val="212"/>
        </w:trPr>
        <w:tc>
          <w:tcPr>
            <w:tcW w:w="6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non-current assets</w:t>
            </w: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1,792,893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1,778,515</w:t>
            </w: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2,325,487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2,293,091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6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tcPr>
          <w:p>
            <w:pPr>
              <w:spacing w:after="0"/>
              <w:rPr>
                <w:sz w:val="8"/>
                <w:szCs w:val="8"/>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64,331</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119,323</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revenue</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29,895</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65,325</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maturities of long-term debt and finance lease obligations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w:t>
            </w:r>
          </w:p>
        </w:tc>
      </w:tr>
      <w:tr>
        <w:trPr>
          <w:trHeight w:val="21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Current operating lease obligations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60,930</w:t>
            </w:r>
          </w:p>
        </w:tc>
      </w:tr>
      <w:tr>
        <w:trPr>
          <w:trHeight w:val="212"/>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343,803</w:t>
            </w:r>
          </w:p>
        </w:tc>
      </w:tr>
      <w:tr>
        <w:trPr>
          <w:trHeight w:val="155"/>
        </w:trPr>
        <w:tc>
          <w:tcPr>
            <w:tcW w:w="6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debt and finance lease obligations, less current portion and debt discount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566,081</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Non-current operating lease obligations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342,241</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23,166</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w:t>
            </w:r>
          </w:p>
        </w:tc>
      </w:tr>
      <w:tr>
        <w:trPr>
          <w:trHeight w:val="21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82,846</w:t>
            </w:r>
          </w:p>
        </w:tc>
      </w:tr>
      <w:tr>
        <w:trPr>
          <w:trHeight w:val="212"/>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1,029,354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1,023,308</w:t>
            </w:r>
          </w:p>
        </w:tc>
      </w:tr>
      <w:tr>
        <w:trPr>
          <w:trHeight w:val="219"/>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(See Note 9)</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168"/>
        </w:trPr>
        <w:tc>
          <w:tcPr>
            <w:tcW w:w="6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$0.01 par value; 200,000 shares authorized; 84,129 and 83,840 shares issued</w:t>
            </w:r>
          </w:p>
        </w:tc>
        <w:tc>
          <w:tcPr>
            <w:tcW w:w="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7"/>
        </w:trPr>
        <w:tc>
          <w:tcPr>
            <w:tcW w:w="6800" w:type="dxa"/>
            <w:vAlign w:val="bottom"/>
          </w:tcPr>
          <w:p>
            <w:pPr>
              <w:ind w:left="220"/>
              <w:spacing w:after="0" w:line="177" w:lineRule="exact"/>
              <w:rPr>
                <w:sz w:val="20"/>
                <w:szCs w:val="20"/>
                <w:color w:val="auto"/>
              </w:rPr>
            </w:pPr>
            <w:r>
              <w:rPr>
                <w:rFonts w:ascii="Times New Roman" w:cs="Times New Roman" w:eastAsia="Times New Roman" w:hAnsi="Times New Roman"/>
                <w:sz w:val="17"/>
                <w:szCs w:val="17"/>
                <w:color w:val="auto"/>
              </w:rPr>
              <w:t>as of April 2, 2022 and January 1, 2022, respectively; 81,422 and 81,405 shares outstanding as</w:t>
            </w: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23"/>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April 2, 2022 and January 1, 2022, respectively</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755,535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750,478</w:t>
            </w:r>
          </w:p>
        </w:tc>
      </w:tr>
      <w:tr>
        <w:trPr>
          <w:trHeight w:val="219"/>
        </w:trPr>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w:t>
            </w:r>
          </w:p>
        </w:tc>
      </w:tr>
      <w:tr>
        <w:trPr>
          <w:trHeight w:val="21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278,395</w:t>
            </w:r>
          </w:p>
        </w:tc>
      </w:tr>
      <w:tr>
        <w:trPr>
          <w:trHeight w:val="168"/>
        </w:trPr>
        <w:tc>
          <w:tcPr>
            <w:tcW w:w="6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Treasury stock, at cost; 2,707 and 2,435 shares as of April 2, 2022 and January 1, 2022,</w:t>
            </w:r>
          </w:p>
        </w:tc>
        <w:tc>
          <w:tcPr>
            <w:tcW w:w="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2"/>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(112,440)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(101,791)</w:t>
            </w:r>
          </w:p>
        </w:tc>
      </w:tr>
      <w:tr>
        <w:trPr>
          <w:trHeight w:val="212"/>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950,726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925,980</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2,325,487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2,293,091</w:t>
            </w: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23" w:right="3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National Vision Holdings, Inc. and Subsidiaries</w:t>
      </w:r>
    </w:p>
    <w:p>
      <w:pPr>
        <w:spacing w:after="0" w:line="3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For the Three Months Ended April 2, 2022 and April 3, 2021</w:t>
      </w:r>
    </w:p>
    <w:p>
      <w:pPr>
        <w:spacing w:after="0" w:line="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i w:val="1"/>
          <w:iCs w:val="1"/>
          <w:color w:val="auto"/>
        </w:rPr>
        <w:t>In Thousands, Except Earnings Per Share</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April 2, 2022</w:t>
            </w:r>
          </w:p>
        </w:tc>
        <w:tc>
          <w:tcPr>
            <w:tcW w:w="220" w:type="dxa"/>
            <w:vAlign w:val="bottom"/>
          </w:tcPr>
          <w:p>
            <w:pPr>
              <w:spacing w:after="0"/>
              <w:rPr>
                <w:sz w:val="18"/>
                <w:szCs w:val="18"/>
                <w:color w:val="auto"/>
              </w:rPr>
            </w:pP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April 3, 2021</w:t>
            </w:r>
          </w:p>
        </w:tc>
      </w:tr>
      <w:tr>
        <w:trPr>
          <w:trHeight w:val="199"/>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product sales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433,253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443,067</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 of 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91,113</w:t>
            </w:r>
          </w:p>
        </w:tc>
      </w:tr>
      <w:tr>
        <w:trPr>
          <w:trHeight w:val="212"/>
        </w:trPr>
        <w:tc>
          <w:tcPr>
            <w:tcW w:w="7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net revenue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527,711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534,180</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applicable to revenue (exclusive of depreciation and amortization):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159,691</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64,999</w:t>
            </w:r>
          </w:p>
        </w:tc>
      </w:tr>
      <w:tr>
        <w:trPr>
          <w:trHeight w:val="212"/>
        </w:trPr>
        <w:tc>
          <w:tcPr>
            <w:tcW w:w="7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costs applicable to revenue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224,690</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223,593</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23,555</w:t>
            </w: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impairment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2"/>
        </w:trPr>
        <w:tc>
          <w:tcPr>
            <w:tcW w:w="7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254,342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248,042</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61,448</w:t>
            </w:r>
          </w:p>
        </w:tc>
      </w:tr>
      <w:tr>
        <w:trPr>
          <w:trHeight w:val="219"/>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6,330</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55,118</w:t>
            </w:r>
          </w:p>
        </w:tc>
      </w:tr>
      <w:tr>
        <w:trPr>
          <w:trHeight w:val="21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11,686</w:t>
            </w: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r>
      <w:tr>
        <w:trPr>
          <w:trHeight w:val="219"/>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81,333</w:t>
            </w: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96,025</w:t>
            </w:r>
          </w:p>
        </w:tc>
      </w:tr>
      <w:tr>
        <w:trPr>
          <w:trHeight w:val="206"/>
        </w:trPr>
        <w:tc>
          <w:tcPr>
            <w:tcW w:w="7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43,432</w:t>
            </w:r>
          </w:p>
        </w:tc>
      </w:tr>
      <w:tr>
        <w:trPr>
          <w:trHeight w:val="219"/>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 on hedge instruments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provision of unrealized gain on hedge instruments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w:t>
            </w: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42,536</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left="20" w:right="880"/>
        <w:spacing w:after="0" w:line="270" w:lineRule="auto"/>
        <w:rPr>
          <w:sz w:val="20"/>
          <w:szCs w:val="20"/>
          <w:color w:val="auto"/>
        </w:rPr>
      </w:pPr>
      <w:r>
        <w:rPr>
          <w:rFonts w:ascii="Times New Roman" w:cs="Times New Roman" w:eastAsia="Times New Roman" w:hAnsi="Times New Roman"/>
          <w:sz w:val="17"/>
          <w:szCs w:val="17"/>
          <w:color w:val="auto"/>
        </w:rPr>
        <w:t>Balances at January 1, 2022 Issuance of common stock Stock based compensation Purchase of treasury stock Settlement of 2025 Notes</w:t>
      </w:r>
    </w:p>
    <w:p>
      <w:pPr>
        <w:ind w:left="140" w:right="520"/>
        <w:spacing w:after="0" w:line="237" w:lineRule="auto"/>
        <w:rPr>
          <w:sz w:val="20"/>
          <w:szCs w:val="20"/>
          <w:color w:val="auto"/>
        </w:rPr>
      </w:pPr>
      <w:r>
        <w:rPr>
          <w:rFonts w:ascii="Times New Roman" w:cs="Times New Roman" w:eastAsia="Times New Roman" w:hAnsi="Times New Roman"/>
          <w:sz w:val="17"/>
          <w:szCs w:val="17"/>
          <w:color w:val="auto"/>
        </w:rPr>
        <w:t>Unrealized gain (loss) on hedge instruments, net of tax</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income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April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January 2, 2021</w:t>
      </w:r>
    </w:p>
    <w:p>
      <w:pPr>
        <w:spacing w:after="0" w:line="28" w:lineRule="exact"/>
        <w:rPr>
          <w:sz w:val="20"/>
          <w:szCs w:val="20"/>
          <w:color w:val="auto"/>
        </w:rPr>
      </w:pPr>
    </w:p>
    <w:p>
      <w:pPr>
        <w:ind w:left="140" w:right="580"/>
        <w:spacing w:after="0" w:line="237" w:lineRule="auto"/>
        <w:rPr>
          <w:sz w:val="20"/>
          <w:szCs w:val="20"/>
          <w:color w:val="auto"/>
        </w:rPr>
      </w:pPr>
      <w:r>
        <w:rPr>
          <w:rFonts w:ascii="Times New Roman" w:cs="Times New Roman" w:eastAsia="Times New Roman" w:hAnsi="Times New Roman"/>
          <w:sz w:val="17"/>
          <w:szCs w:val="17"/>
          <w:color w:val="auto"/>
        </w:rPr>
        <w:t>Cumulative effect of change in accounting principle</w:t>
      </w:r>
    </w:p>
    <w:p>
      <w:pPr>
        <w:spacing w:after="0" w:line="23" w:lineRule="exact"/>
        <w:rPr>
          <w:sz w:val="20"/>
          <w:szCs w:val="20"/>
          <w:color w:val="auto"/>
        </w:rPr>
      </w:pPr>
    </w:p>
    <w:p>
      <w:pPr>
        <w:ind w:left="140" w:hanging="115"/>
        <w:spacing w:after="0" w:line="271" w:lineRule="auto"/>
        <w:rPr>
          <w:sz w:val="20"/>
          <w:szCs w:val="20"/>
          <w:color w:val="auto"/>
        </w:rPr>
      </w:pPr>
      <w:r>
        <w:rPr>
          <w:rFonts w:ascii="Times New Roman" w:cs="Times New Roman" w:eastAsia="Times New Roman" w:hAnsi="Times New Roman"/>
          <w:sz w:val="17"/>
          <w:szCs w:val="17"/>
          <w:color w:val="auto"/>
        </w:rPr>
        <w:t>Balances at January 3, 2021 - as adjusted Issuance of common stock</w:t>
      </w:r>
    </w:p>
    <w:p>
      <w:pPr>
        <w:spacing w:after="0" w:line="1" w:lineRule="exact"/>
        <w:rPr>
          <w:sz w:val="20"/>
          <w:szCs w:val="20"/>
          <w:color w:val="auto"/>
        </w:rPr>
      </w:pPr>
    </w:p>
    <w:p>
      <w:pPr>
        <w:ind w:left="140" w:right="880"/>
        <w:spacing w:after="0" w:line="269" w:lineRule="auto"/>
        <w:rPr>
          <w:sz w:val="20"/>
          <w:szCs w:val="20"/>
          <w:color w:val="auto"/>
        </w:rPr>
      </w:pPr>
      <w:r>
        <w:rPr>
          <w:rFonts w:ascii="Times New Roman" w:cs="Times New Roman" w:eastAsia="Times New Roman" w:hAnsi="Times New Roman"/>
          <w:sz w:val="17"/>
          <w:szCs w:val="17"/>
          <w:color w:val="auto"/>
        </w:rPr>
        <w:t>Stock based compensation Purchase of treasury stock</w:t>
      </w:r>
    </w:p>
    <w:p>
      <w:pPr>
        <w:ind w:left="140" w:right="520"/>
        <w:spacing w:after="0" w:line="237" w:lineRule="auto"/>
        <w:rPr>
          <w:sz w:val="20"/>
          <w:szCs w:val="20"/>
          <w:color w:val="auto"/>
        </w:rPr>
      </w:pPr>
      <w:r>
        <w:rPr>
          <w:rFonts w:ascii="Times New Roman" w:cs="Times New Roman" w:eastAsia="Times New Roman" w:hAnsi="Times New Roman"/>
          <w:sz w:val="17"/>
          <w:szCs w:val="17"/>
          <w:color w:val="auto"/>
        </w:rPr>
        <w:t>Unrealized gain (loss) on hedge instruments, net of tax</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income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April 3,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17"/>
          <w:szCs w:val="17"/>
          <w:b w:val="1"/>
          <w:bCs w:val="1"/>
          <w:color w:val="auto"/>
        </w:rPr>
        <w:t>National Vision Holdings, Inc. and Subsidiaries</w:t>
      </w:r>
    </w:p>
    <w:p>
      <w:pPr>
        <w:spacing w:after="0" w:line="32" w:lineRule="exact"/>
        <w:rPr>
          <w:sz w:val="20"/>
          <w:szCs w:val="20"/>
          <w:color w:val="auto"/>
        </w:rPr>
      </w:pPr>
    </w:p>
    <w:p>
      <w:pPr>
        <w:jc w:val="center"/>
        <w:ind w:left="380" w:right="3000"/>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Condensed Consolidated Statements of Stockholders’ Equity For the Three Months Ended April 2, 2022 and April 3, 2021 </w:t>
      </w:r>
      <w:r>
        <w:rPr>
          <w:rFonts w:ascii="Times New Roman" w:cs="Times New Roman" w:eastAsia="Times New Roman" w:hAnsi="Times New Roman"/>
          <w:sz w:val="17"/>
          <w:szCs w:val="17"/>
          <w:i w:val="1"/>
          <w:iCs w:val="1"/>
          <w:color w:val="auto"/>
        </w:rPr>
        <w:t>In Thousands</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Three Months Ended April 2,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Borders>
              <w:top w:val="single" w:sz="8" w:color="auto"/>
            </w:tcBorders>
            <w:gridSpan w:val="3"/>
          </w:tcPr>
          <w:p>
            <w:pPr>
              <w:jc w:val="right"/>
              <w:ind w:right="314"/>
              <w:spacing w:after="0" w:line="186" w:lineRule="exact"/>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75"/>
              <w:spacing w:after="0" w:line="186" w:lineRule="exact"/>
              <w:rPr>
                <w:sz w:val="20"/>
                <w:szCs w:val="20"/>
                <w:color w:val="auto"/>
              </w:rPr>
            </w:pPr>
            <w:r>
              <w:rPr>
                <w:rFonts w:ascii="Times New Roman" w:cs="Times New Roman" w:eastAsia="Times New Roman" w:hAnsi="Times New Roman"/>
                <w:sz w:val="17"/>
                <w:szCs w:val="17"/>
                <w:color w:val="auto"/>
              </w:rPr>
              <w:t>Accumulated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5"/>
              <w:spacing w:after="0" w:line="142" w:lineRule="exact"/>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4"/>
                <w:szCs w:val="4"/>
                <w:color w:val="auto"/>
              </w:rPr>
            </w:pPr>
          </w:p>
        </w:tc>
        <w:tc>
          <w:tcPr>
            <w:tcW w:w="1440" w:type="dxa"/>
            <w:vAlign w:val="bottom"/>
            <w:vMerge w:val="restart"/>
          </w:tcPr>
          <w:p>
            <w:pPr>
              <w:jc w:val="center"/>
              <w:ind w:right="75"/>
              <w:spacing w:after="0" w:line="142" w:lineRule="exact"/>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4"/>
                <w:szCs w:val="4"/>
                <w:color w:val="auto"/>
              </w:rPr>
            </w:pPr>
          </w:p>
        </w:tc>
        <w:tc>
          <w:tcPr>
            <w:tcW w:w="8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Retained</w:t>
            </w:r>
          </w:p>
        </w:tc>
        <w:tc>
          <w:tcPr>
            <w:tcW w:w="200" w:type="dxa"/>
            <w:vAlign w:val="bottom"/>
          </w:tcPr>
          <w:p>
            <w:pPr>
              <w:spacing w:after="0"/>
              <w:rPr>
                <w:sz w:val="4"/>
                <w:szCs w:val="4"/>
                <w:color w:val="auto"/>
              </w:rPr>
            </w:pPr>
          </w:p>
        </w:tc>
        <w:tc>
          <w:tcPr>
            <w:tcW w:w="94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w w:val="99"/>
              </w:rPr>
              <w:t>Treasury</w:t>
            </w:r>
          </w:p>
        </w:tc>
        <w:tc>
          <w:tcPr>
            <w:tcW w:w="160" w:type="dxa"/>
            <w:vAlign w:val="bottom"/>
          </w:tcPr>
          <w:p>
            <w:pPr>
              <w:spacing w:after="0"/>
              <w:rPr>
                <w:sz w:val="4"/>
                <w:szCs w:val="4"/>
                <w:color w:val="auto"/>
              </w:rPr>
            </w:pPr>
          </w:p>
        </w:tc>
        <w:tc>
          <w:tcPr>
            <w:tcW w:w="1300" w:type="dxa"/>
            <w:vAlign w:val="bottom"/>
            <w:vMerge w:val="restart"/>
          </w:tcPr>
          <w:p>
            <w:pPr>
              <w:jc w:val="center"/>
              <w:ind w:right="115"/>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70"/>
        </w:trPr>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5"/>
              <w:spacing w:after="0" w:line="167" w:lineRule="exact"/>
              <w:rPr>
                <w:sz w:val="20"/>
                <w:szCs w:val="20"/>
                <w:color w:val="auto"/>
              </w:rPr>
            </w:pPr>
            <w:r>
              <w:rPr>
                <w:rFonts w:ascii="Times New Roman" w:cs="Times New Roman" w:eastAsia="Times New Roman" w:hAnsi="Times New Roman"/>
                <w:sz w:val="17"/>
                <w:szCs w:val="17"/>
                <w:color w:val="auto"/>
                <w:w w:val="99"/>
              </w:rPr>
              <w:t>Paid-In</w:t>
            </w:r>
          </w:p>
        </w:tc>
        <w:tc>
          <w:tcPr>
            <w:tcW w:w="180" w:type="dxa"/>
            <w:vAlign w:val="bottom"/>
          </w:tcPr>
          <w:p>
            <w:pPr>
              <w:spacing w:after="0"/>
              <w:rPr>
                <w:sz w:val="14"/>
                <w:szCs w:val="14"/>
                <w:color w:val="auto"/>
              </w:rPr>
            </w:pPr>
          </w:p>
        </w:tc>
        <w:tc>
          <w:tcPr>
            <w:tcW w:w="144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rPr>
              <w:t>Comprehensive</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15"/>
              <w:spacing w:after="0" w:line="167" w:lineRule="exact"/>
              <w:rPr>
                <w:sz w:val="20"/>
                <w:szCs w:val="20"/>
                <w:color w:val="auto"/>
              </w:rPr>
            </w:pPr>
            <w:r>
              <w:rPr>
                <w:rFonts w:ascii="Times New Roman" w:cs="Times New Roman" w:eastAsia="Times New Roman" w:hAnsi="Times New Roman"/>
                <w:sz w:val="17"/>
                <w:szCs w:val="17"/>
                <w:color w:val="auto"/>
                <w:w w:val="99"/>
              </w:rPr>
              <w:t>Stockholders’</w:t>
            </w:r>
          </w:p>
        </w:tc>
        <w:tc>
          <w:tcPr>
            <w:tcW w:w="0" w:type="dxa"/>
            <w:vAlign w:val="bottom"/>
          </w:tcPr>
          <w:p>
            <w:pPr>
              <w:spacing w:after="0"/>
              <w:rPr>
                <w:sz w:val="1"/>
                <w:szCs w:val="1"/>
                <w:color w:val="auto"/>
              </w:rPr>
            </w:pPr>
          </w:p>
        </w:tc>
      </w:tr>
      <w:tr>
        <w:trPr>
          <w:trHeight w:val="232"/>
        </w:trPr>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Shares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Capital</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w w:val="99"/>
              </w:rPr>
              <w:t>Loss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Earnings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Stock</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Equity</w:t>
            </w:r>
          </w:p>
        </w:tc>
        <w:tc>
          <w:tcPr>
            <w:tcW w:w="0" w:type="dxa"/>
            <w:vAlign w:val="bottom"/>
          </w:tcPr>
          <w:p>
            <w:pPr>
              <w:spacing w:after="0"/>
              <w:rPr>
                <w:sz w:val="1"/>
                <w:szCs w:val="1"/>
                <w:color w:val="auto"/>
              </w:rPr>
            </w:pPr>
          </w:p>
        </w:tc>
      </w:tr>
      <w:tr>
        <w:trPr>
          <w:trHeight w:val="20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750,478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278,395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(101,791)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925,980</w:t>
            </w:r>
          </w:p>
        </w:tc>
        <w:tc>
          <w:tcPr>
            <w:tcW w:w="0" w:type="dxa"/>
            <w:vAlign w:val="bottom"/>
          </w:tcPr>
          <w:p>
            <w:pPr>
              <w:spacing w:after="0"/>
              <w:rPr>
                <w:sz w:val="1"/>
                <w:szCs w:val="1"/>
                <w:color w:val="auto"/>
              </w:rPr>
            </w:pPr>
          </w:p>
        </w:tc>
      </w:tr>
      <w:tr>
        <w:trPr>
          <w:trHeight w:val="21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0" w:type="dxa"/>
            <w:vAlign w:val="bottom"/>
          </w:tcPr>
          <w:p>
            <w:pPr>
              <w:spacing w:after="0"/>
              <w:rPr>
                <w:sz w:val="1"/>
                <w:szCs w:val="1"/>
                <w:color w:val="auto"/>
              </w:rPr>
            </w:pPr>
          </w:p>
        </w:tc>
      </w:tr>
      <w:tr>
        <w:trPr>
          <w:trHeight w:val="21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0" w:type="dxa"/>
            <w:vAlign w:val="bottom"/>
          </w:tcPr>
          <w:p>
            <w:pPr>
              <w:spacing w:after="0"/>
              <w:rPr>
                <w:sz w:val="1"/>
                <w:szCs w:val="1"/>
                <w:color w:val="auto"/>
              </w:rPr>
            </w:pPr>
          </w:p>
        </w:tc>
      </w:tr>
      <w:tr>
        <w:trPr>
          <w:trHeight w:val="21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(10,649)</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(10,649)</w:t>
            </w:r>
          </w:p>
        </w:tc>
        <w:tc>
          <w:tcPr>
            <w:tcW w:w="0" w:type="dxa"/>
            <w:vAlign w:val="bottom"/>
          </w:tcPr>
          <w:p>
            <w:pPr>
              <w:spacing w:after="0"/>
              <w:rPr>
                <w:sz w:val="1"/>
                <w:szCs w:val="1"/>
                <w:color w:val="auto"/>
              </w:rPr>
            </w:pPr>
          </w:p>
        </w:tc>
      </w:tr>
      <w:tr>
        <w:trPr>
          <w:trHeight w:val="223"/>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6"/>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0" w:type="dxa"/>
            <w:vAlign w:val="bottom"/>
          </w:tcPr>
          <w:p>
            <w:pPr>
              <w:spacing w:after="0"/>
              <w:rPr>
                <w:sz w:val="1"/>
                <w:szCs w:val="1"/>
                <w:color w:val="auto"/>
              </w:rPr>
            </w:pPr>
          </w:p>
        </w:tc>
      </w:tr>
      <w:tr>
        <w:trPr>
          <w:trHeight w:val="212"/>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755,535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308,542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950,726</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7"/>
                <w:szCs w:val="17"/>
                <w:color w:val="auto"/>
              </w:rPr>
              <w:t>Three Months Ended April 3, 2021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80" w:type="dxa"/>
            <w:vAlign w:val="bottom"/>
            <w:gridSpan w:val="3"/>
          </w:tcPr>
          <w:p>
            <w:pPr>
              <w:jc w:val="right"/>
              <w:ind w:right="314"/>
              <w:spacing w:after="0" w:line="186" w:lineRule="exact"/>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75"/>
              <w:spacing w:after="0" w:line="186" w:lineRule="exact"/>
              <w:rPr>
                <w:sz w:val="20"/>
                <w:szCs w:val="20"/>
                <w:color w:val="auto"/>
              </w:rPr>
            </w:pPr>
            <w:r>
              <w:rPr>
                <w:rFonts w:ascii="Times New Roman" w:cs="Times New Roman" w:eastAsia="Times New Roman" w:hAnsi="Times New Roman"/>
                <w:sz w:val="17"/>
                <w:szCs w:val="17"/>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5"/>
              <w:spacing w:after="0" w:line="142" w:lineRule="exact"/>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4"/>
                <w:szCs w:val="4"/>
                <w:color w:val="auto"/>
              </w:rPr>
            </w:pPr>
          </w:p>
        </w:tc>
        <w:tc>
          <w:tcPr>
            <w:tcW w:w="1440" w:type="dxa"/>
            <w:vAlign w:val="bottom"/>
            <w:vMerge w:val="restart"/>
          </w:tcPr>
          <w:p>
            <w:pPr>
              <w:jc w:val="center"/>
              <w:ind w:right="75"/>
              <w:spacing w:after="0" w:line="142" w:lineRule="exact"/>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restart"/>
          </w:tcPr>
          <w:p>
            <w:pPr>
              <w:jc w:val="center"/>
              <w:ind w:right="115"/>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70"/>
        </w:trPr>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9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Pr>
          <w:p>
            <w:pPr>
              <w:spacing w:after="0"/>
              <w:rPr>
                <w:sz w:val="15"/>
                <w:szCs w:val="15"/>
                <w:color w:val="auto"/>
              </w:rPr>
            </w:pPr>
          </w:p>
        </w:tc>
        <w:tc>
          <w:tcPr>
            <w:tcW w:w="1000" w:type="dxa"/>
            <w:vAlign w:val="bottom"/>
          </w:tcPr>
          <w:p>
            <w:pPr>
              <w:jc w:val="center"/>
              <w:ind w:right="95"/>
              <w:spacing w:after="0" w:line="181" w:lineRule="exact"/>
              <w:rPr>
                <w:sz w:val="20"/>
                <w:szCs w:val="20"/>
                <w:color w:val="auto"/>
              </w:rPr>
            </w:pPr>
            <w:r>
              <w:rPr>
                <w:rFonts w:ascii="Times New Roman" w:cs="Times New Roman" w:eastAsia="Times New Roman" w:hAnsi="Times New Roman"/>
                <w:sz w:val="17"/>
                <w:szCs w:val="17"/>
                <w:color w:val="auto"/>
                <w:w w:val="99"/>
              </w:rPr>
              <w:t>Paid-In</w:t>
            </w:r>
          </w:p>
        </w:tc>
        <w:tc>
          <w:tcPr>
            <w:tcW w:w="180" w:type="dxa"/>
            <w:vAlign w:val="bottom"/>
          </w:tcPr>
          <w:p>
            <w:pPr>
              <w:spacing w:after="0"/>
              <w:rPr>
                <w:sz w:val="15"/>
                <w:szCs w:val="15"/>
                <w:color w:val="auto"/>
              </w:rPr>
            </w:pPr>
          </w:p>
        </w:tc>
        <w:tc>
          <w:tcPr>
            <w:tcW w:w="144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color w:val="auto"/>
              </w:rPr>
              <w:t>Comprehensive</w:t>
            </w:r>
          </w:p>
        </w:tc>
        <w:tc>
          <w:tcPr>
            <w:tcW w:w="160" w:type="dxa"/>
            <w:vAlign w:val="bottom"/>
          </w:tcPr>
          <w:p>
            <w:pPr>
              <w:spacing w:after="0"/>
              <w:rPr>
                <w:sz w:val="15"/>
                <w:szCs w:val="15"/>
                <w:color w:val="auto"/>
              </w:rPr>
            </w:pPr>
          </w:p>
        </w:tc>
        <w:tc>
          <w:tcPr>
            <w:tcW w:w="82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7"/>
                <w:szCs w:val="17"/>
                <w:color w:val="auto"/>
              </w:rPr>
              <w:t>Retained</w:t>
            </w:r>
          </w:p>
        </w:tc>
        <w:tc>
          <w:tcPr>
            <w:tcW w:w="200" w:type="dxa"/>
            <w:vAlign w:val="bottom"/>
          </w:tcPr>
          <w:p>
            <w:pPr>
              <w:spacing w:after="0"/>
              <w:rPr>
                <w:sz w:val="15"/>
                <w:szCs w:val="15"/>
                <w:color w:val="auto"/>
              </w:rPr>
            </w:pPr>
          </w:p>
        </w:tc>
        <w:tc>
          <w:tcPr>
            <w:tcW w:w="94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w w:val="99"/>
              </w:rPr>
              <w:t>Treasury</w:t>
            </w:r>
          </w:p>
        </w:tc>
        <w:tc>
          <w:tcPr>
            <w:tcW w:w="160" w:type="dxa"/>
            <w:vAlign w:val="bottom"/>
          </w:tcPr>
          <w:p>
            <w:pPr>
              <w:spacing w:after="0"/>
              <w:rPr>
                <w:sz w:val="15"/>
                <w:szCs w:val="15"/>
                <w:color w:val="auto"/>
              </w:rPr>
            </w:pPr>
          </w:p>
        </w:tc>
        <w:tc>
          <w:tcPr>
            <w:tcW w:w="130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color w:val="auto"/>
                <w:w w:val="99"/>
              </w:rPr>
              <w:t>Stockholders’</w:t>
            </w:r>
          </w:p>
        </w:tc>
        <w:tc>
          <w:tcPr>
            <w:tcW w:w="0" w:type="dxa"/>
            <w:vAlign w:val="bottom"/>
          </w:tcPr>
          <w:p>
            <w:pPr>
              <w:spacing w:after="0"/>
              <w:rPr>
                <w:sz w:val="1"/>
                <w:szCs w:val="1"/>
                <w:color w:val="auto"/>
              </w:rPr>
            </w:pPr>
          </w:p>
        </w:tc>
      </w:tr>
      <w:tr>
        <w:trPr>
          <w:trHeight w:val="219"/>
        </w:trPr>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Capital</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w w:val="99"/>
              </w:rPr>
              <w:t>Loss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Earnings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Stock</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Equity</w:t>
            </w:r>
          </w:p>
        </w:tc>
        <w:tc>
          <w:tcPr>
            <w:tcW w:w="0" w:type="dxa"/>
            <w:vAlign w:val="bottom"/>
          </w:tcPr>
          <w:p>
            <w:pPr>
              <w:spacing w:after="0"/>
              <w:rPr>
                <w:sz w:val="1"/>
                <w:szCs w:val="1"/>
                <w:color w:val="auto"/>
              </w:rPr>
            </w:pPr>
          </w:p>
        </w:tc>
      </w:tr>
      <w:tr>
        <w:trPr>
          <w:trHeight w:val="216"/>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81,239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795,697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142,880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906,502</w:t>
            </w:r>
          </w:p>
        </w:tc>
        <w:tc>
          <w:tcPr>
            <w:tcW w:w="0" w:type="dxa"/>
            <w:vAlign w:val="bottom"/>
          </w:tcPr>
          <w:p>
            <w:pPr>
              <w:spacing w:after="0"/>
              <w:rPr>
                <w:sz w:val="1"/>
                <w:szCs w:val="1"/>
                <w:color w:val="auto"/>
              </w:rPr>
            </w:pPr>
          </w:p>
        </w:tc>
      </w:tr>
      <w:tr>
        <w:trPr>
          <w:trHeight w:val="396"/>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(71,385)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(64,114)</w:t>
            </w:r>
          </w:p>
        </w:tc>
        <w:tc>
          <w:tcPr>
            <w:tcW w:w="0" w:type="dxa"/>
            <w:vAlign w:val="bottom"/>
          </w:tcPr>
          <w:p>
            <w:pPr>
              <w:spacing w:after="0"/>
              <w:rPr>
                <w:sz w:val="1"/>
                <w:szCs w:val="1"/>
                <w:color w:val="auto"/>
              </w:rPr>
            </w:pPr>
          </w:p>
        </w:tc>
      </w:tr>
      <w:tr>
        <w:trPr>
          <w:trHeight w:val="20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81,239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724,312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150,151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(28,496)</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842,388</w:t>
            </w:r>
          </w:p>
        </w:tc>
        <w:tc>
          <w:tcPr>
            <w:tcW w:w="0" w:type="dxa"/>
            <w:vAlign w:val="bottom"/>
          </w:tcPr>
          <w:p>
            <w:pPr>
              <w:spacing w:after="0"/>
              <w:rPr>
                <w:sz w:val="1"/>
                <w:szCs w:val="1"/>
                <w:color w:val="auto"/>
              </w:rPr>
            </w:pPr>
          </w:p>
        </w:tc>
      </w:tr>
      <w:tr>
        <w:trPr>
          <w:trHeight w:val="21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19"/>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0" w:type="dxa"/>
            <w:vAlign w:val="bottom"/>
          </w:tcPr>
          <w:p>
            <w:pPr>
              <w:spacing w:after="0"/>
              <w:rPr>
                <w:sz w:val="1"/>
                <w:szCs w:val="1"/>
                <w:color w:val="auto"/>
              </w:rPr>
            </w:pPr>
          </w:p>
        </w:tc>
      </w:tr>
      <w:tr>
        <w:trPr>
          <w:trHeight w:val="223"/>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0" w:type="dxa"/>
            <w:vAlign w:val="bottom"/>
          </w:tcPr>
          <w:p>
            <w:pPr>
              <w:spacing w:after="0"/>
              <w:rPr>
                <w:sz w:val="1"/>
                <w:szCs w:val="1"/>
                <w:color w:val="auto"/>
              </w:rPr>
            </w:pPr>
          </w:p>
        </w:tc>
      </w:tr>
      <w:tr>
        <w:trPr>
          <w:trHeight w:val="396"/>
        </w:trPr>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43,432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43,432</w:t>
            </w:r>
          </w:p>
        </w:tc>
        <w:tc>
          <w:tcPr>
            <w:tcW w:w="0" w:type="dxa"/>
            <w:vAlign w:val="bottom"/>
          </w:tcPr>
          <w:p>
            <w:pPr>
              <w:spacing w:after="0"/>
              <w:rPr>
                <w:sz w:val="1"/>
                <w:szCs w:val="1"/>
                <w:color w:val="auto"/>
              </w:rPr>
            </w:pPr>
          </w:p>
        </w:tc>
      </w:tr>
      <w:tr>
        <w:trPr>
          <w:trHeight w:val="212"/>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728,339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193,583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887,532</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-3748405</wp:posOffset>
            </wp:positionV>
            <wp:extent cx="7138670" cy="147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-3462020</wp:posOffset>
            </wp:positionV>
            <wp:extent cx="7138670" cy="139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-3183890</wp:posOffset>
            </wp:positionV>
            <wp:extent cx="71386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-2790825</wp:posOffset>
            </wp:positionV>
            <wp:extent cx="71386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-1538605</wp:posOffset>
            </wp:positionV>
            <wp:extent cx="7138670" cy="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-1137285</wp:posOffset>
            </wp:positionV>
            <wp:extent cx="7138670" cy="147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-850900</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-572135</wp:posOffset>
            </wp:positionV>
            <wp:extent cx="7138670" cy="254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-179705</wp:posOffset>
            </wp:positionV>
            <wp:extent cx="713867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840" w:space="180"/>
            <w:col w:w="8220"/>
          </w:cols>
          <w:pgMar w:left="320" w:top="123"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National Vision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April 2, 2022 and April 3, 2021</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1003"/>
              <w:spacing w:after="0"/>
              <w:rPr>
                <w:sz w:val="20"/>
                <w:szCs w:val="20"/>
                <w:color w:val="auto"/>
              </w:rPr>
            </w:pPr>
            <w:r>
              <w:rPr>
                <w:rFonts w:ascii="Times New Roman" w:cs="Times New Roman" w:eastAsia="Times New Roman" w:hAnsi="Times New Roman"/>
                <w:sz w:val="15"/>
                <w:szCs w:val="15"/>
                <w:color w:val="auto"/>
              </w:rPr>
              <w:t>Three Months Ended</w:t>
            </w:r>
          </w:p>
        </w:tc>
      </w:tr>
      <w:tr>
        <w:trPr>
          <w:trHeight w:val="199"/>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April 2, 2022</w:t>
            </w:r>
          </w:p>
        </w:tc>
        <w:tc>
          <w:tcPr>
            <w:tcW w:w="260" w:type="dxa"/>
            <w:vAlign w:val="bottom"/>
          </w:tcPr>
          <w:p>
            <w:pPr>
              <w:spacing w:after="0"/>
              <w:rPr>
                <w:sz w:val="17"/>
                <w:szCs w:val="17"/>
                <w:color w:val="auto"/>
              </w:rPr>
            </w:pPr>
          </w:p>
        </w:tc>
        <w:tc>
          <w:tcPr>
            <w:tcW w:w="142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rPr>
              <w:t>April 3, 2021</w:t>
            </w:r>
          </w:p>
        </w:tc>
      </w:tr>
      <w:tr>
        <w:trPr>
          <w:trHeight w:val="189"/>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30,147</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43,432</w:t>
            </w: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23,555</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debt discount and deferred financing costs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impairment</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11,686</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Losses (gains) on change in fair value of derivatives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(2,252)</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Inventory adjustments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(2,698)</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Inventories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(8,428)</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lease right of use assets and lease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14,946</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and unearned revenue</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22,973</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(23,786)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(10,323)</w:t>
            </w: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97,652</w:t>
            </w:r>
          </w:p>
        </w:tc>
      </w:tr>
      <w:tr>
        <w:trPr>
          <w:trHeight w:val="18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(16,382)</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used for investing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(28,077)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(16,374)</w:t>
            </w:r>
          </w:p>
        </w:tc>
      </w:tr>
      <w:tr>
        <w:trPr>
          <w:trHeight w:val="18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on long-term debt</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issuance of common stock</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1,868</w:t>
            </w:r>
          </w:p>
        </w:tc>
      </w:tr>
      <w:tr>
        <w:trPr>
          <w:trHeight w:val="203"/>
        </w:trPr>
        <w:tc>
          <w:tcPr>
            <w:tcW w:w="77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(1,421)</w:t>
            </w: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finance lease obligations</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w:t>
            </w: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used for financing activities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(9,941)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(1,089)</w:t>
            </w:r>
          </w:p>
        </w:tc>
      </w:tr>
      <w:tr>
        <w:trPr>
          <w:trHeight w:val="20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80,189</w:t>
            </w:r>
          </w:p>
        </w:tc>
      </w:tr>
      <w:tr>
        <w:trPr>
          <w:trHeight w:val="20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306,876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375,159</w:t>
            </w:r>
          </w:p>
        </w:tc>
      </w:tr>
      <w:tr>
        <w:trPr>
          <w:trHeight w:val="22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315,975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455,348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0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disclosure information:</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2,322</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5,706</w:t>
            </w: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(received) for taxes</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w:t>
            </w:r>
          </w:p>
        </w:tc>
      </w:tr>
      <w:tr>
        <w:trPr>
          <w:trHeight w:val="201"/>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Capital expenditures accrued at the end of the period</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10,129</w:t>
            </w:r>
          </w:p>
        </w:tc>
        <w:tc>
          <w:tcPr>
            <w:tcW w:w="1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9,247</w:t>
            </w:r>
          </w:p>
        </w:tc>
      </w:tr>
    </w:tbl>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National Vision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Notes to Condensed Consolidated Financial Statements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auto"/>
              </w:rPr>
              <w:t>Page</w:t>
            </w:r>
          </w:p>
        </w:tc>
      </w:tr>
      <w:tr>
        <w:trPr>
          <w:trHeight w:val="438"/>
        </w:trPr>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1.</w:t>
            </w:r>
          </w:p>
        </w:tc>
        <w:tc>
          <w:tcPr>
            <w:tcW w:w="44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Description of Business and Basis of Presentation</w:t>
            </w: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10</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2"/>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44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Details of Certain Balance Sheet Accounts</w:t>
            </w: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12</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3.</w:t>
            </w: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Fair Value Measurement</w:t>
            </w:r>
          </w:p>
        </w:tc>
        <w:tc>
          <w:tcPr>
            <w:tcW w:w="1540" w:type="dxa"/>
            <w:vAlign w:val="bottom"/>
            <w:gridSpan w:val="2"/>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13</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4.</w:t>
            </w: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Long-term Debt</w:t>
            </w:r>
          </w:p>
        </w:tc>
        <w:tc>
          <w:tcPr>
            <w:tcW w:w="2720" w:type="dxa"/>
            <w:vAlign w:val="bottom"/>
            <w:gridSpan w:val="5"/>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14</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5.</w:t>
            </w:r>
          </w:p>
        </w:tc>
        <w:tc>
          <w:tcPr>
            <w:tcW w:w="17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Interest Rate Derivatives</w:t>
            </w:r>
          </w:p>
        </w:tc>
        <w:tc>
          <w:tcPr>
            <w:tcW w:w="2700" w:type="dxa"/>
            <w:vAlign w:val="bottom"/>
            <w:gridSpan w:val="4"/>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14</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6.</w:t>
            </w:r>
          </w:p>
        </w:tc>
        <w:tc>
          <w:tcPr>
            <w:tcW w:w="172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Stock Incentive Plans</w:t>
            </w:r>
          </w:p>
        </w:tc>
        <w:tc>
          <w:tcPr>
            <w:tcW w:w="2700" w:type="dxa"/>
            <w:vAlign w:val="bottom"/>
            <w:gridSpan w:val="4"/>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15</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7.</w:t>
            </w:r>
          </w:p>
        </w:tc>
        <w:tc>
          <w:tcPr>
            <w:tcW w:w="44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Revenue From Contracts With Customers</w:t>
            </w: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15</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8.</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5"/>
              </w:rPr>
              <w:t>Leases</w:t>
            </w:r>
          </w:p>
        </w:tc>
        <w:tc>
          <w:tcPr>
            <w:tcW w:w="2400" w:type="dxa"/>
            <w:vAlign w:val="bottom"/>
            <w:gridSpan w:val="7"/>
          </w:tcPr>
          <w:p>
            <w:pPr>
              <w:spacing w:after="0"/>
              <w:rPr>
                <w:sz w:val="17"/>
                <w:szCs w:val="17"/>
                <w:color w:val="auto"/>
              </w:rPr>
            </w:pPr>
          </w:p>
        </w:tc>
        <w:tc>
          <w:tcPr>
            <w:tcW w:w="1540" w:type="dxa"/>
            <w:vAlign w:val="bottom"/>
            <w:gridSpan w:val="2"/>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16</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0000FF"/>
              </w:rPr>
              <w:t>9.</w:t>
            </w:r>
          </w:p>
        </w:tc>
        <w:tc>
          <w:tcPr>
            <w:tcW w:w="44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Commitments and Contingencies</w:t>
            </w: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17</w:t>
            </w:r>
          </w:p>
        </w:tc>
      </w:tr>
      <w:tr>
        <w:trPr>
          <w:trHeight w:val="20"/>
        </w:trPr>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 Segment Reporting</w:t>
            </w:r>
          </w:p>
        </w:tc>
        <w:tc>
          <w:tcPr>
            <w:tcW w:w="2120" w:type="dxa"/>
            <w:vAlign w:val="bottom"/>
            <w:gridSpan w:val="3"/>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17</w:t>
            </w:r>
          </w:p>
        </w:tc>
      </w:tr>
      <w:tr>
        <w:trPr>
          <w:trHeight w:val="20"/>
        </w:trPr>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480" w:type="dxa"/>
            <w:vAlign w:val="bottom"/>
            <w:tcBorders>
              <w:left w:val="single" w:sz="8" w:color="0000FF"/>
            </w:tcBorders>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7"/>
              </w:rPr>
              <w:t>11. Earnings Per Share</w:t>
            </w:r>
          </w:p>
        </w:tc>
        <w:tc>
          <w:tcPr>
            <w:tcW w:w="3020" w:type="dxa"/>
            <w:vAlign w:val="bottom"/>
            <w:gridSpan w:val="7"/>
          </w:tcPr>
          <w:p>
            <w:pPr>
              <w:spacing w:after="0"/>
              <w:rPr>
                <w:sz w:val="17"/>
                <w:szCs w:val="17"/>
                <w:color w:val="auto"/>
              </w:rPr>
            </w:pP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19</w:t>
            </w:r>
          </w:p>
        </w:tc>
      </w:tr>
      <w:tr>
        <w:trPr>
          <w:trHeight w:val="20"/>
        </w:trPr>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5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12. Accumulated Other Comprehensive Loss</w:t>
            </w:r>
          </w:p>
        </w:tc>
        <w:tc>
          <w:tcPr>
            <w:tcW w:w="6640" w:type="dxa"/>
            <w:vAlign w:val="bottom"/>
            <w:gridSpan w:val="3"/>
          </w:tcPr>
          <w:p>
            <w:pPr>
              <w:ind w:left="5060"/>
              <w:spacing w:after="0"/>
              <w:rPr>
                <w:sz w:val="20"/>
                <w:szCs w:val="20"/>
                <w:color w:val="auto"/>
              </w:rPr>
            </w:pPr>
            <w:r>
              <w:rPr>
                <w:rFonts w:ascii="Times New Roman" w:cs="Times New Roman" w:eastAsia="Times New Roman" w:hAnsi="Times New Roman"/>
                <w:sz w:val="17"/>
                <w:szCs w:val="17"/>
                <w:color w:val="0000FF"/>
              </w:rPr>
              <w:t>19</w:t>
            </w:r>
          </w:p>
        </w:tc>
      </w:tr>
      <w:tr>
        <w:trPr>
          <w:trHeight w:val="728"/>
        </w:trPr>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National Vision Holdings, Inc.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 and Basis of Presentation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Nature of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We operated 1,292 and 1,278 retail optical locations in the United States and its territories as of April 2, 2022 and January 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 and Principles of Consolidation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January 1, 2022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1, 2022 included in the 2021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April 2, 2022.</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condensed consolidated financial statements include our accounts and those of our wholly-owned subsidiaries. All intercompany balances and transactions have been eliminated in consolidation. Certain amounts within the Consolidated Statements of Operations and footnotes to the financial statements for fiscal year 2021 have been reclassified to conform to the fiscal year 2022 presentation.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At April 2, 2022, the variable interest entities include 31 professional corporations. The total assets of the consolidated VIEs included in the accompanying Consolidated Balance Sheets as of April 2, 2022 and January 1, 2022, were $3.0 million and $6.0 million, respectively, and the total liabilities of the consolidated VIEs were $3.5 million and $6.8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Fiscal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fiscal year consists of 52 or 53 weeks ending on the Saturday closest to December 31. Fiscal year 2022 contains 52 weeks and will end on December 31,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three month periods presented herein contain 13 weeks, respectively. All references to years and quarters relate to fiscal periods rather than calendar periods.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consolidated results of operations for the three months ended April 2, 2022 and April 3, 2021,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although delays in tax refund timing occurred in 2020 and 2021, and may continue in future years.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Since the start of the COVID-19 pandemic and the resulting temporary closure of our stores to the public for a portion of the first half of fiscal year 2020, there have been changes in our historic seasonality in fiscal year 2020 and 2021. We expect that COVID-19 will continue to cause changes to the seasonality we have historically experienced in fiscal year 2022 and beyond.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effective tax rates for the three months ended April 2, 2022 and April 3, 2021 were 27.3% and 21.2%, respectively, reflecting our statutory federal and state rate of 25.5% and effects of other permanent items as well as a stranded tax effect of $2.1 million associated with our matured interest rate swaps during the three months ended April 3, 2021.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April 2, 2022, the Company repurchased 0.2 million shares of its common stock for $7.1 million under the share repurchase program. After these repurchases, $123.0 million remains available under the share repurchase authorization.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Adoption of Accounting Pronouncements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Reference Rate Reform. </w:t>
      </w:r>
      <w:r>
        <w:rPr>
          <w:rFonts w:ascii="Times New Roman" w:cs="Times New Roman" w:eastAsia="Times New Roman" w:hAnsi="Times New Roman"/>
          <w:sz w:val="17"/>
          <w:szCs w:val="17"/>
          <w:color w:val="auto"/>
        </w:rPr>
        <w:t>In March 2020, the FASB issued ASU No. 2020-04,</w:t>
      </w:r>
      <w:r>
        <w:rPr>
          <w:rFonts w:ascii="Times New Roman" w:cs="Times New Roman" w:eastAsia="Times New Roman" w:hAnsi="Times New Roman"/>
          <w:sz w:val="17"/>
          <w:szCs w:val="17"/>
          <w:i w:val="1"/>
          <w:iCs w:val="1"/>
          <w:color w:val="auto"/>
        </w:rPr>
        <w:t xml:space="preserve"> Facilitation of the Effects of Reference Rate Reform on Financial Reporting </w:t>
      </w:r>
      <w:r>
        <w:rPr>
          <w:rFonts w:ascii="Times New Roman" w:cs="Times New Roman" w:eastAsia="Times New Roman" w:hAnsi="Times New Roman"/>
          <w:sz w:val="17"/>
          <w:szCs w:val="17"/>
          <w:color w:val="auto"/>
        </w:rPr>
        <w:t>(“ASU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Details of Certain Balance Sheet Accounts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Three Months Ended</w:t>
            </w:r>
          </w:p>
        </w:tc>
        <w:tc>
          <w:tcPr>
            <w:tcW w:w="1680" w:type="dxa"/>
            <w:vAlign w:val="bottom"/>
            <w:tcBorders>
              <w:bottom w:val="single" w:sz="8" w:color="auto"/>
            </w:tcBorders>
          </w:tcPr>
          <w:p>
            <w:pPr>
              <w:spacing w:after="0"/>
              <w:rPr>
                <w:sz w:val="19"/>
                <w:szCs w:val="19"/>
                <w:color w:val="auto"/>
              </w:rPr>
            </w:pPr>
          </w:p>
        </w:tc>
      </w:tr>
      <w:tr>
        <w:trPr>
          <w:trHeight w:val="212"/>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2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April 2, 2022</w:t>
            </w:r>
          </w:p>
        </w:tc>
        <w:tc>
          <w:tcPr>
            <w:tcW w:w="720" w:type="dxa"/>
            <w:vAlign w:val="bottom"/>
          </w:tcPr>
          <w:p>
            <w:pPr>
              <w:spacing w:after="0"/>
              <w:rPr>
                <w:sz w:val="18"/>
                <w:szCs w:val="18"/>
                <w:color w:val="auto"/>
              </w:rPr>
            </w:pPr>
          </w:p>
        </w:tc>
        <w:tc>
          <w:tcPr>
            <w:tcW w:w="168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April 3, 2021</w:t>
            </w:r>
          </w:p>
        </w:tc>
      </w:tr>
      <w:tr>
        <w:trPr>
          <w:trHeight w:val="199"/>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tc>
        <w:tc>
          <w:tcPr>
            <w:tcW w:w="42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6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314,642</w:t>
            </w:r>
          </w:p>
        </w:tc>
        <w:tc>
          <w:tcPr>
            <w:tcW w:w="100" w:type="dxa"/>
            <w:vAlign w:val="bottom"/>
          </w:tcPr>
          <w:p>
            <w:pPr>
              <w:spacing w:after="0"/>
              <w:rPr>
                <w:sz w:val="19"/>
                <w:szCs w:val="19"/>
                <w:color w:val="auto"/>
              </w:rPr>
            </w:pPr>
          </w:p>
        </w:tc>
        <w:tc>
          <w:tcPr>
            <w:tcW w:w="72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453,792</w:t>
            </w:r>
          </w:p>
        </w:tc>
      </w:tr>
      <w:tr>
        <w:trPr>
          <w:trHeight w:val="219"/>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 included in 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r>
      <w:tr>
        <w:trPr>
          <w:trHeight w:val="212"/>
        </w:trPr>
        <w:tc>
          <w:tcPr>
            <w:tcW w:w="63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315,975</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455,348</w:t>
            </w:r>
          </w:p>
        </w:tc>
      </w:tr>
      <w:tr>
        <w:trPr>
          <w:trHeight w:val="20"/>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 additional details of certain balance sheet accounts as of the dates shown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70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As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As of</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April 2, 2022</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7"/>
                <w:szCs w:val="17"/>
                <w:color w:val="auto"/>
              </w:rPr>
              <w:t>January 1, 2022</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1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receivables</w:t>
            </w:r>
          </w:p>
        </w:tc>
        <w:tc>
          <w:tcPr>
            <w:tcW w:w="170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36,410</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32,504</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Credit card receivables</w:t>
            </w:r>
          </w:p>
        </w:tc>
        <w:tc>
          <w:tcPr>
            <w:tcW w:w="1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17,010</w:t>
            </w:r>
          </w:p>
        </w:tc>
        <w:tc>
          <w:tcPr>
            <w:tcW w:w="0" w:type="dxa"/>
            <w:vAlign w:val="bottom"/>
          </w:tcPr>
          <w:p>
            <w:pPr>
              <w:spacing w:after="0"/>
              <w:rPr>
                <w:sz w:val="1"/>
                <w:szCs w:val="1"/>
                <w:color w:val="auto"/>
              </w:rPr>
            </w:pPr>
          </w:p>
        </w:tc>
      </w:tr>
      <w:tr>
        <w:trPr>
          <w:trHeight w:val="219"/>
        </w:trPr>
        <w:tc>
          <w:tcPr>
            <w:tcW w:w="6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7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12"/>
        </w:trPr>
        <w:tc>
          <w:tcPr>
            <w:tcW w:w="6340" w:type="dxa"/>
            <w:vAlign w:val="bottom"/>
          </w:tcPr>
          <w:p>
            <w:pPr>
              <w:spacing w:after="0"/>
              <w:rPr>
                <w:sz w:val="18"/>
                <w:szCs w:val="18"/>
                <w:color w:val="auto"/>
              </w:rPr>
            </w:pPr>
          </w:p>
        </w:tc>
        <w:tc>
          <w:tcPr>
            <w:tcW w:w="1700" w:type="dxa"/>
            <w:vAlign w:val="bottom"/>
            <w:tcBorders>
              <w:bottom w:val="single" w:sz="8" w:color="auto"/>
            </w:tcBorders>
          </w:tcPr>
          <w:p>
            <w:pPr>
              <w:jc w:val="right"/>
              <w:ind w:right="15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70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As of</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As of</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April 2, 2022</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7"/>
                <w:szCs w:val="17"/>
                <w:color w:val="auto"/>
              </w:rPr>
              <w:t>January 1, 2022</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tc>
        <w:tc>
          <w:tcPr>
            <w:tcW w:w="1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 xml:space="preserve">Raw materials and work in process </w:t>
            </w:r>
            <w:r>
              <w:rPr>
                <w:rFonts w:ascii="Times New Roman" w:cs="Times New Roman" w:eastAsia="Times New Roman" w:hAnsi="Times New Roman"/>
                <w:sz w:val="22"/>
                <w:szCs w:val="22"/>
                <w:color w:val="auto"/>
                <w:vertAlign w:val="superscript"/>
              </w:rPr>
              <w:t>(1)</w:t>
            </w:r>
          </w:p>
        </w:tc>
        <w:tc>
          <w:tcPr>
            <w:tcW w:w="170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62,620</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65,262</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Finished goods</w:t>
            </w:r>
          </w:p>
        </w:tc>
        <w:tc>
          <w:tcPr>
            <w:tcW w:w="17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170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127,401</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-1905</wp:posOffset>
            </wp:positionV>
            <wp:extent cx="3119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ind w:left="260" w:right="20" w:hanging="240"/>
        <w:spacing w:after="0" w:line="238" w:lineRule="auto"/>
        <w:tabs>
          <w:tab w:leader="none" w:pos="2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-189230</wp:posOffset>
            </wp:positionV>
            <wp:extent cx="3119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912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20" w:type="dxa"/>
            <w:vAlign w:val="bottom"/>
          </w:tcPr>
          <w:p>
            <w:pPr>
              <w:spacing w:after="0"/>
              <w:rPr>
                <w:sz w:val="16"/>
                <w:szCs w:val="16"/>
                <w:color w:val="auto"/>
              </w:rPr>
            </w:pPr>
          </w:p>
        </w:tc>
        <w:tc>
          <w:tcPr>
            <w:tcW w:w="17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As of</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As of</w:t>
            </w:r>
          </w:p>
        </w:tc>
        <w:tc>
          <w:tcPr>
            <w:tcW w:w="0" w:type="dxa"/>
            <w:vAlign w:val="bottom"/>
          </w:tcPr>
          <w:p>
            <w:pPr>
              <w:spacing w:after="0"/>
              <w:rPr>
                <w:sz w:val="1"/>
                <w:szCs w:val="1"/>
                <w:color w:val="auto"/>
              </w:rPr>
            </w:pPr>
          </w:p>
        </w:tc>
      </w:tr>
      <w:tr>
        <w:trPr>
          <w:trHeight w:val="232"/>
        </w:trPr>
        <w:tc>
          <w:tcPr>
            <w:tcW w:w="4320" w:type="dxa"/>
            <w:vAlign w:val="bottom"/>
            <w:tcBorders>
              <w:bottom w:val="single" w:sz="8" w:color="CCEEFF"/>
            </w:tcBorders>
            <w:vMerge w:val="continue"/>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April 2, 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January 1, 2022</w:t>
            </w:r>
          </w:p>
        </w:tc>
        <w:tc>
          <w:tcPr>
            <w:tcW w:w="0" w:type="dxa"/>
            <w:vAlign w:val="bottom"/>
          </w:tcPr>
          <w:p>
            <w:pPr>
              <w:spacing w:after="0"/>
              <w:rPr>
                <w:sz w:val="1"/>
                <w:szCs w:val="1"/>
                <w:color w:val="auto"/>
              </w:rPr>
            </w:pP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payables and accrued expenses:</w:t>
            </w:r>
          </w:p>
        </w:tc>
        <w:tc>
          <w:tcPr>
            <w:tcW w:w="20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Associate compensation and benefits</w:t>
            </w:r>
          </w:p>
        </w:tc>
        <w:tc>
          <w:tcPr>
            <w:tcW w:w="3780" w:type="dxa"/>
            <w:vAlign w:val="bottom"/>
            <w:gridSpan w:val="2"/>
          </w:tcPr>
          <w:p>
            <w:pPr>
              <w:jc w:val="right"/>
              <w:ind w:right="157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29,685</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55,670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Self-insurance liabilities</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9,034</w:t>
            </w:r>
          </w:p>
        </w:tc>
        <w:tc>
          <w:tcPr>
            <w:tcW w:w="0" w:type="dxa"/>
            <w:vAlign w:val="bottom"/>
          </w:tcPr>
          <w:p>
            <w:pPr>
              <w:spacing w:after="0"/>
              <w:rPr>
                <w:sz w:val="1"/>
                <w:szCs w:val="1"/>
                <w:color w:val="auto"/>
              </w:rPr>
            </w:pPr>
          </w:p>
        </w:tc>
      </w:tr>
      <w:tr>
        <w:trPr>
          <w:trHeight w:val="219"/>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w:t>
            </w:r>
          </w:p>
        </w:tc>
        <w:tc>
          <w:tcPr>
            <w:tcW w:w="0" w:type="dxa"/>
            <w:vAlign w:val="bottom"/>
          </w:tcPr>
          <w:p>
            <w:pPr>
              <w:spacing w:after="0"/>
              <w:rPr>
                <w:sz w:val="1"/>
                <w:szCs w:val="1"/>
                <w:color w:val="auto"/>
              </w:rPr>
            </w:pPr>
          </w:p>
        </w:tc>
      </w:tr>
      <w:tr>
        <w:trPr>
          <w:trHeight w:val="219"/>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Reserves for customer returns and remakes</w:t>
            </w:r>
          </w:p>
        </w:tc>
        <w:tc>
          <w:tcPr>
            <w:tcW w:w="2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7,556</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Legacy management &amp; services agreement</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w:t>
            </w:r>
          </w:p>
        </w:tc>
        <w:tc>
          <w:tcPr>
            <w:tcW w:w="0" w:type="dxa"/>
            <w:vAlign w:val="bottom"/>
          </w:tcPr>
          <w:p>
            <w:pPr>
              <w:spacing w:after="0"/>
              <w:rPr>
                <w:sz w:val="1"/>
                <w:szCs w:val="1"/>
                <w:color w:val="auto"/>
              </w:rPr>
            </w:pPr>
          </w:p>
        </w:tc>
      </w:tr>
      <w:tr>
        <w:trPr>
          <w:trHeight w:val="219"/>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of derivative liabilities</w:t>
            </w:r>
          </w:p>
        </w:tc>
        <w:tc>
          <w:tcPr>
            <w:tcW w:w="2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Supplies and other store support expenses</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5,511</w:t>
            </w:r>
          </w:p>
        </w:tc>
        <w:tc>
          <w:tcPr>
            <w:tcW w:w="0" w:type="dxa"/>
            <w:vAlign w:val="bottom"/>
          </w:tcPr>
          <w:p>
            <w:pPr>
              <w:spacing w:after="0"/>
              <w:rPr>
                <w:sz w:val="1"/>
                <w:szCs w:val="1"/>
                <w:color w:val="auto"/>
              </w:rPr>
            </w:pPr>
          </w:p>
        </w:tc>
      </w:tr>
      <w:tr>
        <w:trPr>
          <w:trHeight w:val="219"/>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Litigation settlements</w:t>
            </w:r>
          </w:p>
        </w:tc>
        <w:tc>
          <w:tcPr>
            <w:tcW w:w="2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concessions</w:t>
            </w:r>
          </w:p>
        </w:tc>
        <w:tc>
          <w:tcPr>
            <w:tcW w:w="20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1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15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119,323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12</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43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2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1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160" w:type="dxa"/>
            <w:vAlign w:val="bottom"/>
            <w:vMerge w:val="restart"/>
          </w:tcPr>
          <w:p>
            <w:pPr>
              <w:spacing w:after="0"/>
              <w:rPr>
                <w:sz w:val="24"/>
                <w:szCs w:val="24"/>
                <w:color w:val="auto"/>
              </w:rPr>
            </w:pPr>
          </w:p>
        </w:tc>
        <w:tc>
          <w:tcPr>
            <w:tcW w:w="18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As of</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rPr>
              <w:t>As of</w:t>
            </w:r>
          </w:p>
        </w:tc>
        <w:tc>
          <w:tcPr>
            <w:tcW w:w="0" w:type="dxa"/>
            <w:vAlign w:val="bottom"/>
          </w:tcPr>
          <w:p>
            <w:pPr>
              <w:spacing w:after="0"/>
              <w:rPr>
                <w:sz w:val="1"/>
                <w:szCs w:val="1"/>
                <w:color w:val="auto"/>
              </w:rPr>
            </w:pPr>
          </w:p>
        </w:tc>
      </w:tr>
      <w:tr>
        <w:trPr>
          <w:trHeight w:val="232"/>
        </w:trPr>
        <w:tc>
          <w:tcPr>
            <w:tcW w:w="1180" w:type="dxa"/>
            <w:vAlign w:val="bottom"/>
            <w:tcBorders>
              <w:bottom w:val="single" w:sz="8" w:color="CCEEFF"/>
            </w:tcBorders>
            <w:vMerge w:val="continue"/>
          </w:tcPr>
          <w:p>
            <w:pPr>
              <w:spacing w:after="0"/>
              <w:rPr>
                <w:sz w:val="20"/>
                <w:szCs w:val="20"/>
                <w:color w:val="auto"/>
              </w:rPr>
            </w:pPr>
          </w:p>
        </w:tc>
        <w:tc>
          <w:tcPr>
            <w:tcW w:w="516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April 2, 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January 1, 2022</w:t>
            </w:r>
          </w:p>
        </w:tc>
        <w:tc>
          <w:tcPr>
            <w:tcW w:w="0" w:type="dxa"/>
            <w:vAlign w:val="bottom"/>
          </w:tcPr>
          <w:p>
            <w:pPr>
              <w:spacing w:after="0"/>
              <w:rPr>
                <w:sz w:val="1"/>
                <w:szCs w:val="1"/>
                <w:color w:val="auto"/>
              </w:rPr>
            </w:pPr>
          </w:p>
        </w:tc>
      </w:tr>
      <w:tr>
        <w:trPr>
          <w:trHeight w:val="19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liabilities:</w:t>
            </w: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Fair value of derivative liabilities</w:t>
            </w:r>
          </w:p>
        </w:tc>
        <w:tc>
          <w:tcPr>
            <w:tcW w:w="1800" w:type="dxa"/>
            <w:vAlign w:val="bottom"/>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0" w:type="dxa"/>
            <w:vAlign w:val="bottom"/>
          </w:tcPr>
          <w:p>
            <w:pPr>
              <w:spacing w:after="0"/>
              <w:rPr>
                <w:sz w:val="1"/>
                <w:szCs w:val="1"/>
                <w:color w:val="auto"/>
              </w:rPr>
            </w:pPr>
          </w:p>
        </w:tc>
      </w:tr>
      <w:tr>
        <w:trPr>
          <w:trHeight w:val="219"/>
        </w:trPr>
        <w:tc>
          <w:tcPr>
            <w:tcW w:w="6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Self-insurance liabilities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0" w:type="dxa"/>
            <w:vAlign w:val="bottom"/>
          </w:tcPr>
          <w:p>
            <w:pPr>
              <w:spacing w:after="0"/>
              <w:rPr>
                <w:sz w:val="1"/>
                <w:szCs w:val="1"/>
                <w:color w:val="auto"/>
              </w:rPr>
            </w:pPr>
          </w:p>
        </w:tc>
      </w:tr>
      <w:tr>
        <w:trPr>
          <w:trHeight w:val="219"/>
        </w:trPr>
        <w:tc>
          <w:tcPr>
            <w:tcW w:w="6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8,974</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Fair Value Measurement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Recurring fair value measurements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Interest Rate Derivatives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LIBOR forward rates. See Note 5. “Interest Rate Derivatives” for further details.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Non-recurring fair value measurements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Tangible Long-lived and Right of Use (“ROU”) Store Assets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recognized impairments of $0.4 million and $1.0 million during the three months ended April 2, 2022 and April 3, 2021, respectively, related to our long-lived tangible store assets and ROU assets. The impairments were primarily driven by lower than projected customer sales volume in certain stores. The cash flows used in estimating fair value were discounted using a market rate of 7.5%.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three months ended April 2, 2022 and April 3, 2021 was $2.0 million and $2.0 million, respectively. Substantially all of the remaining fair value of the impaired store assets represents the fair value of ROU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fair value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Long-term Debt - 2025 Notes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$402.5 million in aggregate principal amount of 2.50% convertible senior notes due on May 15, 2025 (the “2025 Notes”) issued and outstanding as of April 2, 2022. Refer to Note 4. “Long-term Debt” for more information on the 2025 Notes. The estimated fair value of the 2025 Notes was approximately $629.6 million and $674.9 million as of April 2, 2022 and January 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4. “Long-term Debt” for more information on the 2025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4. Long-term Debt</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 consists of the following:</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24"/>
                <w:szCs w:val="24"/>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6"/>
              </w:rPr>
              <w:t>As of</w:t>
            </w:r>
          </w:p>
        </w:tc>
        <w:tc>
          <w:tcPr>
            <w:tcW w:w="320" w:type="dxa"/>
            <w:vAlign w:val="bottom"/>
          </w:tcPr>
          <w:p>
            <w:pPr>
              <w:spacing w:after="0"/>
              <w:rPr>
                <w:sz w:val="24"/>
                <w:szCs w:val="24"/>
                <w:color w:val="auto"/>
              </w:rPr>
            </w:pPr>
          </w:p>
        </w:tc>
        <w:tc>
          <w:tcPr>
            <w:tcW w:w="184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As of</w:t>
            </w:r>
          </w:p>
        </w:tc>
        <w:tc>
          <w:tcPr>
            <w:tcW w:w="0" w:type="dxa"/>
            <w:vAlign w:val="bottom"/>
          </w:tcPr>
          <w:p>
            <w:pPr>
              <w:spacing w:after="0"/>
              <w:rPr>
                <w:sz w:val="1"/>
                <w:szCs w:val="1"/>
                <w:color w:val="auto"/>
              </w:rPr>
            </w:pPr>
          </w:p>
        </w:tc>
      </w:tr>
      <w:tr>
        <w:trPr>
          <w:trHeight w:val="232"/>
        </w:trPr>
        <w:tc>
          <w:tcPr>
            <w:tcW w:w="68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April 2, 2022</w:t>
            </w:r>
          </w:p>
        </w:tc>
        <w:tc>
          <w:tcPr>
            <w:tcW w:w="320" w:type="dxa"/>
            <w:vAlign w:val="bottom"/>
          </w:tcPr>
          <w:p>
            <w:pPr>
              <w:spacing w:after="0"/>
              <w:rPr>
                <w:sz w:val="20"/>
                <w:szCs w:val="20"/>
                <w:color w:val="auto"/>
              </w:rPr>
            </w:pPr>
          </w:p>
        </w:tc>
        <w:tc>
          <w:tcPr>
            <w:tcW w:w="18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January 1, 2022</w:t>
            </w:r>
          </w:p>
        </w:tc>
        <w:tc>
          <w:tcPr>
            <w:tcW w:w="0" w:type="dxa"/>
            <w:vAlign w:val="bottom"/>
          </w:tcPr>
          <w:p>
            <w:pPr>
              <w:spacing w:after="0"/>
              <w:rPr>
                <w:sz w:val="1"/>
                <w:szCs w:val="1"/>
                <w:color w:val="auto"/>
              </w:rPr>
            </w:pPr>
          </w:p>
        </w:tc>
      </w:tr>
      <w:tr>
        <w:trPr>
          <w:trHeight w:val="212"/>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Notes, due May 15, 2025</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402,498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402,500</w:t>
            </w:r>
          </w:p>
        </w:tc>
        <w:tc>
          <w:tcPr>
            <w:tcW w:w="0" w:type="dxa"/>
            <w:vAlign w:val="bottom"/>
          </w:tcPr>
          <w:p>
            <w:pPr>
              <w:spacing w:after="0"/>
              <w:rPr>
                <w:sz w:val="1"/>
                <w:szCs w:val="1"/>
                <w:color w:val="auto"/>
              </w:rPr>
            </w:pPr>
          </w:p>
        </w:tc>
      </w:tr>
      <w:tr>
        <w:trPr>
          <w:trHeight w:val="21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 due July 18, 2024</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 due July 18, 2024</w:t>
            </w:r>
          </w:p>
        </w:tc>
        <w:tc>
          <w:tcPr>
            <w:tcW w:w="3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before debt discount</w:t>
            </w: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552,498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552,500</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 and issuance costs - 2025 Notes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(7,986)</w:t>
            </w:r>
          </w:p>
        </w:tc>
        <w:tc>
          <w:tcPr>
            <w:tcW w:w="0" w:type="dxa"/>
            <w:vAlign w:val="bottom"/>
          </w:tcPr>
          <w:p>
            <w:pPr>
              <w:spacing w:after="0"/>
              <w:rPr>
                <w:sz w:val="1"/>
                <w:szCs w:val="1"/>
                <w:color w:val="auto"/>
              </w:rPr>
            </w:pPr>
          </w:p>
        </w:tc>
      </w:tr>
      <w:tr>
        <w:trPr>
          <w:trHeight w:val="21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Unamortized discount and issuance costs - term loan</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0" w:type="dxa"/>
            <w:vAlign w:val="bottom"/>
          </w:tcPr>
          <w:p>
            <w:pPr>
              <w:spacing w:after="0"/>
              <w:rPr>
                <w:sz w:val="1"/>
                <w:szCs w:val="1"/>
                <w:color w:val="auto"/>
              </w:rPr>
            </w:pPr>
          </w:p>
        </w:tc>
      </w:tr>
      <w:tr>
        <w:trPr>
          <w:trHeight w:val="212"/>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debt discount</w:t>
            </w: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544,178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543,566</w:t>
            </w:r>
          </w:p>
        </w:tc>
        <w:tc>
          <w:tcPr>
            <w:tcW w:w="0" w:type="dxa"/>
            <w:vAlign w:val="bottom"/>
          </w:tcPr>
          <w:p>
            <w:pPr>
              <w:spacing w:after="0"/>
              <w:rPr>
                <w:sz w:val="1"/>
                <w:szCs w:val="1"/>
                <w:color w:val="auto"/>
              </w:rPr>
            </w:pPr>
          </w:p>
        </w:tc>
      </w:tr>
      <w:tr>
        <w:trPr>
          <w:trHeight w:val="21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current maturities</w:t>
            </w:r>
          </w:p>
        </w:tc>
        <w:tc>
          <w:tcPr>
            <w:tcW w:w="3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 non-current portion</w:t>
            </w: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544,178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543,566</w:t>
            </w:r>
          </w:p>
        </w:tc>
        <w:tc>
          <w:tcPr>
            <w:tcW w:w="0" w:type="dxa"/>
            <w:vAlign w:val="bottom"/>
          </w:tcPr>
          <w:p>
            <w:pPr>
              <w:spacing w:after="0"/>
              <w:rPr>
                <w:sz w:val="1"/>
                <w:szCs w:val="1"/>
                <w:color w:val="auto"/>
              </w:rPr>
            </w:pPr>
          </w:p>
        </w:tc>
      </w:tr>
      <w:tr>
        <w:trPr>
          <w:trHeight w:val="21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26,514</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maturities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w:t>
            </w:r>
          </w:p>
        </w:tc>
        <w:tc>
          <w:tcPr>
            <w:tcW w:w="0" w:type="dxa"/>
            <w:vAlign w:val="bottom"/>
          </w:tcPr>
          <w:p>
            <w:pPr>
              <w:spacing w:after="0"/>
              <w:rPr>
                <w:sz w:val="1"/>
                <w:szCs w:val="1"/>
                <w:color w:val="auto"/>
              </w:rPr>
            </w:pPr>
          </w:p>
        </w:tc>
      </w:tr>
      <w:tr>
        <w:trPr>
          <w:trHeight w:val="212"/>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and finance lease obligations, less current portion and debt discount</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564,655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566,081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were in compliance with all covenants related to our long-term debt as of April 2,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Notes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recognized $2.5 million and $0.5 million in interest expense for the interest coupon and amortization of issuance costs, respectively, during the three months ended April 2, 2022 and $2.5 million and $0.5 million, respectively during the three months ended April 3, 2021. As of April 2, 2022, the remaining period for the unamortized debt issuance costs balance was approximately three years. An immaterial amount of the principal balance of the 2025 Notes was converted during the three months ended April 2,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2, 2022, the stock price conditions under which the 2025 Notes can be converted at the holders’ option were not met.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Interest Rate Derivatives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party to an interest rate collar to offset the variability of cash flows in LIBOR-indexed debt interest payments. To manage credit risk associated with our interest rate hedging program, we select as counterparties major financial institutions with investment grade credit ratings. The aggregate notional amount of the interest rate collar, which is not designated as a cash flow hedge, was $350.0 million as of April 2, 2022. The fair value of our interest rate collar instrument was an asset of $6.6 million ($1.0 million in Prepaid expenses and other current assets and $5.6 million in Other assets) as of April 2, 2022, and a liability of $3.3 million ($2.8 million in Other payables and accrued expenses and $0.5 million in Other non-current liabilities) as of January 1, 2022, respectively. See Note 3. “Fair Value Measurement” for further details.</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Gains (losses) on the change in fair value of the interest rate collar of $9.0 million and $2.0 million were recorded in interest expense (income), net during the three months ended April 2, 2022 and April 3, 2021, respectively. We recognized $1.5 million in interest expense (income), net during the three months ended April 3, 2021 related to our interest rate swaps that were considered to be highly effective hedges and that matured during the three months ended April 3, 2021.</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Cash flows related to derivatives qualifying as hedges are included in the same section of the Condensed Consolidated Statements of Cash Flows as the underlying assets and liabilities being hedged. Cash flows during the three months ended April 2, 2022 and April 3, 2021 related to derivatives not qualifying as hedges were included in the operating section of the Condensed Consolidated Statements of Cash Flows and were immaterial. As of April 2, 2022 we expect to reclassify approximately $0.8 million of unrealized losses on derivative instruments, net of tax, from Accumulated other comprehensive loss (“AOCL”) into earnings in the next 12 months as the derivative instruments mature. See Note 12. “Accumulated Other Comprehensive Loss” for further details.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Stock Incentive Plans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April 2, 2022, the Company granted 153,494 performance-based restricted stock units (“PSUs”) and 245,466 time-based restricted stock units (“RSUs”) to eligible employees under the National Vision Holdings, Inc. 2017 Omnibus Incentive Plan (the “2017 Omnibus Incentive Plan”). The PSUs granted in fiscal 2022 are settled after the end of the performance period (i.e., cliff vesting), which begins on the first day of our 2022 fiscal year and ends on the last day of our 2024 fiscal year, and are based on the Company’s achievement of certain performance targets. The RSUs granted in fiscal 2022 vest primarily in three equal installments.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Revenue From Contracts With Customers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disaggregation of revenues depicts our revenue based on the timing of revenue recognition:</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48"/>
        </w:trPr>
        <w:tc>
          <w:tcPr>
            <w:tcW w:w="7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April 2, 2022</w:t>
            </w:r>
          </w:p>
        </w:tc>
        <w:tc>
          <w:tcPr>
            <w:tcW w:w="240" w:type="dxa"/>
            <w:vAlign w:val="bottom"/>
          </w:tcPr>
          <w:p>
            <w:pPr>
              <w:spacing w:after="0"/>
              <w:rPr>
                <w:sz w:val="18"/>
                <w:szCs w:val="18"/>
                <w:color w:val="auto"/>
              </w:rPr>
            </w:pPr>
          </w:p>
        </w:tc>
        <w:tc>
          <w:tcPr>
            <w:tcW w:w="14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April 3, 2021</w:t>
            </w:r>
          </w:p>
        </w:tc>
      </w:tr>
      <w:tr>
        <w:trPr>
          <w:trHeight w:val="212"/>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recognized at a point in time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493,438</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Revenues recognized over time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40,742</w:t>
            </w:r>
          </w:p>
        </w:tc>
      </w:tr>
      <w:tr>
        <w:trPr>
          <w:trHeight w:val="237"/>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net revenue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534,180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$2.7 million and $3.5 million during the three months ended April 2, 2022 and April 3,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contract assets and contract liabilities primarily result from timing differences between the performance of our obligations and the customer’s payment.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Accounts Receivable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Credit loss expense recognized on our receivables, which is presented in SG&amp;A expenses in the Company’s condensed consolidated statements of operations, was $0.1 million for the three months ended April 2, 2022 as compared to $0.1 million for the three months ended April 3,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Unsatisfied Performance Obligations (Contract Liabilities)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April 2, 2022 and April 3, 2021, we recognized $24.6 million and $20.2 million, respectively, of deferred revenues outstanding at the beginning of each respective period.</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deferred revenue balance as of April 2, 2022 was $88.6 million. We expect future revenue recognition of this balance of $56.3 million, $23.4 million, $8.2 million, $0.6 million and $0.1 million in fiscal years 2022, 2023, 2024, 2025 and thereafter,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8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38"/>
        </w:trPr>
        <w:tc>
          <w:tcPr>
            <w:tcW w:w="11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auto"/>
              </w:rPr>
              <w:t>8. Leases</w:t>
            </w:r>
          </w:p>
        </w:tc>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8"/>
        </w:trPr>
        <w:tc>
          <w:tcPr>
            <w:tcW w:w="8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Our lease costs for the three months ended April 2, 2022 and April 3, 2021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1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April 2, 2022</w:t>
            </w:r>
          </w:p>
        </w:tc>
        <w:tc>
          <w:tcPr>
            <w:tcW w:w="200" w:type="dxa"/>
            <w:vAlign w:val="bottom"/>
          </w:tcPr>
          <w:p>
            <w:pPr>
              <w:spacing w:after="0"/>
              <w:rPr>
                <w:sz w:val="18"/>
                <w:szCs w:val="18"/>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April 3, 2021</w:t>
            </w:r>
          </w:p>
        </w:tc>
      </w:tr>
      <w:tr>
        <w:trPr>
          <w:trHeight w:val="199"/>
        </w:trPr>
        <w:tc>
          <w:tcPr>
            <w:tcW w:w="8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cost</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9"/>
        </w:trPr>
        <w:tc>
          <w:tcPr>
            <w:tcW w:w="81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Fixed lease cost </w:t>
            </w:r>
            <w:r>
              <w:rPr>
                <w:rFonts w:ascii="Times New Roman" w:cs="Times New Roman" w:eastAsia="Times New Roman" w:hAnsi="Times New Roman"/>
                <w:sz w:val="22"/>
                <w:szCs w:val="22"/>
                <w:color w:val="auto"/>
                <w:vertAlign w:val="superscript"/>
              </w:rPr>
              <w:t>(a)</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20,651</w:t>
            </w:r>
          </w:p>
        </w:tc>
      </w:tr>
      <w:tr>
        <w:trPr>
          <w:trHeight w:val="219"/>
        </w:trPr>
        <w:tc>
          <w:tcPr>
            <w:tcW w:w="81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Variable lease cost </w:t>
            </w:r>
            <w:r>
              <w:rPr>
                <w:rFonts w:ascii="Times New Roman" w:cs="Times New Roman" w:eastAsia="Times New Roman" w:hAnsi="Times New Roman"/>
                <w:sz w:val="22"/>
                <w:szCs w:val="22"/>
                <w:color w:val="auto"/>
                <w:vertAlign w:val="superscript"/>
              </w:rPr>
              <w:t>(b)</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w:t>
            </w:r>
          </w:p>
        </w:tc>
      </w:tr>
      <w:tr>
        <w:trPr>
          <w:trHeight w:val="234"/>
        </w:trPr>
        <w:tc>
          <w:tcPr>
            <w:tcW w:w="814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Sublease income </w:t>
            </w:r>
            <w:r>
              <w:rPr>
                <w:rFonts w:ascii="Times New Roman" w:cs="Times New Roman" w:eastAsia="Times New Roman" w:hAnsi="Times New Roman"/>
                <w:sz w:val="22"/>
                <w:szCs w:val="22"/>
                <w:color w:val="auto"/>
                <w:vertAlign w:val="superscript"/>
              </w:rPr>
              <w:t>(c)</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Finance lease cost</w:t>
      </w:r>
    </w:p>
    <w:p>
      <w:pPr>
        <w:sectPr>
          <w:pgSz w:w="11900" w:h="16838" w:orient="portrait"/>
          <w:cols w:equalWidth="0" w:num="1">
            <w:col w:w="11240"/>
          </w:cols>
          <w:pgMar w:left="320" w:top="112"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finance lease assets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on finance lease liabilities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Net lease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r>
      <w:tr>
        <w:trPr>
          <w:trHeight w:val="223"/>
        </w:trPr>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w:t>
            </w:r>
          </w:p>
        </w:tc>
      </w:tr>
      <w:tr>
        <w:trPr>
          <w:trHeight w:val="212"/>
        </w:trPr>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30,900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29,047</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-318770</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112" w:right="339" w:bottom="1440" w:gutter="0" w:footer="0" w:header="0"/>
          <w:type w:val="continuous"/>
        </w:sectPr>
      </w:pPr>
    </w:p>
    <w:p>
      <w:pPr>
        <w:spacing w:after="0" w:line="25" w:lineRule="exact"/>
        <w:rPr>
          <w:sz w:val="20"/>
          <w:szCs w:val="20"/>
          <w:color w:val="auto"/>
        </w:rPr>
      </w:pPr>
    </w:p>
    <w:p>
      <w:pPr>
        <w:ind w:left="200" w:hanging="180"/>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32" w:lineRule="exact"/>
        <w:rPr>
          <w:rFonts w:ascii="Times New Roman" w:cs="Times New Roman" w:eastAsia="Times New Roman" w:hAnsi="Times New Roman"/>
          <w:sz w:val="14"/>
          <w:szCs w:val="14"/>
          <w:color w:val="auto"/>
        </w:rPr>
      </w:pPr>
    </w:p>
    <w:p>
      <w:pPr>
        <w:ind w:left="20" w:right="20"/>
        <w:spacing w:after="0" w:line="238" w:lineRule="auto"/>
        <w:tabs>
          <w:tab w:leader="none" w:pos="22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are lease costs above minimum thresholds for Fred Meyer stores and lease costs for Military stores.</w:t>
      </w:r>
    </w:p>
    <w:p>
      <w:pPr>
        <w:spacing w:after="0" w:line="3" w:lineRule="exact"/>
        <w:rPr>
          <w:rFonts w:ascii="Times New Roman" w:cs="Times New Roman" w:eastAsia="Times New Roman" w:hAnsi="Times New Roman"/>
          <w:sz w:val="14"/>
          <w:szCs w:val="14"/>
          <w:color w:val="auto"/>
        </w:rPr>
      </w:pPr>
    </w:p>
    <w:p>
      <w:pPr>
        <w:ind w:left="200" w:hanging="180"/>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leasing space to independent optometrists.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Lease Term and Discount Rate</w:t>
            </w:r>
          </w:p>
        </w:tc>
        <w:tc>
          <w:tcPr>
            <w:tcW w:w="3740" w:type="dxa"/>
            <w:vAlign w:val="bottom"/>
            <w:gridSpan w:val="2"/>
          </w:tcPr>
          <w:p>
            <w:pPr>
              <w:jc w:val="center"/>
              <w:ind w:left="1594"/>
              <w:spacing w:after="0"/>
              <w:rPr>
                <w:sz w:val="20"/>
                <w:szCs w:val="20"/>
                <w:color w:val="auto"/>
              </w:rPr>
            </w:pPr>
            <w:r>
              <w:rPr>
                <w:rFonts w:ascii="Times New Roman" w:cs="Times New Roman" w:eastAsia="Times New Roman" w:hAnsi="Times New Roman"/>
                <w:sz w:val="17"/>
                <w:szCs w:val="17"/>
                <w:color w:val="auto"/>
              </w:rPr>
              <w:t>As of</w:t>
            </w:r>
          </w:p>
        </w:tc>
        <w:tc>
          <w:tcPr>
            <w:tcW w:w="186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As of</w:t>
            </w:r>
          </w:p>
        </w:tc>
        <w:tc>
          <w:tcPr>
            <w:tcW w:w="0" w:type="dxa"/>
            <w:vAlign w:val="bottom"/>
          </w:tcPr>
          <w:p>
            <w:pPr>
              <w:spacing w:after="0"/>
              <w:rPr>
                <w:sz w:val="1"/>
                <w:szCs w:val="1"/>
                <w:color w:val="auto"/>
              </w:rPr>
            </w:pPr>
          </w:p>
        </w:tc>
      </w:tr>
      <w:tr>
        <w:trPr>
          <w:trHeight w:val="232"/>
        </w:trPr>
        <w:tc>
          <w:tcPr>
            <w:tcW w:w="5640" w:type="dxa"/>
            <w:vAlign w:val="bottom"/>
            <w:vMerge w:val="continue"/>
          </w:tcPr>
          <w:p>
            <w:pPr>
              <w:spacing w:after="0"/>
              <w:rPr>
                <w:sz w:val="20"/>
                <w:szCs w:val="20"/>
                <w:color w:val="auto"/>
              </w:rPr>
            </w:pPr>
          </w:p>
        </w:tc>
        <w:tc>
          <w:tcPr>
            <w:tcW w:w="3740" w:type="dxa"/>
            <w:vAlign w:val="bottom"/>
            <w:gridSpan w:val="2"/>
          </w:tcPr>
          <w:p>
            <w:pPr>
              <w:jc w:val="center"/>
              <w:ind w:left="1614"/>
              <w:spacing w:after="0"/>
              <w:rPr>
                <w:sz w:val="20"/>
                <w:szCs w:val="20"/>
                <w:color w:val="auto"/>
              </w:rPr>
            </w:pPr>
            <w:r>
              <w:rPr>
                <w:rFonts w:ascii="Times New Roman" w:cs="Times New Roman" w:eastAsia="Times New Roman" w:hAnsi="Times New Roman"/>
                <w:sz w:val="17"/>
                <w:szCs w:val="17"/>
                <w:color w:val="auto"/>
              </w:rPr>
              <w:t>April 2, 2022</w:t>
            </w:r>
          </w:p>
        </w:tc>
        <w:tc>
          <w:tcPr>
            <w:tcW w:w="18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January 1, 2022</w:t>
            </w:r>
          </w:p>
        </w:tc>
        <w:tc>
          <w:tcPr>
            <w:tcW w:w="0" w:type="dxa"/>
            <w:vAlign w:val="bottom"/>
          </w:tcPr>
          <w:p>
            <w:pPr>
              <w:spacing w:after="0"/>
              <w:rPr>
                <w:sz w:val="1"/>
                <w:szCs w:val="1"/>
                <w:color w:val="auto"/>
              </w:rPr>
            </w:pPr>
          </w:p>
        </w:tc>
      </w:tr>
      <w:tr>
        <w:trPr>
          <w:trHeight w:val="212"/>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Weighted average remaining lease term (months)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i w:val="1"/>
                <w:iCs w:val="1"/>
                <w:color w:val="auto"/>
              </w:rPr>
              <w:t xml:space="preserve">Weighted average discount rate </w:t>
            </w:r>
            <w:r>
              <w:rPr>
                <w:rFonts w:ascii="Times New Roman" w:cs="Times New Roman" w:eastAsia="Times New Roman" w:hAnsi="Times New Roman"/>
                <w:sz w:val="22"/>
                <w:szCs w:val="22"/>
                <w:i w:val="1"/>
                <w:iCs w:val="1"/>
                <w:color w:val="auto"/>
                <w:vertAlign w:val="superscript"/>
              </w:rPr>
              <w:t>(a)</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295"/>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Finance leases </w:t>
            </w:r>
            <w:r>
              <w:rPr>
                <w:rFonts w:ascii="Times New Roman" w:cs="Times New Roman" w:eastAsia="Times New Roman" w:hAnsi="Times New Roman"/>
                <w:sz w:val="22"/>
                <w:szCs w:val="22"/>
                <w:color w:val="auto"/>
                <w:vertAlign w:val="superscript"/>
              </w:rPr>
              <w:t>(b)</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0" w:right="100"/>
        <w:spacing w:after="0" w:line="223" w:lineRule="auto"/>
        <w:tabs>
          <w:tab w:leader="none" w:pos="20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15" w:lineRule="exact"/>
        <w:rPr>
          <w:rFonts w:ascii="Times New Roman" w:cs="Times New Roman" w:eastAsia="Times New Roman" w:hAnsi="Times New Roman"/>
          <w:sz w:val="14"/>
          <w:szCs w:val="14"/>
          <w:color w:val="auto"/>
        </w:rPr>
      </w:pPr>
    </w:p>
    <w:p>
      <w:pPr>
        <w:ind w:left="20" w:right="200"/>
        <w:spacing w:after="0" w:line="229" w:lineRule="auto"/>
        <w:tabs>
          <w:tab w:leader="none" w:pos="2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April 2, 2022</w:t>
            </w:r>
          </w:p>
        </w:tc>
        <w:tc>
          <w:tcPr>
            <w:tcW w:w="260" w:type="dxa"/>
            <w:vAlign w:val="bottom"/>
          </w:tcPr>
          <w:p>
            <w:pPr>
              <w:spacing w:after="0"/>
              <w:rPr>
                <w:sz w:val="20"/>
                <w:szCs w:val="20"/>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April 3, 2021</w:t>
            </w:r>
          </w:p>
        </w:tc>
      </w:tr>
      <w:tr>
        <w:trPr>
          <w:trHeight w:val="212"/>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outflows - operating leases</w:t>
            </w:r>
          </w:p>
        </w:tc>
        <w:tc>
          <w:tcPr>
            <w:tcW w:w="34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21,914</w:t>
            </w: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 of use assets acquired under finance leases</w:t>
            </w:r>
          </w:p>
        </w:tc>
        <w:tc>
          <w:tcPr>
            <w:tcW w:w="3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assets acquired under operating leases</w:t>
            </w:r>
          </w:p>
        </w:tc>
        <w:tc>
          <w:tcPr>
            <w:tcW w:w="3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23,726</w:t>
            </w:r>
          </w:p>
        </w:tc>
      </w:tr>
      <w:tr>
        <w:trPr>
          <w:trHeight w:val="813"/>
        </w:trPr>
        <w:tc>
          <w:tcPr>
            <w:tcW w:w="4520" w:type="dxa"/>
            <w:vAlign w:val="bottom"/>
          </w:tcPr>
          <w:p>
            <w:pPr>
              <w:spacing w:after="0"/>
              <w:rPr>
                <w:sz w:val="24"/>
                <w:szCs w:val="24"/>
                <w:color w:val="auto"/>
              </w:rPr>
            </w:pPr>
          </w:p>
        </w:tc>
        <w:tc>
          <w:tcPr>
            <w:tcW w:w="3220" w:type="dxa"/>
            <w:vAlign w:val="bottom"/>
          </w:tcPr>
          <w:p>
            <w:pPr>
              <w:jc w:val="right"/>
              <w:ind w:right="1954"/>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8"/>
        </w:trPr>
        <w:tc>
          <w:tcPr>
            <w:tcW w:w="45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638"/>
        </w:trPr>
        <w:tc>
          <w:tcPr>
            <w:tcW w:w="6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the maturity of our lease liabilities as of April 2, 2022:</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87"/>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5"/>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w:t>
            </w:r>
          </w:p>
        </w:tc>
        <w:tc>
          <w:tcPr>
            <w:tcW w:w="300" w:type="dxa"/>
            <w:vAlign w:val="bottom"/>
          </w:tcPr>
          <w:p>
            <w:pPr>
              <w:spacing w:after="0"/>
              <w:rPr>
                <w:sz w:val="21"/>
                <w:szCs w:val="21"/>
                <w:color w:val="auto"/>
              </w:rPr>
            </w:pPr>
          </w:p>
        </w:tc>
        <w:tc>
          <w:tcPr>
            <w:tcW w:w="2200" w:type="dxa"/>
            <w:vAlign w:val="bottom"/>
            <w:gridSpan w:val="2"/>
          </w:tcPr>
          <w:p>
            <w:pPr>
              <w:ind w:left="220"/>
              <w:spacing w:after="0" w:line="244" w:lineRule="exact"/>
              <w:rPr>
                <w:sz w:val="20"/>
                <w:szCs w:val="20"/>
                <w:color w:val="auto"/>
              </w:rPr>
            </w:pPr>
            <w:r>
              <w:rPr>
                <w:rFonts w:ascii="Times New Roman" w:cs="Times New Roman" w:eastAsia="Times New Roman" w:hAnsi="Times New Roman"/>
                <w:sz w:val="17"/>
                <w:szCs w:val="17"/>
                <w:color w:val="auto"/>
              </w:rPr>
              <w:t xml:space="preserve">Operating Leases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1"/>
                <w:szCs w:val="21"/>
                <w:color w:val="auto"/>
              </w:rPr>
            </w:pPr>
          </w:p>
        </w:tc>
        <w:tc>
          <w:tcPr>
            <w:tcW w:w="2060" w:type="dxa"/>
            <w:vAlign w:val="bottom"/>
          </w:tcPr>
          <w:p>
            <w:pPr>
              <w:jc w:val="right"/>
              <w:ind w:right="514"/>
              <w:spacing w:after="0" w:line="244" w:lineRule="exact"/>
              <w:rPr>
                <w:sz w:val="20"/>
                <w:szCs w:val="20"/>
                <w:color w:val="auto"/>
              </w:rPr>
            </w:pPr>
            <w:r>
              <w:rPr>
                <w:rFonts w:ascii="Times New Roman" w:cs="Times New Roman" w:eastAsia="Times New Roman" w:hAnsi="Times New Roman"/>
                <w:sz w:val="17"/>
                <w:szCs w:val="17"/>
                <w:color w:val="auto"/>
              </w:rPr>
              <w:t xml:space="preserve">Finance Leases </w:t>
            </w:r>
            <w:r>
              <w:rPr>
                <w:rFonts w:ascii="Times New Roman" w:cs="Times New Roman" w:eastAsia="Times New Roman" w:hAnsi="Times New Roman"/>
                <w:sz w:val="22"/>
                <w:szCs w:val="22"/>
                <w:color w:val="auto"/>
                <w:vertAlign w:val="superscript"/>
              </w:rPr>
              <w:t>(b)</w:t>
            </w:r>
          </w:p>
        </w:tc>
      </w:tr>
      <w:tr>
        <w:trPr>
          <w:trHeight w:val="212"/>
        </w:trPr>
        <w:tc>
          <w:tcPr>
            <w:tcW w:w="1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5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4,857</w:t>
            </w:r>
          </w:p>
        </w:tc>
      </w:tr>
      <w:tr>
        <w:trPr>
          <w:trHeight w:val="21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4,734</w:t>
            </w:r>
          </w:p>
        </w:tc>
      </w:tr>
      <w:tr>
        <w:trPr>
          <w:trHeight w:val="21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4,888</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19"/>
        </w:trPr>
        <w:tc>
          <w:tcPr>
            <w:tcW w:w="6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6,888</w:t>
            </w:r>
          </w:p>
        </w:tc>
      </w:tr>
      <w:tr>
        <w:trPr>
          <w:trHeight w:val="21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3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32,126</w:t>
            </w:r>
          </w:p>
        </w:tc>
      </w:tr>
      <w:tr>
        <w:trPr>
          <w:trHeight w:val="219"/>
        </w:trPr>
        <w:tc>
          <w:tcPr>
            <w:tcW w:w="6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6,945</w:t>
            </w:r>
          </w:p>
        </w:tc>
      </w:tr>
      <w:tr>
        <w:trPr>
          <w:trHeight w:val="237"/>
        </w:trPr>
        <w:tc>
          <w:tcPr>
            <w:tcW w:w="6320" w:type="dxa"/>
            <w:vAlign w:val="bottom"/>
            <w:tcBorders>
              <w:bottom w:val="single" w:sz="8" w:color="CCEEFF"/>
            </w:tcBorders>
            <w:gridSpan w:val="3"/>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Present value of lease liabilities </w:t>
            </w:r>
            <w:r>
              <w:rPr>
                <w:rFonts w:ascii="Times New Roman" w:cs="Times New Roman" w:eastAsia="Times New Roman" w:hAnsi="Times New Roman"/>
                <w:sz w:val="22"/>
                <w:szCs w:val="22"/>
                <w:color w:val="auto"/>
                <w:vertAlign w:val="superscript"/>
              </w:rPr>
              <w:t>(c)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411,469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25,181</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0" w:hanging="180"/>
        <w:spacing w:after="0"/>
        <w:tabs>
          <w:tab w:leader="none" w:pos="2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include $44.5 million related to options to extend lease terms that are reasonably certain of being exercised.</w:t>
      </w:r>
    </w:p>
    <w:p>
      <w:pPr>
        <w:spacing w:after="0" w:line="32" w:lineRule="exact"/>
        <w:rPr>
          <w:rFonts w:ascii="Times New Roman" w:cs="Times New Roman" w:eastAsia="Times New Roman" w:hAnsi="Times New Roman"/>
          <w:sz w:val="14"/>
          <w:szCs w:val="14"/>
          <w:color w:val="auto"/>
        </w:rPr>
      </w:pPr>
    </w:p>
    <w:p>
      <w:pPr>
        <w:ind w:left="220" w:hanging="200"/>
        <w:spacing w:after="0"/>
        <w:tabs>
          <w:tab w:leader="none" w:pos="2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payments include $1.7 million related to options to extend lease terms that are reasonably certain of being exercised.</w:t>
      </w:r>
    </w:p>
    <w:p>
      <w:pPr>
        <w:spacing w:after="0" w:line="32" w:lineRule="exact"/>
        <w:rPr>
          <w:rFonts w:ascii="Times New Roman" w:cs="Times New Roman" w:eastAsia="Times New Roman" w:hAnsi="Times New Roman"/>
          <w:sz w:val="14"/>
          <w:szCs w:val="14"/>
          <w:color w:val="auto"/>
        </w:rPr>
      </w:pPr>
    </w:p>
    <w:p>
      <w:pPr>
        <w:ind w:left="200" w:hanging="180"/>
        <w:spacing w:after="0"/>
        <w:tabs>
          <w:tab w:leader="none" w:pos="2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lease liabilities excludes $19.9 million of legally binding minimum lease payments for leases signed but not yet commenced.</w:t>
      </w:r>
    </w:p>
    <w:p>
      <w:pPr>
        <w:spacing w:after="0" w:line="200" w:lineRule="exact"/>
        <w:rPr>
          <w:rFonts w:ascii="Times New Roman" w:cs="Times New Roman" w:eastAsia="Times New Roman" w:hAnsi="Times New Roman"/>
          <w:sz w:val="14"/>
          <w:szCs w:val="14"/>
          <w:color w:val="auto"/>
        </w:rPr>
      </w:pPr>
    </w:p>
    <w:p>
      <w:pPr>
        <w:spacing w:after="0" w:line="257"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currently and may in the future become subject to various claims and pending or threatened lawsuits in the ordinary course of our business.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Segment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Incremental expenses related to the COVID-19 pandemic are allocated to the reportable segments.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(income)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 information is not included in the following summary since the CODM does not regularly review such information for the reportable segments.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8"/>
          </w:tcPr>
          <w:p>
            <w:pPr>
              <w:ind w:left="860"/>
              <w:spacing w:after="0"/>
              <w:rPr>
                <w:sz w:val="20"/>
                <w:szCs w:val="20"/>
                <w:color w:val="auto"/>
              </w:rPr>
            </w:pPr>
            <w:r>
              <w:rPr>
                <w:rFonts w:ascii="Times New Roman" w:cs="Times New Roman" w:eastAsia="Times New Roman" w:hAnsi="Times New Roman"/>
                <w:sz w:val="17"/>
                <w:szCs w:val="17"/>
                <w:color w:val="auto"/>
              </w:rPr>
              <w:t>Three Months Ended April 2, 2022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 &amp; Host</w:t>
            </w:r>
          </w:p>
        </w:tc>
        <w:tc>
          <w:tcPr>
            <w:tcW w:w="24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Legacy</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Corporate/Other</w:t>
            </w: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Reconciliations</w:t>
            </w:r>
          </w:p>
        </w:tc>
        <w:tc>
          <w:tcPr>
            <w:tcW w:w="30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product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357,904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 of services and plans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net revenue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437,919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of products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of services and plans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costs applicable to revenue</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113,817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(48,392)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25,151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gridSpan w:val="8"/>
            <w:vMerge w:val="restart"/>
          </w:tcPr>
          <w:p>
            <w:pPr>
              <w:ind w:left="860"/>
              <w:spacing w:after="0"/>
              <w:rPr>
                <w:sz w:val="20"/>
                <w:szCs w:val="20"/>
                <w:color w:val="auto"/>
              </w:rPr>
            </w:pPr>
            <w:r>
              <w:rPr>
                <w:rFonts w:ascii="Times New Roman" w:cs="Times New Roman" w:eastAsia="Times New Roman" w:hAnsi="Times New Roman"/>
                <w:sz w:val="17"/>
                <w:szCs w:val="17"/>
                <w:color w:val="auto"/>
              </w:rPr>
              <w:t>Three Months Ended April 3, 2021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Owned &amp; Host</w:t>
            </w:r>
          </w:p>
        </w:tc>
        <w:tc>
          <w:tcPr>
            <w:tcW w:w="24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Legacy</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Corporate/Other</w:t>
            </w: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Reconciliations</w:t>
            </w:r>
          </w:p>
        </w:tc>
        <w:tc>
          <w:tcPr>
            <w:tcW w:w="300" w:type="dxa"/>
            <w:vAlign w:val="bottom"/>
          </w:tcPr>
          <w:p>
            <w:pPr>
              <w:spacing w:after="0"/>
              <w:rPr>
                <w:sz w:val="18"/>
                <w:szCs w:val="18"/>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product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 of services and plans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net revenue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452,447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of products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of services and plans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costs applicable to revenue</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155,908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53,026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146,576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23,555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Diluted EPS related to the 2025 Notes is calculated using the if-converted method; the number of dilutive shares is based on the initial conversion rate associated with the 2025 Notes. A reconciliation of the numerators and denominators of the basic and diluted EPS calculations is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EPS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April 2, 2022</w:t>
            </w:r>
          </w:p>
        </w:tc>
        <w:tc>
          <w:tcPr>
            <w:tcW w:w="240" w:type="dxa"/>
            <w:vAlign w:val="bottom"/>
          </w:tcPr>
          <w:p>
            <w:pPr>
              <w:spacing w:after="0"/>
              <w:rPr>
                <w:sz w:val="18"/>
                <w:szCs w:val="18"/>
                <w:color w:val="auto"/>
              </w:rPr>
            </w:pPr>
          </w:p>
        </w:tc>
        <w:tc>
          <w:tcPr>
            <w:tcW w:w="14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April 3, 2021</w:t>
            </w:r>
          </w:p>
        </w:tc>
      </w:tr>
      <w:tr>
        <w:trPr>
          <w:trHeight w:val="212"/>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43,432</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After-tax interest expense for 2025 Notes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2,332</w:t>
            </w: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for diluted EPS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45,764</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for basic EPS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81,333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dilutive securities: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options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w:t>
            </w: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stock</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2025 Notes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12,912</w:t>
            </w: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for diluted EPS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96,025</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EPS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Anti-dilutive options and RSUs outstanding excluded from EPS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Accumulated Other Comprehensive Loss</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three months ended April 2, 2022 and April 3, 2021,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April 2, 2022</w:t>
            </w:r>
          </w:p>
        </w:tc>
        <w:tc>
          <w:tcPr>
            <w:tcW w:w="240" w:type="dxa"/>
            <w:vAlign w:val="bottom"/>
          </w:tcPr>
          <w:p>
            <w:pPr>
              <w:spacing w:after="0"/>
              <w:rPr>
                <w:sz w:val="18"/>
                <w:szCs w:val="18"/>
                <w:color w:val="auto"/>
              </w:rPr>
            </w:pPr>
          </w:p>
        </w:tc>
        <w:tc>
          <w:tcPr>
            <w:tcW w:w="144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April 3, 2021</w:t>
            </w:r>
          </w:p>
        </w:tc>
      </w:tr>
      <w:tr>
        <w:trPr>
          <w:trHeight w:val="19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hedging activity:</w:t>
            </w: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(4,400)</w:t>
            </w:r>
          </w:p>
        </w:tc>
      </w:tr>
      <w:tr>
        <w:trPr>
          <w:trHeight w:val="21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effect of other comprehensive income (loss) before reclassification</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Amount reclassified from AOCL into interest expense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r>
      <w:tr>
        <w:trPr>
          <w:trHeight w:val="219"/>
        </w:trPr>
        <w:tc>
          <w:tcPr>
            <w:tcW w:w="7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effect of amount reclassified from AOCL into interest expense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Stranded tax effect of matured interest rate swaps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r>
      <w:tr>
        <w:trPr>
          <w:trHeight w:val="212"/>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Net current period other comprehensive income (loss), net of tax</w:t>
            </w: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5.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January 1, 2022 (the “2021 Annual Report on Form 10-K.”) This discussion contains forward-looking statements that reflect our plans, estimates and beliefs and involve numerous risks and uncertainties, including, but not limited to, those described in the “Risk Factors” section of the 2021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1,292 retail stores across five brands and 18 consumer websites as of April 2,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COVID-19 pandemic continued to cause business impacts in the first quarter of 2022 primarily driven by the emergence of the Omicron variant in late 2021, and its further spread in early 2022, which caused a surge in COVID-19 cases globally, and resulted in increased associate and vision care professional absences, adjusted work schedules and reduced consumer traffic for our operations.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ultimate impact of COVID-19 on our operations and financial performance in future periods remains uncertain and will depend on future pandemic-related developments, including the duration of the pandemic, potential subsequent waves of COVID-19 infection or potential new variants, the effectiveness and adoption of COVID-19 vaccines and therapeutics, supplier impacts and related government actions to prevent and manage disease spread, including the implementation of any federal, state, local or foreign vaccine mandates, all of which are uncertain and cannot be predicted. In addition, we could experience disruptions of product deliveries as a result of supply chain issues caused by the COVID-19 pandemic, including as a result of the temporary shutdowns in countries which support our supply chain. Prolonged periods of shutdown in these countries or a deterioration of conditions in other countries that are part of our supply chain as well as increasing strains on international and domestic supply chain infrastructure could result in product and equipment availability delays, as well as increased costs to obtain and ship these items to meet customer demand. We have made, and may continue to make, inventory forward buys to help manage potential supply chain disruptions. We continue to monitor and evaluate additional measures that we may elect to take as a response to the COVID-19 pandemic and the several macroeconomic effects resulting from the pandemic. There can be no assurance whether or when any such measures will be adopted. For a discussion of measures we have previously taken in response to the pandemic, and the impact of the COVID-19 pandemic on our operations and performance, please see Part I. Item 1A. “Risk Factors” and Part II. Item 7. “Management’s Discussion and Analysis of Financial Condition and Results of Operations” in the Company’s 2021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Overall economic condition</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Changes in economic conditions, supply chain constraints, logistics challenges, labor shortages, the conflict in Ukraine, and steps taken by governments and central banks in response to the pandemic as well as other stimulus and spending programs, have led to higher inflation than previously experienced or expected. Consumer preferences and demand, as well as spending habits, including for our goods and services, are impacted by the prevailing macroeconomic conditions, inflation, salaries and wages, consumer confidence and consumer perception.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Impact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COVID-19 pandemic, increasing macroeconomic uncertainty of the U.S. economy and emerging constraints to exam capacity adversely affected our sales in the first quarter of 2022 and may continue to impact our performance going forward. Early in the first quarter of 2022, the Omicron variant led to reduced customer demand and constrained the exam capacity of vision care professionals due to labor shortages in an already competitive market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vision care professionals and preferences for adjusted work schedules. Exam capacity, which encompasses the overall availability of vision care professionals, is impacted by several factors including retention, hiring, remote medicine coverage and work schedules. During the quarter, adverse macroeconomic conditions such as inflation also impacted consumer demand and created a temporary challenging environment for our business. We remain focused on our strategy to provide our customers and patients reliable and quality low cost eye care and eyewear, and are taking certain actions to enhance our exam capacity through recruitment, retention and remote medicine initiatives.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“Forward-Looking Statements.”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Brand and Segment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operations consist of two reportable segments:</w:t>
      </w:r>
    </w:p>
    <w:p>
      <w:pPr>
        <w:spacing w:after="0" w:line="114" w:lineRule="exact"/>
        <w:rPr>
          <w:sz w:val="20"/>
          <w:szCs w:val="20"/>
          <w:color w:val="auto"/>
        </w:rPr>
      </w:pPr>
    </w:p>
    <w:p>
      <w:pPr>
        <w:jc w:val="both"/>
        <w:ind w:left="620" w:hanging="307"/>
        <w:spacing w:after="0" w:line="25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Owned &amp; Host - As of April 2, 2022, our owned brands consisted of 852 America’s Best Contacts and Eyeglasses retail stores and 127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April 2, 2022. We have strong, long-standing relationships with our Host partners and have maintained each partnership for over 22 years. These brands provide eye exams primarily by independent optometrists. All brands utilize our centralized laboratories. This segment also includes sales from our America’s Best, Eyeglass World, and Military omni-channel websites.</w:t>
      </w:r>
    </w:p>
    <w:p>
      <w:pPr>
        <w:spacing w:after="0" w:line="75" w:lineRule="exact"/>
        <w:rPr>
          <w:rFonts w:ascii="Times New Roman" w:cs="Times New Roman" w:eastAsia="Times New Roman" w:hAnsi="Times New Roman"/>
          <w:sz w:val="17"/>
          <w:szCs w:val="17"/>
          <w:color w:val="auto"/>
        </w:rPr>
      </w:pPr>
    </w:p>
    <w:p>
      <w:pPr>
        <w:jc w:val="both"/>
        <w:ind w:left="620" w:hanging="307"/>
        <w:spacing w:after="0" w:line="25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 We manage the operations of, and supply inventory and laboratory processing services to, 230 Vision Centers in Walmart retail locations as of April 2, 2022. This strategic relationship with Walmart is in its 32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three months ended April 2, 2022, sales associated with this arrangement represented 8.0%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consolidated results also include the following activity recorded in our Corporate/Other category:</w:t>
      </w:r>
    </w:p>
    <w:p>
      <w:pPr>
        <w:spacing w:after="0" w:line="114" w:lineRule="exact"/>
        <w:rPr>
          <w:sz w:val="20"/>
          <w:szCs w:val="20"/>
          <w:color w:val="auto"/>
        </w:rPr>
      </w:pPr>
    </w:p>
    <w:p>
      <w:pPr>
        <w:jc w:val="both"/>
        <w:ind w:left="620" w:hanging="307"/>
        <w:spacing w:after="0" w:line="26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e-commerce platform of 14 dedicated websites managed by AC Lens. Our e-commerce business consists of five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8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6.7% of consolidated net revenue.</w:t>
      </w:r>
    </w:p>
    <w:p>
      <w:pPr>
        <w:spacing w:after="0" w:line="26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and Other Factors Affecting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Various trends and other factors will affect or have affected our operating results, including: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Impact of COVID-19</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COVID-19 pandemic has had far-reaching impacts, directly and indirectly, on our operations. We continue to monitor the evolving situation as there remain many uncertainties regarding the pandemic and more recent outbreaks of variants, including anticipated duration, vision care professional availability, related healthcare authority guidelines and efficacy of vaccination initiatives, including the impact of, and associated risks regarding, federal, state and local vaccination and testing programs. We continue to monitor potential impacts on our stores and exam capacity, lab network, and potential disruptions of product and equipment deliveries. To date, we have been able to meet customer demand with operations at our laboratories and our supply chain partners. However, prolonged shutdowns in countries which support our supply chain or a deterioration of conditions in such countries and others or increasing strains on international and domestic supply chain infrastructure could result in product and equipment availability delays in the future. We could experience further material impacts as a result of COVID-19, including, but not limited to, charges from additional asset impairments and deferred tax valuation allowances. We will continue to evaluate additional measures that we may elect to take as a response to the pandemic, including, where appropriate, future action to reduce store hours and patient appointments, temporarily close stores or make additional forward buys. There can be no assurance whether or when any such measures will be adopted. For a discussion of significant risks that have the potential to cause our actual results to differ materially from our expectations, refer to Part II. Item 1A. “Risk Factors” in this Form 10-Q and Part I. Item 1A. “Risk Factors,”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Overall economic trends, consumer preferences and demand</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(including the recent Russian invasion of Ukraine), inclement weather, natural disasters, terrorism, outbreak of viruses or widespread illness and consumer perceptions of personal well-being and security. Over the past few years, global markets and economic conditions have been challenging, particularly in light of the COVID-19 pandemic. During periods of economic downturn and uncertainty, our customers especially benefit from our low prices. The long-term effects of the COVID-19 pandemic and other macroeconomic and geopolitical events on consumer preferences and demand remain uncertain. We believe, but cannot be certain, our business model of providing exceptional value and convenience to customers, enabled by our low-cost operating platform will mitigate these impacts to a certain extent; however uncertainties and risk exposures may be exacerbated by the immediate and ongoing impacts of these factors.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Vision care professional recruitment, coverage, and expanded offerings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ability to continue to attract and retain qualified vision care professionals affect exam capacity and is critical to our operations. Our operations, like those of many of our competitors, depend on our ability to offer both eyewear and eye exams. We compete with other optical retail companies, health systems and group practices for vision care professionals. We, as well as the professional corporations or similar entities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negatively affect our margins. We believe the impacts of the COVID-19 pandemic on vision care professional availability, including a competitive recruiting market and preferences for adjusted work schedules, and the demand for optometrists exceeding supply in certain areas in the first quarter of 2022 have caused constraints in exam capacity. Due to these factors the costs to employ or retain optometrists may increase, potentially materially, from current levels. We are investing in recruitment and retention initiatives along with continuing our implementation of remote medicine technologies.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Pricing strategy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 Effective May 9, 2022 we changed the price of our America’s Best signature offer to “two pairs of eyeglasses for $79.95, including a free eye exam” from its original $69.95 price. Effective March 14, 2022, we changed the price of our Eyeglass World opening offer to “two pairs of eyeglasses for $89” from its original price of $78. We believe that this change will enable us to continue to offer the best possible value and service to our customers at prices that allow us to maintain our brands’ strong value propositions in the marketplace.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Comparable store sales growth</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Comparable store sales growth is a key driver of our business and our value proposition will continue to drive comparable store sales growth as we attract new customers and increase loyalty with existing customers. During the three months ended April 2, 2022 comparable store sales growth was negatively impacted due to the Omicron COVID-19 variant, constraints on exam capacity and other overall economic trends impacting consumer preferences and demand. We believe our business model of providing exceptional value and convenience to customers, enabled by our low-cost operating platform will mitigate these impacts to a certain extent. Our strategies to mitigate these effects include, but are not limited to, investing in recruitment and retention initiatives along with continuing our implementation of remote medicine technologies and optimizing our marketing investments. The impact of the COVID-19 pandemic, constraints on exam capacity and macroeconomic factors on our comparable store sales growth remains uncertain, and effects and relevant risk exposures may be exacerbated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Interim results and seasonality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Consumer behavior driven by the COVID-19 pandemic, impacts on overall economic trends, consumer preferences and demand has resulted in a departure from seasonal norms we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have experienced in recent years and we expect it will continue to disrupt the historical quarterly cadence of our results of operations for an unknown period of time.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factors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remain committed to our long-term vision and continue to position ourselves to make progress against our key initiatives while balancing the near-term challenges and uncertainty presented by the COVID-19 pandemic and other macroeconomic factors. We believe the following factors may continue to influence our short-term and long-term results:</w:t>
      </w:r>
    </w:p>
    <w:p>
      <w:pPr>
        <w:spacing w:after="0" w:line="56"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store openings;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care and insurance;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investment;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source and distribute products effectively;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competition and consolidation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Assess the Performance of Our Business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Revenue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Costs Applicable to Revenue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Store Openings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total number of new stores per year and the timing of store openings has, and will continue to have, an impact on our results. We expect to open at least 80 stores in the current year. We will continue to monitor and determine our plans for future new store openings based on health, safety and economic conditions.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Comparable Store Sales Growth</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2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Adjusted Operating Income, Adjusted Operating Margin, Adjusted EBITDA, Adjusted EBITDA Margin and Adjusted Diluted EPS (collectively, the “Company Non-GAAP Measures”)</w:t>
      </w:r>
    </w:p>
    <w:p>
      <w:pPr>
        <w:spacing w:after="0" w:line="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key components of our results of operations for the periods indicated, both in dollars and as a percentage of our net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earnings per share, percentage and store data</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April 2, 2022</w:t>
            </w:r>
          </w:p>
        </w:tc>
        <w:tc>
          <w:tcPr>
            <w:tcW w:w="220" w:type="dxa"/>
            <w:vAlign w:val="bottom"/>
          </w:tcPr>
          <w:p>
            <w:pPr>
              <w:spacing w:after="0"/>
              <w:rPr>
                <w:sz w:val="18"/>
                <w:szCs w:val="18"/>
                <w:color w:val="auto"/>
              </w:rPr>
            </w:pP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April 3, 2021</w:t>
            </w:r>
          </w:p>
        </w:tc>
      </w:tr>
      <w:tr>
        <w:trPr>
          <w:trHeight w:val="199"/>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product sales</w:t>
            </w:r>
          </w:p>
        </w:tc>
        <w:tc>
          <w:tcPr>
            <w:tcW w:w="26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433,253</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443,067</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 of services and plans</w:t>
            </w:r>
          </w:p>
        </w:tc>
        <w:tc>
          <w:tcPr>
            <w:tcW w:w="2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94,458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91,113</w:t>
            </w:r>
          </w:p>
        </w:tc>
      </w:tr>
      <w:tr>
        <w:trPr>
          <w:trHeight w:val="212"/>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net revenue</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527,711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534,180</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applicable to revenue (exclusive of depreciation and amortization):</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164,219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159,691</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 and plans</w:t>
            </w:r>
          </w:p>
        </w:tc>
        <w:tc>
          <w:tcPr>
            <w:tcW w:w="2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71,818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64,999</w:t>
            </w:r>
          </w:p>
        </w:tc>
      </w:tr>
      <w:tr>
        <w:trPr>
          <w:trHeight w:val="212"/>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costs applicable to revenue</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236,037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224,690</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228,554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223,593</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23,555</w:t>
            </w: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impairment</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959</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r>
      <w:tr>
        <w:trPr>
          <w:trHeight w:val="212"/>
        </w:trPr>
        <w:tc>
          <w:tcPr>
            <w:tcW w:w="5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254,342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248,042</w:t>
            </w: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37,332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61,448</w:t>
            </w:r>
          </w:p>
        </w:tc>
      </w:tr>
      <w:tr>
        <w:trPr>
          <w:trHeight w:val="21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6,330</w:t>
            </w: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41,476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55,118</w:t>
            </w:r>
          </w:p>
        </w:tc>
      </w:tr>
      <w:tr>
        <w:trPr>
          <w:trHeight w:val="21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11,329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11,686</w:t>
            </w: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30,147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43,432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54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data:</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stores open at end of period</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1,230</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stores opened during the period</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Operating Income</w:t>
            </w:r>
          </w:p>
        </w:tc>
        <w:tc>
          <w:tcPr>
            <w:tcW w:w="26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45,304</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67,668</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26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0.48</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26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0.48</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89,350</w:t>
            </w:r>
          </w:p>
        </w:tc>
      </w:tr>
      <w:tr>
        <w:trPr>
          <w:trHeight w:val="516"/>
        </w:trPr>
        <w:tc>
          <w:tcPr>
            <w:tcW w:w="5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Percentage of net revenue:</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applicable to revenue</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42.1 %</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41.9 %</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46.4 %</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r>
      <w:tr>
        <w:trPr>
          <w:trHeight w:val="21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Income</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r>
      <w:tr>
        <w:trPr>
          <w:trHeight w:val="706"/>
        </w:trPr>
        <w:tc>
          <w:tcPr>
            <w:tcW w:w="5440" w:type="dxa"/>
            <w:vAlign w:val="bottom"/>
          </w:tcPr>
          <w:p>
            <w:pPr>
              <w:spacing w:after="0"/>
              <w:rPr>
                <w:sz w:val="24"/>
                <w:szCs w:val="24"/>
                <w:color w:val="auto"/>
              </w:rPr>
            </w:pPr>
          </w:p>
        </w:tc>
        <w:tc>
          <w:tcPr>
            <w:tcW w:w="2380" w:type="dxa"/>
            <w:vAlign w:val="bottom"/>
          </w:tcPr>
          <w:p>
            <w:pPr>
              <w:jc w:val="right"/>
              <w:ind w:right="2034"/>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8"/>
        </w:trPr>
        <w:tc>
          <w:tcPr>
            <w:tcW w:w="544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5120"/>
        <w:spacing w:after="0" w:line="382" w:lineRule="auto"/>
        <w:rPr>
          <w:sz w:val="20"/>
          <w:szCs w:val="20"/>
          <w:color w:val="auto"/>
        </w:rPr>
      </w:pPr>
      <w:r>
        <w:rPr>
          <w:rFonts w:ascii="Times New Roman" w:cs="Times New Roman" w:eastAsia="Times New Roman" w:hAnsi="Times New Roman"/>
          <w:sz w:val="17"/>
          <w:szCs w:val="17"/>
          <w:b w:val="1"/>
          <w:bCs w:val="1"/>
          <w:color w:val="auto"/>
        </w:rPr>
        <w:t xml:space="preserve">Three Months Ended April 2, 2022 compared to Three Months Ended April 3, 2021 </w:t>
      </w:r>
      <w:r>
        <w:rPr>
          <w:rFonts w:ascii="Times New Roman" w:cs="Times New Roman" w:eastAsia="Times New Roman" w:hAnsi="Times New Roman"/>
          <w:sz w:val="17"/>
          <w:szCs w:val="17"/>
          <w:i w:val="1"/>
          <w:iCs w:val="1"/>
          <w:color w:val="auto"/>
        </w:rPr>
        <w:t>Net revenue</w:t>
      </w:r>
    </w:p>
    <w:p>
      <w:pPr>
        <w:spacing w:after="0" w:line="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presents, by segment and by brand, comparable store sales growth, stores open at the end of the period and net revenue for the three months ended April 2, 2022 compared to the three months ended April 3,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Comparable store sales growth</w:t>
            </w:r>
            <w:r>
              <w:rPr>
                <w:rFonts w:ascii="Times New Roman" w:cs="Times New Roman" w:eastAsia="Times New Roman" w:hAnsi="Times New Roman"/>
                <w:sz w:val="17"/>
                <w:szCs w:val="17"/>
                <w:b w:val="1"/>
                <w:bCs w:val="1"/>
                <w:color w:val="auto"/>
                <w:vertAlign w:val="superscript"/>
              </w:rPr>
              <w:t>(1)</w:t>
            </w:r>
          </w:p>
        </w:tc>
        <w:tc>
          <w:tcPr>
            <w:tcW w:w="21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17"/>
                <w:szCs w:val="17"/>
                <w:b w:val="1"/>
                <w:bCs w:val="1"/>
                <w:color w:val="auto"/>
                <w:vertAlign w:val="superscript"/>
              </w:rPr>
              <w:t>(2)</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 and</w:t>
            </w:r>
          </w:p>
        </w:tc>
        <w:tc>
          <w:tcPr>
            <w:tcW w:w="1240" w:type="dxa"/>
            <w:vAlign w:val="bottom"/>
            <w:tcBorders>
              <w:top w:val="single" w:sz="8" w:color="auto"/>
            </w:tcBorders>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1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2"/>
            <w:vMerge w:val="restart"/>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24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store data</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April 2, 2022</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April 3, 2021</w:t>
            </w:r>
          </w:p>
        </w:tc>
        <w:tc>
          <w:tcPr>
            <w:tcW w:w="11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Owned &amp; Host segment</w:t>
            </w: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America’s Best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35.3 %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20" w:type="dxa"/>
            <w:vAlign w:val="bottom"/>
          </w:tcPr>
          <w:p>
            <w:pPr>
              <w:spacing w:after="0"/>
              <w:rPr>
                <w:sz w:val="16"/>
                <w:szCs w:val="16"/>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796</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370,038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70.1 %</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382,356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71.6 %</w:t>
            </w:r>
          </w:p>
        </w:tc>
        <w:tc>
          <w:tcPr>
            <w:tcW w:w="0" w:type="dxa"/>
            <w:vAlign w:val="bottom"/>
          </w:tcPr>
          <w:p>
            <w:pPr>
              <w:spacing w:after="0"/>
              <w:rPr>
                <w:sz w:val="1"/>
                <w:szCs w:val="1"/>
                <w:color w:val="auto"/>
              </w:rPr>
            </w:pPr>
          </w:p>
        </w:tc>
      </w:tr>
      <w:tr>
        <w:trPr>
          <w:trHeight w:val="19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Eyeglass World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5"/>
                <w:szCs w:val="15"/>
                <w:color w:val="auto"/>
              </w:rPr>
              <w:t>58,774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5"/>
                <w:szCs w:val="15"/>
                <w:color w:val="auto"/>
              </w:rPr>
              <w:t>60,775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0" w:type="dxa"/>
            <w:vAlign w:val="bottom"/>
          </w:tcPr>
          <w:p>
            <w:pPr>
              <w:spacing w:after="0"/>
              <w:rPr>
                <w:sz w:val="1"/>
                <w:szCs w:val="1"/>
                <w:color w:val="auto"/>
              </w:rPr>
            </w:pPr>
          </w:p>
        </w:tc>
      </w:tr>
      <w:tr>
        <w:trPr>
          <w:trHeight w:val="19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Military</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19.4 %</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6"/>
                <w:szCs w:val="16"/>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5,985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6,239</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0" w:type="dxa"/>
            <w:vAlign w:val="bottom"/>
          </w:tcPr>
          <w:p>
            <w:pPr>
              <w:spacing w:after="0"/>
              <w:rPr>
                <w:sz w:val="1"/>
                <w:szCs w:val="1"/>
                <w:color w:val="auto"/>
              </w:rPr>
            </w:pPr>
          </w:p>
        </w:tc>
      </w:tr>
      <w:tr>
        <w:trPr>
          <w:trHeight w:val="19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Fred Meyer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17.0 %</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5"/>
                <w:szCs w:val="15"/>
                <w:color w:val="auto"/>
              </w:rPr>
              <w:t>3,122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5"/>
                <w:szCs w:val="15"/>
                <w:color w:val="auto"/>
              </w:rPr>
              <w:t>3,077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0.5 %</w:t>
            </w:r>
          </w:p>
        </w:tc>
        <w:tc>
          <w:tcPr>
            <w:tcW w:w="0" w:type="dxa"/>
            <w:vAlign w:val="bottom"/>
          </w:tcPr>
          <w:p>
            <w:pPr>
              <w:spacing w:after="0"/>
              <w:rPr>
                <w:sz w:val="1"/>
                <w:szCs w:val="1"/>
                <w:color w:val="auto"/>
              </w:rPr>
            </w:pPr>
          </w:p>
        </w:tc>
      </w:tr>
      <w:tr>
        <w:trPr>
          <w:trHeight w:val="18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120" w:type="dxa"/>
            <w:vAlign w:val="bottom"/>
          </w:tcPr>
          <w:p>
            <w:pPr>
              <w:spacing w:after="0"/>
              <w:rPr>
                <w:sz w:val="16"/>
                <w:szCs w:val="16"/>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437,919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83.0 %</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452,447</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84.7 %</w:t>
            </w:r>
          </w:p>
        </w:tc>
        <w:tc>
          <w:tcPr>
            <w:tcW w:w="0" w:type="dxa"/>
            <w:vAlign w:val="bottom"/>
          </w:tcPr>
          <w:p>
            <w:pPr>
              <w:spacing w:after="0"/>
              <w:rPr>
                <w:sz w:val="1"/>
                <w:szCs w:val="1"/>
                <w:color w:val="auto"/>
              </w:rPr>
            </w:pPr>
          </w:p>
        </w:tc>
      </w:tr>
      <w:tr>
        <w:trPr>
          <w:trHeight w:val="195"/>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Legacy segment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29.8 %</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5"/>
                <w:szCs w:val="15"/>
                <w:color w:val="auto"/>
              </w:rPr>
              <w:t>42,158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5"/>
                <w:szCs w:val="15"/>
                <w:color w:val="auto"/>
              </w:rPr>
              <w:t>43,582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0" w:type="dxa"/>
            <w:vAlign w:val="bottom"/>
          </w:tcPr>
          <w:p>
            <w:pPr>
              <w:spacing w:after="0"/>
              <w:rPr>
                <w:sz w:val="1"/>
                <w:szCs w:val="1"/>
                <w:color w:val="auto"/>
              </w:rPr>
            </w:pPr>
          </w:p>
        </w:tc>
      </w:tr>
      <w:tr>
        <w:trPr>
          <w:trHeight w:val="19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61,697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61,218</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11.5 %</w:t>
            </w:r>
          </w:p>
        </w:tc>
        <w:tc>
          <w:tcPr>
            <w:tcW w:w="0" w:type="dxa"/>
            <w:vAlign w:val="bottom"/>
          </w:tcPr>
          <w:p>
            <w:pPr>
              <w:spacing w:after="0"/>
              <w:rPr>
                <w:sz w:val="1"/>
                <w:szCs w:val="1"/>
                <w:color w:val="auto"/>
              </w:rPr>
            </w:pPr>
          </w:p>
        </w:tc>
      </w:tr>
      <w:tr>
        <w:trPr>
          <w:trHeight w:val="19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5"/>
                <w:szCs w:val="15"/>
                <w:color w:val="auto"/>
              </w:rPr>
              <w:t>(14,063)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5"/>
                <w:szCs w:val="15"/>
                <w:color w:val="auto"/>
              </w:rPr>
              <w:t>(23,067)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8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18.2 %</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1,292</w:t>
            </w:r>
          </w:p>
        </w:tc>
        <w:tc>
          <w:tcPr>
            <w:tcW w:w="1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1,230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color w:val="auto"/>
              </w:rPr>
              <w:t>527,711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color w:val="auto"/>
              </w:rPr>
              <w:t>534,180</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4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Adjusted Comparable Store Sales</w:t>
            </w: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Growth</w:t>
            </w:r>
            <w:r>
              <w:rPr>
                <w:rFonts w:ascii="Times New Roman" w:cs="Times New Roman" w:eastAsia="Times New Roman" w:hAnsi="Times New Roman"/>
                <w:sz w:val="18"/>
                <w:szCs w:val="18"/>
                <w:color w:val="auto"/>
                <w:vertAlign w:val="superscript"/>
              </w:rPr>
              <w:t>(3)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20" w:right="620" w:hanging="307"/>
        <w:spacing w:after="0" w:line="250" w:lineRule="auto"/>
        <w:tabs>
          <w:tab w:leader="none" w:pos="6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ind w:left="620" w:hanging="307"/>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3" w:lineRule="exact"/>
        <w:rPr>
          <w:rFonts w:ascii="Times New Roman" w:cs="Times New Roman" w:eastAsia="Times New Roman" w:hAnsi="Times New Roman"/>
          <w:sz w:val="14"/>
          <w:szCs w:val="14"/>
          <w:color w:val="auto"/>
        </w:rPr>
      </w:pPr>
    </w:p>
    <w:p>
      <w:pPr>
        <w:jc w:val="both"/>
        <w:ind w:left="620" w:right="620" w:hanging="307"/>
        <w:spacing w:after="0" w:line="247" w:lineRule="auto"/>
        <w:tabs>
          <w:tab w:leader="none" w:pos="6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1.8% and an increase of 13.8% from total comparable store sales growth based on consolidated net revenue for the three months ended April 2, 2022 and April 3, 2021, respectively, and (ii) Adjusted Comparable Store Sales Growth includes retail sales to the Legacy partner’s customers (rather than the revenues recognized consistent with the management &amp; services agreement with the Legacy partner), resulting in a decrease of 0.1% and an increase of 3.8% from total comparable store sales growth based on consolidated net revenue for the three months ended April 2, 2022 and April 3, 2021, respectively.</w:t>
      </w:r>
    </w:p>
    <w:p>
      <w:pPr>
        <w:spacing w:after="0" w:line="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Total net revenue of $527.7 million for the three months ended April 2, 2022 decreased $6.5 million, or 1.2%, from $534.2 million for the three months ended April 3, 2021. The decrease was driven primarily by reduced comparable store sales growth, partially offset by growth from new store sales and recognition of deferred revenue.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three months ended April 2, 2022, we opened 15 new America’s Best stores and two Eyeglass World stores and closed three America’s Best stores; Overall, store count grew 5.0% from April 3, 2021 to April 2, 2022 (56, and six net new America’s Best and Eyeglass World stores were added, respectively).</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Comparable store sales growth and Adjusted Comparable Store Sales Growth for the three months ended April 2, 2022 were (4.9)% and (6.8)%, respectively, primarily due to a decrease in customer transactions and, to a lesser extent, lower average ticket. Comparable store sales growth and Adjusted Comparable Store Sales Growth were negative during the three months ended April 2, 2022 due to the Omicron COVID-19 variant impacting customer transactions, emerging constraints affecting exam capacity and other overall economic trends impacting customer demand.</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product sales comprised 82.1% and 82.9% of total net revenue for the three months ended April 2, 2022 and April 3, 2021, respectively. Net product sales decreased $9.8 million, or 2.2%, in the three months ended April 2, 2022 compared to the three months ended April 3, 2021, primarily due to a $12.8 million, or 4.1% decrease in eyeglass sales which was partially offset by a $2.2 million, or 2.3% increase in contact lens sales.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sales of services and plans increased $3.3 million, or 3.7%, driven by a $3.7 million, or 22.7% increase in product protection plan revenue and a $1.5 million, or 2.9% increase in eye exam revenue that were partially offset by lower management fees from our Legacy partner.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both"/>
        <w:ind w:lef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Owned &amp; Host segment net revenue. </w:t>
      </w:r>
      <w:r>
        <w:rPr>
          <w:rFonts w:ascii="Times New Roman" w:cs="Times New Roman" w:eastAsia="Times New Roman" w:hAnsi="Times New Roman"/>
          <w:sz w:val="17"/>
          <w:szCs w:val="17"/>
          <w:color w:val="auto"/>
        </w:rPr>
        <w:t>Net revenue decreased $14.5 million, or 3.2%, driven primarily by negative comparable store sales growth partially offset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new store openings.</w:t>
      </w:r>
    </w:p>
    <w:p>
      <w:pPr>
        <w:spacing w:after="0" w:line="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Legacy segment net revenue. </w:t>
      </w:r>
      <w:r>
        <w:rPr>
          <w:rFonts w:ascii="Times New Roman" w:cs="Times New Roman" w:eastAsia="Times New Roman" w:hAnsi="Times New Roman"/>
          <w:sz w:val="17"/>
          <w:szCs w:val="17"/>
          <w:color w:val="auto"/>
        </w:rPr>
        <w:t>Net revenue decreased $1.4 million, or 3.3%, driven by negative comparable store sales growth.</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Corporate/Other segment net revenue. </w:t>
      </w:r>
      <w:r>
        <w:rPr>
          <w:rFonts w:ascii="Times New Roman" w:cs="Times New Roman" w:eastAsia="Times New Roman" w:hAnsi="Times New Roman"/>
          <w:sz w:val="17"/>
          <w:szCs w:val="17"/>
          <w:color w:val="auto"/>
        </w:rPr>
        <w:t>Net revenue increased $0.5 million, or 0.8%, due to increases in wholesale fulfillment.</w:t>
      </w:r>
    </w:p>
    <w:p>
      <w:pPr>
        <w:spacing w:after="0" w:line="114"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Net revenue reconciliations. </w:t>
      </w:r>
      <w:r>
        <w:rPr>
          <w:rFonts w:ascii="Times New Roman" w:cs="Times New Roman" w:eastAsia="Times New Roman" w:hAnsi="Times New Roman"/>
          <w:sz w:val="17"/>
          <w:szCs w:val="17"/>
          <w:color w:val="auto"/>
        </w:rPr>
        <w:t>The impact of reconciliations positively impacted net revenue by $9.0 million in the three months ended April 2, 2022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three months ended April 3, 2021. Net revenue was positively impacted by $1.0 million due to the timing of unearned revenue. Net revenue was positively impacted by $8.0 million due to lower sales of product protection plan and club memberships in the three months ended April 2, 2022.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Costs applicable to revenue</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Costs applicable to revenue of $236.0 million for the three months ended April 2, 2022 increased $11.3 million, or 5.1%, from $224.7 million for the three months ended April 3, 2021. As a percentage of net revenue, costs applicable to revenue increased from 42.1% for the three months ended April 3, 2021 to 44.7% for the three months ended April 2, 2022. This increase as a percentage of net revenue was primarily driven by higher optometrist-related costs, lower eyeglass margin and reduced eyeglass mix.</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Costs of products as a percentage of net product sales increased from 36.0% for the three months ended April 3, 2021 to 37.9% for the three months ended April 2, 2022, primarily driven by lower eyeglass margin and reduced eyeglass mix.</w:t>
      </w:r>
    </w:p>
    <w:p>
      <w:pPr>
        <w:spacing w:after="0" w:line="44" w:lineRule="exact"/>
        <w:rPr>
          <w:sz w:val="20"/>
          <w:szCs w:val="20"/>
          <w:color w:val="auto"/>
        </w:rPr>
      </w:pPr>
    </w:p>
    <w:p>
      <w:pPr>
        <w:jc w:val="both"/>
        <w:ind w:lef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Owned &amp; Host segment costs of products. </w:t>
      </w:r>
      <w:r>
        <w:rPr>
          <w:rFonts w:ascii="Times New Roman" w:cs="Times New Roman" w:eastAsia="Times New Roman" w:hAnsi="Times New Roman"/>
          <w:sz w:val="17"/>
          <w:szCs w:val="17"/>
          <w:color w:val="auto"/>
        </w:rPr>
        <w:t>Costs of products as a percentage of net product sales increased from 26.3% for the three months ended April 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to 28.2% for the three months ended April 2, 2022 driven by lower eyeglass margin and reduced eyeglass mix.</w:t>
      </w:r>
    </w:p>
    <w:p>
      <w:pPr>
        <w:spacing w:after="0" w:line="40"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Legacy segment costs of products. </w:t>
      </w:r>
      <w:r>
        <w:rPr>
          <w:rFonts w:ascii="Times New Roman" w:cs="Times New Roman" w:eastAsia="Times New Roman" w:hAnsi="Times New Roman"/>
          <w:sz w:val="17"/>
          <w:szCs w:val="17"/>
          <w:color w:val="auto"/>
        </w:rPr>
        <w:t>Costs of products as a percentage of net product sales decreased from 46.9% for the three months ended April 3, 2021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46.7% for the three months ended April 2,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Costs of services and plans as a percentage of net sales of services and plans increased from 71.3% for the three months ended April 3, 2021 to 76.0% for the three months ended April 2, 2022. The increase was primarily driven by higher growth in optometrist-related costs which were partially offset by higher eye exam revenue.</w:t>
      </w:r>
    </w:p>
    <w:p>
      <w:pPr>
        <w:spacing w:after="0" w:line="58"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Owned &amp; Host segment costs of services and plans. </w:t>
      </w:r>
      <w:r>
        <w:rPr>
          <w:rFonts w:ascii="Times New Roman" w:cs="Times New Roman" w:eastAsia="Times New Roman" w:hAnsi="Times New Roman"/>
          <w:sz w:val="17"/>
          <w:szCs w:val="17"/>
          <w:color w:val="auto"/>
        </w:rPr>
        <w:t>Costs of services and plans as a percentage of net sales of services and plans increased from 70.8%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April 3, 2021 to 82.0% for the three months ended April 2, 2022. The increase was primarily driven by higher optometrist-related costs which were partially offset by higher eye exam revenue.</w:t>
      </w:r>
    </w:p>
    <w:p>
      <w:pPr>
        <w:spacing w:after="0" w:line="57"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Legacy segment costs of services and plans. </w:t>
      </w:r>
      <w:r>
        <w:rPr>
          <w:rFonts w:ascii="Times New Roman" w:cs="Times New Roman" w:eastAsia="Times New Roman" w:hAnsi="Times New Roman"/>
          <w:sz w:val="17"/>
          <w:szCs w:val="17"/>
          <w:color w:val="auto"/>
        </w:rPr>
        <w:t>Costs of services and plans as a percentage of net sales of services and plans increased from 38.3% for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April 3, 2021 to 42.8% for the three months ended April 2, 2022. The increase was primarily driven by higher growth in optometrist-related costs.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SG&amp;A of $228.6 million for the three months ended April 2, 2022 increased $5.0 million, or 2.2%, from the three months ended April 3, 2021. As a percentage of net revenue, SG&amp;A increased from 41.9% for the three months ended April 3, 2021 to 43.3% for the three months ended April 2, 2022. The increase in SG&amp;A as a percentage of net revenue was primarily driven by higher advertising, store payroll and occupancy expenses, partially offset by lower performance-based incentive compensation. SG&amp;A for the three months ended April 2, 2022 and April 3, 2021 includes $0.2 million and $0.4 million, respectively, of incremental costs directly related to adapting the Company’s operations during the COVID-19 pandemic.</w:t>
      </w:r>
    </w:p>
    <w:p>
      <w:pPr>
        <w:spacing w:after="0" w:line="68" w:lineRule="exact"/>
        <w:rPr>
          <w:sz w:val="20"/>
          <w:szCs w:val="20"/>
          <w:color w:val="auto"/>
        </w:rPr>
      </w:pPr>
    </w:p>
    <w:p>
      <w:pPr>
        <w:ind w:lef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Owned &amp; Host SG&amp;A. </w:t>
      </w:r>
      <w:r>
        <w:rPr>
          <w:rFonts w:ascii="Times New Roman" w:cs="Times New Roman" w:eastAsia="Times New Roman" w:hAnsi="Times New Roman"/>
          <w:sz w:val="17"/>
          <w:szCs w:val="17"/>
          <w:color w:val="auto"/>
        </w:rPr>
        <w:t>SG&amp;A as a percentage of net revenue increased from 33.1% for the three months ended April 3, 2021 to 36.0% for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April 2, 2022, driven primarily by higher advertising, occupancy and store payroll expenses.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ind w:lef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Legacy segment SG&amp;A. </w:t>
      </w:r>
      <w:r>
        <w:rPr>
          <w:rFonts w:ascii="Times New Roman" w:cs="Times New Roman" w:eastAsia="Times New Roman" w:hAnsi="Times New Roman"/>
          <w:sz w:val="17"/>
          <w:szCs w:val="17"/>
          <w:color w:val="auto"/>
        </w:rPr>
        <w:t>SG&amp;A as a percentage of net revenue increased from 32.8% for the three months ended April 3, 2021 to 35.8% for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April 2, 2022 driven primarily by higher payroll expenses.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and amortization expense of $25.2 million for the three months ended April 2, 2022 increased $1.6 million, or 6.8%, from $23.6 million for the three months ended April 3, 2021 primarily driven by new store openings.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recognized $0.4 million for impairment of tangible long-lived assets and ROU assets associated with our retail stores during the three months ended April 2, 2022 compared to $1.0 million recognized during the three months ended April 3,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(income),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(income), net was $(4.1) million for the three months ended April 2, 2022, compared to $6.3 million for the three months ended April 3,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was primarily driven by gains on our interest rate collar as a result of increasing interest rates.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provision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effective tax rates for the three months ended April 2, 2022 and April 3, 2021 were 27.3% and 21.2%, respectively, reflecting our statutory federal and state rate of 25.5% and effects of other permanent items as well as a stranded tax effect of $2.1 million associated with our matured interest rate swaps during the three months ended April 3,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Operating Income, Adjusted Operating Margin, EBITDA, Adjusted EBITDA, Adjusted EBITDA Margin and Adjusted Diluted EPS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define Adjusted Operating Income as net income, plus interest expense (income), net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 compensation expense, loss on extinguishment of debt, asset impairment, litigation settlement, secondary offering expenses, management realignment expenses, long-term incentive plan expenses, and certain other expenses. We define Adjusted EBITDA Margin as Adjusted EBITDA as a percentage of net revenue. 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48"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changes in, or cash requirements for, our working capital needs;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Operating Income do not reflect the interest expense (income), or the cash requirements necessary to service interest or principal payments, on our debt;</w:t>
      </w:r>
    </w:p>
    <w:p>
      <w:pPr>
        <w:ind w:left="620" w:hanging="307"/>
        <w:spacing w:after="0" w:line="25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Operating Income do not reflect period to period changes in taxes, income tax provision or the cash necessary to pay income taxes;</w:t>
      </w: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 our industry may calculate these measures differently than we do, limiting their usefulness as comparative measures.</w:t>
      </w:r>
    </w:p>
    <w:p>
      <w:pPr>
        <w:spacing w:after="0" w:line="9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Because of these limitations, EBITDA and the Company Non-GAAP Measures should not be considered as measures of discretionary cash available to invest in business growth or to reduce indebtedness.</w:t>
      </w:r>
    </w:p>
    <w:p>
      <w:pPr>
        <w:spacing w:after="0" w:line="4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following table reconciles our Adjusted Operating Income, Adjusted Operating Margin, EBITDA, Adjusted EBITDA, Adjusted EBITDA Margin to net income; and Adjusted Diluted EPS for the periods presented: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7"/>
                <w:szCs w:val="17"/>
                <w:color w:val="auto"/>
              </w:rPr>
              <w:t>Three Months Ended</w:t>
            </w:r>
          </w:p>
        </w:tc>
        <w:tc>
          <w:tcPr>
            <w:tcW w:w="520" w:type="dxa"/>
            <w:vAlign w:val="bottom"/>
            <w:tcBorders>
              <w:bottom w:val="single" w:sz="8" w:color="auto"/>
            </w:tcBorders>
          </w:tcPr>
          <w:p>
            <w:pPr>
              <w:spacing w:after="0"/>
              <w:rPr>
                <w:sz w:val="19"/>
                <w:szCs w:val="19"/>
                <w:color w:val="auto"/>
              </w:rPr>
            </w:pPr>
          </w:p>
        </w:tc>
      </w:tr>
      <w:tr>
        <w:trPr>
          <w:trHeight w:val="212"/>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Pr>
          <w:p>
            <w:pPr>
              <w:spacing w:after="0"/>
              <w:rPr>
                <w:sz w:val="18"/>
                <w:szCs w:val="18"/>
                <w:color w:val="auto"/>
              </w:rPr>
            </w:pPr>
          </w:p>
        </w:tc>
        <w:tc>
          <w:tcPr>
            <w:tcW w:w="18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April 2, 2022</w:t>
            </w:r>
          </w:p>
        </w:tc>
        <w:tc>
          <w:tcPr>
            <w:tcW w:w="30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98"/>
              </w:rPr>
              <w:t>April 3, 2021</w:t>
            </w:r>
          </w:p>
        </w:tc>
        <w:tc>
          <w:tcPr>
            <w:tcW w:w="520" w:type="dxa"/>
            <w:vAlign w:val="bottom"/>
          </w:tcPr>
          <w:p>
            <w:pPr>
              <w:spacing w:after="0"/>
              <w:rPr>
                <w:sz w:val="18"/>
                <w:szCs w:val="18"/>
                <w:color w:val="auto"/>
              </w:rPr>
            </w:pPr>
          </w:p>
        </w:tc>
      </w:tr>
      <w:tr>
        <w:trPr>
          <w:trHeight w:val="212"/>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43,432</w:t>
            </w: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19"/>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11,686</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19"/>
        </w:trPr>
        <w:tc>
          <w:tcPr>
            <w:tcW w:w="71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Stock compensation expense </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19"/>
        </w:trPr>
        <w:tc>
          <w:tcPr>
            <w:tcW w:w="7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Asset impairment </w:t>
            </w:r>
            <w:r>
              <w:rPr>
                <w:rFonts w:ascii="Times New Roman" w:cs="Times New Roman" w:eastAsia="Times New Roman" w:hAnsi="Times New Roman"/>
                <w:sz w:val="22"/>
                <w:szCs w:val="22"/>
                <w:color w:val="auto"/>
                <w:vertAlign w:val="superscript"/>
              </w:rPr>
              <w:t>(b)</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19"/>
        </w:trPr>
        <w:tc>
          <w:tcPr>
            <w:tcW w:w="71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Amortization of acquisition intangibles </w:t>
            </w:r>
            <w:r>
              <w:rPr>
                <w:rFonts w:ascii="Times New Roman" w:cs="Times New Roman" w:eastAsia="Times New Roman" w:hAnsi="Times New Roman"/>
                <w:sz w:val="22"/>
                <w:szCs w:val="22"/>
                <w:color w:val="auto"/>
                <w:vertAlign w:val="superscript"/>
              </w:rPr>
              <w:t>(c)</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19"/>
        </w:trPr>
        <w:tc>
          <w:tcPr>
            <w:tcW w:w="7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(f)</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12"/>
        </w:trPr>
        <w:tc>
          <w:tcPr>
            <w:tcW w:w="71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Adjusted Operating Income / Adjusted Operating Margin</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45,304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67,668</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12.7 %</w:t>
            </w:r>
          </w:p>
        </w:tc>
      </w:tr>
    </w:tbl>
    <w:p>
      <w:pPr>
        <w:ind w:left="6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-85090</wp:posOffset>
            </wp:positionV>
            <wp:extent cx="662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940"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-85090</wp:posOffset>
            </wp:positionV>
            <wp:extent cx="662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6"/>
        </w:trPr>
        <w:tc>
          <w:tcPr>
            <w:tcW w:w="1220" w:type="dxa"/>
            <w:vAlign w:val="bottom"/>
            <w:tcBorders>
              <w:top w:val="single" w:sz="8" w:color="0000FF"/>
            </w:tcBorders>
          </w:tcPr>
          <w:p>
            <w:pPr>
              <w:spacing w:after="0"/>
              <w:rPr>
                <w:sz w:val="24"/>
                <w:szCs w:val="24"/>
                <w:color w:val="auto"/>
              </w:rPr>
            </w:pPr>
          </w:p>
        </w:tc>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Three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color w:val="auto"/>
              </w:rPr>
              <w:t>April 2, 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color w:val="auto"/>
              </w:rPr>
              <w:t>April 3, 2021</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6,330</w:t>
            </w:r>
          </w:p>
        </w:tc>
        <w:tc>
          <w:tcPr>
            <w:tcW w:w="280" w:type="dxa"/>
            <w:vAlign w:val="bottom"/>
          </w:tcPr>
          <w:p>
            <w:pPr>
              <w:spacing w:after="0"/>
              <w:rPr>
                <w:sz w:val="19"/>
                <w:szCs w:val="19"/>
                <w:color w:val="auto"/>
              </w:rPr>
            </w:pPr>
          </w:p>
        </w:tc>
        <w:tc>
          <w:tcPr>
            <w:tcW w:w="6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11,686</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1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25,151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23,555</w:t>
            </w: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center"/>
              <w:ind w:left="114"/>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EBITDA</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15.9 %</w:t>
            </w:r>
          </w:p>
        </w:tc>
        <w:tc>
          <w:tcPr>
            <w:tcW w:w="0" w:type="dxa"/>
            <w:vAlign w:val="bottom"/>
          </w:tcPr>
          <w:p>
            <w:pPr>
              <w:spacing w:after="0"/>
              <w:rPr>
                <w:sz w:val="1"/>
                <w:szCs w:val="1"/>
                <w:color w:val="auto"/>
              </w:rPr>
            </w:pPr>
          </w:p>
        </w:tc>
      </w:tr>
      <w:tr>
        <w:trPr>
          <w:trHeight w:val="258"/>
        </w:trPr>
        <w:tc>
          <w:tcPr>
            <w:tcW w:w="718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Stock compensation expense </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Asset impairment </w:t>
            </w:r>
            <w:r>
              <w:rPr>
                <w:rFonts w:ascii="Times New Roman" w:cs="Times New Roman" w:eastAsia="Times New Roman" w:hAnsi="Times New Roman"/>
                <w:sz w:val="22"/>
                <w:szCs w:val="22"/>
                <w:color w:val="auto"/>
                <w:vertAlign w:val="superscript"/>
              </w:rPr>
              <w:t>(b)</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280" w:type="dxa"/>
            <w:vAlign w:val="bottom"/>
          </w:tcPr>
          <w:p>
            <w:pPr>
              <w:spacing w:after="0"/>
              <w:rPr>
                <w:sz w:val="19"/>
                <w:szCs w:val="19"/>
                <w:color w:val="auto"/>
              </w:rPr>
            </w:pPr>
          </w:p>
        </w:tc>
        <w:tc>
          <w:tcPr>
            <w:tcW w:w="64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(f)</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12"/>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Adjusted EBITDA / Adjusted EBITDA Margin</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13.0 %</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89,350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140"/>
              <w:spacing w:after="0" w:line="140" w:lineRule="exact"/>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12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7"/>
                <w:szCs w:val="17"/>
                <w:color w:val="auto"/>
              </w:rPr>
              <w:t>Three Months Ended</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April 2, 2022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April 3, 2021</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EPS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0.48</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Stock compensation expense </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Asset impairment </w:t>
            </w:r>
            <w:r>
              <w:rPr>
                <w:rFonts w:ascii="Times New Roman" w:cs="Times New Roman" w:eastAsia="Times New Roman" w:hAnsi="Times New Roman"/>
                <w:sz w:val="22"/>
                <w:szCs w:val="22"/>
                <w:color w:val="auto"/>
                <w:vertAlign w:val="superscript"/>
              </w:rPr>
              <w:t>(b)</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Amortization of acquisition intangibles </w:t>
            </w:r>
            <w:r>
              <w:rPr>
                <w:rFonts w:ascii="Times New Roman" w:cs="Times New Roman" w:eastAsia="Times New Roman" w:hAnsi="Times New Roman"/>
                <w:sz w:val="22"/>
                <w:szCs w:val="22"/>
                <w:color w:val="auto"/>
                <w:vertAlign w:val="superscript"/>
              </w:rPr>
              <w:t>(c)</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Amortization of debt discount and deferred financing costs </w:t>
            </w:r>
            <w:r>
              <w:rPr>
                <w:rFonts w:ascii="Times New Roman" w:cs="Times New Roman" w:eastAsia="Times New Roman" w:hAnsi="Times New Roman"/>
                <w:sz w:val="22"/>
                <w:szCs w:val="22"/>
                <w:color w:val="auto"/>
                <w:vertAlign w:val="superscript"/>
              </w:rPr>
              <w:t>(d)</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Losses (gains) on change in fair value of derivatives </w:t>
            </w:r>
            <w:r>
              <w:rPr>
                <w:rFonts w:ascii="Times New Roman" w:cs="Times New Roman" w:eastAsia="Times New Roman" w:hAnsi="Times New Roman"/>
                <w:sz w:val="22"/>
                <w:szCs w:val="22"/>
                <w:color w:val="auto"/>
                <w:vertAlign w:val="superscript"/>
              </w:rPr>
              <w:t>(e)</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(i)</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Tax benefit of stock option exercises </w:t>
            </w:r>
            <w:r>
              <w:rPr>
                <w:rFonts w:ascii="Times New Roman" w:cs="Times New Roman" w:eastAsia="Times New Roman" w:hAnsi="Times New Roman"/>
                <w:sz w:val="22"/>
                <w:szCs w:val="22"/>
                <w:color w:val="auto"/>
                <w:vertAlign w:val="superscript"/>
              </w:rPr>
              <w:t>(g)</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Tax effect of total adjustments </w:t>
            </w:r>
            <w:r>
              <w:rPr>
                <w:rFonts w:ascii="Times New Roman" w:cs="Times New Roman" w:eastAsia="Times New Roman" w:hAnsi="Times New Roman"/>
                <w:sz w:val="22"/>
                <w:szCs w:val="22"/>
                <w:color w:val="auto"/>
                <w:vertAlign w:val="superscript"/>
              </w:rPr>
              <w:t>(h)</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12"/>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3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7"/>
                <w:szCs w:val="17"/>
                <w:color w:val="auto"/>
              </w:rPr>
              <w:t>0.48</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2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diluted shares outstanding</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94,904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96,025</w:t>
            </w:r>
          </w:p>
        </w:tc>
        <w:tc>
          <w:tcPr>
            <w:tcW w:w="0" w:type="dxa"/>
            <w:vAlign w:val="bottom"/>
          </w:tcPr>
          <w:p>
            <w:pPr>
              <w:spacing w:after="0"/>
              <w:rPr>
                <w:sz w:val="1"/>
                <w:szCs w:val="1"/>
                <w:color w:val="auto"/>
              </w:rPr>
            </w:pPr>
          </w:p>
        </w:tc>
      </w:tr>
      <w:tr>
        <w:trPr>
          <w:trHeight w:val="178"/>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 differences</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20" w:hanging="307"/>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equipment and lease-related assets on closed or underperforming stores.</w:t>
      </w:r>
    </w:p>
    <w:p>
      <w:pPr>
        <w:spacing w:after="0" w:line="6" w:lineRule="exact"/>
        <w:rPr>
          <w:rFonts w:ascii="Times New Roman" w:cs="Times New Roman" w:eastAsia="Times New Roman" w:hAnsi="Times New Roman"/>
          <w:sz w:val="14"/>
          <w:szCs w:val="14"/>
          <w:color w:val="auto"/>
        </w:rPr>
      </w:pPr>
    </w:p>
    <w:p>
      <w:pPr>
        <w:ind w:left="620" w:right="620" w:hanging="307"/>
        <w:spacing w:after="0" w:line="249" w:lineRule="auto"/>
        <w:tabs>
          <w:tab w:leader="none" w:pos="61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spacing w:after="0" w:line="1" w:lineRule="exact"/>
        <w:rPr>
          <w:rFonts w:ascii="Times New Roman" w:cs="Times New Roman" w:eastAsia="Times New Roman" w:hAnsi="Times New Roman"/>
          <w:sz w:val="14"/>
          <w:szCs w:val="14"/>
          <w:color w:val="auto"/>
        </w:rPr>
      </w:pPr>
    </w:p>
    <w:p>
      <w:pPr>
        <w:ind w:left="620" w:right="620" w:hanging="307"/>
        <w:spacing w:after="0"/>
        <w:tabs>
          <w:tab w:leader="none" w:pos="6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20" w:hanging="307"/>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losses (gains) recognized in interest expense (income), net on change in fair value of de-designated hedges.</w:t>
      </w:r>
    </w:p>
    <w:p>
      <w:pPr>
        <w:spacing w:after="0" w:line="6" w:lineRule="exact"/>
        <w:rPr>
          <w:rFonts w:ascii="Times New Roman" w:cs="Times New Roman" w:eastAsia="Times New Roman" w:hAnsi="Times New Roman"/>
          <w:sz w:val="14"/>
          <w:szCs w:val="14"/>
          <w:color w:val="auto"/>
        </w:rPr>
      </w:pPr>
    </w:p>
    <w:p>
      <w:pPr>
        <w:jc w:val="both"/>
        <w:ind w:left="620" w:right="620" w:hanging="307"/>
        <w:spacing w:after="0" w:line="243" w:lineRule="auto"/>
        <w:tabs>
          <w:tab w:leader="none" w:pos="61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losses on other investments of $0.3 million for the three months ended April 2, 2022.</w:t>
      </w:r>
    </w:p>
    <w:p>
      <w:pPr>
        <w:ind w:left="620" w:right="620" w:hanging="307"/>
        <w:spacing w:after="0" w:line="249" w:lineRule="auto"/>
        <w:tabs>
          <w:tab w:leader="none" w:pos="6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requiring excess tax benefits related to stock option exercises to be recorded in earnings as discrete items in the reporting period in which they occur.</w:t>
      </w:r>
    </w:p>
    <w:p>
      <w:pPr>
        <w:spacing w:after="0" w:line="1" w:lineRule="exact"/>
        <w:rPr>
          <w:rFonts w:ascii="Times New Roman" w:cs="Times New Roman" w:eastAsia="Times New Roman" w:hAnsi="Times New Roman"/>
          <w:sz w:val="14"/>
          <w:szCs w:val="14"/>
          <w:color w:val="auto"/>
        </w:rPr>
      </w:pPr>
    </w:p>
    <w:p>
      <w:pPr>
        <w:ind w:left="620" w:hanging="307"/>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6" w:lineRule="exact"/>
        <w:rPr>
          <w:rFonts w:ascii="Times New Roman" w:cs="Times New Roman" w:eastAsia="Times New Roman" w:hAnsi="Times New Roman"/>
          <w:sz w:val="14"/>
          <w:szCs w:val="14"/>
          <w:color w:val="auto"/>
        </w:rPr>
      </w:pPr>
    </w:p>
    <w:p>
      <w:pPr>
        <w:ind w:left="620" w:right="620" w:hanging="307"/>
        <w:spacing w:after="0"/>
        <w:tabs>
          <w:tab w:leader="none" w:pos="60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(f) above, including the impact of stranded tax effect of $2.1 million for the three months ended April 3, 2021 associated with our interest rate swaps that matured in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primary cash needs are for inventory, payroll, store rent, advertising, capital expenditures associated with new stores and updating existing stores, as well as information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While we have historically exercised prudence in our use of cash, the COVID-19 pandemic has required us to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further modifications to our term loan where possible. However, our ability to maintain sufficient liquidity may be affected by numerous factors, many of which are outside our control. We primarily fund our working capital needs using cash provided by operations. Our working capital requirements for inventory will increase as we continue to open additional stores.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April 2, 2022, we had $314.6 million in cash and cash equivalents and $293.6 million of availability under our revolving credit facility, which includes $6.4 million in outstanding letters of credit.</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April 2, 2022, we had $150.0 million of term loan outstanding under our credit agreement. We were in compliance with all covenants related to our long-term debt as of April 2,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cash flows provided by (used for) operating activities, investing activities and financing activities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4"/>
          </w:tcPr>
          <w:p>
            <w:pPr>
              <w:jc w:val="right"/>
              <w:ind w:right="115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April 2, 2022</w:t>
            </w:r>
          </w:p>
        </w:tc>
        <w:tc>
          <w:tcPr>
            <w:tcW w:w="300" w:type="dxa"/>
            <w:vAlign w:val="bottom"/>
          </w:tcPr>
          <w:p>
            <w:pPr>
              <w:spacing w:after="0"/>
              <w:rPr>
                <w:sz w:val="18"/>
                <w:szCs w:val="18"/>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April 3, 2021</w:t>
            </w:r>
          </w:p>
        </w:tc>
      </w:tr>
      <w:tr>
        <w:trPr>
          <w:trHeight w:val="199"/>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provided by (used for):</w:t>
            </w: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9"/>
        </w:trPr>
        <w:tc>
          <w:tcPr>
            <w:tcW w:w="7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activities</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47,117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97,652</w:t>
            </w:r>
          </w:p>
        </w:tc>
      </w:tr>
      <w:tr>
        <w:trPr>
          <w:trHeight w:val="21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Investing activities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(16,374)</w:t>
            </w:r>
          </w:p>
        </w:tc>
      </w:tr>
      <w:tr>
        <w:trPr>
          <w:trHeight w:val="219"/>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Financing activities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(1,089)</w:t>
            </w: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80,189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Cash flows provided by operating activities decreased $50.5 million from $97.7 million during the three months ended April 3, 2021 to $47.1 million for the three months ended April 2, 2022 as a result of $13.3 million lower net income as compared to the three months ended April 3, 2021 and a decrease of non-cash expense adjustments of $7.7 million and changes in net working capital and other assets and liabilities, which used $29.6 million in cash compared to the three months ended April 3, 2021.</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Working capital was most significantly impacted by changes in other liabilities, accounts payable, deferred and unearned revenue, accounts receivable, inventories, and other assets. Decreases in other liabilities during the three months ended April 2, 2022 used $13.5 million in year-over-year cash primarily due to timing of compensation related accruals and payroll taxes. Decreases in accounts payable during the three months ended April 2, 2022 used $9.9 million in year-over-year cash, primarily due to timing of payments. Decreases in deferred and unearned revenue used $9.2 million in year-over-year cash, primarily as a result of lower sales of product protection plans and club memberships in the current period. Increases in accounts receivable used $3.9 million in year-over-year cash primarily due to increases in managed care receivables. Offsetting these items were decreases in inventories which contributed $3.9 million in year-over-year cash, primarily due to timing of purchases. Decreases in other assets during the three months ended April 2, 2022 contributed $2.1 million in year-over-year cash consisting primarily of prepaid tax-related items.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for Investing Activities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cash used for investing activities increased by $11.7 million, to $28.1 million, during the three months ended April 2, 2022 from $16.4 million during the three months ended April 3, 2021. The increase was primarily due to increased capital investments in doctor and remote medicine equipment. Approximately 80% of our capital spend is related to our expected growth (i.e., new stores, optometric equipment, additional capacity in our optical laboratories and distribution centers, and our IT infrastructure, including omni-channel platform related investments).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For Financing Activities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for financing activities was $9.9 million during the three months ended April 2, 2022 as compared to the use of cash of $1.1 million during the three months ended April 3, 2021. The increase in cash used for financing activities was primarily due to increases in purchases of treasury stock of $9.2 million during the three months ended April 3, 2021.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Share Repurchase Authority</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April 2, 2022, the Company repurchased approximately 0.2 million shares of its common stock for $7.1 million under the share repurchase program. After these repurchases, $123.0 million remains available under the share repurchase authorization.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were no material changes outside the ordinary course of business in our material cash requirements and commercial commitments from those reported in the 2021 Annual Report on Form 10-K.</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2021 Annual Report on form 10-K. We are not a party to any other material off-balance sheet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2021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2021 Annual Report on Form 10-K.</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New Accounting Pronouncements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due to recently issued or adopted accounting standards since those disclosed in our Annual Report on Form 10-K for the fiscal year ended January 1, 2022.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April 2, 2022, $150.0 million of term loan borrowings were subject to variable interest rates, with a weighted average borrowing rate of 2.5%. An increase to market rates of 1.0% as of April 2, 2022 would not result in a material increase to interest expense. Assuming a decrease to market rates of 1.0% as of April 2, 2022, the resulting increase to interest expense related to the interest rate derivative would be approximately $6.0 million. For more information about quantitative and qualitative disclosures about market risk, please see Item 7A. “Quantitative and Qualitative Disclosures About Market Risk” in Part II. of the 2021 Annual Report on Form 10-K.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April 2, 2022.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that term is defined in Rules 13a-15(f) and 15d-15(f) of the Exchange Act that occurred during the first quarter of fiscal year 2022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information regarding factors that could affect the Company’s results of operations, financial condition and liquidity, see the risk factors discussed in Part I. Item 1A. “Risk Factors” in our 2021 Annual Report on Form 10-K. There have been no material changes to the risk factors described in our 2021 Annual Report on Form 10-K.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repurchases of the Company’s common stock during the three months ended April 2,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Number of Shares Purchased as</w:t>
            </w:r>
          </w:p>
        </w:tc>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Approximate Dollar Value of Shares</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8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2880" w:type="dxa"/>
            <w:vAlign w:val="bottom"/>
            <w:vMerge w:val="continue"/>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8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Part of Publicly Announced Plans or</w:t>
            </w:r>
          </w:p>
        </w:tc>
        <w:tc>
          <w:tcPr>
            <w:tcW w:w="28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that May Yet Be Purchased Under the</w:t>
            </w:r>
          </w:p>
        </w:tc>
        <w:tc>
          <w:tcPr>
            <w:tcW w:w="0" w:type="dxa"/>
            <w:vAlign w:val="bottom"/>
          </w:tcPr>
          <w:p>
            <w:pPr>
              <w:spacing w:after="0"/>
              <w:rPr>
                <w:sz w:val="1"/>
                <w:szCs w:val="1"/>
                <w:color w:val="auto"/>
              </w:rPr>
            </w:pPr>
          </w:p>
        </w:tc>
      </w:tr>
      <w:tr>
        <w:trPr>
          <w:trHeight w:val="232"/>
        </w:trPr>
        <w:tc>
          <w:tcPr>
            <w:tcW w:w="212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ind w:left="80"/>
              <w:spacing w:after="0" w:line="232" w:lineRule="exact"/>
              <w:rPr>
                <w:sz w:val="20"/>
                <w:szCs w:val="20"/>
                <w:color w:val="auto"/>
              </w:rPr>
            </w:pPr>
            <w:r>
              <w:rPr>
                <w:rFonts w:ascii="Times New Roman" w:cs="Times New Roman" w:eastAsia="Times New Roman" w:hAnsi="Times New Roman"/>
                <w:sz w:val="17"/>
                <w:szCs w:val="17"/>
                <w:b w:val="1"/>
                <w:bCs w:val="1"/>
                <w:color w:val="auto"/>
                <w:w w:val="96"/>
              </w:rPr>
              <w:t xml:space="preserve">Shares Purchased </w:t>
            </w:r>
            <w:r>
              <w:rPr>
                <w:rFonts w:ascii="Times New Roman" w:cs="Times New Roman" w:eastAsia="Times New Roman" w:hAnsi="Times New Roman"/>
                <w:sz w:val="22"/>
                <w:szCs w:val="22"/>
                <w:b w:val="1"/>
                <w:bCs w:val="1"/>
                <w:color w:val="auto"/>
                <w:w w:val="96"/>
                <w:vertAlign w:val="superscript"/>
              </w:rPr>
              <w:t>(1)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per Share </w:t>
            </w:r>
            <w:r>
              <w:rPr>
                <w:rFonts w:ascii="Times New Roman" w:cs="Times New Roman" w:eastAsia="Times New Roman" w:hAnsi="Times New Roman"/>
                <w:sz w:val="22"/>
                <w:szCs w:val="22"/>
                <w:b w:val="1"/>
                <w:bCs w:val="1"/>
                <w:color w:val="auto"/>
                <w:vertAlign w:val="superscript"/>
              </w:rPr>
              <w:t>(1)</w:t>
            </w:r>
          </w:p>
        </w:tc>
        <w:tc>
          <w:tcPr>
            <w:tcW w:w="5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20"/>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Programs </w:t>
            </w:r>
            <w:r>
              <w:rPr>
                <w:rFonts w:ascii="Times New Roman" w:cs="Times New Roman" w:eastAsia="Times New Roman" w:hAnsi="Times New Roman"/>
                <w:sz w:val="22"/>
                <w:szCs w:val="22"/>
                <w:b w:val="1"/>
                <w:bCs w:val="1"/>
                <w:color w:val="auto"/>
                <w:vertAlign w:val="superscript"/>
              </w:rPr>
              <w:t>(1)</w:t>
            </w:r>
          </w:p>
        </w:tc>
        <w:tc>
          <w:tcPr>
            <w:tcW w:w="1880" w:type="dxa"/>
            <w:vAlign w:val="bottom"/>
            <w:tcBorders>
              <w:bottom w:val="single" w:sz="8" w:color="auto"/>
            </w:tcBorders>
          </w:tcPr>
          <w:p>
            <w:pPr>
              <w:ind w:left="20"/>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Plans or Programs </w:t>
            </w:r>
            <w:r>
              <w:rPr>
                <w:rFonts w:ascii="Times New Roman" w:cs="Times New Roman" w:eastAsia="Times New Roman" w:hAnsi="Times New Roman"/>
                <w:sz w:val="22"/>
                <w:szCs w:val="22"/>
                <w:b w:val="1"/>
                <w:bCs w:val="1"/>
                <w:color w:val="auto"/>
                <w:vertAlign w:val="superscript"/>
              </w:rPr>
              <w:t>(1)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1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January 2, 2022 - January 29,</w:t>
            </w:r>
          </w:p>
        </w:tc>
        <w:tc>
          <w:tcPr>
            <w:tcW w:w="1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January 30, 2022 - March 5,</w:t>
            </w: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5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6,2022 - April 2, 2022</w:t>
            </w:r>
          </w:p>
        </w:tc>
        <w:tc>
          <w:tcPr>
            <w:tcW w:w="15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175</w:t>
            </w: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123,008</w:t>
            </w:r>
          </w:p>
        </w:tc>
        <w:tc>
          <w:tcPr>
            <w:tcW w:w="0" w:type="dxa"/>
            <w:vAlign w:val="bottom"/>
          </w:tcPr>
          <w:p>
            <w:pPr>
              <w:spacing w:after="0"/>
              <w:rPr>
                <w:sz w:val="1"/>
                <w:szCs w:val="1"/>
                <w:color w:val="auto"/>
              </w:rPr>
            </w:pPr>
          </w:p>
        </w:tc>
      </w:tr>
      <w:tr>
        <w:trPr>
          <w:trHeight w:val="212"/>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175</w:t>
            </w: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40.30</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123,008</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right="20"/>
        <w:spacing w:after="0" w:line="207" w:lineRule="auto"/>
        <w:tabs>
          <w:tab w:leader="none" w:pos="219"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Information regarding the Company’s share repurchases can be found in Note 1, Description of Business and Basis of Presentation, in the condensed consolidated financial statements included in Part I. Item 1. of this Form 10-Q.</w:t>
      </w:r>
    </w:p>
    <w:p>
      <w:pPr>
        <w:spacing w:after="0" w:line="190" w:lineRule="exact"/>
        <w:rPr>
          <w:sz w:val="20"/>
          <w:szCs w:val="20"/>
          <w:color w:val="auto"/>
        </w:rPr>
      </w:pPr>
    </w:p>
    <w:p>
      <w:pPr>
        <w:jc w:val="both"/>
        <w:ind w:left="20" w:right="20"/>
        <w:spacing w:after="0" w:line="218" w:lineRule="auto"/>
        <w:rPr>
          <w:sz w:val="20"/>
          <w:szCs w:val="20"/>
          <w:color w:val="auto"/>
        </w:rPr>
      </w:pPr>
      <w:r>
        <w:rPr>
          <w:rFonts w:ascii="Times New Roman" w:cs="Times New Roman" w:eastAsia="Times New Roman" w:hAnsi="Times New Roman"/>
          <w:sz w:val="17"/>
          <w:szCs w:val="17"/>
          <w:color w:val="auto"/>
        </w:rPr>
        <w:t>Effective November 8, 2021, the Company’s Board of Directors authorized the Company to repurchase up to $50 million aggregate amount of shares of the Company’s common stock. On November 29, 2021 and February 23, 2022, the Board authorized increases of $50 million and $100 million, respectively, to the share repurchase program for a total authorization of $200 million. The share repurchase authorization expires on December 30, 2023. Following repurchases in</w:t>
      </w:r>
    </w:p>
    <w:p>
      <w:pPr>
        <w:spacing w:after="0" w:line="1" w:lineRule="exact"/>
        <w:rPr>
          <w:sz w:val="20"/>
          <w:szCs w:val="20"/>
          <w:color w:val="auto"/>
        </w:rPr>
      </w:pPr>
    </w:p>
    <w:p>
      <w:pPr>
        <w:jc w:val="both"/>
        <w:ind w:left="20" w:right="20"/>
        <w:spacing w:after="0" w:line="228" w:lineRule="auto"/>
        <w:rPr>
          <w:sz w:val="20"/>
          <w:szCs w:val="20"/>
          <w:color w:val="auto"/>
        </w:rPr>
      </w:pPr>
      <w:r>
        <w:rPr>
          <w:rFonts w:ascii="Times New Roman" w:cs="Times New Roman" w:eastAsia="Times New Roman" w:hAnsi="Times New Roman"/>
          <w:sz w:val="17"/>
          <w:szCs w:val="17"/>
          <w:color w:val="auto"/>
        </w:rPr>
        <w:t>the first quarter of fiscal year 2022, $123.0 million remains available under the share repurchase authorization. The timing and amounts of any such repurchases will depend on a variety of factors, including the market price of the Company’s shares and general market and economic conditions.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638"/>
        </w:trPr>
        <w:tc>
          <w:tcPr>
            <w:tcW w:w="12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67"/>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000" w:type="dxa"/>
            <w:vAlign w:val="bottom"/>
            <w:tcBorders>
              <w:top w:val="single" w:sz="8" w:color="auto"/>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173"/>
        </w:trPr>
        <w:tc>
          <w:tcPr>
            <w:tcW w:w="320" w:type="dxa"/>
            <w:vAlign w:val="bottom"/>
            <w:gridSpan w:val="3"/>
          </w:tcPr>
          <w:p>
            <w:pPr>
              <w:ind w:left="20"/>
              <w:spacing w:after="0" w:line="173"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color w:val="auto"/>
              </w:rPr>
              <w:t>Third Amended and Restated Certificate of Incorporation of National Vision Holdings, Inc. -incorporated herein by reference to Exhibit 3.1</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 the Company’s Current Report on Form 8-K filed on June 10, 2021.</w:t>
            </w:r>
          </w:p>
        </w:tc>
      </w:tr>
      <w:tr>
        <w:trPr>
          <w:trHeight w:val="184"/>
        </w:trPr>
        <w:tc>
          <w:tcPr>
            <w:tcW w:w="320" w:type="dxa"/>
            <w:vAlign w:val="bottom"/>
            <w:gridSpan w:val="3"/>
          </w:tcPr>
          <w:p>
            <w:pPr>
              <w:ind w:left="20"/>
              <w:spacing w:after="0" w:line="184"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color w:val="auto"/>
              </w:rPr>
              <w:t>Third Amended and Restated Bylaws of National Vision Holdings, Inc. -incorporated herein by reference to Exhibit 3.2 to the Company’s</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Report on Form 8-K filed on June 10, 2021.</w:t>
            </w:r>
          </w:p>
        </w:tc>
      </w:tr>
      <w:tr>
        <w:trPr>
          <w:trHeight w:val="184"/>
        </w:trPr>
        <w:tc>
          <w:tcPr>
            <w:tcW w:w="20" w:type="dxa"/>
            <w:vAlign w:val="bottom"/>
          </w:tcPr>
          <w:p>
            <w:pPr>
              <w:spacing w:after="0"/>
              <w:rPr>
                <w:sz w:val="16"/>
                <w:szCs w:val="16"/>
                <w:color w:val="auto"/>
              </w:rPr>
            </w:pPr>
          </w:p>
        </w:tc>
        <w:tc>
          <w:tcPr>
            <w:tcW w:w="300" w:type="dxa"/>
            <w:vAlign w:val="bottom"/>
            <w:tcBorders>
              <w:bottom w:val="single" w:sz="8" w:color="0000FF"/>
            </w:tcBorders>
            <w:gridSpan w:val="2"/>
          </w:tcPr>
          <w:p>
            <w:pPr>
              <w:spacing w:after="0" w:line="184" w:lineRule="exact"/>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color w:val="auto"/>
              </w:rPr>
              <w:t>Form of Restricted Stock Unit Agreement under the 2017 Omnibus Incentive Plan, as adopted March 21, 2021.</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2</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Form of Restricted Stock Unit Agreement under the 2017 Omnibus Incentive Plan, as adopted February 24, 2022.</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3</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Form of Performance Stock Unit Agreement under the 2017 Omnibus Incentive Plan, as adopted February 24, 2022.</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4</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Form of Restricted Stock Unit Agreement under the 2017 Omnibus Incentive Plan, as adopted April 10, 2022.</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Certification of Periodic Report by Chief Executive Officer under Section 302 of the Sarbanes-Oxley Act of 2002 (filed herewith).</w:t>
            </w:r>
          </w:p>
        </w:tc>
      </w:tr>
      <w:tr>
        <w:trPr>
          <w:trHeight w:val="199"/>
        </w:trPr>
        <w:tc>
          <w:tcPr>
            <w:tcW w:w="20" w:type="dxa"/>
            <w:vAlign w:val="bottom"/>
          </w:tcPr>
          <w:p>
            <w:pPr>
              <w:spacing w:after="0"/>
              <w:rPr>
                <w:sz w:val="17"/>
                <w:szCs w:val="17"/>
                <w:color w:val="auto"/>
              </w:rPr>
            </w:pPr>
          </w:p>
        </w:tc>
        <w:tc>
          <w:tcPr>
            <w:tcW w:w="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Certification of Periodic Report by Chief Financial Officer under Section 302 of the Sarbanes-Oxley Act of 2002 (filed herewith).</w:t>
            </w:r>
          </w:p>
        </w:tc>
      </w:tr>
      <w:tr>
        <w:trPr>
          <w:trHeight w:val="199"/>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 Section 1350 as Adopted Pursuant to Section 906 of the Sarbanes-Oxley Act</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 2002 (furnished herewith).</w:t>
            </w:r>
          </w:p>
        </w:tc>
      </w:tr>
      <w:tr>
        <w:trPr>
          <w:trHeight w:val="184"/>
        </w:trPr>
        <w:tc>
          <w:tcPr>
            <w:tcW w:w="32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of 2002 (furnished herewith).</w:t>
            </w:r>
          </w:p>
        </w:tc>
      </w:tr>
      <w:tr>
        <w:trPr>
          <w:trHeight w:val="171"/>
        </w:trPr>
        <w:tc>
          <w:tcPr>
            <w:tcW w:w="20" w:type="dxa"/>
            <w:vAlign w:val="bottom"/>
          </w:tcPr>
          <w:p>
            <w:pPr>
              <w:spacing w:after="0"/>
              <w:rPr>
                <w:sz w:val="14"/>
                <w:szCs w:val="14"/>
                <w:color w:val="auto"/>
              </w:rPr>
            </w:pPr>
          </w:p>
        </w:tc>
        <w:tc>
          <w:tcPr>
            <w:tcW w:w="1200" w:type="dxa"/>
            <w:vAlign w:val="bottom"/>
            <w:gridSpan w:val="3"/>
          </w:tcPr>
          <w:p>
            <w:pPr>
              <w:spacing w:after="0" w:line="172" w:lineRule="exact"/>
              <w:rPr>
                <w:sz w:val="20"/>
                <w:szCs w:val="20"/>
                <w:color w:val="auto"/>
              </w:rPr>
            </w:pPr>
            <w:r>
              <w:rPr>
                <w:rFonts w:ascii="Times New Roman" w:cs="Times New Roman" w:eastAsia="Times New Roman" w:hAnsi="Times New Roman"/>
                <w:sz w:val="17"/>
                <w:szCs w:val="17"/>
                <w:color w:val="auto"/>
              </w:rPr>
              <w:t>101.INS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within Inline XBRL document</w:t>
            </w:r>
          </w:p>
        </w:tc>
      </w:tr>
      <w:tr>
        <w:trPr>
          <w:trHeight w:val="225"/>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23"/>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ind w:left="1500" w:right="20" w:hanging="1480"/>
        <w:spacing w:after="0" w:line="237" w:lineRule="auto"/>
        <w:tabs>
          <w:tab w:leader="none" w:pos="15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of the Company’s Quarterly report on Form 10-Q for the quarter ended April 2, 2022,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National Vision Holdings, Inc.</w:t>
      </w:r>
    </w:p>
    <w:p>
      <w:pPr>
        <w:spacing w:after="0" w:line="243" w:lineRule="exact"/>
        <w:rPr>
          <w:sz w:val="20"/>
          <w:szCs w:val="20"/>
          <w:color w:val="auto"/>
        </w:rPr>
      </w:pPr>
    </w:p>
    <w:p>
      <w:pPr>
        <w:ind w:left="20"/>
        <w:spacing w:after="0"/>
        <w:tabs>
          <w:tab w:leader="none" w:pos="5540" w:val="left"/>
          <w:tab w:leader="none" w:pos="6040" w:val="left"/>
        </w:tabs>
        <w:rPr>
          <w:sz w:val="20"/>
          <w:szCs w:val="20"/>
          <w:color w:val="auto"/>
        </w:rPr>
      </w:pPr>
      <w:r>
        <w:rPr>
          <w:rFonts w:ascii="Times New Roman" w:cs="Times New Roman" w:eastAsia="Times New Roman" w:hAnsi="Times New Roman"/>
          <w:sz w:val="17"/>
          <w:szCs w:val="17"/>
          <w:color w:val="auto"/>
        </w:rPr>
        <w:t>Dated: May 10,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17145</wp:posOffset>
            </wp:positionV>
            <wp:extent cx="3307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Chief Executive Officer and Director</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39" w:lineRule="exact"/>
        <w:rPr>
          <w:sz w:val="20"/>
          <w:szCs w:val="20"/>
          <w:color w:val="auto"/>
        </w:rPr>
      </w:pPr>
    </w:p>
    <w:p>
      <w:pPr>
        <w:ind w:left="20"/>
        <w:spacing w:after="0"/>
        <w:tabs>
          <w:tab w:leader="none" w:pos="5540" w:val="left"/>
          <w:tab w:leader="none" w:pos="6040" w:val="left"/>
        </w:tabs>
        <w:rPr>
          <w:sz w:val="20"/>
          <w:szCs w:val="20"/>
          <w:color w:val="auto"/>
        </w:rPr>
      </w:pPr>
      <w:r>
        <w:rPr>
          <w:rFonts w:ascii="Times New Roman" w:cs="Times New Roman" w:eastAsia="Times New Roman" w:hAnsi="Times New Roman"/>
          <w:sz w:val="17"/>
          <w:szCs w:val="17"/>
          <w:color w:val="auto"/>
        </w:rPr>
        <w:t>Dated: May 10, 2022</w:t>
      </w:r>
      <w:r>
        <w:rPr>
          <w:sz w:val="20"/>
          <w:szCs w:val="20"/>
          <w:color w:val="auto"/>
        </w:rPr>
        <w:tab/>
      </w:r>
      <w:r>
        <w:rPr>
          <w:rFonts w:ascii="Times New Roman" w:cs="Times New Roman" w:eastAsia="Times New Roman" w:hAnsi="Times New Roman"/>
          <w:sz w:val="17"/>
          <w:szCs w:val="17"/>
          <w:color w:val="auto"/>
        </w:rPr>
        <w:t>By:</w:t>
        <w:tab/>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17145</wp:posOffset>
            </wp:positionV>
            <wp:extent cx="3307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700"/>
          </w:cols>
          <w:pgMar w:left="320" w:top="123" w:right="8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GRANT NOTICE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4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Participant Name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Quantity Granted</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Provided the Participant has not undergone a Termination at the time of each applicable vesting date (or event)</w:t>
      </w:r>
    </w:p>
    <w:p>
      <w:pPr>
        <w:ind w:left="3100"/>
        <w:spacing w:after="0"/>
        <w:rPr>
          <w:sz w:val="20"/>
          <w:szCs w:val="20"/>
          <w:color w:val="auto"/>
        </w:rPr>
      </w:pPr>
      <w:r>
        <w:rPr>
          <w:rFonts w:ascii="Times New Roman" w:cs="Times New Roman" w:eastAsia="Times New Roman" w:hAnsi="Times New Roman"/>
          <w:sz w:val="21"/>
          <w:szCs w:val="21"/>
          <w:color w:val="auto"/>
        </w:rPr>
        <w:t>(each,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3720" w:hanging="306"/>
        <w:spacing w:after="0" w:line="270" w:lineRule="auto"/>
        <w:tabs>
          <w:tab w:leader="none" w:pos="371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Sixty-six percent (66%) of the Restricted Stock Units (rounded down to the nearest whole Restricted Stock Unit) will vest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anniversary of the Date of Grant; and</w:t>
      </w:r>
    </w:p>
    <w:p>
      <w:pPr>
        <w:spacing w:after="0" w:line="31" w:lineRule="exact"/>
        <w:rPr>
          <w:rFonts w:ascii="Times New Roman" w:cs="Times New Roman" w:eastAsia="Times New Roman" w:hAnsi="Times New Roman"/>
          <w:sz w:val="20"/>
          <w:szCs w:val="20"/>
          <w:color w:val="auto"/>
        </w:rPr>
      </w:pPr>
    </w:p>
    <w:p>
      <w:pPr>
        <w:ind w:left="3720" w:hanging="306"/>
        <w:spacing w:after="0" w:line="224" w:lineRule="auto"/>
        <w:tabs>
          <w:tab w:leader="none" w:pos="371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Stock Units that are not vested as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anniversary of the Date of Grant will vest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1"/>
          <w:szCs w:val="21"/>
          <w:color w:val="auto"/>
        </w:rPr>
        <w:t>) anniversary of the Date of Grant.</w:t>
      </w:r>
    </w:p>
    <w:p>
      <w:pPr>
        <w:spacing w:after="0" w:line="66" w:lineRule="exact"/>
        <w:rPr>
          <w:sz w:val="20"/>
          <w:szCs w:val="20"/>
          <w:color w:val="auto"/>
        </w:rPr>
      </w:pPr>
    </w:p>
    <w:p>
      <w:pPr>
        <w:jc w:val="both"/>
        <w:ind w:left="3400"/>
        <w:spacing w:after="0" w:line="225" w:lineRule="auto"/>
        <w:rPr>
          <w:sz w:val="20"/>
          <w:szCs w:val="20"/>
          <w:color w:val="auto"/>
        </w:rPr>
      </w:pPr>
      <w:r>
        <w:rPr>
          <w:rFonts w:ascii="Times New Roman" w:cs="Times New Roman" w:eastAsia="Times New Roman" w:hAnsi="Times New Roman"/>
          <w:sz w:val="21"/>
          <w:szCs w:val="21"/>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3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Notwithstanding the foregoing, in the event (i) that the Participant undergoes a Qualifying</w:t>
      </w:r>
    </w:p>
    <w:p>
      <w:pPr>
        <w:ind w:left="3400"/>
        <w:spacing w:after="0" w:line="205" w:lineRule="auto"/>
        <w:rPr>
          <w:sz w:val="20"/>
          <w:szCs w:val="20"/>
          <w:color w:val="auto"/>
        </w:rPr>
      </w:pPr>
      <w:r>
        <w:rPr>
          <w:rFonts w:ascii="Times New Roman" w:cs="Times New Roman" w:eastAsia="Times New Roman" w:hAnsi="Times New Roman"/>
          <w:sz w:val="21"/>
          <w:szCs w:val="21"/>
          <w:color w:val="auto"/>
        </w:rPr>
        <w:t>Termination (other than within the two (2)-year period following a Change in Control) or</w:t>
      </w:r>
    </w:p>
    <w:p>
      <w:pPr>
        <w:jc w:val="both"/>
        <w:ind w:left="3400" w:firstLine="7"/>
        <w:spacing w:after="0" w:line="211" w:lineRule="auto"/>
        <w:tabs>
          <w:tab w:leader="none" w:pos="373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Participant’s Termination due to Retirement, a number of Restricted Stock Units shall vest equal to the number of Restricted Stock Units that would have become vested on the next Vesting Date following the date of such Termination multiplied by a fraction, the numerator of which is the number of days that the Participant is employed by the Service Recipient from the most recent Vesting Date to the date of Termination and the denominator of which shall</w:t>
      </w:r>
    </w:p>
    <w:p>
      <w:pPr>
        <w:sectPr>
          <w:pgSz w:w="11900" w:h="16838" w:orient="portrait"/>
          <w:cols w:equalWidth="0" w:num="1">
            <w:col w:w="11240"/>
          </w:cols>
          <w:pgMar w:left="320" w:top="351" w:right="339" w:bottom="1440" w:gutter="0" w:footer="0" w:header="0"/>
        </w:sectPr>
      </w:pPr>
    </w:p>
    <w:bookmarkStart w:id="39" w:name="page40"/>
    <w:bookmarkEnd w:id="39"/>
    <w:p>
      <w:pPr>
        <w:jc w:val="both"/>
        <w:ind w:left="2280"/>
        <w:spacing w:after="0" w:line="235" w:lineRule="auto"/>
        <w:rPr>
          <w:sz w:val="20"/>
          <w:szCs w:val="20"/>
          <w:color w:val="auto"/>
        </w:rPr>
      </w:pPr>
      <w:r>
        <w:rPr>
          <w:rFonts w:ascii="Times New Roman" w:cs="Times New Roman" w:eastAsia="Times New Roman" w:hAnsi="Times New Roman"/>
          <w:sz w:val="21"/>
          <w:szCs w:val="21"/>
          <w:color w:val="auto"/>
        </w:rPr>
        <w:t>equal three hundred and sixty-five (365) (rounded down to the nearest whole Restricted Stock Unit).</w:t>
      </w:r>
    </w:p>
    <w:p>
      <w:pPr>
        <w:spacing w:after="0" w:line="146" w:lineRule="exact"/>
        <w:rPr>
          <w:sz w:val="20"/>
          <w:szCs w:val="20"/>
          <w:color w:val="auto"/>
        </w:rPr>
      </w:pPr>
    </w:p>
    <w:p>
      <w:pPr>
        <w:jc w:val="both"/>
        <w:ind w:left="2280"/>
        <w:spacing w:after="0" w:line="220" w:lineRule="auto"/>
        <w:rPr>
          <w:sz w:val="20"/>
          <w:szCs w:val="20"/>
          <w:color w:val="auto"/>
        </w:rPr>
      </w:pPr>
      <w:r>
        <w:rPr>
          <w:rFonts w:ascii="Times New Roman" w:cs="Times New Roman" w:eastAsia="Times New Roman" w:hAnsi="Times New Roman"/>
          <w:sz w:val="21"/>
          <w:szCs w:val="21"/>
          <w:color w:val="auto"/>
        </w:rPr>
        <w:t>In addition, in the event (i) of a Qualifying Termination within the two (2)-year period following a Change in Control or (ii) that the Participant undergoes a Termination as a result of the Participant’s death or Disability, the Participant shall fully vest in the Participant’s Restricted Stock Units to the extent not then vested or previously forfeited.</w:t>
      </w: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Signatures to appear on following page</w:t>
      </w:r>
      <w:r>
        <w:rPr>
          <w:rFonts w:ascii="Times New Roman" w:cs="Times New Roman" w:eastAsia="Times New Roman" w:hAnsi="Times New Roman"/>
          <w:sz w:val="21"/>
          <w:szCs w:val="21"/>
          <w:color w:val="auto"/>
        </w:rPr>
        <w:t>]</w:t>
      </w:r>
    </w:p>
    <w:p>
      <w:pPr>
        <w:sectPr>
          <w:pgSz w:w="11900" w:h="16838" w:orient="portrait"/>
          <w:cols w:equalWidth="0" w:num="1">
            <w:col w:w="10120"/>
          </w:cols>
          <w:pgMar w:left="1440" w:top="1339" w:right="339" w:bottom="1440" w:gutter="0" w:footer="0" w:header="0"/>
        </w:sectPr>
      </w:pPr>
    </w:p>
    <w:bookmarkStart w:id="40" w:name="page41"/>
    <w:bookmarkEnd w:id="40"/>
    <w:p>
      <w:pPr>
        <w:spacing w:after="0" w:line="12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NATIONAL VISION HOLDINGS, INC.</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5" w:lineRule="auto"/>
        <w:rPr>
          <w:sz w:val="20"/>
          <w:szCs w:val="20"/>
          <w:color w:val="auto"/>
        </w:rPr>
      </w:pPr>
      <w:r>
        <w:rPr>
          <w:rFonts w:ascii="Times New Roman" w:cs="Times New Roman" w:eastAsia="Times New Roman" w:hAnsi="Times New Roman"/>
          <w:sz w:val="21"/>
          <w:szCs w:val="21"/>
          <w:color w:val="auto"/>
        </w:rPr>
        <w:t>By:</w:t>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r>
        <w:rPr>
          <w:rFonts w:ascii="Times New Roman" w:cs="Times New Roman" w:eastAsia="Times New Roman" w:hAnsi="Times New Roman"/>
          <w:sz w:val="26"/>
          <w:szCs w:val="26"/>
          <w:color w:val="auto"/>
          <w:vertAlign w:val="superscript"/>
        </w:rPr>
        <w:t>1</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1082675</wp:posOffset>
            </wp:positionV>
            <wp:extent cx="1637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0" w:right="380" w:hanging="617"/>
        <w:spacing w:after="0" w:line="206" w:lineRule="auto"/>
        <w:tabs>
          <w:tab w:leader="none" w:pos="322"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Restricted Stock Unit Award</w:t>
      </w:r>
      <w:r>
        <w:rPr>
          <w:rFonts w:ascii="Times New Roman" w:cs="Times New Roman" w:eastAsia="Times New Roman" w:hAnsi="Times New Roman"/>
          <w:sz w:val="15"/>
          <w:szCs w:val="15"/>
          <w:color w:val="auto"/>
        </w:rPr>
        <w:t>]</w:t>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1"/>
          <w:szCs w:val="21"/>
          <w:color w:val="auto"/>
        </w:rPr>
        <w:t>”) and the National Vision Holdings, Inc.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Participant agree as follows. Capitalized terms not otherwise defined herein shall have the same meaning as set forth in the Plan.</w:t>
      </w:r>
    </w:p>
    <w:p>
      <w:pPr>
        <w:spacing w:after="0" w:line="142" w:lineRule="exact"/>
        <w:rPr>
          <w:sz w:val="20"/>
          <w:szCs w:val="20"/>
          <w:color w:val="auto"/>
        </w:rPr>
      </w:pPr>
    </w:p>
    <w:p>
      <w:pPr>
        <w:jc w:val="both"/>
        <w:ind w:firstLine="1241"/>
        <w:spacing w:after="0" w:line="214" w:lineRule="auto"/>
        <w:tabs>
          <w:tab w:leader="none" w:pos="144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and in the Plan,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42"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7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Subject to the conditions contained herein and in the Plan, the Restricted Stock Units shall vest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restrictions on such Restricted Stock Units shall lapse as provided in the Grant Notice. With respect to any Restricted Stock Unit, the period of time that commences on the Date of Grant and ends on the applicable Vesting Date, or, if earlier, the date of any Termination that results in vesting of such Restricted Stock Unit, shall be its Restricted Period.</w:t>
      </w:r>
    </w:p>
    <w:p>
      <w:pPr>
        <w:spacing w:after="0" w:line="141" w:lineRule="exact"/>
        <w:rPr>
          <w:rFonts w:ascii="Times New Roman" w:cs="Times New Roman" w:eastAsia="Times New Roman" w:hAnsi="Times New Roman"/>
          <w:sz w:val="21"/>
          <w:szCs w:val="21"/>
          <w:color w:val="auto"/>
        </w:rPr>
      </w:pPr>
    </w:p>
    <w:p>
      <w:pPr>
        <w:jc w:val="both"/>
        <w:ind w:firstLine="1241"/>
        <w:spacing w:after="0" w:line="228" w:lineRule="auto"/>
        <w:tabs>
          <w:tab w:leader="none" w:pos="147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The provisions of Section 9(d)(ii) of the Plan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reference and made a part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will settlement of a Restricted Stock Unit occur more than thirty</w:t>
      </w:r>
    </w:p>
    <w:p>
      <w:pPr>
        <w:spacing w:after="0" w:line="1" w:lineRule="exact"/>
        <w:rPr>
          <w:rFonts w:ascii="Times New Roman" w:cs="Times New Roman" w:eastAsia="Times New Roman" w:hAnsi="Times New Roman"/>
          <w:sz w:val="20"/>
          <w:szCs w:val="20"/>
          <w:color w:val="auto"/>
        </w:rPr>
      </w:pPr>
    </w:p>
    <w:p>
      <w:pPr>
        <w:ind w:left="400" w:hanging="397"/>
        <w:spacing w:after="0"/>
        <w:tabs>
          <w:tab w:leader="none" w:pos="4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expiration of its Restricted Period.</w:t>
      </w:r>
    </w:p>
    <w:p>
      <w:pPr>
        <w:spacing w:after="0" w:line="145"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firstLine="1241"/>
        <w:spacing w:after="0" w:line="235" w:lineRule="auto"/>
        <w:tabs>
          <w:tab w:leader="none" w:pos="1535"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Restricted Stock Unit Agreement with reference to employment shall include the Company and its Subsidiaries.</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53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as used in this Restricted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w:t>
      </w:r>
    </w:p>
    <w:p>
      <w:pPr>
        <w:spacing w:after="0" w:line="3" w:lineRule="exact"/>
        <w:rPr>
          <w:rFonts w:ascii="Times New Roman" w:cs="Times New Roman" w:eastAsia="Times New Roman" w:hAnsi="Times New Roman"/>
          <w:sz w:val="20"/>
          <w:szCs w:val="20"/>
          <w:color w:val="auto"/>
        </w:rPr>
      </w:pPr>
    </w:p>
    <w:p>
      <w:pPr>
        <w:jc w:val="both"/>
        <w:ind w:firstLine="3"/>
        <w:spacing w:after="0" w:line="212" w:lineRule="auto"/>
        <w:tabs>
          <w:tab w:leader="none" w:pos="38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ectPr>
          <w:pgSz w:w="11900" w:h="16838" w:orient="portrait"/>
          <w:cols w:equalWidth="0" w:num="1">
            <w:col w:w="11240"/>
          </w:cols>
          <w:pgMar w:left="320" w:top="1326" w:right="339" w:bottom="1440" w:gutter="0" w:footer="0" w:header="0"/>
        </w:sectPr>
      </w:pPr>
    </w:p>
    <w:bookmarkStart w:id="42" w:name="page43"/>
    <w:bookmarkEnd w:id="42"/>
    <w:p>
      <w:pPr>
        <w:jc w:val="both"/>
        <w:ind w:firstLine="1241"/>
        <w:spacing w:after="0" w:line="220" w:lineRule="auto"/>
        <w:tabs>
          <w:tab w:leader="none" w:pos="158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shall be deemed to include such person or persons.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56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as used in this Restricted Stock Unit Agreement shall mean a Participant’s Termination by the Service Recipient without Cause or by the Participant with Good Reason.</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55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as used in this Restricted Stock Unit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 (ii) the Participant’s age is at least sixty five (65) years old.</w:t>
      </w:r>
    </w:p>
    <w:p>
      <w:pPr>
        <w:spacing w:after="0" w:line="142" w:lineRule="exact"/>
        <w:rPr>
          <w:sz w:val="20"/>
          <w:szCs w:val="20"/>
          <w:color w:val="auto"/>
        </w:rPr>
      </w:pPr>
    </w:p>
    <w:p>
      <w:pPr>
        <w:jc w:val="both"/>
        <w:ind w:firstLine="1241"/>
        <w:spacing w:after="0" w:line="218" w:lineRule="auto"/>
        <w:tabs>
          <w:tab w:leader="none" w:pos="149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Restricted Stock Units are not transferable by the Participant except to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40"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4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Participant or a Permitted Transferee of the Restricted Stock Units shall have no rights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32"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 part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w:t>
      </w:r>
    </w:p>
    <w:p>
      <w:pPr>
        <w:spacing w:after="0" w:line="145" w:lineRule="exact"/>
        <w:rPr>
          <w:rFonts w:ascii="Times New Roman" w:cs="Times New Roman" w:eastAsia="Times New Roman" w:hAnsi="Times New Roman"/>
          <w:sz w:val="21"/>
          <w:szCs w:val="21"/>
          <w:color w:val="auto"/>
        </w:rPr>
      </w:pPr>
    </w:p>
    <w:p>
      <w:pPr>
        <w:jc w:val="both"/>
        <w:ind w:firstLine="1241"/>
        <w:spacing w:after="0" w:line="222" w:lineRule="auto"/>
        <w:tabs>
          <w:tab w:leader="none" w:pos="14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8" w:lineRule="exact"/>
        <w:rPr>
          <w:rFonts w:ascii="Times New Roman" w:cs="Times New Roman" w:eastAsia="Times New Roman" w:hAnsi="Times New Roman"/>
          <w:sz w:val="20"/>
          <w:szCs w:val="20"/>
          <w:color w:val="auto"/>
        </w:rPr>
      </w:pPr>
    </w:p>
    <w:p>
      <w:pPr>
        <w:ind w:firstLine="1241"/>
        <w:spacing w:after="0" w:line="237" w:lineRule="auto"/>
        <w:tabs>
          <w:tab w:leader="none" w:pos="144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Right to Continued Service</w:t>
      </w:r>
      <w:r>
        <w:rPr>
          <w:rFonts w:ascii="Times New Roman" w:cs="Times New Roman" w:eastAsia="Times New Roman" w:hAnsi="Times New Roman"/>
          <w:sz w:val="21"/>
          <w:szCs w:val="21"/>
          <w:color w:val="auto"/>
        </w:rPr>
        <w:t>. This Restricted Stock Unit Agreement does not confer upon the Participant any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continue as an employee or service provider to the Company.</w:t>
      </w:r>
    </w:p>
    <w:p>
      <w:pPr>
        <w:spacing w:after="0" w:line="141" w:lineRule="exact"/>
        <w:rPr>
          <w:rFonts w:ascii="Times New Roman" w:cs="Times New Roman" w:eastAsia="Times New Roman" w:hAnsi="Times New Roman"/>
          <w:sz w:val="21"/>
          <w:szCs w:val="21"/>
          <w:color w:val="auto"/>
        </w:rPr>
      </w:pPr>
    </w:p>
    <w:p>
      <w:pPr>
        <w:ind w:firstLine="1241"/>
        <w:spacing w:after="0" w:line="237" w:lineRule="auto"/>
        <w:tabs>
          <w:tab w:leader="none" w:pos="154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Restricted Stock Unit Agreement shall be binding upon the heirs, executors, administrators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of the parties hereto.</w:t>
      </w:r>
    </w:p>
    <w:p>
      <w:pPr>
        <w:sectPr>
          <w:pgSz w:w="11900" w:h="16838" w:orient="portrait"/>
          <w:cols w:equalWidth="0" w:num="1">
            <w:col w:w="11240"/>
          </w:cols>
          <w:pgMar w:left="320" w:top="1339" w:right="339" w:bottom="1440" w:gutter="0" w:footer="0" w:header="0"/>
        </w:sectPr>
      </w:pPr>
    </w:p>
    <w:bookmarkStart w:id="43" w:name="page44"/>
    <w:bookmarkEnd w:id="43"/>
    <w:p>
      <w:pPr>
        <w:jc w:val="both"/>
        <w:ind w:left="-1120" w:firstLine="1241"/>
        <w:spacing w:after="0" w:line="215" w:lineRule="auto"/>
        <w:tabs>
          <w:tab w:leader="none" w:pos="47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and Amendments</w:t>
      </w:r>
      <w:r>
        <w:rPr>
          <w:rFonts w:ascii="Times New Roman" w:cs="Times New Roman" w:eastAsia="Times New Roman" w:hAnsi="Times New Roman"/>
          <w:sz w:val="21"/>
          <w:szCs w:val="21"/>
          <w:color w:val="auto"/>
        </w:rPr>
        <w:t>. Except as otherwise set forth in Section 13 of the Plan, any waiver, alteration,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or 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5" w:lineRule="exact"/>
        <w:rPr>
          <w:rFonts w:ascii="Times New Roman" w:cs="Times New Roman" w:eastAsia="Times New Roman" w:hAnsi="Times New Roman"/>
          <w:sz w:val="21"/>
          <w:szCs w:val="21"/>
          <w:color w:val="auto"/>
        </w:rPr>
      </w:pPr>
    </w:p>
    <w:p>
      <w:pPr>
        <w:jc w:val="both"/>
        <w:ind w:left="-1120" w:firstLine="1241"/>
        <w:spacing w:after="0" w:line="218" w:lineRule="auto"/>
        <w:tabs>
          <w:tab w:leader="none" w:pos="4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Restricted Stock Unit Agreement shall be construed and interpreted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40" w:lineRule="exact"/>
        <w:rPr>
          <w:rFonts w:ascii="Times New Roman" w:cs="Times New Roman" w:eastAsia="Times New Roman" w:hAnsi="Times New Roman"/>
          <w:sz w:val="21"/>
          <w:szCs w:val="21"/>
          <w:color w:val="auto"/>
        </w:rPr>
      </w:pPr>
    </w:p>
    <w:p>
      <w:pPr>
        <w:jc w:val="both"/>
        <w:ind w:left="-1120" w:firstLine="1241"/>
        <w:spacing w:after="0" w:line="226" w:lineRule="auto"/>
        <w:tabs>
          <w:tab w:leader="none" w:pos="45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and provisions of the Plan are incorporated herein by reference. In the event of a conflict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inconsistency between the terms and provisions of the Plan and the provisions of this Restricted Stock Unit Agreement (including the Grant Notice), the Plan shall govern and control.</w:t>
      </w:r>
    </w:p>
    <w:p>
      <w:pPr>
        <w:spacing w:after="0" w:line="142" w:lineRule="exact"/>
        <w:rPr>
          <w:rFonts w:ascii="Times New Roman" w:cs="Times New Roman" w:eastAsia="Times New Roman" w:hAnsi="Times New Roman"/>
          <w:sz w:val="21"/>
          <w:szCs w:val="21"/>
          <w:color w:val="auto"/>
        </w:rPr>
      </w:pPr>
    </w:p>
    <w:p>
      <w:pPr>
        <w:ind w:left="440" w:hanging="319"/>
        <w:spacing w:after="0"/>
        <w:tabs>
          <w:tab w:leader="none" w:pos="4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1120" w:firstLine="1473"/>
        <w:spacing w:after="0" w:line="217" w:lineRule="auto"/>
        <w:tabs>
          <w:tab w:leader="none" w:pos="733" w:val="left"/>
        </w:tabs>
        <w:numPr>
          <w:ilvl w:val="1"/>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Restricted Stock Unit Agreement is intended to comply with the provisions of Section 409A of the Code and the regulations promulgated 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 of the Code or any regulations promulgated thereunder, including, without limitation, by delaying the issuance of the shares of Common Stock contemplated hereunder.</w:t>
      </w:r>
    </w:p>
    <w:p>
      <w:pPr>
        <w:spacing w:after="0" w:line="145" w:lineRule="exact"/>
        <w:rPr>
          <w:rFonts w:ascii="Times New Roman" w:cs="Times New Roman" w:eastAsia="Times New Roman" w:hAnsi="Times New Roman"/>
          <w:sz w:val="21"/>
          <w:szCs w:val="21"/>
          <w:color w:val="010000"/>
        </w:rPr>
      </w:pPr>
    </w:p>
    <w:p>
      <w:pPr>
        <w:jc w:val="both"/>
        <w:ind w:left="-1120" w:firstLine="1473"/>
        <w:spacing w:after="0" w:line="210" w:lineRule="auto"/>
        <w:tabs>
          <w:tab w:leader="none" w:pos="732" w:val="left"/>
        </w:tabs>
        <w:numPr>
          <w:ilvl w:val="1"/>
          <w:numId w:val="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other provision of this Restricted Stock Unit Agreement to the contrary, if the Participant is a “specified employee” within the meaning of Section 409A of the Code, and is subject to U.S. federal income tax, no payments in respect of any Restricted Stock Unit that is “deferred compensation” subject to Section 409A of the Code and which would otherwise be payable upon the Participant’s “separation from service” (as defined in Section 409A of the Code) will be made to the Participant prior to the date that is six (6) months after the date of the Participant’s “separation from service” or, if earlier, the Participant’s date of death. Following any applicable six (6)-month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0120"/>
          </w:cols>
          <w:pgMar w:left="1440" w:top="133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GRANT NOTICE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4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Participant Name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Quantity Granted</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Provided the Participant has not undergone a Termination at the time of each applicable vesting date (or event)</w:t>
      </w:r>
    </w:p>
    <w:p>
      <w:pPr>
        <w:ind w:left="3100"/>
        <w:spacing w:after="0"/>
        <w:rPr>
          <w:sz w:val="20"/>
          <w:szCs w:val="20"/>
          <w:color w:val="auto"/>
        </w:rPr>
      </w:pPr>
      <w:r>
        <w:rPr>
          <w:rFonts w:ascii="Times New Roman" w:cs="Times New Roman" w:eastAsia="Times New Roman" w:hAnsi="Times New Roman"/>
          <w:sz w:val="21"/>
          <w:szCs w:val="21"/>
          <w:color w:val="auto"/>
        </w:rPr>
        <w:t>(each,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3720" w:hanging="306"/>
        <w:spacing w:after="0" w:line="250" w:lineRule="auto"/>
        <w:tabs>
          <w:tab w:leader="none" w:pos="371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One-third (1/3) of the Restricted Stock Units (rounded down to the nearest whole Restricted Stock Unit) will vest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anniversary of the Date of Grant;</w:t>
      </w:r>
    </w:p>
    <w:p>
      <w:pPr>
        <w:spacing w:after="0" w:line="55" w:lineRule="exact"/>
        <w:rPr>
          <w:rFonts w:ascii="Times New Roman" w:cs="Times New Roman" w:eastAsia="Times New Roman" w:hAnsi="Times New Roman"/>
          <w:sz w:val="21"/>
          <w:szCs w:val="21"/>
          <w:color w:val="auto"/>
        </w:rPr>
      </w:pPr>
    </w:p>
    <w:p>
      <w:pPr>
        <w:ind w:left="3720" w:hanging="306"/>
        <w:spacing w:after="0" w:line="250" w:lineRule="auto"/>
        <w:tabs>
          <w:tab w:leader="none" w:pos="371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One-third (1/3) of the Restricted Stock Units (rounded down to the nearest whole Restricted Stock Unit) will vest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1"/>
          <w:szCs w:val="21"/>
          <w:color w:val="auto"/>
        </w:rPr>
        <w:t>) anniversary of the Date of Grant; and</w:t>
      </w:r>
    </w:p>
    <w:p>
      <w:pPr>
        <w:spacing w:after="0" w:line="50" w:lineRule="exact"/>
        <w:rPr>
          <w:rFonts w:ascii="Times New Roman" w:cs="Times New Roman" w:eastAsia="Times New Roman" w:hAnsi="Times New Roman"/>
          <w:sz w:val="21"/>
          <w:szCs w:val="21"/>
          <w:color w:val="auto"/>
        </w:rPr>
      </w:pPr>
    </w:p>
    <w:p>
      <w:pPr>
        <w:ind w:left="3720" w:hanging="306"/>
        <w:spacing w:after="0" w:line="224" w:lineRule="auto"/>
        <w:tabs>
          <w:tab w:leader="none" w:pos="371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Stock Units that are not vested as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anniversary of the Date of Grant will vest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anniversary of the Date of Grant.</w:t>
      </w:r>
    </w:p>
    <w:p>
      <w:pPr>
        <w:spacing w:after="0" w:line="66" w:lineRule="exact"/>
        <w:rPr>
          <w:sz w:val="20"/>
          <w:szCs w:val="20"/>
          <w:color w:val="auto"/>
        </w:rPr>
      </w:pPr>
    </w:p>
    <w:p>
      <w:pPr>
        <w:jc w:val="both"/>
        <w:ind w:left="3400"/>
        <w:spacing w:after="0" w:line="225" w:lineRule="auto"/>
        <w:rPr>
          <w:sz w:val="20"/>
          <w:szCs w:val="20"/>
          <w:color w:val="auto"/>
        </w:rPr>
      </w:pPr>
      <w:r>
        <w:rPr>
          <w:rFonts w:ascii="Times New Roman" w:cs="Times New Roman" w:eastAsia="Times New Roman" w:hAnsi="Times New Roman"/>
          <w:sz w:val="21"/>
          <w:szCs w:val="21"/>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46" w:lineRule="exact"/>
        <w:rPr>
          <w:sz w:val="20"/>
          <w:szCs w:val="20"/>
          <w:color w:val="auto"/>
        </w:rPr>
      </w:pPr>
    </w:p>
    <w:p>
      <w:pPr>
        <w:jc w:val="both"/>
        <w:ind w:left="3400"/>
        <w:spacing w:after="0" w:line="215" w:lineRule="auto"/>
        <w:rPr>
          <w:sz w:val="20"/>
          <w:szCs w:val="20"/>
          <w:color w:val="auto"/>
        </w:rPr>
      </w:pPr>
      <w:r>
        <w:rPr>
          <w:rFonts w:ascii="Times New Roman" w:cs="Times New Roman" w:eastAsia="Times New Roman" w:hAnsi="Times New Roman"/>
          <w:sz w:val="21"/>
          <w:szCs w:val="21"/>
          <w:color w:val="auto"/>
        </w:rPr>
        <w:t>Notwithstanding the foregoing, in the event of the Participant’s Termination due to Retirement, a number of Restricted Stock Units shall vest equal to the number of Restricted Stock Units that would have become vested on the next Vesting Date following the date of such Termination multiplied by a fraction, the numerator of which is the number of days that the Participant is employed by the Service Recipient from the most recent Vesting Date to the date of Termination</w:t>
      </w:r>
    </w:p>
    <w:p>
      <w:pPr>
        <w:sectPr>
          <w:pgSz w:w="11900" w:h="16838" w:orient="portrait"/>
          <w:cols w:equalWidth="0" w:num="1">
            <w:col w:w="11240"/>
          </w:cols>
          <w:pgMar w:left="320" w:top="106" w:right="339" w:bottom="1440" w:gutter="0" w:footer="0" w:header="0"/>
        </w:sectPr>
      </w:pPr>
    </w:p>
    <w:bookmarkStart w:id="45" w:name="page46"/>
    <w:bookmarkEnd w:id="45"/>
    <w:p>
      <w:pPr>
        <w:jc w:val="both"/>
        <w:ind w:left="2280"/>
        <w:spacing w:after="0" w:line="235" w:lineRule="auto"/>
        <w:rPr>
          <w:sz w:val="20"/>
          <w:szCs w:val="20"/>
          <w:color w:val="auto"/>
        </w:rPr>
      </w:pPr>
      <w:r>
        <w:rPr>
          <w:rFonts w:ascii="Times New Roman" w:cs="Times New Roman" w:eastAsia="Times New Roman" w:hAnsi="Times New Roman"/>
          <w:sz w:val="21"/>
          <w:szCs w:val="21"/>
          <w:color w:val="auto"/>
        </w:rPr>
        <w:t>and the denominator of which shall equal three hundred and sixty-five (365) (rounded down to the nearest whole Restricted Stock Unit).</w:t>
      </w:r>
    </w:p>
    <w:p>
      <w:pPr>
        <w:spacing w:after="0" w:line="146" w:lineRule="exact"/>
        <w:rPr>
          <w:sz w:val="20"/>
          <w:szCs w:val="20"/>
          <w:color w:val="auto"/>
        </w:rPr>
      </w:pPr>
    </w:p>
    <w:p>
      <w:pPr>
        <w:jc w:val="both"/>
        <w:ind w:left="2280"/>
        <w:spacing w:after="0" w:line="220" w:lineRule="auto"/>
        <w:rPr>
          <w:sz w:val="20"/>
          <w:szCs w:val="20"/>
          <w:color w:val="auto"/>
        </w:rPr>
      </w:pPr>
      <w:r>
        <w:rPr>
          <w:rFonts w:ascii="Times New Roman" w:cs="Times New Roman" w:eastAsia="Times New Roman" w:hAnsi="Times New Roman"/>
          <w:sz w:val="21"/>
          <w:szCs w:val="21"/>
          <w:color w:val="auto"/>
        </w:rPr>
        <w:t>In addition, in the event (i) of a Qualifying Termination within the two (2)-year period following a Change in Control or (ii) that the Participant undergoes a Termination as a result of the Participant’s death or Disability, the Participant shall fully vest in the Participant’s Restricted Stock Units to the extent not then vested or previously forfeited.</w:t>
      </w: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Signatures to appear on following page</w:t>
      </w:r>
      <w:r>
        <w:rPr>
          <w:rFonts w:ascii="Times New Roman" w:cs="Times New Roman" w:eastAsia="Times New Roman" w:hAnsi="Times New Roman"/>
          <w:sz w:val="21"/>
          <w:szCs w:val="21"/>
          <w:color w:val="auto"/>
        </w:rPr>
        <w:t>]</w:t>
      </w:r>
    </w:p>
    <w:p>
      <w:pPr>
        <w:sectPr>
          <w:pgSz w:w="11900" w:h="16838" w:orient="portrait"/>
          <w:cols w:equalWidth="0" w:num="1">
            <w:col w:w="10120"/>
          </w:cols>
          <w:pgMar w:left="1440" w:top="1339" w:right="339" w:bottom="1440" w:gutter="0" w:footer="0" w:header="0"/>
        </w:sectPr>
      </w:pPr>
    </w:p>
    <w:bookmarkStart w:id="46" w:name="page47"/>
    <w:bookmarkEnd w:id="46"/>
    <w:p>
      <w:pPr>
        <w:spacing w:after="0" w:line="12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NATIONAL VISION HOLDINGS, INC.</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5" w:lineRule="auto"/>
        <w:rPr>
          <w:sz w:val="20"/>
          <w:szCs w:val="20"/>
          <w:color w:val="auto"/>
        </w:rPr>
      </w:pPr>
      <w:r>
        <w:rPr>
          <w:rFonts w:ascii="Times New Roman" w:cs="Times New Roman" w:eastAsia="Times New Roman" w:hAnsi="Times New Roman"/>
          <w:sz w:val="21"/>
          <w:szCs w:val="21"/>
          <w:color w:val="auto"/>
        </w:rPr>
        <w:t>By:</w:t>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r>
        <w:rPr>
          <w:rFonts w:ascii="Times New Roman" w:cs="Times New Roman" w:eastAsia="Times New Roman" w:hAnsi="Times New Roman"/>
          <w:sz w:val="26"/>
          <w:szCs w:val="26"/>
          <w:color w:val="auto"/>
          <w:vertAlign w:val="superscript"/>
        </w:rPr>
        <w:t>1</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1082675</wp:posOffset>
            </wp:positionV>
            <wp:extent cx="1637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0" w:right="380" w:hanging="617"/>
        <w:spacing w:after="0" w:line="206" w:lineRule="auto"/>
        <w:tabs>
          <w:tab w:leader="none" w:pos="322"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Restricted Stock Unit Award</w:t>
      </w:r>
      <w:r>
        <w:rPr>
          <w:rFonts w:ascii="Times New Roman" w:cs="Times New Roman" w:eastAsia="Times New Roman" w:hAnsi="Times New Roman"/>
          <w:sz w:val="15"/>
          <w:szCs w:val="15"/>
          <w:color w:val="auto"/>
        </w:rPr>
        <w:t>]</w:t>
      </w:r>
    </w:p>
    <w:p>
      <w:pPr>
        <w:sectPr>
          <w:pgSz w:w="11900" w:h="16838" w:orient="portrait"/>
          <w:cols w:equalWidth="0" w:num="1">
            <w:col w:w="11240"/>
          </w:cols>
          <w:pgMar w:left="320" w:top="144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1"/>
          <w:szCs w:val="21"/>
          <w:color w:val="auto"/>
        </w:rPr>
        <w:t>”) and the National Vision Holdings, Inc.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Participant agree as follows. Capitalized terms not otherwise defined herein shall have the same meaning as set forth in the Plan.</w:t>
      </w:r>
    </w:p>
    <w:p>
      <w:pPr>
        <w:spacing w:after="0" w:line="142" w:lineRule="exact"/>
        <w:rPr>
          <w:sz w:val="20"/>
          <w:szCs w:val="20"/>
          <w:color w:val="auto"/>
        </w:rPr>
      </w:pPr>
    </w:p>
    <w:p>
      <w:pPr>
        <w:jc w:val="both"/>
        <w:ind w:firstLine="1241"/>
        <w:spacing w:after="0" w:line="214" w:lineRule="auto"/>
        <w:tabs>
          <w:tab w:leader="none" w:pos="144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and in the Plan,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42"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7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Subject to the conditions contained herein and in the Plan, the Restricted Stock Units shall vest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restrictions on such Restricted Stock Units shall lapse as provided in the Grant Notice. With respect to any Restricted Stock Unit, the period of time that commences on the Date of Grant and ends on the applicable Vesting Date, or, if earlier, the date of any Termination that results in vesting of such Restricted Stock Unit, shall be its Restricted Period.</w:t>
      </w:r>
    </w:p>
    <w:p>
      <w:pPr>
        <w:spacing w:after="0" w:line="141" w:lineRule="exact"/>
        <w:rPr>
          <w:rFonts w:ascii="Times New Roman" w:cs="Times New Roman" w:eastAsia="Times New Roman" w:hAnsi="Times New Roman"/>
          <w:sz w:val="21"/>
          <w:szCs w:val="21"/>
          <w:color w:val="auto"/>
        </w:rPr>
      </w:pPr>
    </w:p>
    <w:p>
      <w:pPr>
        <w:jc w:val="both"/>
        <w:ind w:firstLine="1241"/>
        <w:spacing w:after="0" w:line="228" w:lineRule="auto"/>
        <w:tabs>
          <w:tab w:leader="none" w:pos="147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The provisions of Section 9(d)(ii) of the Plan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reference and made a part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will settlement of a Restricted Stock Unit occur more than thirty</w:t>
      </w:r>
    </w:p>
    <w:p>
      <w:pPr>
        <w:spacing w:after="0" w:line="1" w:lineRule="exact"/>
        <w:rPr>
          <w:rFonts w:ascii="Times New Roman" w:cs="Times New Roman" w:eastAsia="Times New Roman" w:hAnsi="Times New Roman"/>
          <w:sz w:val="20"/>
          <w:szCs w:val="20"/>
          <w:color w:val="auto"/>
        </w:rPr>
      </w:pPr>
    </w:p>
    <w:p>
      <w:pPr>
        <w:ind w:left="400" w:hanging="397"/>
        <w:spacing w:after="0"/>
        <w:tabs>
          <w:tab w:leader="none" w:pos="4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expiration of its Restricted Period.</w:t>
      </w:r>
    </w:p>
    <w:p>
      <w:pPr>
        <w:spacing w:after="0" w:line="145"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firstLine="1241"/>
        <w:spacing w:after="0" w:line="235" w:lineRule="auto"/>
        <w:tabs>
          <w:tab w:leader="none" w:pos="1535"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Restricted Stock Unit Agreement with reference to employment shall include the Company and its Subsidiaries.</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5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as used in this Restricted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w:t>
      </w:r>
    </w:p>
    <w:p>
      <w:pPr>
        <w:spacing w:after="0" w:line="3" w:lineRule="exact"/>
        <w:rPr>
          <w:rFonts w:ascii="Times New Roman" w:cs="Times New Roman" w:eastAsia="Times New Roman" w:hAnsi="Times New Roman"/>
          <w:sz w:val="20"/>
          <w:szCs w:val="20"/>
          <w:color w:val="auto"/>
        </w:rPr>
      </w:pPr>
    </w:p>
    <w:p>
      <w:pPr>
        <w:jc w:val="both"/>
        <w:ind w:firstLine="3"/>
        <w:spacing w:after="0" w:line="212" w:lineRule="auto"/>
        <w:tabs>
          <w:tab w:leader="none" w:pos="38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ectPr>
          <w:pgSz w:w="11900" w:h="16838" w:orient="portrait"/>
          <w:cols w:equalWidth="0" w:num="1">
            <w:col w:w="11240"/>
          </w:cols>
          <w:pgMar w:left="320" w:top="1326" w:right="339" w:bottom="1440" w:gutter="0" w:footer="0" w:header="0"/>
        </w:sectPr>
      </w:pPr>
    </w:p>
    <w:bookmarkStart w:id="48" w:name="page49"/>
    <w:bookmarkEnd w:id="48"/>
    <w:p>
      <w:pPr>
        <w:jc w:val="both"/>
        <w:ind w:firstLine="1241"/>
        <w:spacing w:after="0" w:line="220" w:lineRule="auto"/>
        <w:tabs>
          <w:tab w:leader="none" w:pos="158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shall be deemed to include such person or persons.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56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as used in this Restricted Stock Unit Agreement shall mean a Participant’s Termination by the Service Recipient without Cause or by the Participant with Good Reason.</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55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as used in this Restricted Stock Unit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 (ii) the Participant’s age is at least sixty five (65) years old.</w:t>
      </w:r>
    </w:p>
    <w:p>
      <w:pPr>
        <w:spacing w:after="0" w:line="142" w:lineRule="exact"/>
        <w:rPr>
          <w:sz w:val="20"/>
          <w:szCs w:val="20"/>
          <w:color w:val="auto"/>
        </w:rPr>
      </w:pPr>
    </w:p>
    <w:p>
      <w:pPr>
        <w:jc w:val="both"/>
        <w:ind w:firstLine="1241"/>
        <w:spacing w:after="0" w:line="218" w:lineRule="auto"/>
        <w:tabs>
          <w:tab w:leader="none" w:pos="149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Restricted Stock Units are not transferable by the Participant except to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40"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Participant or a Permitted Transferee of the Restricted Stock Units shall have no rights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32"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 part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w:t>
      </w:r>
    </w:p>
    <w:p>
      <w:pPr>
        <w:spacing w:after="0" w:line="145" w:lineRule="exact"/>
        <w:rPr>
          <w:rFonts w:ascii="Times New Roman" w:cs="Times New Roman" w:eastAsia="Times New Roman" w:hAnsi="Times New Roman"/>
          <w:sz w:val="21"/>
          <w:szCs w:val="21"/>
          <w:color w:val="auto"/>
        </w:rPr>
      </w:pPr>
    </w:p>
    <w:p>
      <w:pPr>
        <w:jc w:val="both"/>
        <w:ind w:firstLine="1241"/>
        <w:spacing w:after="0" w:line="222" w:lineRule="auto"/>
        <w:tabs>
          <w:tab w:leader="none" w:pos="14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8" w:lineRule="exact"/>
        <w:rPr>
          <w:rFonts w:ascii="Times New Roman" w:cs="Times New Roman" w:eastAsia="Times New Roman" w:hAnsi="Times New Roman"/>
          <w:sz w:val="20"/>
          <w:szCs w:val="20"/>
          <w:color w:val="auto"/>
        </w:rPr>
      </w:pPr>
    </w:p>
    <w:p>
      <w:pPr>
        <w:ind w:firstLine="1241"/>
        <w:spacing w:after="0" w:line="237" w:lineRule="auto"/>
        <w:tabs>
          <w:tab w:leader="none" w:pos="14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Right to Continued Service</w:t>
      </w:r>
      <w:r>
        <w:rPr>
          <w:rFonts w:ascii="Times New Roman" w:cs="Times New Roman" w:eastAsia="Times New Roman" w:hAnsi="Times New Roman"/>
          <w:sz w:val="21"/>
          <w:szCs w:val="21"/>
          <w:color w:val="auto"/>
        </w:rPr>
        <w:t>. This Restricted Stock Unit Agreement does not confer upon the Participant any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continue as an employee or service provider to the Company.</w:t>
      </w:r>
    </w:p>
    <w:p>
      <w:pPr>
        <w:spacing w:after="0" w:line="141" w:lineRule="exact"/>
        <w:rPr>
          <w:rFonts w:ascii="Times New Roman" w:cs="Times New Roman" w:eastAsia="Times New Roman" w:hAnsi="Times New Roman"/>
          <w:sz w:val="21"/>
          <w:szCs w:val="21"/>
          <w:color w:val="auto"/>
        </w:rPr>
      </w:pPr>
    </w:p>
    <w:p>
      <w:pPr>
        <w:ind w:firstLine="1241"/>
        <w:spacing w:after="0" w:line="237" w:lineRule="auto"/>
        <w:tabs>
          <w:tab w:leader="none" w:pos="154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Restricted Stock Unit Agreement shall be binding upon the heirs, executors, administrators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of the parties hereto.</w:t>
      </w:r>
    </w:p>
    <w:p>
      <w:pPr>
        <w:sectPr>
          <w:pgSz w:w="11900" w:h="16838" w:orient="portrait"/>
          <w:cols w:equalWidth="0" w:num="1">
            <w:col w:w="11240"/>
          </w:cols>
          <w:pgMar w:left="320" w:top="1339" w:right="339" w:bottom="1440" w:gutter="0" w:footer="0" w:header="0"/>
        </w:sectPr>
      </w:pPr>
    </w:p>
    <w:bookmarkStart w:id="49" w:name="page50"/>
    <w:bookmarkEnd w:id="49"/>
    <w:p>
      <w:pPr>
        <w:jc w:val="both"/>
        <w:ind w:left="-1120" w:firstLine="1241"/>
        <w:spacing w:after="0" w:line="215" w:lineRule="auto"/>
        <w:tabs>
          <w:tab w:leader="none" w:pos="47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and Amendments</w:t>
      </w:r>
      <w:r>
        <w:rPr>
          <w:rFonts w:ascii="Times New Roman" w:cs="Times New Roman" w:eastAsia="Times New Roman" w:hAnsi="Times New Roman"/>
          <w:sz w:val="21"/>
          <w:szCs w:val="21"/>
          <w:color w:val="auto"/>
        </w:rPr>
        <w:t>. Except as otherwise set forth in Section 13 of the Plan, any waiver, alteration,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or 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5" w:lineRule="exact"/>
        <w:rPr>
          <w:rFonts w:ascii="Times New Roman" w:cs="Times New Roman" w:eastAsia="Times New Roman" w:hAnsi="Times New Roman"/>
          <w:sz w:val="21"/>
          <w:szCs w:val="21"/>
          <w:color w:val="auto"/>
        </w:rPr>
      </w:pPr>
    </w:p>
    <w:p>
      <w:pPr>
        <w:jc w:val="both"/>
        <w:ind w:left="-1120" w:firstLine="1241"/>
        <w:spacing w:after="0" w:line="218" w:lineRule="auto"/>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Restricted Stock Unit Agreement shall be construed and interpreted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40" w:lineRule="exact"/>
        <w:rPr>
          <w:rFonts w:ascii="Times New Roman" w:cs="Times New Roman" w:eastAsia="Times New Roman" w:hAnsi="Times New Roman"/>
          <w:sz w:val="21"/>
          <w:szCs w:val="21"/>
          <w:color w:val="auto"/>
        </w:rPr>
      </w:pPr>
    </w:p>
    <w:p>
      <w:pPr>
        <w:jc w:val="both"/>
        <w:ind w:left="-1120" w:firstLine="1241"/>
        <w:spacing w:after="0" w:line="226" w:lineRule="auto"/>
        <w:tabs>
          <w:tab w:leader="none" w:pos="45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and provisions of the Plan are incorporated herein by reference. In the event of a conflict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inconsistency between the terms and provisions of the Plan and the provisions of this Restricted Stock Unit Agreement (including the Grant Notice), the Plan shall govern and control.</w:t>
      </w:r>
    </w:p>
    <w:p>
      <w:pPr>
        <w:spacing w:after="0" w:line="142" w:lineRule="exact"/>
        <w:rPr>
          <w:rFonts w:ascii="Times New Roman" w:cs="Times New Roman" w:eastAsia="Times New Roman" w:hAnsi="Times New Roman"/>
          <w:sz w:val="21"/>
          <w:szCs w:val="21"/>
          <w:color w:val="auto"/>
        </w:rPr>
      </w:pPr>
    </w:p>
    <w:p>
      <w:pPr>
        <w:ind w:left="440" w:hanging="319"/>
        <w:spacing w:after="0"/>
        <w:tabs>
          <w:tab w:leader="none" w:pos="4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1120" w:firstLine="1473"/>
        <w:spacing w:after="0" w:line="217" w:lineRule="auto"/>
        <w:tabs>
          <w:tab w:leader="none" w:pos="733" w:val="left"/>
        </w:tabs>
        <w:numPr>
          <w:ilvl w:val="1"/>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Restricted Stock Unit Agreement is intended to be exempt from or comply with the provisions of Section 409A of the Code and the regulations promulgated 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 of the Code or any regulations promulgated thereunder, including, without limitation, by delaying the issuance of the shares of Common Stock contemplated hereunder.</w:t>
      </w:r>
    </w:p>
    <w:p>
      <w:pPr>
        <w:spacing w:after="0" w:line="145" w:lineRule="exact"/>
        <w:rPr>
          <w:rFonts w:ascii="Times New Roman" w:cs="Times New Roman" w:eastAsia="Times New Roman" w:hAnsi="Times New Roman"/>
          <w:sz w:val="21"/>
          <w:szCs w:val="21"/>
          <w:color w:val="010000"/>
        </w:rPr>
      </w:pPr>
    </w:p>
    <w:p>
      <w:pPr>
        <w:jc w:val="both"/>
        <w:ind w:left="-1120" w:firstLine="1473"/>
        <w:spacing w:after="0" w:line="210" w:lineRule="auto"/>
        <w:tabs>
          <w:tab w:leader="none" w:pos="732" w:val="left"/>
        </w:tabs>
        <w:numPr>
          <w:ilvl w:val="1"/>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other provision of this Restricted Stock Unit Agreement to the contrary, if the Participant is a “specified employee” within the meaning of Section 409A of the Code, and is subject to U.S. federal income tax, no payments in respect of any Restricted Stock Unit that is “deferred compensation” subject to Section 409A of the Code and which would otherwise be payable upon the Participant’s “separation from service” (as defined in Section 409A of the Code) will be made to the Participant prior to the date that is six (6) months after the date of the Participant’s “separation from service” or, if earlier, the Participant’s date of death. Following any applicable six (6)-month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0120"/>
          </w:cols>
          <w:pgMar w:left="1440" w:top="133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STOCK UNIT GRANT NOTICE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Participant set forth below the number of Performance Stock Units set forth below, which are Restricted Stock Units that are subject to the performance-vesting conditions described herein (the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4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Participant Name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Target Number of Performance</w:t>
      </w:r>
    </w:p>
    <w:p>
      <w:pPr>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Target No. of PSUs Granted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Target PSUs</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3100" w:hanging="2875"/>
        <w:spacing w:after="0" w:line="235" w:lineRule="auto"/>
        <w:rPr>
          <w:sz w:val="20"/>
          <w:szCs w:val="20"/>
          <w:color w:val="auto"/>
        </w:rPr>
      </w:pPr>
      <w:r>
        <w:rPr>
          <w:rFonts w:ascii="Times New Roman" w:cs="Times New Roman" w:eastAsia="Times New Roman" w:hAnsi="Times New Roman"/>
          <w:sz w:val="21"/>
          <w:szCs w:val="21"/>
          <w:color w:val="auto"/>
        </w:rPr>
        <w:t>75% of the Target PSUs shall be subject to performance goals relating to Adjusted Operating Income (the “</w:t>
      </w:r>
      <w:r>
        <w:rPr>
          <w:rFonts w:ascii="Times New Roman" w:cs="Times New Roman" w:eastAsia="Times New Roman" w:hAnsi="Times New Roman"/>
          <w:sz w:val="21"/>
          <w:szCs w:val="21"/>
          <w:u w:val="single" w:color="auto"/>
          <w:color w:val="auto"/>
        </w:rPr>
        <w:t>AOI PSUs</w:t>
      </w:r>
      <w:r>
        <w:rPr>
          <w:rFonts w:ascii="Times New Roman" w:cs="Times New Roman" w:eastAsia="Times New Roman" w:hAnsi="Times New Roman"/>
          <w:sz w:val="21"/>
          <w:szCs w:val="21"/>
          <w:color w:val="auto"/>
        </w:rPr>
        <w:t>”), and 25% of the Target PSUs shall be subject to performance goal relating to ROIC (the “</w:t>
      </w:r>
      <w:r>
        <w:rPr>
          <w:rFonts w:ascii="Times New Roman" w:cs="Times New Roman" w:eastAsia="Times New Roman" w:hAnsi="Times New Roman"/>
          <w:sz w:val="21"/>
          <w:szCs w:val="21"/>
          <w:u w:val="single" w:color="auto"/>
          <w:color w:val="auto"/>
        </w:rPr>
        <w:t>ROIC PSUs</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left="1860" w:hanging="3093"/>
        <w:spacing w:after="0" w:line="225" w:lineRule="auto"/>
        <w:tabs>
          <w:tab w:leader="none" w:pos="1840" w:val="left"/>
        </w:tabs>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 xml:space="preserve">The Participant will have the right to earn between 0% and 200% of the AOI PSUs based on the Company’s achievement of performance goals relating to Adjusted Operating Income, as set forth on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over the Performance Period.</w:t>
      </w:r>
    </w:p>
    <w:p>
      <w:pPr>
        <w:spacing w:after="0" w:line="150" w:lineRule="exact"/>
        <w:rPr>
          <w:sz w:val="20"/>
          <w:szCs w:val="20"/>
          <w:color w:val="auto"/>
        </w:rPr>
      </w:pPr>
    </w:p>
    <w:p>
      <w:pPr>
        <w:jc w:val="both"/>
        <w:ind w:left="3100"/>
        <w:spacing w:after="0" w:line="225" w:lineRule="auto"/>
        <w:rPr>
          <w:sz w:val="20"/>
          <w:szCs w:val="20"/>
          <w:color w:val="auto"/>
        </w:rPr>
      </w:pPr>
      <w:r>
        <w:rPr>
          <w:rFonts w:ascii="Times New Roman" w:cs="Times New Roman" w:eastAsia="Times New Roman" w:hAnsi="Times New Roman"/>
          <w:sz w:val="21"/>
          <w:szCs w:val="21"/>
          <w:color w:val="auto"/>
        </w:rPr>
        <w:t xml:space="preserve">Similarly, the Participant will have the right to earn between 0% and 200% of the ROIC PSUs based on the Company’s achievement of performance goals relating to ROIC, as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over the Performance Period.</w:t>
      </w:r>
    </w:p>
    <w:p>
      <w:pPr>
        <w:spacing w:after="0" w:line="142"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1"/>
          <w:szCs w:val="21"/>
          <w:b w:val="1"/>
          <w:bCs w:val="1"/>
          <w:color w:val="auto"/>
        </w:rPr>
        <w:t>Performance Period:</w:t>
      </w:r>
      <w:r>
        <w:rPr>
          <w:sz w:val="20"/>
          <w:szCs w:val="20"/>
          <w:color w:val="auto"/>
        </w:rPr>
        <w:tab/>
      </w:r>
      <w:r>
        <w:rPr>
          <w:rFonts w:ascii="Times New Roman" w:cs="Times New Roman" w:eastAsia="Times New Roman" w:hAnsi="Times New Roman"/>
          <w:sz w:val="20"/>
          <w:szCs w:val="20"/>
          <w:color w:val="auto"/>
        </w:rPr>
        <w:t>Fiscal year 2022 through fiscal year 2024.</w:t>
      </w:r>
    </w:p>
    <w:p>
      <w:pPr>
        <w:spacing w:after="0" w:line="171" w:lineRule="exact"/>
        <w:rPr>
          <w:sz w:val="20"/>
          <w:szCs w:val="20"/>
          <w:color w:val="auto"/>
        </w:rPr>
      </w:pPr>
    </w:p>
    <w:p>
      <w:pPr>
        <w:ind w:left="2460" w:hanging="3093"/>
        <w:spacing w:after="0" w:line="235" w:lineRule="auto"/>
        <w:tabs>
          <w:tab w:leader="none" w:pos="2440" w:val="left"/>
        </w:tabs>
        <w:rPr>
          <w:sz w:val="20"/>
          <w:szCs w:val="20"/>
          <w:color w:val="auto"/>
        </w:rPr>
      </w:pPr>
      <w:r>
        <w:rPr>
          <w:rFonts w:ascii="Times New Roman" w:cs="Times New Roman" w:eastAsia="Times New Roman" w:hAnsi="Times New Roman"/>
          <w:sz w:val="21"/>
          <w:szCs w:val="21"/>
          <w:b w:val="1"/>
          <w:bCs w:val="1"/>
          <w:color w:val="auto"/>
        </w:rPr>
        <w:t>Performance Conditions:</w:t>
      </w:r>
      <w:r>
        <w:rPr>
          <w:sz w:val="20"/>
          <w:szCs w:val="20"/>
          <w:color w:val="auto"/>
        </w:rPr>
        <w:tab/>
      </w:r>
      <w:r>
        <w:rPr>
          <w:rFonts w:ascii="Times New Roman" w:cs="Times New Roman" w:eastAsia="Times New Roman" w:hAnsi="Times New Roman"/>
          <w:sz w:val="21"/>
          <w:szCs w:val="21"/>
          <w:color w:val="auto"/>
        </w:rPr>
        <w:t>The number of PSUs that become “</w:t>
      </w:r>
      <w:r>
        <w:rPr>
          <w:rFonts w:ascii="Times New Roman" w:cs="Times New Roman" w:eastAsia="Times New Roman" w:hAnsi="Times New Roman"/>
          <w:sz w:val="21"/>
          <w:szCs w:val="21"/>
          <w:u w:val="single" w:color="auto"/>
          <w:color w:val="auto"/>
        </w:rPr>
        <w:t>Earned PSUs</w:t>
      </w:r>
      <w:r>
        <w:rPr>
          <w:rFonts w:ascii="Times New Roman" w:cs="Times New Roman" w:eastAsia="Times New Roman" w:hAnsi="Times New Roman"/>
          <w:sz w:val="21"/>
          <w:szCs w:val="21"/>
          <w:color w:val="auto"/>
        </w:rPr>
        <w:t>” shall be based on the achievement of the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Conditions”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3100"/>
        <w:spacing w:after="0" w:line="235" w:lineRule="auto"/>
        <w:rPr>
          <w:sz w:val="20"/>
          <w:szCs w:val="20"/>
          <w:color w:val="auto"/>
        </w:rPr>
      </w:pPr>
      <w:r>
        <w:rPr>
          <w:rFonts w:ascii="Times New Roman" w:cs="Times New Roman" w:eastAsia="Times New Roman" w:hAnsi="Times New Roman"/>
          <w:sz w:val="21"/>
          <w:szCs w:val="21"/>
          <w:color w:val="auto"/>
        </w:rPr>
        <w:t>In fiscal years with 53 weeks, the Committee will adjust the Performance Conditions to a 52-week equivalent.</w:t>
      </w:r>
    </w:p>
    <w:p>
      <w:pPr>
        <w:sectPr>
          <w:pgSz w:w="11900" w:h="16838" w:orient="portrait"/>
          <w:cols w:equalWidth="0" w:num="1">
            <w:col w:w="11240"/>
          </w:cols>
          <w:pgMar w:left="320" w:top="351" w:right="339" w:bottom="1440" w:gutter="0" w:footer="0" w:header="0"/>
        </w:sectPr>
      </w:pPr>
    </w:p>
    <w:bookmarkStart w:id="51" w:name="page52"/>
    <w:bookmarkEnd w:id="51"/>
    <w:p>
      <w:pPr>
        <w:spacing w:after="0" w:line="50" w:lineRule="exact"/>
        <w:rPr>
          <w:sz w:val="20"/>
          <w:szCs w:val="20"/>
          <w:color w:val="auto"/>
        </w:rPr>
      </w:pPr>
    </w:p>
    <w:p>
      <w:pPr>
        <w:ind w:left="1620" w:right="180" w:hanging="3093"/>
        <w:spacing w:after="0" w:line="217" w:lineRule="auto"/>
        <w:tabs>
          <w:tab w:leader="none" w:pos="1600" w:val="left"/>
        </w:tabs>
        <w:rPr>
          <w:sz w:val="20"/>
          <w:szCs w:val="20"/>
          <w:color w:val="auto"/>
        </w:rPr>
      </w:pPr>
      <w:r>
        <w:rPr>
          <w:rFonts w:ascii="Times New Roman" w:cs="Times New Roman" w:eastAsia="Times New Roman" w:hAnsi="Times New Roman"/>
          <w:sz w:val="21"/>
          <w:szCs w:val="21"/>
          <w:b w:val="1"/>
          <w:bCs w:val="1"/>
          <w:color w:val="auto"/>
        </w:rPr>
        <w:t>Calculation of Earned PSUs:</w:t>
      </w:r>
      <w:r>
        <w:rPr>
          <w:sz w:val="20"/>
          <w:szCs w:val="20"/>
          <w:color w:val="auto"/>
        </w:rPr>
        <w:tab/>
      </w:r>
      <w:r>
        <w:rPr>
          <w:rFonts w:ascii="Times New Roman" w:cs="Times New Roman" w:eastAsia="Times New Roman" w:hAnsi="Times New Roman"/>
          <w:sz w:val="21"/>
          <w:szCs w:val="21"/>
          <w:color w:val="auto"/>
        </w:rPr>
        <w:t>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the Committee certifies in writing the extent to which such Performance Conditions have been met (such date,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left="1980"/>
        <w:spacing w:after="0" w:line="225" w:lineRule="auto"/>
        <w:rPr>
          <w:sz w:val="20"/>
          <w:szCs w:val="20"/>
          <w:color w:val="auto"/>
        </w:rPr>
      </w:pPr>
      <w:r>
        <w:rPr>
          <w:rFonts w:ascii="Times New Roman" w:cs="Times New Roman" w:eastAsia="Times New Roman" w:hAnsi="Times New Roman"/>
          <w:sz w:val="21"/>
          <w:szCs w:val="21"/>
          <w:color w:val="auto"/>
        </w:rPr>
        <w:t xml:space="preserve">Following the last day of the Performance Period, the Committee shall determine the number of Earned AOI PSUs and the number of Earned ROIC PSUs, as provided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respectively.</w:t>
      </w:r>
    </w:p>
    <w:p>
      <w:pPr>
        <w:spacing w:after="0" w:line="146" w:lineRule="exact"/>
        <w:rPr>
          <w:sz w:val="20"/>
          <w:szCs w:val="20"/>
          <w:color w:val="auto"/>
        </w:rPr>
      </w:pPr>
    </w:p>
    <w:p>
      <w:pPr>
        <w:ind w:left="1980" w:hanging="2898"/>
        <w:spacing w:after="0" w:line="235" w:lineRule="auto"/>
        <w:rPr>
          <w:sz w:val="20"/>
          <w:szCs w:val="20"/>
          <w:color w:val="auto"/>
        </w:rPr>
      </w:pPr>
      <w:r>
        <w:rPr>
          <w:rFonts w:ascii="Times New Roman" w:cs="Times New Roman" w:eastAsia="Times New Roman" w:hAnsi="Times New Roman"/>
          <w:sz w:val="21"/>
          <w:szCs w:val="21"/>
          <w:color w:val="auto"/>
        </w:rPr>
        <w:t>Any PSUs which do not become Earned PSUs based on actual performance during the Performance Period shall be forfeited as of the last day of the Performance Period.</w:t>
      </w:r>
    </w:p>
    <w:p>
      <w:pPr>
        <w:spacing w:after="0" w:line="142" w:lineRule="exact"/>
        <w:rPr>
          <w:sz w:val="20"/>
          <w:szCs w:val="20"/>
          <w:color w:val="auto"/>
        </w:rPr>
      </w:pPr>
    </w:p>
    <w:p>
      <w:pPr>
        <w:jc w:val="both"/>
        <w:ind w:left="1260" w:hanging="3093"/>
        <w:spacing w:after="0" w:line="225" w:lineRule="auto"/>
        <w:tabs>
          <w:tab w:leader="none" w:pos="1240" w:val="left"/>
        </w:tabs>
        <w:rPr>
          <w:sz w:val="20"/>
          <w:szCs w:val="20"/>
          <w:color w:val="auto"/>
        </w:rPr>
      </w:pPr>
      <w:r>
        <w:rPr>
          <w:rFonts w:ascii="Times New Roman" w:cs="Times New Roman" w:eastAsia="Times New Roman" w:hAnsi="Times New Roman"/>
          <w:sz w:val="21"/>
          <w:szCs w:val="21"/>
          <w:b w:val="1"/>
          <w:bCs w:val="1"/>
          <w:color w:val="auto"/>
        </w:rPr>
        <w:t>Vesting of Earned PSUs:</w:t>
      </w:r>
      <w:r>
        <w:rPr>
          <w:sz w:val="20"/>
          <w:szCs w:val="20"/>
          <w:color w:val="auto"/>
        </w:rPr>
        <w:tab/>
      </w:r>
      <w:r>
        <w:rPr>
          <w:rFonts w:ascii="Times New Roman" w:cs="Times New Roman" w:eastAsia="Times New Roman" w:hAnsi="Times New Roman"/>
          <w:sz w:val="21"/>
          <w:szCs w:val="21"/>
          <w:color w:val="auto"/>
        </w:rPr>
        <w:t>Any PSUs that become Earned PSUs shall become vested on the later of (i) the Determination Date for the applicable Performance Period and (ii) the third anniversary of the Date of Grant, provided the Participant has not undergone a Termination at the time of such vesting date.</w:t>
      </w:r>
    </w:p>
    <w:p>
      <w:pPr>
        <w:spacing w:after="0" w:line="150" w:lineRule="exact"/>
        <w:rPr>
          <w:sz w:val="20"/>
          <w:szCs w:val="20"/>
          <w:color w:val="auto"/>
        </w:rPr>
      </w:pPr>
    </w:p>
    <w:p>
      <w:pPr>
        <w:ind w:left="1980" w:hanging="2113"/>
        <w:spacing w:after="0" w:line="235" w:lineRule="auto"/>
        <w:rPr>
          <w:sz w:val="20"/>
          <w:szCs w:val="20"/>
          <w:color w:val="auto"/>
        </w:rPr>
      </w:pPr>
      <w:r>
        <w:rPr>
          <w:rFonts w:ascii="Times New Roman" w:cs="Times New Roman" w:eastAsia="Times New Roman" w:hAnsi="Times New Roman"/>
          <w:sz w:val="21"/>
          <w:szCs w:val="21"/>
          <w:color w:val="auto"/>
        </w:rPr>
        <w:t>In the event that the Participant undergoes a Termination for any reason, all unvested PSUs shall be forfeited by the Participant for no consideration as of the date of such Termination.</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Notwithstanding the foregoing:</w:t>
      </w:r>
    </w:p>
    <w:p>
      <w:pPr>
        <w:spacing w:after="0" w:line="171" w:lineRule="exact"/>
        <w:rPr>
          <w:sz w:val="20"/>
          <w:szCs w:val="20"/>
          <w:color w:val="auto"/>
        </w:rPr>
      </w:pPr>
    </w:p>
    <w:p>
      <w:pPr>
        <w:jc w:val="both"/>
        <w:ind w:left="1980" w:hanging="312"/>
        <w:spacing w:after="0" w:line="220" w:lineRule="auto"/>
        <w:tabs>
          <w:tab w:leader="none" w:pos="1989"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1"/>
          <w:szCs w:val="21"/>
          <w:color w:val="auto"/>
        </w:rPr>
        <w:t>In the event that the Participant undergoes a Termination as a result of such Participant’s death or Disability, the PSUs shall become vested assuming achievement of a 100% payout (“</w:t>
      </w:r>
      <w:r>
        <w:rPr>
          <w:rFonts w:ascii="Times New Roman" w:cs="Times New Roman" w:eastAsia="Times New Roman" w:hAnsi="Times New Roman"/>
          <w:sz w:val="21"/>
          <w:szCs w:val="21"/>
          <w:u w:val="single" w:color="auto"/>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and settled in accordance with the Agreement within sixty (60) days following such Termination.</w:t>
      </w:r>
    </w:p>
    <w:p>
      <w:pPr>
        <w:spacing w:after="0" w:line="145" w:lineRule="exact"/>
        <w:rPr>
          <w:rFonts w:ascii="Arial" w:cs="Arial" w:eastAsia="Arial" w:hAnsi="Arial"/>
          <w:sz w:val="21"/>
          <w:szCs w:val="21"/>
          <w:color w:val="auto"/>
        </w:rPr>
      </w:pPr>
    </w:p>
    <w:p>
      <w:pPr>
        <w:jc w:val="both"/>
        <w:ind w:left="1980" w:hanging="312"/>
        <w:spacing w:after="0" w:line="212" w:lineRule="auto"/>
        <w:tabs>
          <w:tab w:leader="none" w:pos="2002"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1"/>
          <w:szCs w:val="21"/>
          <w:color w:val="auto"/>
        </w:rPr>
        <w:t>In the event of a Change in Control, PSUs shall be converted into time-based vesting shares of Restricted Stock (the “</w:t>
      </w:r>
      <w:r>
        <w:rPr>
          <w:rFonts w:ascii="Times New Roman" w:cs="Times New Roman" w:eastAsia="Times New Roman" w:hAnsi="Times New Roman"/>
          <w:sz w:val="21"/>
          <w:szCs w:val="21"/>
          <w:u w:val="single" w:color="auto"/>
          <w:color w:val="auto"/>
        </w:rPr>
        <w:t>Converted PSUs</w:t>
      </w:r>
      <w:r>
        <w:rPr>
          <w:rFonts w:ascii="Times New Roman" w:cs="Times New Roman" w:eastAsia="Times New Roman" w:hAnsi="Times New Roman"/>
          <w:sz w:val="21"/>
          <w:szCs w:val="21"/>
          <w:color w:val="auto"/>
        </w:rPr>
        <w:t>”) determined based on the greater of (x) Target Performance and (y) actual performance on the date of the Change in Control. If (i) a successor entity does not assume, convert, or replace the Converted PSUs in connection with the Change in Control or (ii) on or within the twenty-four (24) months following the Change in Control the Participant undergoes a Termination by the Service Recipient without Cause or by such Participant for Good Reason, in each case, such Participant shall fully vest in such Converted PSUs.</w:t>
      </w:r>
    </w:p>
    <w:p>
      <w:pPr>
        <w:sectPr>
          <w:pgSz w:w="11900" w:h="16838" w:orient="portrait"/>
          <w:cols w:equalWidth="0" w:num="1">
            <w:col w:w="10120"/>
          </w:cols>
          <w:pgMar w:left="1440" w:top="1440" w:right="339" w:bottom="1440" w:gutter="0" w:footer="0" w:header="0"/>
        </w:sectPr>
      </w:pPr>
    </w:p>
    <w:bookmarkStart w:id="52" w:name="page53"/>
    <w:bookmarkEnd w:id="52"/>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to appear on following page</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335" w:right="1440" w:bottom="1440" w:gutter="0" w:footer="0" w:header="0"/>
        </w:sectPr>
      </w:pPr>
    </w:p>
    <w:bookmarkStart w:id="53" w:name="page54"/>
    <w:bookmarkEnd w:id="53"/>
    <w:p>
      <w:pPr>
        <w:spacing w:after="0" w:line="1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NATIONAL VISION HOLDINGS, INC.</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5" w:lineRule="auto"/>
        <w:rPr>
          <w:sz w:val="20"/>
          <w:szCs w:val="20"/>
          <w:color w:val="auto"/>
        </w:rPr>
      </w:pPr>
      <w:r>
        <w:rPr>
          <w:rFonts w:ascii="Times New Roman" w:cs="Times New Roman" w:eastAsia="Times New Roman" w:hAnsi="Times New Roman"/>
          <w:sz w:val="21"/>
          <w:szCs w:val="21"/>
          <w:color w:val="auto"/>
        </w:rPr>
        <w:t>By:</w:t>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r>
        <w:rPr>
          <w:rFonts w:ascii="Times New Roman" w:cs="Times New Roman" w:eastAsia="Times New Roman" w:hAnsi="Times New Roman"/>
          <w:sz w:val="26"/>
          <w:szCs w:val="26"/>
          <w:color w:val="auto"/>
          <w:vertAlign w:val="superscript"/>
        </w:rPr>
        <w:t>1</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1082675</wp:posOffset>
            </wp:positionV>
            <wp:extent cx="1637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0" w:right="380" w:hanging="617"/>
        <w:spacing w:after="0" w:line="206" w:lineRule="auto"/>
        <w:tabs>
          <w:tab w:leader="none" w:pos="322"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Performance Stock Unit Award</w:t>
      </w:r>
      <w:r>
        <w:rPr>
          <w:rFonts w:ascii="Times New Roman" w:cs="Times New Roman" w:eastAsia="Times New Roman" w:hAnsi="Times New Roman"/>
          <w:sz w:val="15"/>
          <w:szCs w:val="15"/>
          <w:color w:val="auto"/>
        </w:rPr>
        <w:t>]</w:t>
      </w:r>
    </w:p>
    <w:p>
      <w:pPr>
        <w:sectPr>
          <w:pgSz w:w="11900" w:h="16838" w:orient="portrait"/>
          <w:cols w:equalWidth="0" w:num="1">
            <w:col w:w="11240"/>
          </w:cols>
          <w:pgMar w:left="320" w:top="1440" w:right="339" w:bottom="1440" w:gutter="0" w:footer="0" w:header="0"/>
        </w:sectPr>
      </w:pPr>
    </w:p>
    <w:bookmarkStart w:id="54" w:name="page55"/>
    <w:bookmarkEnd w:id="54"/>
    <w:p>
      <w:pPr>
        <w:jc w:val="center"/>
        <w:ind w:right="-49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7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 GOALS</w:t>
      </w:r>
    </w:p>
    <w:p>
      <w:pPr>
        <w:spacing w:after="0" w:line="7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9"/>
          <w:szCs w:val="19"/>
          <w:b w:val="1"/>
          <w:bCs w:val="1"/>
          <w:u w:val="single" w:color="auto"/>
          <w:color w:val="auto"/>
        </w:rPr>
        <w:t>(ADJUSTED OPERATING INCOME)</w:t>
      </w:r>
    </w:p>
    <w:p>
      <w:pPr>
        <w:spacing w:after="0" w:line="39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The Participant may earn a percentage of the AOI PSUs based on the average of the Company’s performance percentage scores against Performance Conditions relating to Adjusted Operating Income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78"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For purposes of the AOI PSUs, “</w:t>
      </w:r>
      <w:r>
        <w:rPr>
          <w:rFonts w:ascii="Times New Roman" w:cs="Times New Roman" w:eastAsia="Times New Roman" w:hAnsi="Times New Roman"/>
          <w:sz w:val="18"/>
          <w:szCs w:val="18"/>
          <w:u w:val="single" w:color="auto"/>
          <w:color w:val="auto"/>
        </w:rPr>
        <w:t>Adjusted Operating Income</w:t>
      </w:r>
      <w:r>
        <w:rPr>
          <w:rFonts w:ascii="Times New Roman" w:cs="Times New Roman" w:eastAsia="Times New Roman" w:hAnsi="Times New Roman"/>
          <w:sz w:val="18"/>
          <w:szCs w:val="18"/>
          <w:color w:val="auto"/>
        </w:rPr>
        <w:t>” means net income, plus interest expense and income tax provision (benefit), further adjusted to exclude: (i) stock compensation expense, debt issuance costs, loss on extinguishment of debt, asset impairment, secondary offering expenses, management realignment expenses, long-term incentive plan expenses, and other expenses and (ii) margin on unearned revenue.</w:t>
      </w:r>
    </w:p>
    <w:p>
      <w:pPr>
        <w:spacing w:after="0" w:line="178" w:lineRule="exact"/>
        <w:rPr>
          <w:sz w:val="20"/>
          <w:szCs w:val="20"/>
          <w:color w:val="auto"/>
        </w:rPr>
      </w:pPr>
    </w:p>
    <w:p>
      <w:pPr>
        <w:ind w:right="740"/>
        <w:spacing w:after="0" w:line="241" w:lineRule="auto"/>
        <w:rPr>
          <w:sz w:val="20"/>
          <w:szCs w:val="20"/>
          <w:color w:val="auto"/>
        </w:rPr>
      </w:pPr>
      <w:r>
        <w:rPr>
          <w:rFonts w:ascii="Times New Roman" w:cs="Times New Roman" w:eastAsia="Times New Roman" w:hAnsi="Times New Roman"/>
          <w:sz w:val="18"/>
          <w:szCs w:val="18"/>
          <w:color w:val="auto"/>
        </w:rPr>
        <w:t>The Performance Conditions for the first fiscal year in the Performance Period shall be based on achievement of specified annual Adjusted Operating Income goals, as provided in the following 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380" w:type="dxa"/>
            <w:vAlign w:val="bottom"/>
            <w:tcBorders>
              <w:top w:val="single" w:sz="8" w:color="auto"/>
              <w:left w:val="single" w:sz="8" w:color="auto"/>
              <w:right w:val="single" w:sz="8" w:color="auto"/>
            </w:tcBorders>
            <w:shd w:val="clear" w:color="auto" w:fill="F2F2F2"/>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Degree of Performance Attainment</w:t>
            </w:r>
          </w:p>
        </w:tc>
        <w:tc>
          <w:tcPr>
            <w:tcW w:w="3240" w:type="dxa"/>
            <w:vAlign w:val="bottom"/>
            <w:tcBorders>
              <w:top w:val="single" w:sz="8" w:color="auto"/>
              <w:right w:val="single" w:sz="8" w:color="auto"/>
            </w:tcBorders>
            <w:shd w:val="clear" w:color="auto" w:fill="F2F2F2"/>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2022 Adjusted Operating Income</w:t>
            </w:r>
          </w:p>
        </w:tc>
        <w:tc>
          <w:tcPr>
            <w:tcW w:w="3140" w:type="dxa"/>
            <w:vAlign w:val="bottom"/>
            <w:tcBorders>
              <w:top w:val="single" w:sz="8" w:color="auto"/>
              <w:right w:val="single" w:sz="8" w:color="auto"/>
            </w:tcBorders>
            <w:gridSpan w:val="3"/>
            <w:shd w:val="clear" w:color="auto" w:fill="F2F2F2"/>
          </w:tcPr>
          <w:p>
            <w:pPr>
              <w:jc w:val="center"/>
              <w:ind w:right="40"/>
              <w:spacing w:after="0" w:line="181" w:lineRule="exact"/>
              <w:rPr>
                <w:sz w:val="20"/>
                <w:szCs w:val="20"/>
                <w:color w:val="auto"/>
              </w:rPr>
            </w:pPr>
            <w:r>
              <w:rPr>
                <w:rFonts w:ascii="Times New Roman" w:cs="Times New Roman" w:eastAsia="Times New Roman" w:hAnsi="Times New Roman"/>
                <w:sz w:val="18"/>
                <w:szCs w:val="18"/>
                <w:b w:val="1"/>
                <w:bCs w:val="1"/>
                <w:color w:val="auto"/>
              </w:rPr>
              <w:t>Performance Percentage</w:t>
            </w:r>
          </w:p>
        </w:tc>
      </w:tr>
      <w:tr>
        <w:trPr>
          <w:trHeight w:val="180"/>
        </w:trPr>
        <w:tc>
          <w:tcPr>
            <w:tcW w:w="3380" w:type="dxa"/>
            <w:vAlign w:val="bottom"/>
            <w:tcBorders>
              <w:left w:val="single" w:sz="8" w:color="auto"/>
              <w:right w:val="single" w:sz="8" w:color="auto"/>
            </w:tcBorders>
            <w:shd w:val="clear" w:color="auto" w:fill="F2F2F2"/>
          </w:tcPr>
          <w:p>
            <w:pPr>
              <w:spacing w:after="0"/>
              <w:rPr>
                <w:sz w:val="15"/>
                <w:szCs w:val="15"/>
                <w:color w:val="auto"/>
              </w:rPr>
            </w:pPr>
          </w:p>
        </w:tc>
        <w:tc>
          <w:tcPr>
            <w:tcW w:w="3240" w:type="dxa"/>
            <w:vAlign w:val="bottom"/>
            <w:tcBorders>
              <w:right w:val="single" w:sz="8" w:color="auto"/>
            </w:tcBorders>
            <w:shd w:val="clear" w:color="auto" w:fill="F2F2F2"/>
          </w:tcPr>
          <w:p>
            <w:pPr>
              <w:jc w:val="center"/>
              <w:spacing w:after="0" w:line="181"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80" w:type="dxa"/>
            <w:vAlign w:val="bottom"/>
            <w:shd w:val="clear" w:color="auto" w:fill="F2F2F2"/>
          </w:tcPr>
          <w:p>
            <w:pPr>
              <w:spacing w:after="0"/>
              <w:rPr>
                <w:sz w:val="15"/>
                <w:szCs w:val="15"/>
                <w:color w:val="auto"/>
              </w:rPr>
            </w:pPr>
          </w:p>
        </w:tc>
        <w:tc>
          <w:tcPr>
            <w:tcW w:w="1860" w:type="dxa"/>
            <w:vAlign w:val="bottom"/>
            <w:tcBorders>
              <w:right w:val="single" w:sz="8" w:color="auto"/>
            </w:tcBorders>
            <w:gridSpan w:val="2"/>
            <w:shd w:val="clear" w:color="auto" w:fill="F2F2F2"/>
          </w:tcPr>
          <w:p>
            <w:pPr>
              <w:jc w:val="center"/>
              <w:ind w:right="1300"/>
              <w:spacing w:after="0" w:line="181" w:lineRule="exact"/>
              <w:rPr>
                <w:sz w:val="20"/>
                <w:szCs w:val="20"/>
                <w:color w:val="auto"/>
              </w:rPr>
            </w:pPr>
            <w:r>
              <w:rPr>
                <w:rFonts w:ascii="Times New Roman" w:cs="Times New Roman" w:eastAsia="Times New Roman" w:hAnsi="Times New Roman"/>
                <w:sz w:val="18"/>
                <w:szCs w:val="18"/>
                <w:b w:val="1"/>
                <w:bCs w:val="1"/>
                <w:color w:val="auto"/>
              </w:rPr>
              <w:t>Score</w:t>
            </w:r>
          </w:p>
        </w:tc>
      </w:tr>
      <w:tr>
        <w:trPr>
          <w:trHeight w:val="245"/>
        </w:trPr>
        <w:tc>
          <w:tcPr>
            <w:tcW w:w="338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3240" w:type="dxa"/>
            <w:vAlign w:val="bottom"/>
            <w:tcBorders>
              <w:bottom w:val="single" w:sz="8" w:color="auto"/>
              <w:right w:val="single" w:sz="8" w:color="auto"/>
            </w:tcBorders>
            <w:shd w:val="clear" w:color="auto" w:fill="F2F2F2"/>
          </w:tcPr>
          <w:p>
            <w:pPr>
              <w:spacing w:after="0"/>
              <w:rPr>
                <w:sz w:val="21"/>
                <w:szCs w:val="21"/>
                <w:color w:val="auto"/>
              </w:rPr>
            </w:pPr>
          </w:p>
        </w:tc>
        <w:tc>
          <w:tcPr>
            <w:tcW w:w="3140" w:type="dxa"/>
            <w:vAlign w:val="bottom"/>
            <w:tcBorders>
              <w:bottom w:val="single" w:sz="8" w:color="auto"/>
              <w:right w:val="single" w:sz="8" w:color="auto"/>
            </w:tcBorders>
            <w:gridSpan w:val="3"/>
            <w:shd w:val="clear" w:color="auto" w:fill="F2F2F2"/>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200%</w:t>
            </w:r>
          </w:p>
        </w:tc>
        <w:tc>
          <w:tcPr>
            <w:tcW w:w="132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100%</w:t>
            </w:r>
          </w:p>
        </w:tc>
        <w:tc>
          <w:tcPr>
            <w:tcW w:w="132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6"/>
              </w:rPr>
              <w:t>50%</w:t>
            </w:r>
          </w:p>
        </w:tc>
        <w:tc>
          <w:tcPr>
            <w:tcW w:w="132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Threshold</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0%</w:t>
            </w:r>
          </w:p>
        </w:tc>
        <w:tc>
          <w:tcPr>
            <w:tcW w:w="1320" w:type="dxa"/>
            <w:vAlign w:val="bottom"/>
            <w:tcBorders>
              <w:bottom w:val="single" w:sz="8" w:color="auto"/>
              <w:right w:val="single" w:sz="8" w:color="auto"/>
            </w:tcBorders>
          </w:tcPr>
          <w:p>
            <w:pPr>
              <w:spacing w:after="0"/>
              <w:rPr>
                <w:sz w:val="19"/>
                <w:szCs w:val="19"/>
                <w:color w:val="auto"/>
              </w:rPr>
            </w:pPr>
          </w:p>
        </w:tc>
      </w:tr>
    </w:tbl>
    <w:p>
      <w:pPr>
        <w:spacing w:after="0" w:line="258" w:lineRule="exact"/>
        <w:rPr>
          <w:sz w:val="20"/>
          <w:szCs w:val="20"/>
          <w:color w:val="auto"/>
        </w:rPr>
      </w:pPr>
    </w:p>
    <w:p>
      <w:pPr>
        <w:ind w:right="540"/>
        <w:spacing w:after="0" w:line="241" w:lineRule="auto"/>
        <w:rPr>
          <w:sz w:val="20"/>
          <w:szCs w:val="20"/>
          <w:color w:val="auto"/>
        </w:rPr>
      </w:pPr>
      <w:r>
        <w:rPr>
          <w:rFonts w:ascii="Times New Roman" w:cs="Times New Roman" w:eastAsia="Times New Roman" w:hAnsi="Times New Roman"/>
          <w:sz w:val="18"/>
          <w:szCs w:val="18"/>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Years 2023 and 2024</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380" w:type="dxa"/>
            <w:vAlign w:val="bottom"/>
            <w:tcBorders>
              <w:top w:val="single" w:sz="8" w:color="auto"/>
              <w:left w:val="single" w:sz="8" w:color="auto"/>
              <w:right w:val="single" w:sz="8" w:color="auto"/>
            </w:tcBorders>
            <w:shd w:val="clear" w:color="auto" w:fill="F2F2F2"/>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9"/>
              </w:rPr>
              <w:t>Degree of Performance Attainment</w:t>
            </w:r>
          </w:p>
        </w:tc>
        <w:tc>
          <w:tcPr>
            <w:tcW w:w="3240" w:type="dxa"/>
            <w:vAlign w:val="bottom"/>
            <w:tcBorders>
              <w:top w:val="single" w:sz="8" w:color="auto"/>
              <w:right w:val="single" w:sz="8" w:color="auto"/>
            </w:tcBorders>
            <w:shd w:val="clear" w:color="auto" w:fill="F2F2F2"/>
          </w:tcPr>
          <w:p>
            <w:pPr>
              <w:ind w:left="100"/>
              <w:spacing w:after="0" w:line="171" w:lineRule="exact"/>
              <w:rPr>
                <w:sz w:val="20"/>
                <w:szCs w:val="20"/>
                <w:color w:val="auto"/>
              </w:rPr>
            </w:pPr>
            <w:r>
              <w:rPr>
                <w:rFonts w:ascii="Times New Roman" w:cs="Times New Roman" w:eastAsia="Times New Roman" w:hAnsi="Times New Roman"/>
                <w:sz w:val="18"/>
                <w:szCs w:val="18"/>
                <w:b w:val="1"/>
                <w:bCs w:val="1"/>
                <w:color w:val="auto"/>
              </w:rPr>
              <w:t>Growth in Adjusted Operating Income</w:t>
            </w:r>
          </w:p>
        </w:tc>
        <w:tc>
          <w:tcPr>
            <w:tcW w:w="3140" w:type="dxa"/>
            <w:vAlign w:val="bottom"/>
            <w:tcBorders>
              <w:top w:val="single" w:sz="8" w:color="auto"/>
              <w:right w:val="single" w:sz="8" w:color="auto"/>
            </w:tcBorders>
            <w:gridSpan w:val="3"/>
            <w:shd w:val="clear" w:color="auto" w:fill="F2F2F2"/>
          </w:tcPr>
          <w:p>
            <w:pPr>
              <w:jc w:val="center"/>
              <w:ind w:right="40"/>
              <w:spacing w:after="0" w:line="171" w:lineRule="exact"/>
              <w:rPr>
                <w:sz w:val="20"/>
                <w:szCs w:val="20"/>
                <w:color w:val="auto"/>
              </w:rPr>
            </w:pPr>
            <w:r>
              <w:rPr>
                <w:rFonts w:ascii="Times New Roman" w:cs="Times New Roman" w:eastAsia="Times New Roman" w:hAnsi="Times New Roman"/>
                <w:sz w:val="18"/>
                <w:szCs w:val="18"/>
                <w:b w:val="1"/>
                <w:bCs w:val="1"/>
                <w:color w:val="auto"/>
              </w:rPr>
              <w:t>Performance Percentage</w:t>
            </w:r>
          </w:p>
        </w:tc>
      </w:tr>
      <w:tr>
        <w:trPr>
          <w:trHeight w:val="180"/>
        </w:trPr>
        <w:tc>
          <w:tcPr>
            <w:tcW w:w="3380" w:type="dxa"/>
            <w:vAlign w:val="bottom"/>
            <w:tcBorders>
              <w:left w:val="single" w:sz="8" w:color="auto"/>
              <w:right w:val="single" w:sz="8" w:color="auto"/>
            </w:tcBorders>
            <w:shd w:val="clear" w:color="auto" w:fill="F2F2F2"/>
          </w:tcPr>
          <w:p>
            <w:pPr>
              <w:spacing w:after="0"/>
              <w:rPr>
                <w:sz w:val="15"/>
                <w:szCs w:val="15"/>
                <w:color w:val="auto"/>
              </w:rPr>
            </w:pPr>
          </w:p>
        </w:tc>
        <w:tc>
          <w:tcPr>
            <w:tcW w:w="3240" w:type="dxa"/>
            <w:vAlign w:val="bottom"/>
            <w:tcBorders>
              <w:right w:val="single" w:sz="8" w:color="auto"/>
            </w:tcBorders>
            <w:shd w:val="clear" w:color="auto" w:fill="F2F2F2"/>
          </w:tcPr>
          <w:p>
            <w:pPr>
              <w:spacing w:after="0"/>
              <w:rPr>
                <w:sz w:val="15"/>
                <w:szCs w:val="15"/>
                <w:color w:val="auto"/>
              </w:rPr>
            </w:pPr>
          </w:p>
        </w:tc>
        <w:tc>
          <w:tcPr>
            <w:tcW w:w="1300" w:type="dxa"/>
            <w:vAlign w:val="bottom"/>
            <w:shd w:val="clear" w:color="auto" w:fill="F2F2F2"/>
          </w:tcPr>
          <w:p>
            <w:pPr>
              <w:spacing w:after="0"/>
              <w:rPr>
                <w:sz w:val="15"/>
                <w:szCs w:val="15"/>
                <w:color w:val="auto"/>
              </w:rPr>
            </w:pPr>
          </w:p>
        </w:tc>
        <w:tc>
          <w:tcPr>
            <w:tcW w:w="1840" w:type="dxa"/>
            <w:vAlign w:val="bottom"/>
            <w:tcBorders>
              <w:right w:val="single" w:sz="8" w:color="auto"/>
            </w:tcBorders>
            <w:gridSpan w:val="2"/>
            <w:shd w:val="clear" w:color="auto" w:fill="F2F2F2"/>
          </w:tcPr>
          <w:p>
            <w:pPr>
              <w:jc w:val="center"/>
              <w:ind w:right="1320"/>
              <w:spacing w:after="0" w:line="181" w:lineRule="exact"/>
              <w:rPr>
                <w:sz w:val="20"/>
                <w:szCs w:val="20"/>
                <w:color w:val="auto"/>
              </w:rPr>
            </w:pPr>
            <w:r>
              <w:rPr>
                <w:rFonts w:ascii="Times New Roman" w:cs="Times New Roman" w:eastAsia="Times New Roman" w:hAnsi="Times New Roman"/>
                <w:sz w:val="18"/>
                <w:szCs w:val="18"/>
                <w:b w:val="1"/>
                <w:bCs w:val="1"/>
                <w:color w:val="auto"/>
              </w:rPr>
              <w:t>Score</w:t>
            </w:r>
          </w:p>
        </w:tc>
      </w:tr>
      <w:tr>
        <w:trPr>
          <w:trHeight w:val="245"/>
        </w:trPr>
        <w:tc>
          <w:tcPr>
            <w:tcW w:w="338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3240" w:type="dxa"/>
            <w:vAlign w:val="bottom"/>
            <w:tcBorders>
              <w:bottom w:val="single" w:sz="8" w:color="auto"/>
              <w:right w:val="single" w:sz="8" w:color="auto"/>
            </w:tcBorders>
            <w:shd w:val="clear" w:color="auto" w:fill="F2F2F2"/>
          </w:tcPr>
          <w:p>
            <w:pPr>
              <w:spacing w:after="0"/>
              <w:rPr>
                <w:sz w:val="21"/>
                <w:szCs w:val="21"/>
                <w:color w:val="auto"/>
              </w:rPr>
            </w:pPr>
          </w:p>
        </w:tc>
        <w:tc>
          <w:tcPr>
            <w:tcW w:w="3140" w:type="dxa"/>
            <w:vAlign w:val="bottom"/>
            <w:tcBorders>
              <w:bottom w:val="single" w:sz="8" w:color="auto"/>
              <w:right w:val="single" w:sz="8" w:color="auto"/>
            </w:tcBorders>
            <w:gridSpan w:val="3"/>
            <w:shd w:val="clear" w:color="auto" w:fill="F2F2F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200%</w:t>
            </w:r>
          </w:p>
        </w:tc>
        <w:tc>
          <w:tcPr>
            <w:tcW w:w="130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100%</w:t>
            </w:r>
          </w:p>
        </w:tc>
        <w:tc>
          <w:tcPr>
            <w:tcW w:w="130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6"/>
              </w:rPr>
              <w:t>50%</w:t>
            </w:r>
          </w:p>
        </w:tc>
        <w:tc>
          <w:tcPr>
            <w:tcW w:w="130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Threshold</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170"/>
        <w:spacing w:after="0" w:line="230" w:lineRule="auto"/>
        <w:rPr>
          <w:sz w:val="20"/>
          <w:szCs w:val="20"/>
          <w:color w:val="auto"/>
        </w:rPr>
      </w:pPr>
      <w:r>
        <w:rPr>
          <w:rFonts w:ascii="Times New Roman" w:cs="Times New Roman" w:eastAsia="Times New Roman" w:hAnsi="Times New Roman"/>
          <w:sz w:val="18"/>
          <w:szCs w:val="18"/>
          <w:color w:val="auto"/>
        </w:rPr>
        <w:t>As soon as practicable following the end of the first fiscal year, the Committee (or its designee) shall determine the Company’s performance percentage score for such fiscal year and shall determine the actual AOI (the “</w:t>
      </w:r>
      <w:r>
        <w:rPr>
          <w:rFonts w:ascii="Times New Roman" w:cs="Times New Roman" w:eastAsia="Times New Roman" w:hAnsi="Times New Roman"/>
          <w:sz w:val="18"/>
          <w:szCs w:val="18"/>
          <w:u w:val="single" w:color="auto"/>
          <w:color w:val="auto"/>
        </w:rPr>
        <w:t>Baseline AOI</w:t>
      </w:r>
      <w:r>
        <w:rPr>
          <w:rFonts w:ascii="Times New Roman" w:cs="Times New Roman" w:eastAsia="Times New Roman" w:hAnsi="Times New Roman"/>
          <w:sz w:val="18"/>
          <w:szCs w:val="18"/>
          <w:color w:val="auto"/>
        </w:rPr>
        <w:t>”) as of the end of the first fiscal year. At the end of the second fiscal</w:t>
      </w:r>
    </w:p>
    <w:p>
      <w:pPr>
        <w:sectPr>
          <w:pgSz w:w="11900" w:h="16838" w:orient="portrait"/>
          <w:cols w:equalWidth="0" w:num="1">
            <w:col w:w="10760"/>
          </w:cols>
          <w:pgMar w:left="320" w:top="1335" w:right="819" w:bottom="1440" w:gutter="0" w:footer="0" w:header="0"/>
        </w:sectPr>
      </w:pPr>
    </w:p>
    <w:bookmarkStart w:id="55" w:name="page56"/>
    <w:bookmarkEnd w:id="55"/>
    <w:p>
      <w:pPr>
        <w:ind w:right="140"/>
        <w:spacing w:after="0" w:line="241" w:lineRule="auto"/>
        <w:rPr>
          <w:sz w:val="20"/>
          <w:szCs w:val="20"/>
          <w:color w:val="auto"/>
        </w:rPr>
      </w:pPr>
      <w:r>
        <w:rPr>
          <w:rFonts w:ascii="Times New Roman" w:cs="Times New Roman" w:eastAsia="Times New Roman" w:hAnsi="Times New Roman"/>
          <w:sz w:val="18"/>
          <w:szCs w:val="18"/>
          <w:color w:val="auto"/>
        </w:rPr>
        <w:t>year in the Performance Period, the Committee shall determine (i) the actual AOI as of the end of the second fiscal year in the Performance Period (the “</w:t>
      </w:r>
      <w:r>
        <w:rPr>
          <w:rFonts w:ascii="Times New Roman" w:cs="Times New Roman" w:eastAsia="Times New Roman" w:hAnsi="Times New Roman"/>
          <w:sz w:val="18"/>
          <w:szCs w:val="18"/>
          <w:u w:val="single" w:color="auto"/>
          <w:color w:val="auto"/>
        </w:rPr>
        <w:t>Actual AOI</w:t>
      </w:r>
      <w:r>
        <w:rPr>
          <w:rFonts w:ascii="Times New Roman" w:cs="Times New Roman" w:eastAsia="Times New Roman" w:hAnsi="Times New Roman"/>
          <w:sz w:val="18"/>
          <w:szCs w:val="18"/>
          <w:color w:val="auto"/>
        </w:rPr>
        <w:t>”) and (ii) the percentage growth between the Baseline AOI and the Actual AOI for the second fiscal year as follows:</w:t>
      </w:r>
    </w:p>
    <w:p>
      <w:pPr>
        <w:spacing w:after="0" w:line="17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((Actual AOI for the second year – Baseline AOI) / (Baseline AOI))</w:t>
      </w:r>
    </w:p>
    <w:p>
      <w:pPr>
        <w:spacing w:after="0" w:line="206"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8"/>
          <w:szCs w:val="18"/>
          <w:color w:val="auto"/>
        </w:rPr>
        <w:t>As soon as practicable following the end of the second fiscal year, the Committee (or its designee) shall determine the Company’s performance percentage score for such fiscal year.</w:t>
      </w:r>
    </w:p>
    <w:p>
      <w:pPr>
        <w:spacing w:after="0" w:line="177" w:lineRule="exact"/>
        <w:rPr>
          <w:sz w:val="20"/>
          <w:szCs w:val="20"/>
          <w:color w:val="auto"/>
        </w:rPr>
      </w:pPr>
    </w:p>
    <w:p>
      <w:pPr>
        <w:ind w:right="60" w:firstLine="180"/>
        <w:spacing w:after="0" w:line="230" w:lineRule="auto"/>
        <w:rPr>
          <w:sz w:val="20"/>
          <w:szCs w:val="20"/>
          <w:color w:val="auto"/>
        </w:rPr>
      </w:pPr>
      <w:r>
        <w:rPr>
          <w:rFonts w:ascii="Times New Roman" w:cs="Times New Roman" w:eastAsia="Times New Roman" w:hAnsi="Times New Roman"/>
          <w:sz w:val="18"/>
          <w:szCs w:val="18"/>
          <w:color w:val="auto"/>
        </w:rPr>
        <w:t>For the third fiscal year in the Performance Period, the Committee shall make the same determination with respect to Actual AOI and percentage growth as set forth above; provided, however, that the percentage growth shall be determined between the Actual AOI as of the end of the second fiscal year in the Performance Period and the Actual AOI as of the end of the third fiscal year in the Performance Period.</w:t>
      </w:r>
    </w:p>
    <w:p>
      <w:pPr>
        <w:spacing w:after="0" w:line="178" w:lineRule="exact"/>
        <w:rPr>
          <w:sz w:val="20"/>
          <w:szCs w:val="20"/>
          <w:color w:val="auto"/>
        </w:rPr>
      </w:pPr>
    </w:p>
    <w:p>
      <w:pPr>
        <w:ind w:firstLine="619"/>
        <w:spacing w:after="0" w:line="219" w:lineRule="auto"/>
        <w:rPr>
          <w:sz w:val="20"/>
          <w:szCs w:val="20"/>
          <w:color w:val="auto"/>
        </w:rPr>
      </w:pPr>
      <w:r>
        <w:rPr>
          <w:rFonts w:ascii="Times New Roman" w:cs="Times New Roman" w:eastAsia="Times New Roman" w:hAnsi="Times New Roman"/>
          <w:sz w:val="18"/>
          <w:szCs w:val="18"/>
          <w:color w:val="auto"/>
        </w:rPr>
        <w:t>In the case of any individual merger, acquisition, or divestiture for which the net assets acquired or disposed, on an annualized basis, generate an annual run rate AOI in excess of 2% of the Baseline AOI in the fiscal year such transaction closes (each, an “</w:t>
      </w:r>
      <w:r>
        <w:rPr>
          <w:rFonts w:ascii="Times New Roman" w:cs="Times New Roman" w:eastAsia="Times New Roman" w:hAnsi="Times New Roman"/>
          <w:sz w:val="18"/>
          <w:szCs w:val="18"/>
          <w:u w:val="single" w:color="auto"/>
          <w:color w:val="auto"/>
        </w:rPr>
        <w:t>Excluded Transaction</w:t>
      </w:r>
      <w:r>
        <w:rPr>
          <w:rFonts w:ascii="Times New Roman" w:cs="Times New Roman" w:eastAsia="Times New Roman" w:hAnsi="Times New Roman"/>
          <w:sz w:val="18"/>
          <w:szCs w:val="18"/>
          <w:color w:val="auto"/>
        </w:rPr>
        <w:t>”), the AOI results attributable to such Excluded Transaction shall be excluded from the AOI results for the fiscal year in which such Excluded Transaction closes for purposes of calculating the annual AOI growth for such fiscal year. Notwithstanding the foregoing, for purposes of calculating the annual AOI growth for any fiscal year in the Performance Period after such Excluded Transaction closes, the AOI results attributable to such Excluded Transaction shall be included in the prior fiscal year AOI results, on an annualized basis.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Following the last day of the Performance Period, the Committee shall average the percentage performance scores achieved with respect to</w:t>
      </w:r>
    </w:p>
    <w:p>
      <w:pPr>
        <w:spacing w:after="0" w:line="209" w:lineRule="auto"/>
        <w:rPr>
          <w:sz w:val="20"/>
          <w:szCs w:val="20"/>
          <w:color w:val="auto"/>
        </w:rPr>
      </w:pPr>
      <w:r>
        <w:rPr>
          <w:rFonts w:ascii="Times New Roman" w:cs="Times New Roman" w:eastAsia="Times New Roman" w:hAnsi="Times New Roman"/>
          <w:sz w:val="18"/>
          <w:szCs w:val="18"/>
          <w:color w:val="auto"/>
        </w:rPr>
        <w:t>each fiscal year in the Performance Period to determine the actual Payout percentage for the AOI PSUs. The number of AOI PSUs that become</w:t>
      </w:r>
    </w:p>
    <w:p>
      <w:pPr>
        <w:spacing w:after="0" w:line="2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Earned PSUs</w:t>
      </w:r>
      <w:r>
        <w:rPr>
          <w:rFonts w:ascii="Times New Roman" w:cs="Times New Roman" w:eastAsia="Times New Roman" w:hAnsi="Times New Roman"/>
          <w:sz w:val="18"/>
          <w:szCs w:val="18"/>
          <w:color w:val="auto"/>
        </w:rPr>
        <w:t>” for the Performance Period shall be equal to (x) the number of Target AOI PSUs multiplied by (y) the applicable Payout percentage</w:t>
      </w:r>
    </w:p>
    <w:p>
      <w:pPr>
        <w:spacing w:after="0"/>
        <w:rPr>
          <w:sz w:val="20"/>
          <w:szCs w:val="20"/>
          <w:color w:val="auto"/>
        </w:rPr>
      </w:pPr>
      <w:r>
        <w:rPr>
          <w:rFonts w:ascii="Times New Roman" w:cs="Times New Roman" w:eastAsia="Times New Roman" w:hAnsi="Times New Roman"/>
          <w:sz w:val="18"/>
          <w:szCs w:val="18"/>
          <w:color w:val="auto"/>
        </w:rPr>
        <w:t>earned (calculated as set forth above), rounded up to the nearest whole unit.</w:t>
      </w:r>
    </w:p>
    <w:p>
      <w:pPr>
        <w:sectPr>
          <w:pgSz w:w="11900" w:h="16838" w:orient="portrait"/>
          <w:cols w:equalWidth="0" w:num="1">
            <w:col w:w="10720"/>
          </w:cols>
          <w:pgMar w:left="320" w:top="1338" w:right="859" w:bottom="1440" w:gutter="0" w:footer="0" w:header="0"/>
        </w:sectPr>
      </w:pPr>
    </w:p>
    <w:bookmarkStart w:id="56" w:name="page57"/>
    <w:bookmarkEnd w:id="56"/>
    <w:p>
      <w:pPr>
        <w:spacing w:after="0" w:line="33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17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9"/>
          <w:szCs w:val="19"/>
          <w:b w:val="1"/>
          <w:bCs w:val="1"/>
          <w:u w:val="single" w:color="auto"/>
          <w:color w:val="auto"/>
        </w:rPr>
        <w:t>PERFORMANCE GOALS</w:t>
      </w:r>
    </w:p>
    <w:p>
      <w:pPr>
        <w:spacing w:after="0" w:line="7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9"/>
          <w:szCs w:val="19"/>
          <w:b w:val="1"/>
          <w:bCs w:val="1"/>
          <w:u w:val="single" w:color="auto"/>
          <w:color w:val="auto"/>
        </w:rPr>
        <w:t>(ROIC)</w:t>
      </w:r>
    </w:p>
    <w:p>
      <w:pPr>
        <w:spacing w:after="0" w:line="39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The Participant may earn a percentage of the ROIC PSUs based on the average of the Company’s performance percentage scores against Performance Conditions relating to ROIC for each of the three fiscal years in the Performance Period, as provided in the following tables. In each case, the performance percentage score between performance levels will be determined to the nearest hundredth of a percentage point using linear interpolation.</w:t>
      </w:r>
    </w:p>
    <w:p>
      <w:pPr>
        <w:spacing w:after="0" w:line="178"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For purposes of the ROIC PSUs, “</w:t>
      </w:r>
      <w:r>
        <w:rPr>
          <w:rFonts w:ascii="Times New Roman" w:cs="Times New Roman" w:eastAsia="Times New Roman" w:hAnsi="Times New Roman"/>
          <w:sz w:val="18"/>
          <w:szCs w:val="18"/>
          <w:u w:val="single" w:color="auto"/>
          <w:color w:val="auto"/>
        </w:rPr>
        <w:t>ROIC</w:t>
      </w:r>
      <w:r>
        <w:rPr>
          <w:rFonts w:ascii="Times New Roman" w:cs="Times New Roman" w:eastAsia="Times New Roman" w:hAnsi="Times New Roman"/>
          <w:sz w:val="18"/>
          <w:szCs w:val="18"/>
          <w:color w:val="auto"/>
        </w:rPr>
        <w:t>” means (Annual Adjusted Operating Income excluding margin on unearned revenue plus annual rent expenses less taxes, divided by (trailing 13 month average adjusted net property, plant and equipment plus trailing 13 month average net working capital plus annual rent expense *6).</w:t>
      </w:r>
    </w:p>
    <w:p>
      <w:pPr>
        <w:spacing w:after="0" w:line="17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Performance Conditions for the first fiscal year in the Performance Period shall be based on achievement of specified annual ROIC goals, as provided in the following 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380" w:type="dxa"/>
            <w:vAlign w:val="bottom"/>
            <w:tcBorders>
              <w:top w:val="single" w:sz="8" w:color="auto"/>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Degree of Performance Attainment</w:t>
            </w:r>
          </w:p>
        </w:tc>
        <w:tc>
          <w:tcPr>
            <w:tcW w:w="3240" w:type="dxa"/>
            <w:vAlign w:val="bottom"/>
            <w:tcBorders>
              <w:top w:val="single" w:sz="8" w:color="auto"/>
              <w:right w:val="single" w:sz="8" w:color="auto"/>
            </w:tcBorders>
          </w:tcPr>
          <w:p>
            <w:pPr>
              <w:ind w:left="1160"/>
              <w:spacing w:after="0" w:line="181" w:lineRule="exact"/>
              <w:rPr>
                <w:sz w:val="20"/>
                <w:szCs w:val="20"/>
                <w:color w:val="auto"/>
              </w:rPr>
            </w:pPr>
            <w:r>
              <w:rPr>
                <w:rFonts w:ascii="Times New Roman" w:cs="Times New Roman" w:eastAsia="Times New Roman" w:hAnsi="Times New Roman"/>
                <w:sz w:val="18"/>
                <w:szCs w:val="18"/>
                <w:b w:val="1"/>
                <w:bCs w:val="1"/>
                <w:color w:val="auto"/>
              </w:rPr>
              <w:t>2022 ROIC</w:t>
            </w:r>
          </w:p>
        </w:tc>
        <w:tc>
          <w:tcPr>
            <w:tcW w:w="3140" w:type="dxa"/>
            <w:vAlign w:val="bottom"/>
            <w:tcBorders>
              <w:top w:val="single" w:sz="8" w:color="auto"/>
              <w:right w:val="single" w:sz="8" w:color="auto"/>
            </w:tcBorders>
            <w:gridSpan w:val="3"/>
          </w:tcPr>
          <w:p>
            <w:pPr>
              <w:jc w:val="center"/>
              <w:ind w:right="40"/>
              <w:spacing w:after="0" w:line="181" w:lineRule="exact"/>
              <w:rPr>
                <w:sz w:val="20"/>
                <w:szCs w:val="20"/>
                <w:color w:val="auto"/>
              </w:rPr>
            </w:pPr>
            <w:r>
              <w:rPr>
                <w:rFonts w:ascii="Times New Roman" w:cs="Times New Roman" w:eastAsia="Times New Roman" w:hAnsi="Times New Roman"/>
                <w:sz w:val="18"/>
                <w:szCs w:val="18"/>
                <w:b w:val="1"/>
                <w:bCs w:val="1"/>
                <w:color w:val="auto"/>
              </w:rPr>
              <w:t>Performance Percentage</w:t>
            </w:r>
          </w:p>
        </w:tc>
      </w:tr>
      <w:tr>
        <w:trPr>
          <w:trHeight w:val="180"/>
        </w:trPr>
        <w:tc>
          <w:tcPr>
            <w:tcW w:w="338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860" w:type="dxa"/>
            <w:vAlign w:val="bottom"/>
            <w:tcBorders>
              <w:right w:val="single" w:sz="8" w:color="auto"/>
            </w:tcBorders>
            <w:gridSpan w:val="2"/>
          </w:tcPr>
          <w:p>
            <w:pPr>
              <w:jc w:val="center"/>
              <w:ind w:right="1300"/>
              <w:spacing w:after="0" w:line="181" w:lineRule="exact"/>
              <w:rPr>
                <w:sz w:val="20"/>
                <w:szCs w:val="20"/>
                <w:color w:val="auto"/>
              </w:rPr>
            </w:pPr>
            <w:r>
              <w:rPr>
                <w:rFonts w:ascii="Times New Roman" w:cs="Times New Roman" w:eastAsia="Times New Roman" w:hAnsi="Times New Roman"/>
                <w:sz w:val="18"/>
                <w:szCs w:val="18"/>
                <w:b w:val="1"/>
                <w:bCs w:val="1"/>
                <w:color w:val="auto"/>
              </w:rPr>
              <w:t>Score</w:t>
            </w:r>
          </w:p>
        </w:tc>
      </w:tr>
      <w:tr>
        <w:trPr>
          <w:trHeight w:val="193"/>
        </w:trPr>
        <w:tc>
          <w:tcPr>
            <w:tcW w:w="3380" w:type="dxa"/>
            <w:vAlign w:val="bottom"/>
            <w:tcBorders>
              <w:left w:val="single" w:sz="8" w:color="auto"/>
              <w:righ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32"/>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200%</w:t>
            </w:r>
          </w:p>
        </w:tc>
        <w:tc>
          <w:tcPr>
            <w:tcW w:w="132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100%</w:t>
            </w:r>
          </w:p>
        </w:tc>
        <w:tc>
          <w:tcPr>
            <w:tcW w:w="132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6"/>
              </w:rPr>
              <w:t>50%</w:t>
            </w:r>
          </w:p>
        </w:tc>
        <w:tc>
          <w:tcPr>
            <w:tcW w:w="132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Threshold</w:t>
            </w:r>
          </w:p>
        </w:tc>
        <w:tc>
          <w:tcPr>
            <w:tcW w:w="32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0%</w:t>
            </w:r>
          </w:p>
        </w:tc>
        <w:tc>
          <w:tcPr>
            <w:tcW w:w="1320" w:type="dxa"/>
            <w:vAlign w:val="bottom"/>
            <w:tcBorders>
              <w:bottom w:val="single" w:sz="8" w:color="auto"/>
              <w:right w:val="single" w:sz="8" w:color="auto"/>
            </w:tcBorders>
          </w:tcPr>
          <w:p>
            <w:pPr>
              <w:spacing w:after="0"/>
              <w:rPr>
                <w:sz w:val="19"/>
                <w:szCs w:val="19"/>
                <w:color w:val="auto"/>
              </w:rPr>
            </w:pPr>
          </w:p>
        </w:tc>
      </w:tr>
    </w:tbl>
    <w:p>
      <w:pPr>
        <w:spacing w:after="0" w:line="258"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8"/>
          <w:szCs w:val="18"/>
          <w:color w:val="auto"/>
        </w:rPr>
        <w:t>The Performance Conditions for the second and third fiscal years in the Performance Period shall be based on achievement of goals related to growth in annual Adjusted Operating Income, as provided in the following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Years 2023 and 2024</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380" w:type="dxa"/>
            <w:vAlign w:val="bottom"/>
            <w:tcBorders>
              <w:top w:val="single" w:sz="8" w:color="auto"/>
              <w:left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9"/>
              </w:rPr>
              <w:t>Degree of Performance Attainment</w:t>
            </w:r>
          </w:p>
        </w:tc>
        <w:tc>
          <w:tcPr>
            <w:tcW w:w="3240" w:type="dxa"/>
            <w:vAlign w:val="bottom"/>
            <w:tcBorders>
              <w:top w:val="single" w:sz="8" w:color="auto"/>
              <w:right w:val="single" w:sz="8" w:color="auto"/>
            </w:tcBorders>
          </w:tcPr>
          <w:p>
            <w:pPr>
              <w:ind w:left="960"/>
              <w:spacing w:after="0" w:line="171" w:lineRule="exact"/>
              <w:rPr>
                <w:sz w:val="20"/>
                <w:szCs w:val="20"/>
                <w:color w:val="auto"/>
              </w:rPr>
            </w:pPr>
            <w:r>
              <w:rPr>
                <w:rFonts w:ascii="Times New Roman" w:cs="Times New Roman" w:eastAsia="Times New Roman" w:hAnsi="Times New Roman"/>
                <w:sz w:val="18"/>
                <w:szCs w:val="18"/>
                <w:b w:val="1"/>
                <w:bCs w:val="1"/>
                <w:color w:val="auto"/>
              </w:rPr>
              <w:t>Growth in ROIC</w:t>
            </w:r>
          </w:p>
        </w:tc>
        <w:tc>
          <w:tcPr>
            <w:tcW w:w="3140" w:type="dxa"/>
            <w:vAlign w:val="bottom"/>
            <w:tcBorders>
              <w:top w:val="single" w:sz="8" w:color="auto"/>
              <w:right w:val="single" w:sz="8" w:color="auto"/>
            </w:tcBorders>
            <w:gridSpan w:val="3"/>
          </w:tcPr>
          <w:p>
            <w:pPr>
              <w:jc w:val="center"/>
              <w:ind w:right="40"/>
              <w:spacing w:after="0" w:line="171" w:lineRule="exact"/>
              <w:rPr>
                <w:sz w:val="20"/>
                <w:szCs w:val="20"/>
                <w:color w:val="auto"/>
              </w:rPr>
            </w:pPr>
            <w:r>
              <w:rPr>
                <w:rFonts w:ascii="Times New Roman" w:cs="Times New Roman" w:eastAsia="Times New Roman" w:hAnsi="Times New Roman"/>
                <w:sz w:val="18"/>
                <w:szCs w:val="18"/>
                <w:b w:val="1"/>
                <w:bCs w:val="1"/>
                <w:color w:val="auto"/>
              </w:rPr>
              <w:t>Performance Percentage</w:t>
            </w:r>
          </w:p>
        </w:tc>
      </w:tr>
      <w:tr>
        <w:trPr>
          <w:trHeight w:val="180"/>
        </w:trPr>
        <w:tc>
          <w:tcPr>
            <w:tcW w:w="338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ind w:left="980"/>
              <w:spacing w:after="0" w:line="181" w:lineRule="exact"/>
              <w:rPr>
                <w:sz w:val="20"/>
                <w:szCs w:val="20"/>
                <w:color w:val="auto"/>
              </w:rPr>
            </w:pPr>
            <w:r>
              <w:rPr>
                <w:rFonts w:ascii="Times New Roman" w:cs="Times New Roman" w:eastAsia="Times New Roman" w:hAnsi="Times New Roman"/>
                <w:sz w:val="18"/>
                <w:szCs w:val="18"/>
                <w:b w:val="1"/>
                <w:bCs w:val="1"/>
                <w:color w:val="auto"/>
              </w:rPr>
              <w:t>(increase in bps)</w:t>
            </w:r>
          </w:p>
        </w:tc>
        <w:tc>
          <w:tcPr>
            <w:tcW w:w="1300" w:type="dxa"/>
            <w:vAlign w:val="bottom"/>
          </w:tcPr>
          <w:p>
            <w:pPr>
              <w:spacing w:after="0"/>
              <w:rPr>
                <w:sz w:val="15"/>
                <w:szCs w:val="15"/>
                <w:color w:val="auto"/>
              </w:rPr>
            </w:pPr>
          </w:p>
        </w:tc>
        <w:tc>
          <w:tcPr>
            <w:tcW w:w="1840" w:type="dxa"/>
            <w:vAlign w:val="bottom"/>
            <w:tcBorders>
              <w:right w:val="single" w:sz="8" w:color="auto"/>
            </w:tcBorders>
            <w:gridSpan w:val="2"/>
          </w:tcPr>
          <w:p>
            <w:pPr>
              <w:jc w:val="center"/>
              <w:ind w:right="1320"/>
              <w:spacing w:after="0" w:line="181" w:lineRule="exact"/>
              <w:rPr>
                <w:sz w:val="20"/>
                <w:szCs w:val="20"/>
                <w:color w:val="auto"/>
              </w:rPr>
            </w:pPr>
            <w:r>
              <w:rPr>
                <w:rFonts w:ascii="Times New Roman" w:cs="Times New Roman" w:eastAsia="Times New Roman" w:hAnsi="Times New Roman"/>
                <w:sz w:val="18"/>
                <w:szCs w:val="18"/>
                <w:b w:val="1"/>
                <w:bCs w:val="1"/>
                <w:color w:val="auto"/>
              </w:rPr>
              <w:t>Score</w:t>
            </w:r>
          </w:p>
        </w:tc>
      </w:tr>
      <w:tr>
        <w:trPr>
          <w:trHeight w:val="193"/>
        </w:trPr>
        <w:tc>
          <w:tcPr>
            <w:tcW w:w="3380" w:type="dxa"/>
            <w:vAlign w:val="bottom"/>
            <w:tcBorders>
              <w:left w:val="single" w:sz="8" w:color="auto"/>
              <w:righ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140" w:type="dxa"/>
            <w:vAlign w:val="bottom"/>
            <w:tcBorders>
              <w:right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32"/>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200%</w:t>
            </w:r>
          </w:p>
        </w:tc>
        <w:tc>
          <w:tcPr>
            <w:tcW w:w="130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100%</w:t>
            </w:r>
          </w:p>
        </w:tc>
        <w:tc>
          <w:tcPr>
            <w:tcW w:w="130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6"/>
              </w:rPr>
              <w:t>50%</w:t>
            </w:r>
          </w:p>
        </w:tc>
        <w:tc>
          <w:tcPr>
            <w:tcW w:w="1300" w:type="dxa"/>
            <w:vAlign w:val="bottom"/>
            <w:tcBorders>
              <w:bottom w:val="single" w:sz="8" w:color="auto"/>
              <w:right w:val="single" w:sz="8" w:color="auto"/>
            </w:tcBorders>
          </w:tcPr>
          <w:p>
            <w:pPr>
              <w:spacing w:after="0"/>
              <w:rPr>
                <w:sz w:val="19"/>
                <w:szCs w:val="19"/>
                <w:color w:val="auto"/>
              </w:rPr>
            </w:pPr>
          </w:p>
        </w:tc>
      </w:tr>
      <w:tr>
        <w:trPr>
          <w:trHeight w:val="225"/>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Threshold</w:t>
            </w:r>
          </w:p>
        </w:tc>
        <w:tc>
          <w:tcPr>
            <w:tcW w:w="324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0540"/>
          </w:cols>
          <w:pgMar w:left="320" w:top="1440" w:right="1039" w:bottom="1440" w:gutter="0" w:footer="0" w:header="0"/>
        </w:sectPr>
      </w:pPr>
    </w:p>
    <w:bookmarkStart w:id="57" w:name="page58"/>
    <w:bookmarkEnd w:id="57"/>
    <w:p>
      <w:pPr>
        <w:ind w:right="160" w:firstLine="170"/>
        <w:spacing w:after="0" w:line="221" w:lineRule="auto"/>
        <w:rPr>
          <w:sz w:val="20"/>
          <w:szCs w:val="20"/>
          <w:color w:val="auto"/>
        </w:rPr>
      </w:pPr>
      <w:r>
        <w:rPr>
          <w:rFonts w:ascii="Times New Roman" w:cs="Times New Roman" w:eastAsia="Times New Roman" w:hAnsi="Times New Roman"/>
          <w:sz w:val="18"/>
          <w:szCs w:val="18"/>
          <w:color w:val="auto"/>
        </w:rPr>
        <w:t>As soon as practicable following the end of the first fiscal year, the Committee (or its designee) shall determine the Company’s performance percentage score for such fiscal year and shall determine the actual ROIC (the “</w:t>
      </w:r>
      <w:r>
        <w:rPr>
          <w:rFonts w:ascii="Times New Roman" w:cs="Times New Roman" w:eastAsia="Times New Roman" w:hAnsi="Times New Roman"/>
          <w:sz w:val="18"/>
          <w:szCs w:val="18"/>
          <w:u w:val="single" w:color="auto"/>
          <w:color w:val="auto"/>
        </w:rPr>
        <w:t>Baseline ROIC</w:t>
      </w:r>
      <w:r>
        <w:rPr>
          <w:rFonts w:ascii="Times New Roman" w:cs="Times New Roman" w:eastAsia="Times New Roman" w:hAnsi="Times New Roman"/>
          <w:sz w:val="18"/>
          <w:szCs w:val="18"/>
          <w:color w:val="auto"/>
        </w:rPr>
        <w:t>”) as of the end of the first fiscal year. At the end of the second fiscal year in the Performance Period, the Committee shall determine (i) the actual ROIC as of the end of the second fiscal year in the Performance Period (the “</w:t>
      </w:r>
      <w:r>
        <w:rPr>
          <w:rFonts w:ascii="Times New Roman" w:cs="Times New Roman" w:eastAsia="Times New Roman" w:hAnsi="Times New Roman"/>
          <w:sz w:val="18"/>
          <w:szCs w:val="18"/>
          <w:u w:val="single" w:color="auto"/>
          <w:color w:val="auto"/>
        </w:rPr>
        <w:t>Actual ROIC</w:t>
      </w:r>
      <w:r>
        <w:rPr>
          <w:rFonts w:ascii="Times New Roman" w:cs="Times New Roman" w:eastAsia="Times New Roman" w:hAnsi="Times New Roman"/>
          <w:sz w:val="18"/>
          <w:szCs w:val="18"/>
          <w:color w:val="auto"/>
        </w:rPr>
        <w:t>”) and (ii) the change in bps between the Baseline ROIC and the Actual ROIC for the second fiscal year as follows:</w:t>
      </w:r>
    </w:p>
    <w:p>
      <w:pPr>
        <w:spacing w:after="0" w:line="1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(Actual ROIC for the second year – Baseline ROIC) * 10,000</w:t>
      </w:r>
    </w:p>
    <w:p>
      <w:pPr>
        <w:spacing w:after="0" w:line="206"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18"/>
          <w:szCs w:val="18"/>
          <w:color w:val="auto"/>
        </w:rPr>
        <w:t>As soon as practicable following the end of the second fiscal year, the Committee (or its designee) shall determine the Company’s performance percentage score for such fiscal year.</w:t>
      </w:r>
    </w:p>
    <w:p>
      <w:pPr>
        <w:spacing w:after="0" w:line="177" w:lineRule="exact"/>
        <w:rPr>
          <w:sz w:val="20"/>
          <w:szCs w:val="20"/>
          <w:color w:val="auto"/>
        </w:rPr>
      </w:pPr>
    </w:p>
    <w:p>
      <w:pPr>
        <w:ind w:right="60" w:firstLine="180"/>
        <w:spacing w:after="0" w:line="230" w:lineRule="auto"/>
        <w:rPr>
          <w:sz w:val="20"/>
          <w:szCs w:val="20"/>
          <w:color w:val="auto"/>
        </w:rPr>
      </w:pPr>
      <w:r>
        <w:rPr>
          <w:rFonts w:ascii="Times New Roman" w:cs="Times New Roman" w:eastAsia="Times New Roman" w:hAnsi="Times New Roman"/>
          <w:sz w:val="18"/>
          <w:szCs w:val="18"/>
          <w:color w:val="auto"/>
        </w:rPr>
        <w:t>For the third fiscal year in the Performance Period, the Committee shall make the same determination with respect to Actual ROIC and change in bps as set forth above; provided, however, that the change in bps shall be determined between the Actual ROIC as of the end of the second fiscal year in the Performance Period and the Actual ROIC as of the end of the third fiscal year in the Performance Period.</w:t>
      </w:r>
    </w:p>
    <w:p>
      <w:pPr>
        <w:spacing w:after="0" w:line="178" w:lineRule="exact"/>
        <w:rPr>
          <w:sz w:val="20"/>
          <w:szCs w:val="20"/>
          <w:color w:val="auto"/>
        </w:rPr>
      </w:pPr>
    </w:p>
    <w:p>
      <w:pPr>
        <w:ind w:firstLine="619"/>
        <w:spacing w:after="0" w:line="219" w:lineRule="auto"/>
        <w:rPr>
          <w:sz w:val="20"/>
          <w:szCs w:val="20"/>
          <w:color w:val="auto"/>
        </w:rPr>
      </w:pPr>
      <w:r>
        <w:rPr>
          <w:rFonts w:ascii="Times New Roman" w:cs="Times New Roman" w:eastAsia="Times New Roman" w:hAnsi="Times New Roman"/>
          <w:sz w:val="18"/>
          <w:szCs w:val="18"/>
          <w:color w:val="auto"/>
        </w:rPr>
        <w:t>In the case of any individual merger, acquisition, or divestiture for which the net assets acquired or disposed, on an annualized basis, generate an annual run rate ROIC in excess of 2% of the Baseline ROIC in the fiscal year such transaction closes (each, an “</w:t>
      </w:r>
      <w:r>
        <w:rPr>
          <w:rFonts w:ascii="Times New Roman" w:cs="Times New Roman" w:eastAsia="Times New Roman" w:hAnsi="Times New Roman"/>
          <w:sz w:val="18"/>
          <w:szCs w:val="18"/>
          <w:u w:val="single" w:color="auto"/>
          <w:color w:val="auto"/>
        </w:rPr>
        <w:t>Excluded Transaction</w:t>
      </w:r>
      <w:r>
        <w:rPr>
          <w:rFonts w:ascii="Times New Roman" w:cs="Times New Roman" w:eastAsia="Times New Roman" w:hAnsi="Times New Roman"/>
          <w:sz w:val="18"/>
          <w:szCs w:val="18"/>
          <w:color w:val="auto"/>
        </w:rPr>
        <w:t>”), the ROIC results attributable to such Excluded Transaction shall be excluded from the ROIC results for the fiscal year in which such Excluded Transaction closes for purposes of calculating the annual ROIC growth for such fiscal year. Notwithstanding the foregoing, for purposes of calculating the annual ROIC growth for any fiscal year in the Performance Period after such Excluded Transaction closes, the ROIC results attributable to such Excluded Transaction shall be included in the prior fiscal year ROIC results, on an annualized basis.</w:t>
      </w:r>
    </w:p>
    <w:p>
      <w:pPr>
        <w:spacing w:after="0" w:line="182" w:lineRule="exact"/>
        <w:rPr>
          <w:sz w:val="20"/>
          <w:szCs w:val="20"/>
          <w:color w:val="auto"/>
        </w:rPr>
      </w:pPr>
    </w:p>
    <w:p>
      <w:pPr>
        <w:ind w:right="80" w:firstLine="619"/>
        <w:spacing w:after="0" w:line="225" w:lineRule="auto"/>
        <w:rPr>
          <w:sz w:val="20"/>
          <w:szCs w:val="20"/>
          <w:color w:val="auto"/>
        </w:rPr>
      </w:pPr>
      <w:r>
        <w:rPr>
          <w:rFonts w:ascii="Times New Roman" w:cs="Times New Roman" w:eastAsia="Times New Roman" w:hAnsi="Times New Roman"/>
          <w:sz w:val="18"/>
          <w:szCs w:val="18"/>
          <w:color w:val="auto"/>
        </w:rPr>
        <w:t>Following the last day of the Performance Period, the Committee shall average the percentage performance scores achieved with respect to each fiscal year in the Performance Period to determine the actual Payout percentage for the ROIC PSUs. The number of ROIC PSUs that become “Earned PSUs” for the Performance Period shall be equal to (x) the number of Target ROIC PSUs multiplied by (y) the applicable Payout percentage earned (calculated as set forth above), rounded up to the nearest whole unit.</w:t>
      </w:r>
    </w:p>
    <w:p>
      <w:pPr>
        <w:sectPr>
          <w:pgSz w:w="11900" w:h="16838" w:orient="portrait"/>
          <w:cols w:equalWidth="0" w:num="1">
            <w:col w:w="10740"/>
          </w:cols>
          <w:pgMar w:left="320" w:top="1338" w:right="839" w:bottom="1440" w:gutter="0" w:footer="0" w:header="0"/>
        </w:sectPr>
      </w:pPr>
    </w:p>
    <w:bookmarkStart w:id="58" w:name="page59"/>
    <w:bookmarkEnd w:id="58"/>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STOCK UNIT AGREEMENT</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Pursuant to the Performance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delivered to the Participant (as defined in the Grant Notice), and subject to the terms of this Performance Stock Unit Agreement (this “</w:t>
      </w:r>
      <w:r>
        <w:rPr>
          <w:rFonts w:ascii="Times New Roman" w:cs="Times New Roman" w:eastAsia="Times New Roman" w:hAnsi="Times New Roman"/>
          <w:sz w:val="21"/>
          <w:szCs w:val="21"/>
          <w:u w:val="single" w:color="auto"/>
          <w:color w:val="auto"/>
        </w:rPr>
        <w:t>Performance Stock Unit Agreement</w:t>
      </w:r>
      <w:r>
        <w:rPr>
          <w:rFonts w:ascii="Times New Roman" w:cs="Times New Roman" w:eastAsia="Times New Roman" w:hAnsi="Times New Roman"/>
          <w:sz w:val="21"/>
          <w:szCs w:val="21"/>
          <w:color w:val="auto"/>
        </w:rPr>
        <w:t>”) and the National Vision Holdings, Inc.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Participant agree as follows. Capitalized terms not otherwise defined herein shall have the same meaning as set forth in the Plan.</w:t>
      </w:r>
    </w:p>
    <w:p>
      <w:pPr>
        <w:spacing w:after="0" w:line="142" w:lineRule="exact"/>
        <w:rPr>
          <w:sz w:val="20"/>
          <w:szCs w:val="20"/>
          <w:color w:val="auto"/>
        </w:rPr>
      </w:pPr>
    </w:p>
    <w:p>
      <w:pPr>
        <w:jc w:val="both"/>
        <w:ind w:firstLine="1241"/>
        <w:spacing w:after="0" w:line="225" w:lineRule="auto"/>
        <w:tabs>
          <w:tab w:leader="none" w:pos="148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Performance Stock Units</w:t>
      </w:r>
      <w:r>
        <w:rPr>
          <w:rFonts w:ascii="Times New Roman" w:cs="Times New Roman" w:eastAsia="Times New Roman" w:hAnsi="Times New Roman"/>
          <w:sz w:val="20"/>
          <w:szCs w:val="20"/>
          <w:color w:val="auto"/>
        </w:rPr>
        <w:t>. Subject to the terms and conditions set forth herein and in the Plan,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hereby 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40" w:lineRule="exact"/>
        <w:rPr>
          <w:rFonts w:ascii="Times New Roman" w:cs="Times New Roman" w:eastAsia="Times New Roman" w:hAnsi="Times New Roman"/>
          <w:sz w:val="20"/>
          <w:szCs w:val="20"/>
          <w:color w:val="auto"/>
        </w:rPr>
      </w:pPr>
    </w:p>
    <w:p>
      <w:pPr>
        <w:ind w:firstLine="1241"/>
        <w:spacing w:after="0" w:line="237" w:lineRule="auto"/>
        <w:tabs>
          <w:tab w:leader="none" w:pos="145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Subject to the conditions contained herein and in the Plan, the Performance Stock Units shall vest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restrictions on such Performance Stock Units shall lapse as provided in the Grant Notice.</w:t>
      </w:r>
    </w:p>
    <w:p>
      <w:pPr>
        <w:spacing w:after="0" w:line="141" w:lineRule="exact"/>
        <w:rPr>
          <w:rFonts w:ascii="Times New Roman" w:cs="Times New Roman" w:eastAsia="Times New Roman" w:hAnsi="Times New Roman"/>
          <w:sz w:val="21"/>
          <w:szCs w:val="21"/>
          <w:color w:val="auto"/>
        </w:rPr>
      </w:pPr>
    </w:p>
    <w:p>
      <w:pPr>
        <w:jc w:val="both"/>
        <w:ind w:firstLine="1241"/>
        <w:spacing w:after="0" w:line="226" w:lineRule="auto"/>
        <w:tabs>
          <w:tab w:leader="none" w:pos="145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Performance Stock Units</w:t>
      </w:r>
      <w:r>
        <w:rPr>
          <w:rFonts w:ascii="Times New Roman" w:cs="Times New Roman" w:eastAsia="Times New Roman" w:hAnsi="Times New Roman"/>
          <w:sz w:val="21"/>
          <w:szCs w:val="21"/>
          <w:color w:val="auto"/>
        </w:rPr>
        <w:t>. The provisions of Section 9(d)(ii) of the Plan are incorporated herein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reference and made a part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will settlement of a Performance Stock Unit occur more than thirty (30) days following the expiration of its Restricted Period.</w:t>
      </w:r>
    </w:p>
    <w:p>
      <w:pPr>
        <w:spacing w:after="0" w:line="142"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firstLine="1241"/>
        <w:spacing w:after="0" w:line="235" w:lineRule="auto"/>
        <w:tabs>
          <w:tab w:leader="none" w:pos="152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Performance Stock Unit Agreement with reference to employment shall include the Company and its Subsidiaries.</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54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ectPr>
          <w:pgSz w:w="11900" w:h="16838" w:orient="portrait"/>
          <w:cols w:equalWidth="0" w:num="1">
            <w:col w:w="11240"/>
          </w:cols>
          <w:pgMar w:left="320" w:top="1440" w:right="339" w:bottom="1440" w:gutter="0" w:footer="0" w:header="0"/>
        </w:sectPr>
      </w:pPr>
    </w:p>
    <w:bookmarkStart w:id="59" w:name="page60"/>
    <w:bookmarkEnd w:id="59"/>
    <w:p>
      <w:pPr>
        <w:jc w:val="both"/>
        <w:ind w:firstLine="1241"/>
        <w:spacing w:after="0" w:line="220" w:lineRule="auto"/>
        <w:tabs>
          <w:tab w:leader="none" w:pos="157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is used in any provision of this Performance Stock Unit Agreement under circumstances where the provision should logically be construed to apply to the executors, the administrators, or the person or persons to whom the Performance Stock Units may be transferred by will or by the laws of descent and distribution, the word “Participant” shall be deemed to include such person or persons.</w:t>
      </w:r>
    </w:p>
    <w:p>
      <w:pPr>
        <w:spacing w:after="0" w:line="142" w:lineRule="exact"/>
        <w:rPr>
          <w:sz w:val="20"/>
          <w:szCs w:val="20"/>
          <w:color w:val="auto"/>
        </w:rPr>
      </w:pPr>
    </w:p>
    <w:p>
      <w:pPr>
        <w:jc w:val="both"/>
        <w:ind w:firstLine="1241"/>
        <w:spacing w:after="0" w:line="218" w:lineRule="auto"/>
        <w:tabs>
          <w:tab w:leader="none" w:pos="148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Performance Stock Units are not transferable by the Participant except to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40"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4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Participant or a Permitted Transferee of the Performance Stock Units shall have no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32"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 part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w:t>
      </w:r>
    </w:p>
    <w:p>
      <w:pPr>
        <w:spacing w:after="0" w:line="145" w:lineRule="exact"/>
        <w:rPr>
          <w:rFonts w:ascii="Times New Roman" w:cs="Times New Roman" w:eastAsia="Times New Roman" w:hAnsi="Times New Roman"/>
          <w:sz w:val="21"/>
          <w:szCs w:val="21"/>
          <w:color w:val="auto"/>
        </w:rPr>
      </w:pPr>
    </w:p>
    <w:p>
      <w:pPr>
        <w:jc w:val="both"/>
        <w:ind w:firstLine="1241"/>
        <w:spacing w:after="0" w:line="222" w:lineRule="auto"/>
        <w:tabs>
          <w:tab w:leader="none" w:pos="14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Performance Stock Unit Agreement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8" w:lineRule="exact"/>
        <w:rPr>
          <w:rFonts w:ascii="Times New Roman" w:cs="Times New Roman" w:eastAsia="Times New Roman" w:hAnsi="Times New Roman"/>
          <w:sz w:val="20"/>
          <w:szCs w:val="20"/>
          <w:color w:val="auto"/>
        </w:rPr>
      </w:pPr>
    </w:p>
    <w:p>
      <w:pPr>
        <w:ind w:firstLine="1241"/>
        <w:spacing w:after="0" w:line="237" w:lineRule="auto"/>
        <w:tabs>
          <w:tab w:leader="none" w:pos="145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Right to Continued Service</w:t>
      </w:r>
      <w:r>
        <w:rPr>
          <w:rFonts w:ascii="Times New Roman" w:cs="Times New Roman" w:eastAsia="Times New Roman" w:hAnsi="Times New Roman"/>
          <w:sz w:val="21"/>
          <w:szCs w:val="21"/>
          <w:color w:val="auto"/>
        </w:rPr>
        <w:t>. This Performance Stock Unit Agreement does not confer upon the Participant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 to continue as an employee or service provider to the Company.</w:t>
      </w:r>
    </w:p>
    <w:p>
      <w:pPr>
        <w:spacing w:after="0" w:line="141" w:lineRule="exact"/>
        <w:rPr>
          <w:rFonts w:ascii="Times New Roman" w:cs="Times New Roman" w:eastAsia="Times New Roman" w:hAnsi="Times New Roman"/>
          <w:sz w:val="21"/>
          <w:szCs w:val="21"/>
          <w:color w:val="auto"/>
        </w:rPr>
      </w:pPr>
    </w:p>
    <w:p>
      <w:pPr>
        <w:ind w:firstLine="1241"/>
        <w:spacing w:after="0" w:line="237" w:lineRule="auto"/>
        <w:tabs>
          <w:tab w:leader="none" w:pos="154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Performance Stock Unit Agreement shall be binding upon the heirs, executors, administrators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successors of the parties hereto.</w:t>
      </w:r>
    </w:p>
    <w:p>
      <w:pPr>
        <w:spacing w:after="0" w:line="141" w:lineRule="exact"/>
        <w:rPr>
          <w:rFonts w:ascii="Times New Roman" w:cs="Times New Roman" w:eastAsia="Times New Roman" w:hAnsi="Times New Roman"/>
          <w:sz w:val="21"/>
          <w:szCs w:val="21"/>
          <w:color w:val="auto"/>
        </w:rPr>
      </w:pPr>
    </w:p>
    <w:p>
      <w:pPr>
        <w:jc w:val="both"/>
        <w:ind w:firstLine="1241"/>
        <w:spacing w:after="0" w:line="215" w:lineRule="auto"/>
        <w:tabs>
          <w:tab w:leader="none" w:pos="159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and Amendments</w:t>
      </w:r>
      <w:r>
        <w:rPr>
          <w:rFonts w:ascii="Times New Roman" w:cs="Times New Roman" w:eastAsia="Times New Roman" w:hAnsi="Times New Roman"/>
          <w:sz w:val="21"/>
          <w:szCs w:val="21"/>
          <w:color w:val="auto"/>
        </w:rPr>
        <w:t>. Except as otherwise set forth in Section 13 of the Plan, any waiver, alteration,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or modification of any of the terms of this Performance Stock Unit Agreement shall be valid only if made in writing and signed by the parties 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ectPr>
          <w:pgSz w:w="11900" w:h="16838" w:orient="portrait"/>
          <w:cols w:equalWidth="0" w:num="1">
            <w:col w:w="11240"/>
          </w:cols>
          <w:pgMar w:left="320" w:top="1339" w:right="339" w:bottom="1440" w:gutter="0" w:footer="0" w:header="0"/>
        </w:sectPr>
      </w:pPr>
    </w:p>
    <w:bookmarkStart w:id="60" w:name="page61"/>
    <w:bookmarkEnd w:id="60"/>
    <w:p>
      <w:pPr>
        <w:jc w:val="both"/>
        <w:ind w:left="-1120" w:firstLine="1241"/>
        <w:spacing w:after="0" w:line="218" w:lineRule="auto"/>
        <w:tabs>
          <w:tab w:leader="none" w:pos="42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Performance Stock Unit Agreement shall be construed and interpreted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40" w:lineRule="exact"/>
        <w:rPr>
          <w:rFonts w:ascii="Times New Roman" w:cs="Times New Roman" w:eastAsia="Times New Roman" w:hAnsi="Times New Roman"/>
          <w:sz w:val="21"/>
          <w:szCs w:val="21"/>
          <w:color w:val="auto"/>
        </w:rPr>
      </w:pPr>
    </w:p>
    <w:p>
      <w:pPr>
        <w:jc w:val="both"/>
        <w:ind w:left="-1120" w:firstLine="1241"/>
        <w:spacing w:after="0" w:line="226" w:lineRule="auto"/>
        <w:tabs>
          <w:tab w:leader="none" w:pos="45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and provisions of the Plan are incorporated herein by reference. In the event of a conflict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inconsistency between the terms and provisions of the Plan and the provisions of this Performance Stock Unit Agreement (including the Grant Notice), the Plan shall govern and control.</w:t>
      </w:r>
    </w:p>
    <w:p>
      <w:pPr>
        <w:sectPr>
          <w:pgSz w:w="11900" w:h="16838" w:orient="portrait"/>
          <w:cols w:equalWidth="0" w:num="1">
            <w:col w:w="10120"/>
          </w:cols>
          <w:pgMar w:left="1440" w:top="133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GRANT NOTICE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4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Participant Name</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 2022</w:t>
      </w:r>
    </w:p>
    <w:p>
      <w:pPr>
        <w:spacing w:after="0" w:line="171"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21"/>
          <w:szCs w:val="21"/>
          <w:b w:val="1"/>
          <w:bCs w:val="1"/>
          <w:color w:val="auto"/>
        </w:rPr>
        <w:t>Number of Restricted Stock Units</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Quantity Granted</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Provided the Participant has not undergone a Termination at the time of each applicable vesting date (or event)</w:t>
      </w:r>
    </w:p>
    <w:p>
      <w:pPr>
        <w:ind w:left="3100"/>
        <w:spacing w:after="0"/>
        <w:rPr>
          <w:sz w:val="20"/>
          <w:szCs w:val="20"/>
          <w:color w:val="auto"/>
        </w:rPr>
      </w:pPr>
      <w:r>
        <w:rPr>
          <w:rFonts w:ascii="Times New Roman" w:cs="Times New Roman" w:eastAsia="Times New Roman" w:hAnsi="Times New Roman"/>
          <w:sz w:val="21"/>
          <w:szCs w:val="21"/>
          <w:color w:val="auto"/>
        </w:rPr>
        <w:t>(each,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3720" w:hanging="306"/>
        <w:spacing w:after="0" w:line="250" w:lineRule="auto"/>
        <w:tabs>
          <w:tab w:leader="none" w:pos="371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One-half (1/2) of the Restricted Stock Units (rounded down to the nearest whole Restricted Stock Unit) will vest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anniversary of the Date of Grant; and</w:t>
      </w:r>
    </w:p>
    <w:p>
      <w:pPr>
        <w:spacing w:after="0" w:line="55" w:lineRule="exact"/>
        <w:rPr>
          <w:rFonts w:ascii="Times New Roman" w:cs="Times New Roman" w:eastAsia="Times New Roman" w:hAnsi="Times New Roman"/>
          <w:sz w:val="21"/>
          <w:szCs w:val="21"/>
          <w:color w:val="auto"/>
        </w:rPr>
      </w:pPr>
    </w:p>
    <w:p>
      <w:pPr>
        <w:ind w:left="3720" w:hanging="306"/>
        <w:spacing w:after="0" w:line="250" w:lineRule="auto"/>
        <w:tabs>
          <w:tab w:leader="none" w:pos="371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One-half (1/2) of the Restricted Stock Units (rounded down to the nearest whole Restricted Stock Unit) will vest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1"/>
          <w:szCs w:val="21"/>
          <w:color w:val="auto"/>
        </w:rPr>
        <w:t>) anniversary of the Date of Grant.</w:t>
      </w:r>
    </w:p>
    <w:p>
      <w:pPr>
        <w:spacing w:after="0" w:line="56" w:lineRule="exact"/>
        <w:rPr>
          <w:sz w:val="20"/>
          <w:szCs w:val="20"/>
          <w:color w:val="auto"/>
        </w:rPr>
      </w:pPr>
    </w:p>
    <w:p>
      <w:pPr>
        <w:jc w:val="both"/>
        <w:ind w:left="3400"/>
        <w:spacing w:after="0" w:line="225" w:lineRule="auto"/>
        <w:rPr>
          <w:sz w:val="20"/>
          <w:szCs w:val="20"/>
          <w:color w:val="auto"/>
        </w:rPr>
      </w:pPr>
      <w:r>
        <w:rPr>
          <w:rFonts w:ascii="Times New Roman" w:cs="Times New Roman" w:eastAsia="Times New Roman" w:hAnsi="Times New Roman"/>
          <w:sz w:val="21"/>
          <w:szCs w:val="21"/>
          <w:color w:val="auto"/>
        </w:rPr>
        <w:t>In the event that the Participant undergoes a Termination for any reason, (i) all vesting with respect to such Restricted Stock Units shall cease and (ii) all unvested Restricted Stock Units shall be forfeited by the Participant for no consideration as of the date of such Termination.</w:t>
      </w:r>
    </w:p>
    <w:p>
      <w:pPr>
        <w:spacing w:after="0" w:line="146" w:lineRule="exact"/>
        <w:rPr>
          <w:sz w:val="20"/>
          <w:szCs w:val="20"/>
          <w:color w:val="auto"/>
        </w:rPr>
      </w:pPr>
    </w:p>
    <w:p>
      <w:pPr>
        <w:jc w:val="both"/>
        <w:ind w:left="3400"/>
        <w:spacing w:after="0" w:line="213" w:lineRule="auto"/>
        <w:rPr>
          <w:sz w:val="20"/>
          <w:szCs w:val="20"/>
          <w:color w:val="auto"/>
        </w:rPr>
      </w:pPr>
      <w:r>
        <w:rPr>
          <w:rFonts w:ascii="Times New Roman" w:cs="Times New Roman" w:eastAsia="Times New Roman" w:hAnsi="Times New Roman"/>
          <w:sz w:val="21"/>
          <w:szCs w:val="21"/>
          <w:color w:val="auto"/>
        </w:rPr>
        <w:t>Notwithstanding the foregoing, in the event of the Participant’s Termination due to Retirement, a number of Restricted Stock Units shall vest equal to the number of Restricted Stock Units that would have become vested on the next Vesting Date following the date of such Termination multiplied by a fraction, the numerator of which is the number of days that the Participant is employed by the Service Recipient from the most recent Vesting Date to the date of Termination and the denominator of which shall equal three hundred and sixty-five (365) (rounded down to the nearest whole Restricted Stock Unit).</w:t>
      </w:r>
    </w:p>
    <w:p>
      <w:pPr>
        <w:sectPr>
          <w:pgSz w:w="11900" w:h="16838" w:orient="portrait"/>
          <w:cols w:equalWidth="0" w:num="1">
            <w:col w:w="11240"/>
          </w:cols>
          <w:pgMar w:left="320" w:top="351" w:right="339" w:bottom="1440" w:gutter="0" w:footer="0" w:header="0"/>
        </w:sectPr>
      </w:pPr>
    </w:p>
    <w:bookmarkStart w:id="62" w:name="page63"/>
    <w:bookmarkEnd w:id="62"/>
    <w:p>
      <w:pPr>
        <w:jc w:val="both"/>
        <w:ind w:left="2280"/>
        <w:spacing w:after="0" w:line="220" w:lineRule="auto"/>
        <w:rPr>
          <w:sz w:val="20"/>
          <w:szCs w:val="20"/>
          <w:color w:val="auto"/>
        </w:rPr>
      </w:pPr>
      <w:r>
        <w:rPr>
          <w:rFonts w:ascii="Times New Roman" w:cs="Times New Roman" w:eastAsia="Times New Roman" w:hAnsi="Times New Roman"/>
          <w:sz w:val="21"/>
          <w:szCs w:val="21"/>
          <w:color w:val="auto"/>
        </w:rPr>
        <w:t>In addition, in the event (i) of a Qualifying Termination within the two (2)-year period following a Change in Control or (ii) that the Participant undergoes a Termination as a result of the Participant’s death or Disability, the Participant shall fully vest in the Participant’s Restricted Stock Units to the extent not then vested or previously forfeited.</w:t>
      </w: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Signatures to appear on following page</w:t>
      </w:r>
      <w:r>
        <w:rPr>
          <w:rFonts w:ascii="Times New Roman" w:cs="Times New Roman" w:eastAsia="Times New Roman" w:hAnsi="Times New Roman"/>
          <w:sz w:val="21"/>
          <w:szCs w:val="21"/>
          <w:color w:val="auto"/>
        </w:rPr>
        <w:t>]</w:t>
      </w:r>
    </w:p>
    <w:p>
      <w:pPr>
        <w:sectPr>
          <w:pgSz w:w="11900" w:h="16838" w:orient="portrait"/>
          <w:cols w:equalWidth="0" w:num="1">
            <w:col w:w="10120"/>
          </w:cols>
          <w:pgMar w:left="1440" w:top="1339" w:right="339" w:bottom="1440" w:gutter="0" w:footer="0" w:header="0"/>
        </w:sectPr>
      </w:pPr>
    </w:p>
    <w:bookmarkStart w:id="63" w:name="page64"/>
    <w:bookmarkEnd w:id="63"/>
    <w:p>
      <w:pPr>
        <w:spacing w:after="0" w:line="12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NATIONAL VISION HOLDINGS, INC.</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5" w:lineRule="auto"/>
        <w:rPr>
          <w:sz w:val="20"/>
          <w:szCs w:val="20"/>
          <w:color w:val="auto"/>
        </w:rPr>
      </w:pPr>
      <w:r>
        <w:rPr>
          <w:rFonts w:ascii="Times New Roman" w:cs="Times New Roman" w:eastAsia="Times New Roman" w:hAnsi="Times New Roman"/>
          <w:sz w:val="21"/>
          <w:szCs w:val="21"/>
          <w:color w:val="auto"/>
        </w:rPr>
        <w:t>By:</w:t>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r>
        <w:rPr>
          <w:rFonts w:ascii="Times New Roman" w:cs="Times New Roman" w:eastAsia="Times New Roman" w:hAnsi="Times New Roman"/>
          <w:sz w:val="26"/>
          <w:szCs w:val="26"/>
          <w:color w:val="auto"/>
          <w:vertAlign w:val="superscript"/>
        </w:rPr>
        <w:t>1</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1344295</wp:posOffset>
            </wp:positionV>
            <wp:extent cx="1637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right="380" w:hanging="617"/>
        <w:spacing w:after="0" w:line="206" w:lineRule="auto"/>
        <w:tabs>
          <w:tab w:leader="none" w:pos="322"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Restricted Stock Unit Award</w:t>
      </w:r>
      <w:r>
        <w:rPr>
          <w:rFonts w:ascii="Times New Roman" w:cs="Times New Roman" w:eastAsia="Times New Roman" w:hAnsi="Times New Roman"/>
          <w:sz w:val="15"/>
          <w:szCs w:val="15"/>
          <w:color w:val="auto"/>
        </w:rPr>
        <w:t>]</w:t>
      </w:r>
    </w:p>
    <w:p>
      <w:pPr>
        <w:sectPr>
          <w:pgSz w:w="11900" w:h="16838" w:orient="portrait"/>
          <w:cols w:equalWidth="0" w:num="1">
            <w:col w:w="11240"/>
          </w:cols>
          <w:pgMar w:left="320" w:top="144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NATIONAL VISION HOLDINGS,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2017 OMNIBUS INCENTIVE PLAN</w:t>
      </w:r>
    </w:p>
    <w:p>
      <w:pPr>
        <w:spacing w:after="0" w:line="149"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1"/>
          <w:szCs w:val="21"/>
          <w:color w:val="auto"/>
        </w:rPr>
        <w:t>”) and the National Vision Holdings, Inc. 2017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National Vision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Participant agree as follows. Capitalized terms not otherwise defined herein shall have the same meaning as set forth in the Plan.</w:t>
      </w:r>
    </w:p>
    <w:p>
      <w:pPr>
        <w:spacing w:after="0" w:line="142" w:lineRule="exact"/>
        <w:rPr>
          <w:sz w:val="20"/>
          <w:szCs w:val="20"/>
          <w:color w:val="auto"/>
        </w:rPr>
      </w:pPr>
    </w:p>
    <w:p>
      <w:pPr>
        <w:jc w:val="both"/>
        <w:ind w:firstLine="1241"/>
        <w:spacing w:after="0" w:line="214" w:lineRule="auto"/>
        <w:tabs>
          <w:tab w:leader="none" w:pos="144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and in the Plan,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grants to the Participant the number of Restricted Stock Units provided in the Grant Notice (with each Restricted Stock Unit representing the right to receive one share of Common Stock upon the vesting of such Restricted Stock Unit).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42"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7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Subject to the conditions contained herein and in the Plan, the Restricted Stock Units shall vest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restrictions on such Restricted Stock Units shall lapse as provided in the Grant Notice. With respect to any Restricted Stock Unit, the period of time that commences on the Date of Grant and ends on the applicable Vesting Date, or, if earlier, the date of any Termination that results in vesting of such Restricted Stock Unit, shall be its Restricted Period.</w:t>
      </w:r>
    </w:p>
    <w:p>
      <w:pPr>
        <w:spacing w:after="0" w:line="141" w:lineRule="exact"/>
        <w:rPr>
          <w:rFonts w:ascii="Times New Roman" w:cs="Times New Roman" w:eastAsia="Times New Roman" w:hAnsi="Times New Roman"/>
          <w:sz w:val="21"/>
          <w:szCs w:val="21"/>
          <w:color w:val="auto"/>
        </w:rPr>
      </w:pPr>
    </w:p>
    <w:p>
      <w:pPr>
        <w:jc w:val="both"/>
        <w:ind w:firstLine="1241"/>
        <w:spacing w:after="0" w:line="228" w:lineRule="auto"/>
        <w:tabs>
          <w:tab w:leader="none" w:pos="147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The provisions of Section 9(d)(ii) of the Plan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reference and made a part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will settlement of a Restricted Stock Unit occur more than thirty</w:t>
      </w:r>
    </w:p>
    <w:p>
      <w:pPr>
        <w:spacing w:after="0" w:line="1" w:lineRule="exact"/>
        <w:rPr>
          <w:rFonts w:ascii="Times New Roman" w:cs="Times New Roman" w:eastAsia="Times New Roman" w:hAnsi="Times New Roman"/>
          <w:sz w:val="20"/>
          <w:szCs w:val="20"/>
          <w:color w:val="auto"/>
        </w:rPr>
      </w:pPr>
    </w:p>
    <w:p>
      <w:pPr>
        <w:ind w:left="400" w:hanging="397"/>
        <w:spacing w:after="0"/>
        <w:tabs>
          <w:tab w:leader="none" w:pos="4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expiration of its Restricted Period.</w:t>
      </w:r>
    </w:p>
    <w:p>
      <w:pPr>
        <w:spacing w:after="0" w:line="145"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firstLine="1241"/>
        <w:spacing w:after="0" w:line="235" w:lineRule="auto"/>
        <w:tabs>
          <w:tab w:leader="none" w:pos="153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Restricted Stock Unit Agreement with reference to employment shall include the Company and its Subsidiaries.</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53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as used in this Restricted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 (ii) the relocation of the principal place of the Participant’s employment to a location more than fifty (50) miles away, or</w:t>
      </w:r>
    </w:p>
    <w:p>
      <w:pPr>
        <w:spacing w:after="0" w:line="3" w:lineRule="exact"/>
        <w:rPr>
          <w:rFonts w:ascii="Times New Roman" w:cs="Times New Roman" w:eastAsia="Times New Roman" w:hAnsi="Times New Roman"/>
          <w:sz w:val="20"/>
          <w:szCs w:val="20"/>
          <w:color w:val="auto"/>
        </w:rPr>
      </w:pPr>
    </w:p>
    <w:p>
      <w:pPr>
        <w:jc w:val="both"/>
        <w:ind w:firstLine="3"/>
        <w:spacing w:after="0" w:line="212" w:lineRule="auto"/>
        <w:tabs>
          <w:tab w:leader="none" w:pos="38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001963-0002-15408-Active.28626987.4</w:t>
      </w:r>
    </w:p>
    <w:p>
      <w:pPr>
        <w:sectPr>
          <w:pgSz w:w="11900" w:h="16838" w:orient="portrait"/>
          <w:cols w:equalWidth="0" w:num="1">
            <w:col w:w="11240"/>
          </w:cols>
          <w:pgMar w:left="320" w:top="1326" w:right="339" w:bottom="1440" w:gutter="0" w:footer="0" w:header="0"/>
        </w:sectPr>
      </w:pPr>
    </w:p>
    <w:bookmarkStart w:id="65" w:name="page66"/>
    <w:bookmarkEnd w:id="65"/>
    <w:p>
      <w:pPr>
        <w:jc w:val="both"/>
        <w:ind w:firstLine="1241"/>
        <w:spacing w:after="0" w:line="220" w:lineRule="auto"/>
        <w:tabs>
          <w:tab w:leader="none" w:pos="158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shall be deemed to include such person or persons.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56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as used in this Restricted Stock Unit Agreement shall mean a Participant’s Termination by the Service Recipient without Cause or by the Participant with Good Reason.</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55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as used in this Restricted Stock Unit Agreement shall mean the Participant’s voluntary resignation from employment, other than while grounds for Cause exist, when (i) (x) the Participant’s age is at least sixty (60) years old and (y) the Participant’s number of years of service with the Company and its predecessors is at least ten (10) years or (ii) the Participant’s age is at least sixty five (65) years old.</w:t>
      </w:r>
    </w:p>
    <w:p>
      <w:pPr>
        <w:spacing w:after="0" w:line="142" w:lineRule="exact"/>
        <w:rPr>
          <w:sz w:val="20"/>
          <w:szCs w:val="20"/>
          <w:color w:val="auto"/>
        </w:rPr>
      </w:pPr>
    </w:p>
    <w:p>
      <w:pPr>
        <w:jc w:val="both"/>
        <w:ind w:firstLine="1241"/>
        <w:spacing w:after="0" w:line="218" w:lineRule="auto"/>
        <w:tabs>
          <w:tab w:leader="none" w:pos="149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Restricted Stock Units are not transferable by the Participant except to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40" w:lineRule="exact"/>
        <w:rPr>
          <w:rFonts w:ascii="Times New Roman" w:cs="Times New Roman" w:eastAsia="Times New Roman" w:hAnsi="Times New Roman"/>
          <w:sz w:val="21"/>
          <w:szCs w:val="21"/>
          <w:color w:val="auto"/>
        </w:rPr>
      </w:pPr>
    </w:p>
    <w:p>
      <w:pPr>
        <w:jc w:val="both"/>
        <w:ind w:firstLine="1241"/>
        <w:spacing w:after="0" w:line="221" w:lineRule="auto"/>
        <w:tabs>
          <w:tab w:leader="none" w:pos="144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Participant or a Permitted Transferee of the Restricted Stock Units shall have no rights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stockholder with respect to any share of Common Stock underlying a Restricted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32" w:lineRule="exact"/>
        <w:rPr>
          <w:rFonts w:ascii="Times New Roman" w:cs="Times New Roman" w:eastAsia="Times New Roman" w:hAnsi="Times New Roman"/>
          <w:sz w:val="21"/>
          <w:szCs w:val="21"/>
          <w:color w:val="auto"/>
        </w:rPr>
      </w:pPr>
    </w:p>
    <w:p>
      <w:pPr>
        <w:ind w:left="1440" w:hanging="199"/>
        <w:spacing w:after="0"/>
        <w:tabs>
          <w:tab w:leader="none" w:pos="14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 part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w:t>
      </w:r>
    </w:p>
    <w:p>
      <w:pPr>
        <w:spacing w:after="0" w:line="145" w:lineRule="exact"/>
        <w:rPr>
          <w:rFonts w:ascii="Times New Roman" w:cs="Times New Roman" w:eastAsia="Times New Roman" w:hAnsi="Times New Roman"/>
          <w:sz w:val="21"/>
          <w:szCs w:val="21"/>
          <w:color w:val="auto"/>
        </w:rPr>
      </w:pPr>
    </w:p>
    <w:p>
      <w:pPr>
        <w:jc w:val="both"/>
        <w:ind w:firstLine="1241"/>
        <w:spacing w:after="0" w:line="222" w:lineRule="auto"/>
        <w:tabs>
          <w:tab w:leader="none" w:pos="14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8" w:lineRule="exact"/>
        <w:rPr>
          <w:rFonts w:ascii="Times New Roman" w:cs="Times New Roman" w:eastAsia="Times New Roman" w:hAnsi="Times New Roman"/>
          <w:sz w:val="20"/>
          <w:szCs w:val="20"/>
          <w:color w:val="auto"/>
        </w:rPr>
      </w:pPr>
    </w:p>
    <w:p>
      <w:pPr>
        <w:ind w:firstLine="1241"/>
        <w:spacing w:after="0" w:line="237" w:lineRule="auto"/>
        <w:tabs>
          <w:tab w:leader="none" w:pos="144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Right to Continued Service</w:t>
      </w:r>
      <w:r>
        <w:rPr>
          <w:rFonts w:ascii="Times New Roman" w:cs="Times New Roman" w:eastAsia="Times New Roman" w:hAnsi="Times New Roman"/>
          <w:sz w:val="21"/>
          <w:szCs w:val="21"/>
          <w:color w:val="auto"/>
        </w:rPr>
        <w:t>. This Restricted Stock Unit Agreement does not confer upon the Participant any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continue as an employee or service provider to the Company.</w:t>
      </w:r>
    </w:p>
    <w:p>
      <w:pPr>
        <w:spacing w:after="0" w:line="141" w:lineRule="exact"/>
        <w:rPr>
          <w:rFonts w:ascii="Times New Roman" w:cs="Times New Roman" w:eastAsia="Times New Roman" w:hAnsi="Times New Roman"/>
          <w:sz w:val="21"/>
          <w:szCs w:val="21"/>
          <w:color w:val="auto"/>
        </w:rPr>
      </w:pPr>
    </w:p>
    <w:p>
      <w:pPr>
        <w:ind w:firstLine="1241"/>
        <w:spacing w:after="0" w:line="237" w:lineRule="auto"/>
        <w:tabs>
          <w:tab w:leader="none" w:pos="1547"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Restricted Stock Unit Agreement shall be binding upon the heirs, executors, administrators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of the parties hereto.</w:t>
      </w:r>
    </w:p>
    <w:p>
      <w:pPr>
        <w:sectPr>
          <w:pgSz w:w="11900" w:h="16838" w:orient="portrait"/>
          <w:cols w:equalWidth="0" w:num="1">
            <w:col w:w="11240"/>
          </w:cols>
          <w:pgMar w:left="320" w:top="1339" w:right="339" w:bottom="1440" w:gutter="0" w:footer="0" w:header="0"/>
        </w:sectPr>
      </w:pPr>
    </w:p>
    <w:bookmarkStart w:id="66" w:name="page67"/>
    <w:bookmarkEnd w:id="66"/>
    <w:p>
      <w:pPr>
        <w:jc w:val="both"/>
        <w:ind w:left="-1120" w:firstLine="1241"/>
        <w:spacing w:after="0" w:line="215" w:lineRule="auto"/>
        <w:tabs>
          <w:tab w:leader="none" w:pos="47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and Amendments</w:t>
      </w:r>
      <w:r>
        <w:rPr>
          <w:rFonts w:ascii="Times New Roman" w:cs="Times New Roman" w:eastAsia="Times New Roman" w:hAnsi="Times New Roman"/>
          <w:sz w:val="21"/>
          <w:szCs w:val="21"/>
          <w:color w:val="auto"/>
        </w:rPr>
        <w:t>. Except as otherwise set forth in Section 13 of the Plan, any waiver, alteration,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or 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5" w:lineRule="exact"/>
        <w:rPr>
          <w:rFonts w:ascii="Times New Roman" w:cs="Times New Roman" w:eastAsia="Times New Roman" w:hAnsi="Times New Roman"/>
          <w:sz w:val="21"/>
          <w:szCs w:val="21"/>
          <w:color w:val="auto"/>
        </w:rPr>
      </w:pPr>
    </w:p>
    <w:p>
      <w:pPr>
        <w:jc w:val="both"/>
        <w:ind w:left="-1120" w:firstLine="1241"/>
        <w:spacing w:after="0" w:line="218" w:lineRule="auto"/>
        <w:tabs>
          <w:tab w:leader="none" w:pos="4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Restricted Stock Unit Agreement shall be construed and interpreted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40" w:lineRule="exact"/>
        <w:rPr>
          <w:rFonts w:ascii="Times New Roman" w:cs="Times New Roman" w:eastAsia="Times New Roman" w:hAnsi="Times New Roman"/>
          <w:sz w:val="21"/>
          <w:szCs w:val="21"/>
          <w:color w:val="auto"/>
        </w:rPr>
      </w:pPr>
    </w:p>
    <w:p>
      <w:pPr>
        <w:jc w:val="both"/>
        <w:ind w:left="-1120" w:firstLine="1241"/>
        <w:spacing w:after="0" w:line="226" w:lineRule="auto"/>
        <w:tabs>
          <w:tab w:leader="none" w:pos="45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and provisions of the Plan are incorporated herein by reference. In the event of a conflict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inconsistency between the terms and provisions of the Plan and the provisions of this Restricted Stock Unit Agreement (including the Grant Notice), the Plan shall govern and control.</w:t>
      </w:r>
    </w:p>
    <w:p>
      <w:pPr>
        <w:spacing w:after="0" w:line="142" w:lineRule="exact"/>
        <w:rPr>
          <w:rFonts w:ascii="Times New Roman" w:cs="Times New Roman" w:eastAsia="Times New Roman" w:hAnsi="Times New Roman"/>
          <w:sz w:val="21"/>
          <w:szCs w:val="21"/>
          <w:color w:val="auto"/>
        </w:rPr>
      </w:pPr>
    </w:p>
    <w:p>
      <w:pPr>
        <w:ind w:left="440" w:hanging="319"/>
        <w:spacing w:after="0"/>
        <w:tabs>
          <w:tab w:leader="none" w:pos="4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1120" w:firstLine="1473"/>
        <w:spacing w:after="0" w:line="217" w:lineRule="auto"/>
        <w:tabs>
          <w:tab w:leader="none" w:pos="733" w:val="left"/>
        </w:tabs>
        <w:numPr>
          <w:ilvl w:val="1"/>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Restricted Stock Unit Agreement is intended to be exempt from or comply with the provisions of Section 409A of the Code and the regulations promulgated thereunder, and shall be interpreted consistent with such intent. Without limiting the foregoing, the Committee will have the right to amend the terms and conditions of this Restricted Stock Unit Agreement in any respect as may be necessary or appropriate to comply with Section 409A of the Code or any regulations promulgated thereunder, including, without limitation, by delaying the issuance of the shares of Common Stock contemplated hereunder.</w:t>
      </w:r>
    </w:p>
    <w:p>
      <w:pPr>
        <w:spacing w:after="0" w:line="145" w:lineRule="exact"/>
        <w:rPr>
          <w:rFonts w:ascii="Times New Roman" w:cs="Times New Roman" w:eastAsia="Times New Roman" w:hAnsi="Times New Roman"/>
          <w:sz w:val="21"/>
          <w:szCs w:val="21"/>
          <w:color w:val="010000"/>
        </w:rPr>
      </w:pPr>
    </w:p>
    <w:p>
      <w:pPr>
        <w:jc w:val="both"/>
        <w:ind w:left="-1120" w:firstLine="1473"/>
        <w:spacing w:after="0" w:line="210" w:lineRule="auto"/>
        <w:tabs>
          <w:tab w:leader="none" w:pos="732" w:val="left"/>
        </w:tabs>
        <w:numPr>
          <w:ilvl w:val="1"/>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 other provision of this Restricted Stock Unit Agreement to the contrary, if the Participant is a “specified employee” within the meaning of Section 409A of the Code, and is subject to U.S. federal income tax, no payments in respect of any Restricted Stock Unit that is “deferred compensation” subject to Section 409A of the Code and which would otherwise be payable upon the Participant’s “separation from service” (as defined in Section 409A of the Code) will be made to the Participant prior to the date that is six (6) months after the date of the Participant’s “separation from service” or, if earlier, the Participant’s date of death. Following any applicable six (6)-month delay, all such delayed payments will be paid in a single lump sum on the earliest date permitted under Section 409A of the Code that is also a business day. The Participant is solely responsible and liable for the satisfaction of all taxes and penalties under Section 409A of the Code that may be imposed on or in respect of the Participant in connection with this Agreement, and the Company will not be liable to any Participant for any payment made under this Plan that is determined to result in an additional tax, penalty or interest under Section 409A of the Code, nor for reporting in good faith any payment made under this Agreement as an amount includible in gross income under Section 409A of the Code. Each payment in a series of payments hereunder will be deemed to be a separate payment for the purposes of Section 409A of the Code.</w:t>
      </w:r>
    </w:p>
    <w:p>
      <w:pPr>
        <w:sectPr>
          <w:pgSz w:w="11900" w:h="16838" w:orient="portrait"/>
          <w:cols w:equalWidth="0" w:num="1">
            <w:col w:w="10120"/>
          </w:cols>
          <w:pgMar w:left="1440" w:top="133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 UNDER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 Reade Fahs, certify that:</w:t>
      </w:r>
    </w:p>
    <w:p>
      <w:pPr>
        <w:spacing w:after="0" w:line="243" w:lineRule="exact"/>
        <w:rPr>
          <w:sz w:val="20"/>
          <w:szCs w:val="20"/>
          <w:color w:val="auto"/>
        </w:rPr>
      </w:pPr>
    </w:p>
    <w:p>
      <w:pPr>
        <w:ind w:left="320" w:hanging="317"/>
        <w:spacing w:after="0"/>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quarterly period ended April 2, 2022 of National Vision Holdings, Inc.;</w:t>
      </w:r>
    </w:p>
    <w:p>
      <w:pPr>
        <w:spacing w:after="0" w:line="242"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08"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1"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08"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320" w:right="20" w:hanging="317"/>
        <w:spacing w:after="0" w:line="287" w:lineRule="auto"/>
        <w:tabs>
          <w:tab w:leader="none" w:pos="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08"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200" w:lineRule="exact"/>
        <w:rPr>
          <w:sz w:val="20"/>
          <w:szCs w:val="20"/>
          <w:color w:val="auto"/>
        </w:rPr>
      </w:pPr>
    </w:p>
    <w:p>
      <w:pPr>
        <w:spacing w:after="0" w:line="37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17145</wp:posOffset>
            </wp:positionV>
            <wp:extent cx="23660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L. Reade Fahs</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2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 UNDER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Patrick R. Moore, certify that:</w:t>
      </w:r>
    </w:p>
    <w:p>
      <w:pPr>
        <w:spacing w:after="0" w:line="243" w:lineRule="exact"/>
        <w:rPr>
          <w:sz w:val="20"/>
          <w:szCs w:val="20"/>
          <w:color w:val="auto"/>
        </w:rPr>
      </w:pPr>
    </w:p>
    <w:p>
      <w:pPr>
        <w:ind w:left="320" w:hanging="317"/>
        <w:spacing w:after="0"/>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quarterly period ended April 2, 2022 of National Vision Holdings, Inc.;</w:t>
      </w:r>
    </w:p>
    <w:p>
      <w:pPr>
        <w:spacing w:after="0" w:line="242"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0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1"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0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320" w:right="20" w:hanging="317"/>
        <w:spacing w:after="0" w:line="287" w:lineRule="auto"/>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0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28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17145</wp:posOffset>
            </wp:positionV>
            <wp:extent cx="29146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Patrick R. Moore</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Senior Vice President, Chief Financial Officer</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2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National Vision Holdings, Inc. (the “Company”) on Form 10-Q for the quarterly period ended April 2, 2022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91" w:lineRule="exact"/>
        <w:rPr>
          <w:sz w:val="20"/>
          <w:szCs w:val="20"/>
          <w:color w:val="auto"/>
        </w:rPr>
      </w:pPr>
    </w:p>
    <w:p>
      <w:pPr>
        <w:ind w:left="300" w:hanging="297"/>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320" w:right="500" w:hanging="317"/>
        <w:spacing w:after="0" w:line="287" w:lineRule="auto"/>
        <w:tabs>
          <w:tab w:leader="none" w:pos="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for the periods presented therein.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200" w:lineRule="exact"/>
        <w:rPr>
          <w:sz w:val="20"/>
          <w:szCs w:val="20"/>
          <w:color w:val="auto"/>
        </w:rPr>
      </w:pPr>
    </w:p>
    <w:p>
      <w:pPr>
        <w:spacing w:after="0" w:line="28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17145</wp:posOffset>
            </wp:positionV>
            <wp:extent cx="23660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L. Reade Fahs</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2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National Vision Holdings, Inc. (the “Company”) on Form 10-Q for the quarterly period ended April 2, 2022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91" w:lineRule="exact"/>
        <w:rPr>
          <w:sz w:val="20"/>
          <w:szCs w:val="20"/>
          <w:color w:val="auto"/>
        </w:rPr>
      </w:pPr>
    </w:p>
    <w:p>
      <w:pPr>
        <w:ind w:left="320" w:hanging="317"/>
        <w:spacing w:after="0"/>
        <w:tabs>
          <w:tab w:leader="none" w:pos="32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b w:val="1"/>
          <w:bCs w:val="1"/>
          <w:color w:val="auto"/>
        </w:rPr>
      </w:pPr>
    </w:p>
    <w:p>
      <w:pPr>
        <w:ind w:left="320" w:right="500" w:hanging="317"/>
        <w:spacing w:after="0" w:line="287" w:lineRule="auto"/>
        <w:tabs>
          <w:tab w:leader="none" w:pos="317"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for the periods presented therein.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28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17145</wp:posOffset>
            </wp:positionV>
            <wp:extent cx="29146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Patrick R. Moore</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Senior Vice President, Chief Financial Officer</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decimal"/>
      <w:start w:val="1"/>
    </w:lvl>
    <w:lvl w:ilvl="1">
      <w:lvlJc w:val="left"/>
      <w:lvlText w:val="(%2)"/>
      <w:numFmt w:val="lowerLetter"/>
      <w:start w:val="1"/>
    </w:lvl>
  </w:abstractNum>
  <w:abstractNum w:abstractNumId="8">
    <w:nsid w:val="22221A70"/>
    <w:multiLevelType w:val="hybridMultilevel"/>
    <w:lvl w:ilvl="0">
      <w:lvlJc w:val="left"/>
      <w:lvlText w:val="%1."/>
      <w:numFmt w:val="decimal"/>
      <w:start w:val="9"/>
    </w:lvl>
    <w:lvl w:ilvl="1">
      <w:lvlJc w:val="left"/>
      <w:lvlText w:val="%2"/>
      <w:numFmt w:val="lowerLetter"/>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04"/>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lowerRoman"/>
      <w:start w:val="2"/>
    </w:lvl>
  </w:abstractNum>
  <w:abstractNum w:abstractNumId="19">
    <w:nsid w:val="5C482A97"/>
    <w:multiLevelType w:val="hybridMultilevel"/>
    <w:lvl w:ilvl="0">
      <w:lvlJc w:val="left"/>
      <w:lvlText w:val="1"/>
      <w:numFmt w:val="bullet"/>
      <w:start w:val="1"/>
    </w:lvl>
  </w:abstractNum>
  <w:abstractNum w:abstractNumId="20">
    <w:nsid w:val="2463B9EA"/>
    <w:multiLevelType w:val="hybridMultilevel"/>
    <w:lvl w:ilvl="0">
      <w:lvlJc w:val="left"/>
      <w:lvlText w:val="%1"/>
      <w:numFmt w:val="decimal"/>
      <w:start w:val="1"/>
    </w:lvl>
    <w:lvl w:ilvl="1">
      <w:lvlJc w:val="left"/>
      <w:lvlText w:val="%2."/>
      <w:numFmt w:val="decimal"/>
      <w:start w:val="1"/>
    </w:lvl>
  </w:abstractNum>
  <w:abstractNum w:abstractNumId="21">
    <w:nsid w:val="5E884ADC"/>
    <w:multiLevelType w:val="hybridMultilevel"/>
    <w:lvl w:ilvl="0">
      <w:lvlJc w:val="left"/>
      <w:lvlText w:val="(%1)"/>
      <w:numFmt w:val="decimal"/>
      <w:start w:val="30"/>
    </w:lvl>
    <w:lvl w:ilvl="1">
      <w:lvlJc w:val="left"/>
      <w:lvlText w:val="%2."/>
      <w:numFmt w:val="decimal"/>
      <w:start w:val="4"/>
    </w:lvl>
  </w:abstractNum>
  <w:abstractNum w:abstractNumId="22">
    <w:nsid w:val="51EAD36B"/>
    <w:multiLevelType w:val="hybridMultilevel"/>
    <w:lvl w:ilvl="0">
      <w:lvlJc w:val="left"/>
      <w:lvlText w:val="%1"/>
      <w:numFmt w:val="lowerLetter"/>
      <w:start w:val="1"/>
    </w:lvl>
    <w:lvl w:ilvl="1">
      <w:lvlJc w:val="left"/>
      <w:lvlText w:val="(%2)"/>
      <w:numFmt w:val="lowerLetter"/>
      <w:start w:val="1"/>
    </w:lvl>
  </w:abstractNum>
  <w:abstractNum w:abstractNumId="23">
    <w:nsid w:val="2D517796"/>
    <w:multiLevelType w:val="hybridMultilevel"/>
    <w:lvl w:ilvl="0">
      <w:lvlJc w:val="left"/>
      <w:lvlText w:val="(%1)"/>
      <w:numFmt w:val="lowerLetter"/>
      <w:start w:val="61"/>
    </w:lvl>
    <w:lvl w:ilvl="1">
      <w:lvlJc w:val="left"/>
      <w:lvlText w:val="%2"/>
      <w:numFmt w:val="lowerLetter"/>
      <w:start w:val="1"/>
    </w:lvl>
  </w:abstractNum>
  <w:abstractNum w:abstractNumId="24">
    <w:nsid w:val="580BD78F"/>
    <w:multiLevelType w:val="hybridMultilevel"/>
    <w:lvl w:ilvl="0">
      <w:lvlJc w:val="left"/>
      <w:lvlText w:val="(%1)"/>
      <w:numFmt w:val="lowerLetter"/>
      <w:start w:val="3"/>
    </w:lvl>
  </w:abstractNum>
  <w:abstractNum w:abstractNumId="25">
    <w:nsid w:val="153EA438"/>
    <w:multiLevelType w:val="hybridMultilevel"/>
    <w:lvl w:ilvl="0">
      <w:lvlJc w:val="left"/>
      <w:lvlText w:val="%1."/>
      <w:numFmt w:val="decimal"/>
      <w:start w:val="5"/>
    </w:lvl>
  </w:abstractNum>
  <w:abstractNum w:abstractNumId="26">
    <w:nsid w:val="3855585C"/>
    <w:multiLevelType w:val="hybridMultilevel"/>
    <w:lvl w:ilvl="0">
      <w:lvlJc w:val="left"/>
      <w:lvlText w:val="%1."/>
      <w:numFmt w:val="decimal"/>
      <w:start w:val="11"/>
    </w:lvl>
    <w:lvl w:ilvl="1">
      <w:lvlJc w:val="left"/>
      <w:lvlText w:val="(%2)"/>
      <w:numFmt w:val="lowerLetter"/>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bullet"/>
      <w:start w:val="1"/>
    </w:lvl>
  </w:abstractNum>
  <w:abstractNum w:abstractNumId="29">
    <w:nsid w:val="2A487CB0"/>
    <w:multiLevelType w:val="hybridMultilevel"/>
    <w:lvl w:ilvl="0">
      <w:lvlJc w:val="left"/>
      <w:lvlText w:val="%1"/>
      <w:numFmt w:val="decimal"/>
      <w:start w:val="1"/>
    </w:lvl>
    <w:lvl w:ilvl="1">
      <w:lvlJc w:val="left"/>
      <w:lvlText w:val="%2."/>
      <w:numFmt w:val="decimal"/>
      <w:start w:val="1"/>
    </w:lvl>
  </w:abstractNum>
  <w:abstractNum w:abstractNumId="30">
    <w:nsid w:val="1D4ED43B"/>
    <w:multiLevelType w:val="hybridMultilevel"/>
    <w:lvl w:ilvl="0">
      <w:lvlJc w:val="left"/>
      <w:lvlText w:val="(%1)"/>
      <w:numFmt w:val="decimal"/>
      <w:start w:val="30"/>
    </w:lvl>
    <w:lvl w:ilvl="1">
      <w:lvlJc w:val="left"/>
      <w:lvlText w:val="%2."/>
      <w:numFmt w:val="decimal"/>
      <w:start w:val="4"/>
    </w:lvl>
  </w:abstractNum>
  <w:abstractNum w:abstractNumId="31">
    <w:nsid w:val="725A06FB"/>
    <w:multiLevelType w:val="hybridMultilevel"/>
    <w:lvl w:ilvl="0">
      <w:lvlJc w:val="left"/>
      <w:lvlText w:val="%1"/>
      <w:numFmt w:val="lowerLetter"/>
      <w:start w:val="1"/>
    </w:lvl>
    <w:lvl w:ilvl="1">
      <w:lvlJc w:val="left"/>
      <w:lvlText w:val="(%2)"/>
      <w:numFmt w:val="lowerLetter"/>
      <w:start w:val="1"/>
    </w:lvl>
  </w:abstractNum>
  <w:abstractNum w:abstractNumId="32">
    <w:nsid w:val="2CD89A32"/>
    <w:multiLevelType w:val="hybridMultilevel"/>
    <w:lvl w:ilvl="0">
      <w:lvlJc w:val="left"/>
      <w:lvlText w:val="(%1)"/>
      <w:numFmt w:val="lowerLetter"/>
      <w:start w:val="61"/>
    </w:lvl>
    <w:lvl w:ilvl="1">
      <w:lvlJc w:val="left"/>
      <w:lvlText w:val="%2"/>
      <w:numFmt w:val="lowerLetter"/>
      <w:start w:val="1"/>
    </w:lvl>
  </w:abstractNum>
  <w:abstractNum w:abstractNumId="33">
    <w:nsid w:val="57E4CCAF"/>
    <w:multiLevelType w:val="hybridMultilevel"/>
    <w:lvl w:ilvl="0">
      <w:lvlJc w:val="left"/>
      <w:lvlText w:val="(%1)"/>
      <w:numFmt w:val="lowerLetter"/>
      <w:start w:val="3"/>
    </w:lvl>
  </w:abstractNum>
  <w:abstractNum w:abstractNumId="34">
    <w:nsid w:val="7A6D8D3C"/>
    <w:multiLevelType w:val="hybridMultilevel"/>
    <w:lvl w:ilvl="0">
      <w:lvlJc w:val="left"/>
      <w:lvlText w:val="%1."/>
      <w:numFmt w:val="decimal"/>
      <w:start w:val="5"/>
    </w:lvl>
  </w:abstractNum>
  <w:abstractNum w:abstractNumId="35">
    <w:nsid w:val="4B588F54"/>
    <w:multiLevelType w:val="hybridMultilevel"/>
    <w:lvl w:ilvl="0">
      <w:lvlJc w:val="left"/>
      <w:lvlText w:val="%1."/>
      <w:numFmt w:val="decimal"/>
      <w:start w:val="11"/>
    </w:lvl>
    <w:lvl w:ilvl="1">
      <w:lvlJc w:val="left"/>
      <w:lvlText w:val="(%2)"/>
      <w:numFmt w:val="lowerLetter"/>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3"/>
    </w:lvl>
  </w:abstractNum>
  <w:abstractNum w:abstractNumId="41">
    <w:nsid w:val="684A481A"/>
    <w:multiLevelType w:val="hybridMultilevel"/>
    <w:lvl w:ilvl="0">
      <w:lvlJc w:val="left"/>
      <w:lvlText w:val="%1."/>
      <w:numFmt w:val="decimal"/>
      <w:start w:val="5"/>
    </w:lvl>
  </w:abstractNum>
  <w:abstractNum w:abstractNumId="42">
    <w:nsid w:val="579478FE"/>
    <w:multiLevelType w:val="hybridMultilevel"/>
    <w:lvl w:ilvl="0">
      <w:lvlJc w:val="left"/>
      <w:lvlText w:val="%1."/>
      <w:numFmt w:val="decimal"/>
      <w:start w:val="12"/>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bullet"/>
      <w:start w:val="1"/>
    </w:lvl>
  </w:abstractNum>
  <w:abstractNum w:abstractNumId="45">
    <w:nsid w:val="1BA026FA"/>
    <w:multiLevelType w:val="hybridMultilevel"/>
    <w:lvl w:ilvl="0">
      <w:lvlJc w:val="left"/>
      <w:lvlText w:val="%1"/>
      <w:numFmt w:val="decimal"/>
      <w:start w:val="1"/>
    </w:lvl>
    <w:lvl w:ilvl="1">
      <w:lvlJc w:val="left"/>
      <w:lvlText w:val="%2."/>
      <w:numFmt w:val="decimal"/>
      <w:start w:val="1"/>
    </w:lvl>
  </w:abstractNum>
  <w:abstractNum w:abstractNumId="46">
    <w:nsid w:val="79A1DEAA"/>
    <w:multiLevelType w:val="hybridMultilevel"/>
    <w:lvl w:ilvl="0">
      <w:lvlJc w:val="left"/>
      <w:lvlText w:val="(%1)"/>
      <w:numFmt w:val="decimal"/>
      <w:start w:val="30"/>
    </w:lvl>
    <w:lvl w:ilvl="1">
      <w:lvlJc w:val="left"/>
      <w:lvlText w:val="%2."/>
      <w:numFmt w:val="decimal"/>
      <w:start w:val="4"/>
    </w:lvl>
  </w:abstractNum>
  <w:abstractNum w:abstractNumId="47">
    <w:nsid w:val="75C6C33A"/>
    <w:multiLevelType w:val="hybridMultilevel"/>
    <w:lvl w:ilvl="0">
      <w:lvlJc w:val="left"/>
      <w:lvlText w:val="%1"/>
      <w:numFmt w:val="lowerLetter"/>
      <w:start w:val="1"/>
    </w:lvl>
    <w:lvl w:ilvl="1">
      <w:lvlJc w:val="left"/>
      <w:lvlText w:val="(%2)"/>
      <w:numFmt w:val="lowerLetter"/>
      <w:start w:val="1"/>
    </w:lvl>
  </w:abstractNum>
  <w:abstractNum w:abstractNumId="48">
    <w:nsid w:val="12E685FB"/>
    <w:multiLevelType w:val="hybridMultilevel"/>
    <w:lvl w:ilvl="0">
      <w:lvlJc w:val="left"/>
      <w:lvlText w:val="(%1)"/>
      <w:numFmt w:val="lowerLetter"/>
      <w:start w:val="61"/>
    </w:lvl>
    <w:lvl w:ilvl="1">
      <w:lvlJc w:val="left"/>
      <w:lvlText w:val="%2"/>
      <w:numFmt w:val="lowerLetter"/>
      <w:start w:val="1"/>
    </w:lvl>
  </w:abstractNum>
  <w:abstractNum w:abstractNumId="49">
    <w:nsid w:val="70C6A529"/>
    <w:multiLevelType w:val="hybridMultilevel"/>
    <w:lvl w:ilvl="0">
      <w:lvlJc w:val="left"/>
      <w:lvlText w:val="(%1)"/>
      <w:numFmt w:val="lowerLetter"/>
      <w:start w:val="3"/>
    </w:lvl>
  </w:abstractNum>
  <w:abstractNum w:abstractNumId="50">
    <w:nsid w:val="520EEDD1"/>
    <w:multiLevelType w:val="hybridMultilevel"/>
    <w:lvl w:ilvl="0">
      <w:lvlJc w:val="left"/>
      <w:lvlText w:val="%1."/>
      <w:numFmt w:val="decimal"/>
      <w:start w:val="5"/>
    </w:lvl>
  </w:abstractNum>
  <w:abstractNum w:abstractNumId="51">
    <w:nsid w:val="374A3FE6"/>
    <w:multiLevelType w:val="hybridMultilevel"/>
    <w:lvl w:ilvl="0">
      <w:lvlJc w:val="left"/>
      <w:lvlText w:val="%1."/>
      <w:numFmt w:val="decimal"/>
      <w:start w:val="1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68" Type="http://schemas.openxmlformats.org/officeDocument/2006/relationships/hyperlink" Target="https://www.sec.gov/Archives/edgar/data/1710155/000171015521000036/nationalvision-thirdamende.htm" TargetMode="External"/><Relationship Id="rId69" Type="http://schemas.openxmlformats.org/officeDocument/2006/relationships/hyperlink" Target="https://www.sec.gov/Archives/edgar/data/0001710155/000171015521000036/nationalvisionholdingsin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2022-05-10T05:56:42Z</dcterms:created>
  <dcterms:modified xsi:type="dcterms:W3CDTF">2022-05-10T05:56:42Z</dcterms:modified>
</cp:coreProperties>
</file>