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76"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76" w:before="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76" w:before="0" w:after="10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bidi w:val="0"/>
        <w:spacing w:lineRule="auto" w:line="276" w:before="0" w:after="0"/>
        <w:jc w:val="center"/>
        <w:rPr>
          <w:rFonts w:ascii="Times New Roman;sans-serif" w:hAnsi="Times New Roman;sans-serif"/>
          <w:b/>
          <w:color w:val="000000"/>
          <w:sz w:val="34"/>
        </w:rPr>
      </w:pPr>
      <w:r>
        <w:rPr>
          <w:rFonts w:ascii="Times New Roman;sans-serif" w:hAnsi="Times New Roman;sans-serif"/>
          <w:b/>
          <w:color w:val="000000"/>
          <w:sz w:val="34"/>
        </w:rPr>
        <w:t xml:space="preserve">FORM 10-Q </w:t>
      </w:r>
    </w:p>
    <w:p>
      <w:pPr>
        <w:pStyle w:val="TextBody"/>
        <w:bidi w:val="0"/>
        <w:spacing w:lineRule="auto" w:line="276" w:before="100" w:after="12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bidi w:val="0"/>
        <w:spacing w:lineRule="auto" w:line="240" w:before="0" w:after="0"/>
        <w:jc w:val="left"/>
        <w:rPr/>
      </w:pPr>
      <w:r>
        <w:rPr>
          <w:color w:val="000000"/>
        </w:rPr>
        <w:t xml:space="preserve">☒ </w:t>
      </w:r>
      <w:r>
        <w:rPr>
          <w:rFonts w:ascii="Times New Roman;sans-serif" w:hAnsi="Times New Roman;sans-serif"/>
          <w:b/>
          <w:color w:val="000000"/>
          <w:sz w:val="22"/>
        </w:rPr>
        <w:t>QUARTERLY REPORT PURSUANT TO SECTION 13 OR 15(d) OF THE SECURITIES EXCHANGE ACT OF 1934</w:t>
      </w:r>
    </w:p>
    <w:p>
      <w:pPr>
        <w:pStyle w:val="TextBody"/>
        <w:bidi w:val="0"/>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September 30, 2023 </w:t>
      </w:r>
    </w:p>
    <w:p>
      <w:pPr>
        <w:pStyle w:val="TextBody"/>
        <w:bidi w:val="0"/>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40" w:before="0" w:after="0"/>
        <w:jc w:val="left"/>
        <w:rPr/>
      </w:pPr>
      <w:r>
        <w:rPr>
          <w:color w:val="000000"/>
        </w:rPr>
        <w:t xml:space="preserve">☐ </w:t>
      </w:r>
      <w:r>
        <w:rPr>
          <w:rFonts w:ascii="Times New Roman;sans-serif" w:hAnsi="Times New Roman;sans-serif"/>
          <w:b/>
          <w:color w:val="000000"/>
          <w:sz w:val="22"/>
        </w:rPr>
        <w:t>TRANSITION REPORT PURSUANT TO SECTION 13 OR 15(d) OF THE SECURITIES EXCHANGE ACT OF 1934</w:t>
      </w:r>
    </w:p>
    <w:p>
      <w:pPr>
        <w:pStyle w:val="TextBody"/>
        <w:bidi w:val="0"/>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001-38257 </w:t>
      </w:r>
    </w:p>
    <w:p>
      <w:pPr>
        <w:pStyle w:val="TextBody"/>
        <w:bidi w:val="0"/>
        <w:spacing w:lineRule="auto" w:line="276" w:before="0" w:after="10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bidi w:val="0"/>
        <w:spacing w:lineRule="auto" w:line="276" w:before="0" w:after="0"/>
        <w:jc w:val="center"/>
        <w:rPr>
          <w:rFonts w:ascii="Times New Roman;sans-serif" w:hAnsi="Times New Roman;sans-serif"/>
          <w:b/>
          <w:color w:val="000000"/>
          <w:sz w:val="32"/>
        </w:rPr>
      </w:pPr>
      <w:r>
        <w:rPr>
          <w:rFonts w:ascii="Times New Roman;sans-serif" w:hAnsi="Times New Roman;sans-serif"/>
          <w:b/>
          <w:color w:val="000000"/>
          <w:sz w:val="32"/>
        </w:rPr>
        <w:t>National Vision Holdings, Inc.</w:t>
      </w:r>
    </w:p>
    <w:p>
      <w:pPr>
        <w:pStyle w:val="TextBody"/>
        <w:bidi w:val="0"/>
        <w:spacing w:lineRule="auto" w:line="276"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76"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tbl>
      <w:tblPr>
        <w:tblW w:w="4706" w:type="dxa"/>
        <w:jc w:val="center"/>
        <w:tblInd w:w="0" w:type="dxa"/>
        <w:tblLayout w:type="fixed"/>
        <w:tblCellMar>
          <w:top w:w="28" w:type="dxa"/>
          <w:left w:w="28" w:type="dxa"/>
          <w:bottom w:w="28" w:type="dxa"/>
          <w:right w:w="28" w:type="dxa"/>
        </w:tblCellMar>
      </w:tblPr>
      <w:tblGrid>
        <w:gridCol w:w="1056"/>
        <w:gridCol w:w="930"/>
        <w:gridCol w:w="938"/>
        <w:gridCol w:w="109"/>
        <w:gridCol w:w="109"/>
        <w:gridCol w:w="109"/>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46-4841717</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2435 Commerce Ave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Building 2200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30096</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Duluth,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(770) 822</w:t>
        <w:noBreakHyphen/>
        <w:t xml:space="preserve">3600 </w:t>
      </w:r>
    </w:p>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76" w:before="0" w:after="10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bidi w:val="0"/>
        <w:spacing w:lineRule="auto" w:line="276" w:before="0" w:after="12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797" w:type="dxa"/>
        <w:jc w:val="center"/>
        <w:tblInd w:w="0" w:type="dxa"/>
        <w:tblLayout w:type="fixed"/>
        <w:tblCellMar>
          <w:top w:w="28" w:type="dxa"/>
          <w:left w:w="28" w:type="dxa"/>
          <w:bottom w:w="28" w:type="dxa"/>
          <w:right w:w="28" w:type="dxa"/>
        </w:tblCellMar>
      </w:tblPr>
      <w:tblGrid>
        <w:gridCol w:w="1123"/>
        <w:gridCol w:w="988"/>
        <w:gridCol w:w="994"/>
        <w:gridCol w:w="109"/>
        <w:gridCol w:w="109"/>
        <w:gridCol w:w="109"/>
        <w:gridCol w:w="519"/>
        <w:gridCol w:w="519"/>
        <w:gridCol w:w="521"/>
        <w:gridCol w:w="109"/>
        <w:gridCol w:w="109"/>
        <w:gridCol w:w="109"/>
        <w:gridCol w:w="1019"/>
        <w:gridCol w:w="1019"/>
        <w:gridCol w:w="1441"/>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EYE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r>
    </w:tbl>
    <w:p>
      <w:pPr>
        <w:pStyle w:val="TextBody"/>
        <w:bidi w:val="0"/>
        <w:spacing w:lineRule="auto" w:line="276" w:before="0" w:after="100"/>
        <w:jc w:val="left"/>
        <w:rPr/>
      </w:pPr>
      <w:r>
        <w:rPr>
          <w:rFonts w:ascii="Times New Roman;sans-serif" w:hAnsi="Times New Roman;sans-serif"/>
          <w:b w:val="false"/>
          <w:color w:val="000000"/>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76" w:before="0" w:after="10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10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the number of shares outstanding of each of the issuer’s classes of common stock, as of the latest practicable date. </w:t>
      </w:r>
    </w:p>
    <w:tbl>
      <w:tblPr>
        <w:tblW w:w="5366"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776"/>
        <w:gridCol w:w="776"/>
        <w:gridCol w:w="1103"/>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at October 27, 2023</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78,245,619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200"/>
        <w:jc w:val="center"/>
        <w:rPr>
          <w:rFonts w:ascii="Times New Roman;sans-serif" w:hAnsi="Times New Roman;sans-serif"/>
          <w:b/>
          <w:color w:val="000000"/>
          <w:sz w:val="22"/>
        </w:rPr>
      </w:pPr>
      <w:r>
        <w:rPr>
          <w:rFonts w:ascii="Times New Roman;sans-serif" w:hAnsi="Times New Roman;sans-serif"/>
          <w:b/>
          <w:color w:val="000000"/>
          <w:sz w:val="22"/>
        </w:rPr>
        <w:t>NATIONAL VISION HOLDINGS, INC. AND SUBSIDIARIES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608"/>
        <w:gridCol w:w="535"/>
        <w:gridCol w:w="535"/>
        <w:gridCol w:w="535"/>
        <w:gridCol w:w="535"/>
        <w:gridCol w:w="535"/>
        <w:gridCol w:w="2232"/>
        <w:gridCol w:w="2054"/>
        <w:gridCol w:w="2091"/>
        <w:gridCol w:w="158"/>
        <w:gridCol w:w="158"/>
        <w:gridCol w:w="229"/>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0">
              <w:r>
                <w:rPr>
                  <w:rStyle w:val="InternetLink"/>
                  <w:rFonts w:ascii="Times New Roman;sans-serif" w:hAnsi="Times New Roman;sans-serif"/>
                  <w:b w:val="false"/>
                  <w:color w:val="0000FF"/>
                  <w:sz w:val="20"/>
                  <w:u w:val="single"/>
                </w:rPr>
                <w:t>SPECIAL NOTE REGARDING FORWARD-LOOKING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0">
              <w:r>
                <w:rPr>
                  <w:rStyle w:val="InternetLink"/>
                  <w:rFonts w:ascii="Times New Roman;sans-serif" w:hAnsi="Times New Roman;sans-serif"/>
                  <w:b w:val="false"/>
                  <w:color w:val="0000FF"/>
                  <w:sz w:val="20"/>
                  <w:u w:val="single"/>
                </w:rPr>
                <w:t>3</w:t>
              </w:r>
            </w:hyperlink>
          </w:p>
        </w:tc>
      </w:tr>
      <w:tr>
        <w:trPr/>
        <w:tc>
          <w:tcPr>
            <w:tcW w:w="966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6">
              <w:r>
                <w:rPr>
                  <w:rStyle w:val="InternetLink"/>
                  <w:rFonts w:ascii="Times New Roman;sans-serif" w:hAnsi="Times New Roman;sans-serif"/>
                  <w:b w:val="false"/>
                  <w:color w:val="0000FF"/>
                  <w:sz w:val="20"/>
                  <w:u w:val="single"/>
                </w:rPr>
                <w:t>PART I – FINANCIAL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6">
              <w:r>
                <w:rPr>
                  <w:rStyle w:val="InternetLink"/>
                  <w:rFonts w:ascii="Times New Roman;sans-serif" w:hAnsi="Times New Roman;sans-serif"/>
                  <w:b w:val="false"/>
                  <w:color w:val="0000FF"/>
                  <w:sz w:val="20"/>
                  <w:u w:val="single"/>
                </w:rPr>
                <w:t>5</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19">
              <w:r>
                <w:rPr>
                  <w:rStyle w:val="InternetLink"/>
                  <w:rFonts w:ascii="Times New Roman;sans-serif" w:hAnsi="Times New Roman;sans-serif"/>
                  <w:b w:val="false"/>
                  <w:color w:val="0000FF"/>
                  <w:sz w:val="20"/>
                  <w:u w:val="single"/>
                </w:rPr>
                <w:t>Item 1.</w:t>
              </w:r>
            </w:hyperlink>
          </w:p>
        </w:tc>
        <w:tc>
          <w:tcPr>
            <w:tcW w:w="6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19">
              <w:r>
                <w:rPr>
                  <w:rStyle w:val="InternetLink"/>
                  <w:rFonts w:ascii="Times New Roman;sans-serif" w:hAnsi="Times New Roman;sans-serif"/>
                  <w:b w:val="false"/>
                  <w:color w:val="0000FF"/>
                  <w:sz w:val="20"/>
                  <w:u w:val="single"/>
                </w:rPr>
                <w:t>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9">
              <w:r>
                <w:rPr>
                  <w:rStyle w:val="InternetLink"/>
                  <w:rFonts w:ascii="Times New Roman;sans-serif" w:hAnsi="Times New Roman;sans-serif"/>
                  <w:b w:val="false"/>
                  <w:color w:val="0000FF"/>
                  <w:sz w:val="20"/>
                  <w:u w:val="single"/>
                </w:rPr>
                <w:t>5</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64021bd0ef74469a8e1e12d99c296f00_22">
              <w:r>
                <w:rPr>
                  <w:rStyle w:val="InternetLink"/>
                  <w:rFonts w:ascii="Times New Roman;sans-serif" w:hAnsi="Times New Roman;sans-serif"/>
                  <w:b w:val="false"/>
                  <w:color w:val="0000FF"/>
                  <w:sz w:val="20"/>
                  <w:u w:val="single"/>
                </w:rPr>
                <w:t>Condensed Consolidated Balance Sheets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2">
              <w:r>
                <w:rPr>
                  <w:rStyle w:val="InternetLink"/>
                  <w:rFonts w:ascii="Times New Roman;sans-serif" w:hAnsi="Times New Roman;sans-serif"/>
                  <w:b w:val="false"/>
                  <w:color w:val="0000FF"/>
                  <w:sz w:val="20"/>
                  <w:u w:val="single"/>
                </w:rPr>
                <w:t>5</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8">
              <w:r>
                <w:rPr>
                  <w:rStyle w:val="InternetLink"/>
                  <w:rFonts w:ascii="Times New Roman;sans-serif" w:hAnsi="Times New Roman;sans-serif"/>
                  <w:b w:val="false"/>
                  <w:color w:val="0000FF"/>
                  <w:sz w:val="20"/>
                  <w:u w:val="single"/>
                </w:rPr>
                <w:t>Condensed Consolidated Statements of Operations and Comprehensive Income</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8">
              <w:r>
                <w:rPr>
                  <w:rStyle w:val="InternetLink"/>
                  <w:rFonts w:ascii="Times New Roman;sans-serif" w:hAnsi="Times New Roman;sans-serif"/>
                  <w:b w:val="false"/>
                  <w:color w:val="0000FF"/>
                  <w:sz w:val="20"/>
                  <w:u w:val="single"/>
                </w:rPr>
                <w:t>6</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64021bd0ef74469a8e1e12d99c296f00_37">
              <w:r>
                <w:rPr>
                  <w:rStyle w:val="InternetLink"/>
                  <w:rFonts w:ascii="Times New Roman;sans-serif" w:hAnsi="Times New Roman;sans-serif"/>
                  <w:b w:val="false"/>
                  <w:color w:val="0000FF"/>
                  <w:sz w:val="20"/>
                  <w:u w:val="single"/>
                </w:rPr>
                <w:t>Condensed Consolidated Statements of Stockholders’ Equity</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37">
              <w:r>
                <w:rPr>
                  <w:rStyle w:val="InternetLink"/>
                  <w:rFonts w:ascii="Times New Roman;sans-serif" w:hAnsi="Times New Roman;sans-serif"/>
                  <w:b w:val="false"/>
                  <w:color w:val="0000FF"/>
                  <w:sz w:val="20"/>
                  <w:u w:val="single"/>
                </w:rPr>
                <w:t>7</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64021bd0ef74469a8e1e12d99c296f00_40">
              <w:r>
                <w:rPr>
                  <w:rStyle w:val="InternetLink"/>
                  <w:rFonts w:ascii="Times New Roman;sans-serif" w:hAnsi="Times New Roman;sans-serif"/>
                  <w:b w:val="false"/>
                  <w:color w:val="0000FF"/>
                  <w:sz w:val="20"/>
                  <w:u w:val="single"/>
                </w:rPr>
                <w:t>Condensed Consolidated Statements of Cash Flows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40">
              <w:r>
                <w:rPr>
                  <w:rStyle w:val="InternetLink"/>
                  <w:rFonts w:ascii="Times New Roman;sans-serif" w:hAnsi="Times New Roman;sans-serif"/>
                  <w:b w:val="false"/>
                  <w:color w:val="0000FF"/>
                  <w:sz w:val="20"/>
                  <w:u w:val="single"/>
                </w:rPr>
                <w:t>9</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64021bd0ef74469a8e1e12d99c296f00_43">
              <w:r>
                <w:rPr>
                  <w:rStyle w:val="InternetLink"/>
                  <w:rFonts w:ascii="Times New Roman;sans-serif" w:hAnsi="Times New Roman;sans-serif"/>
                  <w:b w:val="false"/>
                  <w:color w:val="0000FF"/>
                  <w:sz w:val="20"/>
                  <w:u w:val="single"/>
                </w:rPr>
                <w:t>Notes to Condensed Consolidated Financial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43">
              <w:r>
                <w:rPr>
                  <w:rStyle w:val="InternetLink"/>
                  <w:rFonts w:ascii="Times New Roman;sans-serif" w:hAnsi="Times New Roman;sans-serif"/>
                  <w:b w:val="false"/>
                  <w:color w:val="0000FF"/>
                  <w:sz w:val="20"/>
                  <w:u w:val="single"/>
                </w:rPr>
                <w:t>10</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130">
              <w:r>
                <w:rPr>
                  <w:rStyle w:val="InternetLink"/>
                  <w:rFonts w:ascii="Times New Roman;sans-serif" w:hAnsi="Times New Roman;sans-serif"/>
                  <w:b w:val="false"/>
                  <w:color w:val="0000FF"/>
                  <w:sz w:val="20"/>
                  <w:u w:val="single"/>
                </w:rPr>
                <w:t>Item 2.</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3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30">
              <w:r>
                <w:rPr>
                  <w:rStyle w:val="InternetLink"/>
                  <w:rFonts w:ascii="Times New Roman;sans-serif" w:hAnsi="Times New Roman;sans-serif"/>
                  <w:b w:val="false"/>
                  <w:color w:val="0000FF"/>
                  <w:sz w:val="20"/>
                  <w:u w:val="single"/>
                </w:rPr>
                <w:t>25</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78">
              <w:r>
                <w:rPr>
                  <w:rStyle w:val="InternetLink"/>
                  <w:rFonts w:ascii="Times New Roman;sans-serif" w:hAnsi="Times New Roman;sans-serif"/>
                  <w:b w:val="false"/>
                  <w:color w:val="0000FF"/>
                  <w:sz w:val="20"/>
                  <w:u w:val="single"/>
                </w:rPr>
                <w:t>Item 3.</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78">
              <w:r>
                <w:rPr>
                  <w:rStyle w:val="InternetLink"/>
                  <w:rFonts w:ascii="Times New Roman;sans-serif" w:hAnsi="Times New Roman;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78">
              <w:r>
                <w:rPr>
                  <w:rStyle w:val="InternetLink"/>
                  <w:rFonts w:ascii="Times New Roman;sans-serif" w:hAnsi="Times New Roman;sans-serif"/>
                  <w:b w:val="false"/>
                  <w:color w:val="0000FF"/>
                  <w:sz w:val="20"/>
                  <w:u w:val="single"/>
                </w:rPr>
                <w:t>40</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81">
              <w:r>
                <w:rPr>
                  <w:rStyle w:val="InternetLink"/>
                  <w:rFonts w:ascii="Times New Roman;sans-serif" w:hAnsi="Times New Roman;sans-serif"/>
                  <w:b w:val="false"/>
                  <w:color w:val="0000FF"/>
                  <w:sz w:val="20"/>
                  <w:u w:val="single"/>
                </w:rPr>
                <w:t>Item 4.</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81">
              <w:r>
                <w:rPr>
                  <w:rStyle w:val="InternetLink"/>
                  <w:rFonts w:ascii="Times New Roman;sans-serif" w:hAnsi="Times New Roman;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81">
              <w:r>
                <w:rPr>
                  <w:rStyle w:val="InternetLink"/>
                  <w:rFonts w:ascii="Times New Roman;sans-serif" w:hAnsi="Times New Roman;sans-serif"/>
                  <w:b w:val="false"/>
                  <w:color w:val="0000FF"/>
                  <w:sz w:val="20"/>
                  <w:u w:val="single"/>
                </w:rPr>
                <w:t>40</w:t>
              </w:r>
            </w:hyperlink>
          </w:p>
        </w:tc>
      </w:tr>
      <w:tr>
        <w:trPr/>
        <w:tc>
          <w:tcPr>
            <w:tcW w:w="966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84">
              <w:r>
                <w:rPr>
                  <w:rStyle w:val="InternetLink"/>
                  <w:rFonts w:ascii="Times New Roman;sans-serif" w:hAnsi="Times New Roman;sans-serif"/>
                  <w:b w:val="false"/>
                  <w:color w:val="0000FF"/>
                  <w:sz w:val="20"/>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84">
              <w:r>
                <w:rPr>
                  <w:rStyle w:val="InternetLink"/>
                  <w:rFonts w:ascii="Times New Roman;sans-serif" w:hAnsi="Times New Roman;sans-serif"/>
                  <w:b w:val="false"/>
                  <w:color w:val="0000FF"/>
                  <w:sz w:val="20"/>
                  <w:u w:val="single"/>
                </w:rPr>
                <w:t>41</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87">
              <w:r>
                <w:rPr>
                  <w:rStyle w:val="InternetLink"/>
                  <w:rFonts w:ascii="Times New Roman;sans-serif" w:hAnsi="Times New Roman;sans-serif"/>
                  <w:b w:val="false"/>
                  <w:color w:val="0000FF"/>
                  <w:sz w:val="20"/>
                  <w:u w:val="single"/>
                </w:rPr>
                <w:t>Item 1.</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87">
              <w:r>
                <w:rPr>
                  <w:rStyle w:val="InternetLink"/>
                  <w:rFonts w:ascii="Times New Roman;sans-serif" w:hAnsi="Times New Roman;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87">
              <w:r>
                <w:rPr>
                  <w:rStyle w:val="InternetLink"/>
                  <w:rFonts w:ascii="Times New Roman;sans-serif" w:hAnsi="Times New Roman;sans-serif"/>
                  <w:b w:val="false"/>
                  <w:color w:val="0000FF"/>
                  <w:sz w:val="20"/>
                  <w:u w:val="single"/>
                </w:rPr>
                <w:t>41</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90">
              <w:r>
                <w:rPr>
                  <w:rStyle w:val="InternetLink"/>
                  <w:rFonts w:ascii="Times New Roman;sans-serif" w:hAnsi="Times New Roman;sans-serif"/>
                  <w:b w:val="false"/>
                  <w:color w:val="0000FF"/>
                  <w:sz w:val="20"/>
                  <w:u w:val="single"/>
                </w:rPr>
                <w:t>Item 1A.</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90">
              <w:r>
                <w:rPr>
                  <w:rStyle w:val="InternetLink"/>
                  <w:rFonts w:ascii="Times New Roman;sans-serif" w:hAnsi="Times New Roman;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90">
              <w:r>
                <w:rPr>
                  <w:rStyle w:val="InternetLink"/>
                  <w:rFonts w:ascii="Times New Roman;sans-serif" w:hAnsi="Times New Roman;sans-serif"/>
                  <w:b w:val="false"/>
                  <w:color w:val="0000FF"/>
                  <w:sz w:val="20"/>
                  <w:u w:val="single"/>
                </w:rPr>
                <w:t>41</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96">
              <w:r>
                <w:rPr>
                  <w:rStyle w:val="InternetLink"/>
                  <w:rFonts w:ascii="Times New Roman;sans-serif" w:hAnsi="Times New Roman;sans-serif"/>
                  <w:b w:val="false"/>
                  <w:color w:val="0000FF"/>
                  <w:sz w:val="20"/>
                  <w:u w:val="single"/>
                </w:rPr>
                <w:t>Item 2.</w:t>
              </w:r>
            </w:hyperlink>
          </w:p>
        </w:tc>
        <w:tc>
          <w:tcPr>
            <w:tcW w:w="6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196">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196">
              <w:r>
                <w:rPr>
                  <w:rStyle w:val="InternetLink"/>
                  <w:rFonts w:ascii="Times New Roman;sans-serif" w:hAnsi="Times New Roman;sans-serif"/>
                  <w:b w:val="false"/>
                  <w:color w:val="0000FF"/>
                  <w:sz w:val="20"/>
                  <w:u w:val="single"/>
                </w:rPr>
                <w:t>42</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02">
              <w:r>
                <w:rPr>
                  <w:rStyle w:val="InternetLink"/>
                  <w:rFonts w:ascii="Times New Roman;sans-serif" w:hAnsi="Times New Roman;sans-serif"/>
                  <w:b w:val="false"/>
                  <w:color w:val="0000FF"/>
                  <w:sz w:val="20"/>
                  <w:u w:val="single"/>
                </w:rPr>
                <w:t>Item 3.</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02">
              <w:r>
                <w:rPr>
                  <w:rStyle w:val="InternetLink"/>
                  <w:rFonts w:ascii="Times New Roman;sans-serif" w:hAnsi="Times New Roman;sans-serif"/>
                  <w:b w:val="false"/>
                  <w:color w:val="0000FF"/>
                  <w:sz w:val="20"/>
                  <w:u w:val="single"/>
                </w:rPr>
                <w:t>Defaults Upon Senior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02">
              <w:r>
                <w:rPr>
                  <w:rStyle w:val="InternetLink"/>
                  <w:rFonts w:ascii="Times New Roman;sans-serif" w:hAnsi="Times New Roman;sans-serif"/>
                  <w:b w:val="false"/>
                  <w:color w:val="0000FF"/>
                  <w:sz w:val="20"/>
                  <w:u w:val="single"/>
                </w:rPr>
                <w:t>42</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05">
              <w:r>
                <w:rPr>
                  <w:rStyle w:val="InternetLink"/>
                  <w:rFonts w:ascii="Times New Roman;sans-serif" w:hAnsi="Times New Roman;sans-serif"/>
                  <w:b w:val="false"/>
                  <w:color w:val="0000FF"/>
                  <w:sz w:val="20"/>
                  <w:u w:val="single"/>
                </w:rPr>
                <w:t>Item 4.</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05">
              <w:r>
                <w:rPr>
                  <w:rStyle w:val="InternetLink"/>
                  <w:rFonts w:ascii="Times New Roman;sans-serif" w:hAnsi="Times New Roman;sans-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05">
              <w:r>
                <w:rPr>
                  <w:rStyle w:val="InternetLink"/>
                  <w:rFonts w:ascii="Times New Roman;sans-serif" w:hAnsi="Times New Roman;sans-serif"/>
                  <w:b w:val="false"/>
                  <w:color w:val="0000FF"/>
                  <w:sz w:val="20"/>
                  <w:u w:val="single"/>
                </w:rPr>
                <w:t>42</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08">
              <w:r>
                <w:rPr>
                  <w:rStyle w:val="InternetLink"/>
                  <w:rFonts w:ascii="Times New Roman;sans-serif" w:hAnsi="Times New Roman;sans-serif"/>
                  <w:b w:val="false"/>
                  <w:color w:val="0000FF"/>
                  <w:sz w:val="20"/>
                  <w:u w:val="single"/>
                </w:rPr>
                <w:t>Item 5.</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08">
              <w:r>
                <w:rPr>
                  <w:rStyle w:val="InternetLink"/>
                  <w:rFonts w:ascii="Times New Roman;sans-serif" w:hAnsi="Times New Roman;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08">
              <w:r>
                <w:rPr>
                  <w:rStyle w:val="InternetLink"/>
                  <w:rFonts w:ascii="Times New Roman;sans-serif" w:hAnsi="Times New Roman;sans-serif"/>
                  <w:b w:val="false"/>
                  <w:color w:val="0000FF"/>
                  <w:sz w:val="20"/>
                  <w:u w:val="single"/>
                </w:rPr>
                <w:t>42</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14">
              <w:r>
                <w:rPr>
                  <w:rStyle w:val="InternetLink"/>
                  <w:rFonts w:ascii="Times New Roman;sans-serif" w:hAnsi="Times New Roman;sans-serif"/>
                  <w:b w:val="false"/>
                  <w:color w:val="0000FF"/>
                  <w:sz w:val="20"/>
                  <w:u w:val="single"/>
                </w:rPr>
                <w:t>Item 6.</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14">
              <w:r>
                <w:rPr>
                  <w:rStyle w:val="InternetLink"/>
                  <w:rFonts w:ascii="Times New Roman;sans-serif" w:hAnsi="Times New Roman;sans-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14">
              <w:r>
                <w:rPr>
                  <w:rStyle w:val="InternetLink"/>
                  <w:rFonts w:ascii="Times New Roman;sans-serif" w:hAnsi="Times New Roman;sans-serif"/>
                  <w:b w:val="false"/>
                  <w:color w:val="0000FF"/>
                  <w:sz w:val="20"/>
                  <w:u w:val="single"/>
                </w:rPr>
                <w:t>43</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17">
              <w:r>
                <w:rPr>
                  <w:rStyle w:val="InternetLink"/>
                  <w:rFonts w:ascii="Times New Roman;sans-serif" w:hAnsi="Times New Roman;sans-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21bd0ef74469a8e1e12d99c296f00_217">
              <w:r>
                <w:rPr>
                  <w:rStyle w:val="InternetLink"/>
                  <w:rFonts w:ascii="Times New Roman;sans-serif" w:hAnsi="Times New Roman;sans-serif"/>
                  <w:b w:val="false"/>
                  <w:color w:val="0000FF"/>
                  <w:sz w:val="20"/>
                  <w:u w:val="single"/>
                </w:rPr>
                <w:t>44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and Part I, Item 1A - “Risk Factors” in the Company’s Annual Report on Form 10-K for the year ended December 31, 2022 (the “2022 Annual Report on Form 10-K”), as filed with the Securities and Exchange Commission (the “SEC”), as such risk factors may be updated from time to time in our periodic filings with the SEC, which are accessible on the SEC’s website at www.sec.gov, and also include, but are not limited to, market volatility and an overall decline in the health of the economy and other factors impacting consumer spending, including inflation and uncertainty in financial markets (including as a result of recent events affecting financial institutions); our ability to recruit and retain vision care professionals for our stores and remote medicine offerings in general and in light of the pandemic; our ability to compete successfully; our ability to successfully open new stores and enter new markets; our ability to expand our remote medicine offerings and electronic health records capabilities; our ability to maintain the performance of our Host and Legacy brands and our current operating relationships with our Host and Legacy partners; our ability to successfully navigate the termination of our Walmart partnership, including the transition period; our ability to maintain sufficient levels of cash flow from our operations to execute or sustain our growth strategy or obtain additional financing at satisfactory terms or at all; the impact of wage rate increases, inflation, cost increases and increases in raw material prices and energy prices; our growth strategy straining our existing resources and causing the performance of our existing stores to suffer; the COVID-19 pandemic and future resurgences, and related impacts including federal, state, and local governmental actions in response thereto; customer behavior in response to the pandemic, including the impact of such behavior on in-store traffic and sales;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risks associated with our e-commerce and omni-channel business; the loss of, or disruption in the operations of, one or more of our distribution centers and/or optical laboratories, resulting in the inability to fulfill customer orders and deliver our products in a timely manner; risk of losses arising from our investments in technological innovators in the optical retail industry including artificial intelligence; risks associated with environmental, social and governance issues, including climate change; risks associated with vendors from whom our products are sourced, including our dependence on a limited number of suppliers; our ability to develop, maintain and extend relationships with managed vision care companies, vision insurance providers and other third-party payors; our ability to effectively operate our information technology systems and prevent interruption or security breach; our reliance on third-party coverage and reimbursement, including government programs, for an increasing portion of our revenues; our ability to adhere to extensive state, local and federal vision care and healthcare laws and regulations; our compliance with managed vision care laws and regulations; our ability to adhere to changing state, local and federal privacy, data security and data protection laws and regulations;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convertible notes; and risks related to owning our common stock (including the timing, manner and volume of repurchases of common stock pursuant to our share repurchase program), including our ability to comply with requirements to design and implement and maintain effective internal controls.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Website Disclosure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12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Par Value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62"/>
        <w:gridCol w:w="2037"/>
        <w:gridCol w:w="2021"/>
        <w:gridCol w:w="229"/>
        <w:gridCol w:w="1063"/>
        <w:gridCol w:w="118"/>
        <w:gridCol w:w="109"/>
        <w:gridCol w:w="109"/>
        <w:gridCol w:w="109"/>
        <w:gridCol w:w="227"/>
        <w:gridCol w:w="1051"/>
        <w:gridCol w:w="170"/>
      </w:tblGrid>
      <w:tr>
        <w:trPr/>
        <w:tc>
          <w:tcPr>
            <w:tcW w:w="2962"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ASSETS </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1,766,372 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1,817,410 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2,266,434 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2,291,246 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and accrued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 and finance 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344,264 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 less current portion and debt discount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1,052,554 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1,045,869 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(See Note 10)</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200,000 shares authorized; 84,652 and 84,273 shares issued as of September 30, 2023 and December 31, 2022, respectively; 78,179 and 78,992 shares outstanding as of September 30, 2023 and December 31, 2022,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at cost; 6,473 and 5,281 shares as of September 30, 2023 and December 31, 2022,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901,113 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2,266,434 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2,291,246 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Earnings Per Share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28"/>
        <w:gridCol w:w="1062"/>
        <w:gridCol w:w="1067"/>
        <w:gridCol w:w="259"/>
        <w:gridCol w:w="1017"/>
        <w:gridCol w:w="134"/>
        <w:gridCol w:w="109"/>
        <w:gridCol w:w="109"/>
        <w:gridCol w:w="109"/>
        <w:gridCol w:w="233"/>
        <w:gridCol w:w="913"/>
        <w:gridCol w:w="120"/>
        <w:gridCol w:w="109"/>
        <w:gridCol w:w="109"/>
        <w:gridCol w:w="109"/>
        <w:gridCol w:w="243"/>
        <w:gridCol w:w="1124"/>
        <w:gridCol w:w="125"/>
        <w:gridCol w:w="109"/>
        <w:gridCol w:w="109"/>
        <w:gridCol w:w="109"/>
        <w:gridCol w:w="219"/>
        <w:gridCol w:w="1014"/>
        <w:gridCol w:w="166"/>
      </w:tblGrid>
      <w:tr>
        <w:trPr/>
        <w:tc>
          <w:tcPr>
            <w:tcW w:w="152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1,333,242 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of services and plans </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499,207 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1,620,065 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1,536,473 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applicable to revenue (exclusive of depreciation and amortization):</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and plans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252,026 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232,800 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703,404 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354,927 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899,708 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762,007 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Earnings (loss) per share:</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of unrealized gain on hedge instruments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(73,608)</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16"/>
        <w:gridCol w:w="606"/>
        <w:gridCol w:w="610"/>
        <w:gridCol w:w="360"/>
        <w:gridCol w:w="361"/>
        <w:gridCol w:w="211"/>
        <w:gridCol w:w="225"/>
        <w:gridCol w:w="498"/>
        <w:gridCol w:w="116"/>
        <w:gridCol w:w="211"/>
        <w:gridCol w:w="826"/>
        <w:gridCol w:w="109"/>
        <w:gridCol w:w="308"/>
        <w:gridCol w:w="925"/>
        <w:gridCol w:w="160"/>
        <w:gridCol w:w="237"/>
        <w:gridCol w:w="929"/>
        <w:gridCol w:w="122"/>
        <w:gridCol w:w="211"/>
        <w:gridCol w:w="859"/>
        <w:gridCol w:w="109"/>
        <w:gridCol w:w="228"/>
        <w:gridCol w:w="893"/>
        <w:gridCol w:w="175"/>
      </w:tblGrid>
      <w:tr>
        <w:trPr/>
        <w:tc>
          <w:tcPr>
            <w:tcW w:w="91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and Nine Months Ended September 30, 2023</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w:t>
              <w:br/>
              <w:t xml:space="preserve">Paid-In </w:t>
              <w:br/>
              <w:t>Capital</w:t>
            </w:r>
          </w:p>
        </w:tc>
        <w:tc>
          <w:tcPr>
            <w:tcW w:w="13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Other</w:t>
              <w:br/>
              <w:t xml:space="preserve">Comprehensive </w:t>
              <w:br/>
              <w:t>Loss</w:t>
            </w:r>
          </w:p>
        </w:tc>
        <w:tc>
          <w:tcPr>
            <w:tcW w:w="12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w:t>
              <w:br/>
              <w:t>Stock</w:t>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br/>
              <w:t xml:space="preserve">Stockholders’ </w:t>
              <w:br/>
              <w:t xml:space="preserve">Equity </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2025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April 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338,787 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896,726 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July 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344,401 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908,412 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September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270,603 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840,352 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50"/>
        <w:gridCol w:w="589"/>
        <w:gridCol w:w="593"/>
        <w:gridCol w:w="360"/>
        <w:gridCol w:w="361"/>
        <w:gridCol w:w="211"/>
        <w:gridCol w:w="225"/>
        <w:gridCol w:w="498"/>
        <w:gridCol w:w="116"/>
        <w:gridCol w:w="211"/>
        <w:gridCol w:w="826"/>
        <w:gridCol w:w="109"/>
        <w:gridCol w:w="308"/>
        <w:gridCol w:w="925"/>
        <w:gridCol w:w="160"/>
        <w:gridCol w:w="237"/>
        <w:gridCol w:w="929"/>
        <w:gridCol w:w="122"/>
        <w:gridCol w:w="211"/>
        <w:gridCol w:w="859"/>
        <w:gridCol w:w="109"/>
        <w:gridCol w:w="228"/>
        <w:gridCol w:w="893"/>
        <w:gridCol w:w="175"/>
      </w:tblGrid>
      <w:tr>
        <w:trPr/>
        <w:tc>
          <w:tcPr>
            <w:tcW w:w="95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and Nine Months Ended October 1, 2022</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w:t>
              <w:br/>
              <w:t xml:space="preserve">Paid-In </w:t>
              <w:br/>
              <w:t>Capital</w:t>
            </w:r>
          </w:p>
        </w:tc>
        <w:tc>
          <w:tcPr>
            <w:tcW w:w="13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Other</w:t>
              <w:br/>
              <w:t xml:space="preserve">Comprehensive </w:t>
              <w:br/>
              <w:t>Loss</w:t>
            </w:r>
          </w:p>
        </w:tc>
        <w:tc>
          <w:tcPr>
            <w:tcW w:w="12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w:t>
              <w:br/>
              <w:t>Stock</w:t>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br/>
              <w:t xml:space="preserve">Stockholders’ </w:t>
              <w:br/>
              <w:t xml:space="preserve">Equity </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January 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2025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April 2, 2022</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950,726 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July 2, 2022</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318,276 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891,669 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October 1, 2022</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329,778 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906,925 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401" w:type="dxa"/>
        <w:jc w:val="left"/>
        <w:tblInd w:w="0" w:type="dxa"/>
        <w:tblLayout w:type="fixed"/>
        <w:tblCellMar>
          <w:top w:w="28" w:type="dxa"/>
          <w:left w:w="28" w:type="dxa"/>
          <w:bottom w:w="28" w:type="dxa"/>
          <w:right w:w="28" w:type="dxa"/>
        </w:tblCellMar>
      </w:tblPr>
      <w:tblGrid>
        <w:gridCol w:w="2260"/>
        <w:gridCol w:w="1982"/>
        <w:gridCol w:w="1997"/>
        <w:gridCol w:w="288"/>
        <w:gridCol w:w="1082"/>
        <w:gridCol w:w="160"/>
        <w:gridCol w:w="109"/>
        <w:gridCol w:w="109"/>
        <w:gridCol w:w="109"/>
        <w:gridCol w:w="235"/>
        <w:gridCol w:w="885"/>
        <w:gridCol w:w="185"/>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Nine Months Ended</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2022</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deferred financing costs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Asset impairment </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 (benefit)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(gains) on change in fair value of derivatives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adjustments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 and lease liabilities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unearned revenue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153,272 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121,337 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(86,120)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(86,067)</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long-term debt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(83,676)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finance lease obligations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financing activities</w:t>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(34,165)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(84,624)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(49,354)</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year</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267,152 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257,522 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disclosure information:</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accrued at the end of the period</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Notes to Condensed Consolidated Financial Statements</w:t>
      </w:r>
    </w:p>
    <w:p>
      <w:pPr>
        <w:pStyle w:val="TextBody"/>
        <w:bidi w:val="0"/>
        <w:spacing w:before="0" w:after="0"/>
        <w:jc w:val="left"/>
        <w:rPr/>
      </w:pPr>
      <w:r>
        <w:rPr/>
      </w:r>
    </w:p>
    <w:p>
      <w:pPr>
        <w:pStyle w:val="TextBody"/>
        <w:bidi w:val="0"/>
        <w:spacing w:before="0" w:after="0"/>
        <w:jc w:val="left"/>
        <w:rPr/>
      </w:pPr>
      <w:r>
        <w:rPr/>
      </w:r>
    </w:p>
    <w:tbl>
      <w:tblPr>
        <w:tblW w:w="4860" w:type="dxa"/>
        <w:jc w:val="left"/>
        <w:tblInd w:w="0" w:type="dxa"/>
        <w:tblLayout w:type="fixed"/>
        <w:tblCellMar>
          <w:top w:w="28" w:type="dxa"/>
          <w:left w:w="28" w:type="dxa"/>
          <w:bottom w:w="28" w:type="dxa"/>
          <w:right w:w="28" w:type="dxa"/>
        </w:tblCellMar>
      </w:tblPr>
      <w:tblGrid>
        <w:gridCol w:w="1565"/>
        <w:gridCol w:w="1373"/>
        <w:gridCol w:w="1381"/>
        <w:gridCol w:w="158"/>
        <w:gridCol w:w="158"/>
        <w:gridCol w:w="225"/>
      </w:tblGrid>
      <w:tr>
        <w:trPr/>
        <w:tc>
          <w:tcPr>
            <w:tcW w:w="15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49">
              <w:r>
                <w:rPr>
                  <w:rStyle w:val="InternetLink"/>
                  <w:rFonts w:ascii="Times New Roman;sans-serif" w:hAnsi="Times New Roman;sans-serif"/>
                  <w:b w:val="false"/>
                  <w:color w:val="0000FF"/>
                  <w:sz w:val="20"/>
                  <w:u w:val="single"/>
                </w:rPr>
                <w:t>1. Description of Business and Basis of Presentation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49">
              <w:r>
                <w:rPr>
                  <w:rStyle w:val="InternetLink"/>
                  <w:rFonts w:ascii="Times New Roman;sans-serif" w:hAnsi="Times New Roman;sans-serif"/>
                  <w:b w:val="false"/>
                  <w:color w:val="0000FF"/>
                  <w:sz w:val="20"/>
                  <w:u w:val="single"/>
                </w:rPr>
                <w:t>11</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1654">
              <w:r>
                <w:rPr>
                  <w:rStyle w:val="InternetLink"/>
                  <w:rFonts w:ascii="Times New Roman;sans-serif" w:hAnsi="Times New Roman;sans-serif"/>
                  <w:b w:val="false"/>
                  <w:color w:val="0000FF"/>
                  <w:sz w:val="20"/>
                  <w:u w:val="single"/>
                </w:rPr>
                <w:t>2. Termination of Walmart Partnership</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1654">
              <w:r>
                <w:rPr>
                  <w:rStyle w:val="InternetLink"/>
                  <w:rFonts w:ascii="Times New Roman;sans-serif" w:hAnsi="Times New Roman;sans-serif"/>
                  <w:b w:val="false"/>
                  <w:color w:val="0000FF"/>
                  <w:sz w:val="20"/>
                  <w:u w:val="single"/>
                </w:rPr>
                <w:t>13</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64021bd0ef74469a8e1e12d99c296f00_55">
              <w:r>
                <w:rPr>
                  <w:rStyle w:val="InternetLink"/>
                  <w:rFonts w:ascii="Times New Roman;sans-serif" w:hAnsi="Times New Roman;sans-serif"/>
                  <w:b w:val="false"/>
                  <w:color w:val="0000FF"/>
                  <w:sz w:val="20"/>
                  <w:u w:val="single"/>
                </w:rPr>
                <w:t>3. Details of Certain Balance Sheet Accounts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55">
              <w:r>
                <w:rPr>
                  <w:rStyle w:val="InternetLink"/>
                  <w:rFonts w:ascii="Times New Roman;sans-serif" w:hAnsi="Times New Roman;sans-serif"/>
                  <w:b w:val="false"/>
                  <w:color w:val="0000FF"/>
                  <w:sz w:val="20"/>
                  <w:u w:val="single"/>
                </w:rPr>
                <w:t>14</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4021bd0ef74469a8e1e12d99c296f00_61">
              <w:r>
                <w:rPr>
                  <w:rStyle w:val="InternetLink"/>
                  <w:rFonts w:ascii="Times New Roman;sans-serif" w:hAnsi="Times New Roman;sans-serif"/>
                  <w:b w:val="false"/>
                  <w:color w:val="0000FF"/>
                  <w:sz w:val="20"/>
                  <w:u w:val="single"/>
                </w:rPr>
                <w:t>4. Fair Value Measurement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61">
              <w:r>
                <w:rPr>
                  <w:rStyle w:val="InternetLink"/>
                  <w:rFonts w:ascii="Times New Roman;sans-serif" w:hAnsi="Times New Roman;sans-serif"/>
                  <w:b w:val="false"/>
                  <w:color w:val="0000FF"/>
                  <w:sz w:val="20"/>
                  <w:u w:val="single"/>
                </w:rPr>
                <w:t>15</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4021bd0ef74469a8e1e12d99c296f00_67">
              <w:r>
                <w:rPr>
                  <w:rStyle w:val="InternetLink"/>
                  <w:rFonts w:ascii="Times New Roman;sans-serif" w:hAnsi="Times New Roman;sans-serif"/>
                  <w:b w:val="false"/>
                  <w:color w:val="0000FF"/>
                  <w:sz w:val="20"/>
                  <w:u w:val="single"/>
                </w:rPr>
                <w:t>5. Long-term Debt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67">
              <w:r>
                <w:rPr>
                  <w:rStyle w:val="InternetLink"/>
                  <w:rFonts w:ascii="Times New Roman;sans-serif" w:hAnsi="Times New Roman;sans-serif"/>
                  <w:b w:val="false"/>
                  <w:color w:val="0000FF"/>
                  <w:sz w:val="20"/>
                  <w:u w:val="single"/>
                </w:rPr>
                <w:t>16</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w:anchor="i64021bd0ef74469a8e1e12d99c296f00_73">
              <w:r>
                <w:rPr>
                  <w:rStyle w:val="InternetLink"/>
                  <w:rFonts w:ascii="Times New Roman;sans-serif" w:hAnsi="Times New Roman;sans-serif"/>
                  <w:b w:val="false"/>
                  <w:color w:val="0000FF"/>
                  <w:sz w:val="20"/>
                  <w:u w:val="single"/>
                </w:rPr>
                <w:t>6. Interest Rate Derivatives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73">
              <w:r>
                <w:rPr>
                  <w:rStyle w:val="InternetLink"/>
                  <w:rFonts w:ascii="Times New Roman;sans-serif" w:hAnsi="Times New Roman;sans-serif"/>
                  <w:b w:val="false"/>
                  <w:color w:val="0000FF"/>
                  <w:sz w:val="20"/>
                  <w:u w:val="single"/>
                </w:rPr>
                <w:t>18</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64021bd0ef74469a8e1e12d99c296f00_79">
              <w:r>
                <w:rPr>
                  <w:rStyle w:val="InternetLink"/>
                  <w:rFonts w:ascii="Times New Roman;sans-serif" w:hAnsi="Times New Roman;sans-serif"/>
                  <w:b w:val="false"/>
                  <w:color w:val="0000FF"/>
                  <w:sz w:val="20"/>
                  <w:u w:val="single"/>
                </w:rPr>
                <w:t>7. Stock Incentive Plans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79">
              <w:r>
                <w:rPr>
                  <w:rStyle w:val="InternetLink"/>
                  <w:rFonts w:ascii="Times New Roman;sans-serif" w:hAnsi="Times New Roman;sans-serif"/>
                  <w:b w:val="false"/>
                  <w:color w:val="0000FF"/>
                  <w:sz w:val="20"/>
                  <w:u w:val="single"/>
                </w:rPr>
                <w:t>18</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w:anchor="i64021bd0ef74469a8e1e12d99c296f00_88">
              <w:r>
                <w:rPr>
                  <w:rStyle w:val="InternetLink"/>
                  <w:rFonts w:ascii="Times New Roman;sans-serif" w:hAnsi="Times New Roman;sans-serif"/>
                  <w:b w:val="false"/>
                  <w:color w:val="0000FF"/>
                  <w:sz w:val="20"/>
                  <w:u w:val="single"/>
                </w:rPr>
                <w:t>8. Revenue From Contracts With Customers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88">
              <w:r>
                <w:rPr>
                  <w:rStyle w:val="InternetLink"/>
                  <w:rFonts w:ascii="Times New Roman;sans-serif" w:hAnsi="Times New Roman;sans-serif"/>
                  <w:b w:val="false"/>
                  <w:color w:val="0000FF"/>
                  <w:sz w:val="20"/>
                  <w:u w:val="single"/>
                </w:rPr>
                <w:t>19</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4021bd0ef74469a8e1e12d99c296f00_94">
              <w:r>
                <w:rPr>
                  <w:rStyle w:val="InternetLink"/>
                  <w:rFonts w:ascii="Times New Roman;sans-serif" w:hAnsi="Times New Roman;sans-serif"/>
                  <w:b w:val="false"/>
                  <w:color w:val="0000FF"/>
                  <w:sz w:val="20"/>
                  <w:u w:val="single"/>
                </w:rPr>
                <w:t>9. Leases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94">
              <w:r>
                <w:rPr>
                  <w:rStyle w:val="InternetLink"/>
                  <w:rFonts w:ascii="Times New Roman;sans-serif" w:hAnsi="Times New Roman;sans-serif"/>
                  <w:b w:val="false"/>
                  <w:color w:val="0000FF"/>
                  <w:sz w:val="20"/>
                  <w:u w:val="single"/>
                </w:rPr>
                <w:t>20</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120" w:after="120"/>
              <w:jc w:val="both"/>
              <w:rPr/>
            </w:pPr>
            <w:hyperlink w:anchor="i64021bd0ef74469a8e1e12d99c296f00_100">
              <w:r>
                <w:rPr>
                  <w:rStyle w:val="InternetLink"/>
                  <w:rFonts w:ascii="Times New Roman;sans-serif" w:hAnsi="Times New Roman;sans-serif"/>
                  <w:b w:val="false"/>
                  <w:color w:val="0000FF"/>
                  <w:sz w:val="20"/>
                  <w:u w:val="single"/>
                </w:rPr>
                <w:t>10. Commitments and Contingencies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100">
              <w:r>
                <w:rPr>
                  <w:rStyle w:val="InternetLink"/>
                  <w:rFonts w:ascii="Times New Roman;sans-serif" w:hAnsi="Times New Roman;sans-serif"/>
                  <w:b w:val="false"/>
                  <w:color w:val="0000FF"/>
                  <w:sz w:val="20"/>
                  <w:u w:val="single"/>
                </w:rPr>
                <w:t>20</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i64021bd0ef74469a8e1e12d99c296f00_106">
              <w:r>
                <w:rPr>
                  <w:rStyle w:val="InternetLink"/>
                  <w:rFonts w:ascii="Times New Roman;sans-serif" w:hAnsi="Times New Roman;sans-serif"/>
                  <w:b w:val="false"/>
                  <w:color w:val="0000FF"/>
                  <w:sz w:val="20"/>
                  <w:u w:val="single"/>
                </w:rPr>
                <w:t>11. Segment Reporting</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106">
              <w:r>
                <w:rPr>
                  <w:rStyle w:val="InternetLink"/>
                  <w:rFonts w:ascii="Times New Roman;sans-serif" w:hAnsi="Times New Roman;sans-serif"/>
                  <w:b w:val="false"/>
                  <w:color w:val="0000FF"/>
                  <w:sz w:val="20"/>
                  <w:u w:val="single"/>
                </w:rPr>
                <w:t>21</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4021bd0ef74469a8e1e12d99c296f00_112">
              <w:r>
                <w:rPr>
                  <w:rStyle w:val="InternetLink"/>
                  <w:rFonts w:ascii="Times New Roman;sans-serif" w:hAnsi="Times New Roman;sans-serif"/>
                  <w:b w:val="false"/>
                  <w:color w:val="0000FF"/>
                  <w:sz w:val="20"/>
                  <w:u w:val="single"/>
                </w:rPr>
                <w:t>12. Earnings Per Share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21bd0ef74469a8e1e12d99c296f00_112">
              <w:r>
                <w:rPr>
                  <w:rStyle w:val="InternetLink"/>
                  <w:rFonts w:ascii="Times New Roman;sans-serif" w:hAnsi="Times New Roman;sans-serif"/>
                  <w:b w:val="false"/>
                  <w:color w:val="0000FF"/>
                  <w:sz w:val="20"/>
                  <w:u w:val="single"/>
                </w:rPr>
                <w:t>24</w:t>
              </w:r>
            </w:hyperlink>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 Description of Business and Basis of Presentation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Nature of Operations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We operated 1,402 and 1,354 retail optical locations in the United States and its territories as of September 30, 2023 and December 31, 2022,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 Refer to Note 2. “Termination of Walmart Partnership” for developments related to the Walmart exit.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Principles of Consolidation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31, 2022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31, 2022 included in the 2022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nine months ended September 30, 2023.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our accounts and those of our wholly-owned subsidiaries. All intercompany balances and transactions have been eliminated in consolidation. Certain amounts within the footnotes to the financial statements for fiscal year 2022 have been reclassified to conform to the fiscal year 2023 presentation.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consolidated certain entities meeting the definition of a variable interest entity (“VIE”) as the Company concluded that it is the primary beneficiary of the entities under the provisions of Accounting Standards Codification 810, Consolidation. At September 30, 2023, the variable interest entities include 32 professional corporations. The total assets of the consolidated VIEs included in the accompanying Condensed Consolidated Balance Sheets as of September 30, 2023 and December 31, 2022, were $3.7 million and $7.9 million, respectively, and the total liabilities of the consolidated VIEs were $5.1 million and $8.3 million, respectively.</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Fiscal Year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consists of 52 or 53 weeks ending on the Saturday closest to December 31. Fiscal year 2023 contains 52 weeks and will end on December 30, 2023. All three and nine month periods presented herein contain 13 and 39 weeks, respectively. All references to years and quarters relate to fiscal periods rather than calendar periods.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results of operations for the three and nine months ended September 30, 2023 and October 1, 2022, are not necessarily indicative of the results to be expected for the full fiscal year due to seasonality and uncertainty of general economic conditions that may impact our key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Non-cash impairment charges of $80.8 million and $82.1 million were recorded for the three and nine months ended September 30, 2023, respectively, compared to $1.3 million and $5.2 million for the three and nine months ended October 1, 2022, respectively. The majority of the impairment charges this quarter are associated with our Legacy segment and AC Lens. Refer to Note 2. “Termination of Walmart Partnership” for more detail. In addition to the Walmart and AC Lens related impairment charges, we recorded impairment charges primarily related to tangible long-lived assets and ROU assets associated with our Owned &amp; Host segment which are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 Refer to Note 4. “Fair Value Measurements” for additional information on impairment charges unrelated to the termination of the Walmart partnership.</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the three months ended September 30, 2023 was 5.8%, reflecting our statutory federal and state rate of 25.4%, the disallowance of the Legacy segment goodwill impairment loss for income tax purposes and effects of other permanent items. Our effective tax rate for the three months ended October 1, 2022 was 33.7%, reflecting our statutory federal and state rate of 25.5% and effects of other permanent items.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the nine months ended September 30, 2023 was (13.5)%, reflecting our statutory federal and state rate of 25.4%, the disallowance of the Legacy segment goodwill impairment loss for income tax purposes and other permanent items. Our effective tax rate for the nine months ended October 1, 2022 was 29.8%, reflecting our statutory federal and state rate of 25.5% and effects of other permanent items.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October 1, 2022, the Company repurchased 1.1 million shares of its common stock for $25.0 million, and 2.7 million shares of its common stock for $80.0 million, respectively, under the share repurchase program. As of September 30, 2023, $25.0 million remains available under the share repurchase authorization.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U.S. government enacted the Inflation Reduction Act (“IRA”) which, among other things, provides for a 15% corporate alternative minimum tax based on a prescribed measure of income as well as a 1% excise tax on stock repurchases.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year 2023, we completed an investment in an entity specializing in applying artificial intelligence-powered screening and diagnostic tools to retinal imaging. The initial investment of $0.9 million was recognized in Other assets in the Condensed Consolidated Balance Sheets as of September 30, 2023 and in Other in the investing section of the Condensed Consolidated Statements of Cash Flows for the nine months ended September 30, 2023. We have agreed to invest up to an additional $2.4 million in the entity upon the completion of certain milestones.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Future Adoption of Accounting Pronouncements</w:t>
      </w:r>
    </w:p>
    <w:p>
      <w:pPr>
        <w:pStyle w:val="TextBody"/>
        <w:bidi w:val="0"/>
        <w:spacing w:lineRule="auto" w:line="288" w:before="0" w:after="120"/>
        <w:jc w:val="both"/>
        <w:rPr/>
      </w:pPr>
      <w:r>
        <w:rPr>
          <w:rFonts w:ascii="Times New Roman;sans-serif" w:hAnsi="Times New Roman;sans-serif"/>
          <w:b w:val="false"/>
          <w:i/>
          <w:color w:val="000000"/>
          <w:sz w:val="20"/>
        </w:rPr>
        <w:t xml:space="preserve">Reference Rate Reform. </w:t>
      </w:r>
      <w:r>
        <w:rPr>
          <w:rFonts w:ascii="Times New Roman;sans-serif" w:hAnsi="Times New Roman;sans-serif"/>
          <w:b w:val="false"/>
          <w:color w:val="000000"/>
          <w:sz w:val="20"/>
        </w:rPr>
        <w:t>The Financial Accounting Standards Board (“FASB”) has issued guidance at various points over the last several years that provides optional expedients and exceptions for applying U.S. GAAP to contracts, hedging relationships, and other transactions that may be affected by the cessation of the London Inter-bank Offered Rate (“LIBOR”). We are currently able to apply this new guidance for contract modifications as of any date from the beginning of an interim period that includes or is subsequent to March 12, 2020 through December 31, 2024. Refer to Note 5. “Long-term Debt” and Note 6. “Interest Rate Derivatives” for more information on our transition from LIBOR to Term Secured Overnight Financing Rate (“Term SOFR”).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FASB issued other accounting guidance during the period that is not currently applicable or expected to have a material impact on the Company’s financial statements, and therefore, is not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2. Termination of Walmart Partnership</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July 20, 2023, the Company received a notice of non-renewal from Walmart Inc. (“Walmart”) of the Management &amp; Services Agreement by and between NVI and Walmart, dated as of May 1, 2012 (as amended, supplemented or otherwise modified from time to time, the “Walmart MSA”). In accordance with the terms of the Walmart MSA and the notice, the agreement will terminate as of February 23, 2024, unless an alternate date is agreed by the parties (the “Termination Date”). In connection with the termination of the Walmart MSA, the Amended and Restated Supplier Agreement between NVI and Walmart, dated as of January 17, 2017 (the “Walmart Supplier Agreement”), and certain other related agreements will also terminate as of the Termination Date. The Walmart MSA includes provisions governing the transition period and post-termination obligations of the parties.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termination of the Walmart MSA, the agreement between FirstSight Vision Services, Inc. (“FirstSight”), a wholly-owned subsidiary of the Company, and Walmart, which arranges for the provision by FirstSight of optometric services at optometric offices next to certain Walmart stores throughout California, will also terminate as of the Termination Date. Additionally, another wholly-owned subsidiary of the Company, Arlington Contacts Lens Service, Inc. (“AC Lens”), has delivered notices of non-renewal of the agreements it has with Walmart and its affiliate Sam’s Club regarding wholesale contact lenses distribution and related services, such that these agreements will terminate as of June 30, 2024, unless an earlier date is agreed by the parties. The Company will also wind down its remaining AC Lens operations, including the closure of its Ohio distribution center, which largely supported the wholesale distribution and e-commerce contact lens services that the Company provided to Walmart and Sam’s Club.</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charges recognized in the periods shown. We may incur other exit-related costs, which may be material.</w:t>
      </w:r>
    </w:p>
    <w:p>
      <w:pPr>
        <w:pStyle w:val="TextBody"/>
        <w:bidi w:val="0"/>
        <w:spacing w:before="0" w:after="0"/>
        <w:jc w:val="both"/>
        <w:rPr/>
      </w:pPr>
      <w:r>
        <w:rPr/>
      </w:r>
    </w:p>
    <w:tbl>
      <w:tblPr>
        <w:tblW w:w="6746" w:type="dxa"/>
        <w:jc w:val="left"/>
        <w:tblInd w:w="0" w:type="dxa"/>
        <w:tblLayout w:type="fixed"/>
        <w:tblCellMar>
          <w:top w:w="28" w:type="dxa"/>
          <w:left w:w="28" w:type="dxa"/>
          <w:bottom w:w="28" w:type="dxa"/>
          <w:right w:w="28" w:type="dxa"/>
        </w:tblCellMar>
      </w:tblPr>
      <w:tblGrid>
        <w:gridCol w:w="1022"/>
        <w:gridCol w:w="897"/>
        <w:gridCol w:w="900"/>
        <w:gridCol w:w="368"/>
        <w:gridCol w:w="1257"/>
        <w:gridCol w:w="190"/>
        <w:gridCol w:w="109"/>
        <w:gridCol w:w="109"/>
        <w:gridCol w:w="109"/>
        <w:gridCol w:w="347"/>
        <w:gridCol w:w="1185"/>
        <w:gridCol w:w="253"/>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br/>
              <w:t>September 30, 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benefits</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summarized the Company’s Other payables and accrued expenses balance related to the termination of the Walmart Partnership.</w:t>
      </w:r>
    </w:p>
    <w:tbl>
      <w:tblPr>
        <w:tblW w:w="6210" w:type="dxa"/>
        <w:jc w:val="left"/>
        <w:tblInd w:w="0" w:type="dxa"/>
        <w:tblLayout w:type="fixed"/>
        <w:tblCellMar>
          <w:top w:w="28" w:type="dxa"/>
          <w:left w:w="28" w:type="dxa"/>
          <w:bottom w:w="28" w:type="dxa"/>
          <w:right w:w="28" w:type="dxa"/>
        </w:tblCellMar>
      </w:tblPr>
      <w:tblGrid>
        <w:gridCol w:w="1190"/>
        <w:gridCol w:w="1045"/>
        <w:gridCol w:w="1050"/>
        <w:gridCol w:w="628"/>
        <w:gridCol w:w="1835"/>
        <w:gridCol w:w="462"/>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9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Employee Compensation Benefits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62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Expenses recognized during the period</w:t>
            </w:r>
          </w:p>
        </w:tc>
        <w:tc>
          <w:tcPr>
            <w:tcW w:w="2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charges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determined that the various impending terminations of agreements described above as well as the subsequent decision to consolidate our distribution network and close the distribution center in Ohio constituted triggering events, and accordingly, performed impairment tests during the quarter ended September 30, 2023 on assets related to the Walmart partnership. We used the discounted cash flow method of the income approach in our analyses and considered projected cash flows for the remaining terms of the various agreements and other costs related to ending the Walmart partnership, and used discount rates between 7.8% and 10.0% depending on the asset or asset group being valued. A decrease in the estimated cash flows would lead to a lower fair value measurement, as would an increase in the discount rate. These non-recurring fair value measurements are classified as Level 3 measurements in the fair value hierarchy. The impairment charges recognized during the three and nine months ended September 30, 2023 resulting from the impending Walmart partnership termination include $60.1 million related to goodwill of the Legacy segment, $9.1 million related to the Walmart contracts and relationship intangible asset, and $10.2 million related to property and equipment at Walmart stores and associated with our AC Lens business. These expenses were recognized in Corporate/Other, and the impairment charges are reflected in Asset impairment in the Condensed Consolidated Statements of Operations and Comprehensive Income. The estimated remaining fair value of the assets impaired during the three and nine months ended September 30, 2023 as a result of the termination of the Walmart partnership was $1.5 million. We adjusted the useful lives of the impaired intangible and fixed assets to be aligned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with the respective contract termination dates. The impairment testing date for (i) goodwill related to the Legacy segment, (ii) the Walmart contract and relationships intangible asset and (iii) property and equipment located in Walmart stores was contemporaneous with the date that we received notice of non-renewal from Walmart. We did not impair certain assets that we believe can be sold or used in other stores in our Owned &amp; Host segment after the Termination Date. We determined that all long-lived Walmart and AC Lens assets were held and used as of September 30, 2023 and were not available for immediate sale.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Aggregate intangible asset amortization expense is included in Depreciation and amortization in the accompanying Condensed Consolidated Statements of Operations and Comprehensive Income. Aggregate future estimated intangible asset amortization expense, including remaining carrying value of $0.2 million related to the Walmart contracts and relationship intangible asset as of September 30, 2023, is shown in the following table:</w:t>
      </w:r>
    </w:p>
    <w:tbl>
      <w:tblPr>
        <w:tblW w:w="4106" w:type="dxa"/>
        <w:jc w:val="center"/>
        <w:tblInd w:w="0" w:type="dxa"/>
        <w:tblLayout w:type="fixed"/>
        <w:tblCellMar>
          <w:top w:w="28" w:type="dxa"/>
          <w:left w:w="28" w:type="dxa"/>
          <w:bottom w:w="28" w:type="dxa"/>
          <w:right w:w="28" w:type="dxa"/>
        </w:tblCellMar>
      </w:tblPr>
      <w:tblGrid>
        <w:gridCol w:w="931"/>
        <w:gridCol w:w="819"/>
        <w:gridCol w:w="829"/>
        <w:gridCol w:w="109"/>
        <w:gridCol w:w="109"/>
        <w:gridCol w:w="109"/>
        <w:gridCol w:w="233"/>
        <w:gridCol w:w="797"/>
        <w:gridCol w:w="170"/>
      </w:tblGrid>
      <w:tr>
        <w:trPr/>
        <w:tc>
          <w:tcPr>
            <w:tcW w:w="9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 remainder of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Note 1. “Description of Business and Basis of Presentation” for more details on our impairment testing.</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compensation benefits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we recognized $0.3 million in Costs of services and plans and $1.7 million in Selling, general and administrative expenses in the Condensed Consolidated Statements of Operations and Comprehensive Income, in the Corporate/Other category, related to retention bonus programs implemented for certain associates to ensure continuity of business until the Termination Date, as well as termination benefits for certain associates that are probable to occur within the next 12 months. The liability for employee compensation benefits is recorded in Other payables and accrued expenses in the Condensed Consolidated Balance Sheets.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Professional Fees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we recognized $0.2 million in Selling, general, and administrative expenses in the Condensed Consolidated Statements of Operations and Comprehensive Income, in the Corporate/Other category, related to professional fees, including advisory fees to assist with the exit.</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3. Details of Certain Balance Sheet Accounts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reported within the Condensed Consolidated Balance sheets to the total of Cash, cash equivalents and restricted cash shown in the Condensed Consolidated Statement of Cash Flows:</w:t>
      </w:r>
    </w:p>
    <w:tbl>
      <w:tblPr>
        <w:tblW w:w="7211" w:type="dxa"/>
        <w:jc w:val="left"/>
        <w:tblInd w:w="0" w:type="dxa"/>
        <w:tblLayout w:type="fixed"/>
        <w:tblCellMar>
          <w:top w:w="28" w:type="dxa"/>
          <w:left w:w="28" w:type="dxa"/>
          <w:bottom w:w="28" w:type="dxa"/>
          <w:right w:w="28" w:type="dxa"/>
        </w:tblCellMar>
      </w:tblPr>
      <w:tblGrid>
        <w:gridCol w:w="1343"/>
        <w:gridCol w:w="1178"/>
        <w:gridCol w:w="1184"/>
        <w:gridCol w:w="317"/>
        <w:gridCol w:w="1244"/>
        <w:gridCol w:w="164"/>
        <w:gridCol w:w="109"/>
        <w:gridCol w:w="109"/>
        <w:gridCol w:w="109"/>
        <w:gridCol w:w="257"/>
        <w:gridCol w:w="1009"/>
        <w:gridCol w:w="188"/>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assets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267,152 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257,522 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20"/>
        <w:jc w:val="left"/>
        <w:rPr/>
      </w:pPr>
      <w:r>
        <w:rPr/>
      </w:r>
    </w:p>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additional details of certain balance sheet accounts as of the dates shown below:</w:t>
      </w:r>
    </w:p>
    <w:p>
      <w:pPr>
        <w:pStyle w:val="TextBody"/>
        <w:bidi w:val="0"/>
        <w:spacing w:before="0" w:after="20"/>
        <w:jc w:val="left"/>
        <w:rPr/>
      </w:pPr>
      <w:r>
        <w:rPr/>
      </w:r>
    </w:p>
    <w:tbl>
      <w:tblPr>
        <w:tblW w:w="10205" w:type="dxa"/>
        <w:jc w:val="left"/>
        <w:tblInd w:w="0" w:type="dxa"/>
        <w:tblLayout w:type="fixed"/>
        <w:tblCellMar>
          <w:top w:w="28" w:type="dxa"/>
          <w:left w:w="28" w:type="dxa"/>
          <w:bottom w:w="28" w:type="dxa"/>
          <w:right w:w="28" w:type="dxa"/>
        </w:tblCellMar>
      </w:tblPr>
      <w:tblGrid>
        <w:gridCol w:w="1385"/>
        <w:gridCol w:w="1206"/>
        <w:gridCol w:w="1208"/>
        <w:gridCol w:w="588"/>
        <w:gridCol w:w="2016"/>
        <w:gridCol w:w="303"/>
        <w:gridCol w:w="192"/>
        <w:gridCol w:w="192"/>
        <w:gridCol w:w="192"/>
        <w:gridCol w:w="566"/>
        <w:gridCol w:w="1938"/>
        <w:gridCol w:w="419"/>
      </w:tblGrid>
      <w:tr>
        <w:trPr/>
        <w:tc>
          <w:tcPr>
            <w:tcW w:w="138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September 30, 2023</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 receivables</w:t>
            </w:r>
          </w:p>
        </w:tc>
        <w:tc>
          <w:tcPr>
            <w:tcW w:w="2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receivables </w:t>
            </w:r>
            <w:r>
              <w:rPr>
                <w:rFonts w:ascii="Times New Roman;sans-serif" w:hAnsi="Times New Roman;sans-serif"/>
                <w:b w:val="false"/>
                <w:color w:val="000000"/>
                <w:sz w:val="13"/>
              </w:rPr>
              <w:t>(1)</w:t>
            </w:r>
          </w:p>
        </w:tc>
        <w:tc>
          <w:tcPr>
            <w:tcW w:w="2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76,640 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79,892 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Coronavirus Aid, Relief, and Economic Security (“CARES”) Act receivable in the amount of $9.0 million as of September 30, 2023 and December 31, 2022.</w:t>
            </w:r>
          </w:p>
        </w:tc>
      </w:tr>
    </w:tbl>
    <w:p>
      <w:pPr>
        <w:pStyle w:val="TextBody"/>
        <w:bidi w:val="0"/>
        <w:spacing w:before="0" w:after="20"/>
        <w:jc w:val="left"/>
        <w:rPr/>
      </w:pPr>
      <w:r>
        <w:rPr/>
      </w:r>
    </w:p>
    <w:tbl>
      <w:tblPr>
        <w:tblW w:w="10205" w:type="dxa"/>
        <w:jc w:val="left"/>
        <w:tblInd w:w="0" w:type="dxa"/>
        <w:tblLayout w:type="fixed"/>
        <w:tblCellMar>
          <w:top w:w="28" w:type="dxa"/>
          <w:left w:w="28" w:type="dxa"/>
          <w:bottom w:w="28" w:type="dxa"/>
          <w:right w:w="28" w:type="dxa"/>
        </w:tblCellMar>
      </w:tblPr>
      <w:tblGrid>
        <w:gridCol w:w="1590"/>
        <w:gridCol w:w="1385"/>
        <w:gridCol w:w="1373"/>
        <w:gridCol w:w="485"/>
        <w:gridCol w:w="1906"/>
        <w:gridCol w:w="251"/>
        <w:gridCol w:w="182"/>
        <w:gridCol w:w="182"/>
        <w:gridCol w:w="182"/>
        <w:gridCol w:w="470"/>
        <w:gridCol w:w="1848"/>
        <w:gridCol w:w="351"/>
      </w:tblGrid>
      <w:tr>
        <w:trPr/>
        <w:tc>
          <w:tcPr>
            <w:tcW w:w="159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September 30, 2023</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2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Raw materials and work in process </w:t>
            </w:r>
            <w:r>
              <w:rPr>
                <w:rFonts w:ascii="Times New Roman;sans-serif" w:hAnsi="Times New Roman;sans-serif"/>
                <w:b w:val="false"/>
                <w:color w:val="000000"/>
                <w:sz w:val="13"/>
              </w:rPr>
              <w:t>(1)</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120,583 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123,158 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(1)Due to the immaterial amount of estimated work in process and the short lead times for the conversion of raw materials to finished goods, the Company does not separately present raw materials and work in process.</w:t>
            </w:r>
          </w:p>
        </w:tc>
      </w:tr>
    </w:tbl>
    <w:tbl>
      <w:tblPr>
        <w:tblW w:w="7345" w:type="dxa"/>
        <w:jc w:val="left"/>
        <w:tblInd w:w="0" w:type="dxa"/>
        <w:tblLayout w:type="fixed"/>
        <w:tblCellMar>
          <w:top w:w="28" w:type="dxa"/>
          <w:left w:w="28" w:type="dxa"/>
          <w:bottom w:w="28" w:type="dxa"/>
          <w:right w:w="28" w:type="dxa"/>
        </w:tblCellMar>
      </w:tblPr>
      <w:tblGrid>
        <w:gridCol w:w="1294"/>
        <w:gridCol w:w="1135"/>
        <w:gridCol w:w="1140"/>
        <w:gridCol w:w="317"/>
        <w:gridCol w:w="1244"/>
        <w:gridCol w:w="164"/>
        <w:gridCol w:w="109"/>
        <w:gridCol w:w="109"/>
        <w:gridCol w:w="109"/>
        <w:gridCol w:w="335"/>
        <w:gridCol w:w="1145"/>
        <w:gridCol w:w="244"/>
      </w:tblGrid>
      <w:tr>
        <w:trPr/>
        <w:tc>
          <w:tcPr>
            <w:tcW w:w="129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payables and accrued expenses: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 compensation and benefits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liabilities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customer returns and remakes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management &amp; services agreement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taxes payable </w:t>
            </w:r>
            <w:r>
              <w:rPr>
                <w:rFonts w:ascii="Times New Roman;sans-serif" w:hAnsi="Times New Roman;sans-serif"/>
                <w:b w:val="false"/>
                <w:color w:val="000000"/>
                <w:sz w:val="13"/>
              </w:rPr>
              <w:t>(1)</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 store support expenses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94,225 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Income tax receivables of $4.3 million and $4.6 million were included in Prepaid expenses and other current assets as of September 30, 2023 and December 31, 2022, respectively.</w:t>
      </w:r>
    </w:p>
    <w:p>
      <w:pPr>
        <w:pStyle w:val="TextBody"/>
        <w:bidi w:val="0"/>
        <w:spacing w:before="0" w:after="0"/>
        <w:jc w:val="left"/>
        <w:rPr/>
      </w:pPr>
      <w:r>
        <w:rPr/>
      </w:r>
    </w:p>
    <w:tbl>
      <w:tblPr>
        <w:tblW w:w="6280" w:type="dxa"/>
        <w:jc w:val="left"/>
        <w:tblInd w:w="0" w:type="dxa"/>
        <w:tblLayout w:type="fixed"/>
        <w:tblCellMar>
          <w:top w:w="28" w:type="dxa"/>
          <w:left w:w="28" w:type="dxa"/>
          <w:bottom w:w="28" w:type="dxa"/>
          <w:right w:w="28" w:type="dxa"/>
        </w:tblCellMar>
      </w:tblPr>
      <w:tblGrid>
        <w:gridCol w:w="908"/>
        <w:gridCol w:w="796"/>
        <w:gridCol w:w="801"/>
        <w:gridCol w:w="387"/>
        <w:gridCol w:w="1135"/>
        <w:gridCol w:w="202"/>
        <w:gridCol w:w="109"/>
        <w:gridCol w:w="109"/>
        <w:gridCol w:w="109"/>
        <w:gridCol w:w="371"/>
        <w:gridCol w:w="1083"/>
        <w:gridCol w:w="270"/>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liabilities</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Fair Value Measurement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Recurring fair value measurements</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Derivatives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Term SOFR forward rates. See Note 6. “Interest Rate Derivatives”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 measurements</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Long-lived and Right of Use (“ROU”) Store Assets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2. “Termination of Walmart Partnership” for more information on impairment charges related to the termination of the Walmart partnership. This section discusses fair value measurements unrelated to the termination of the Walmart partnership. We recognized impairments of $1.5 million and $2.8 million during the three and nine months ended September 30, 2023, respectively, and $1.3 million, and $5.2 million during the three and nine months ended October 1, 2022, respectively related to store assets. The cash flows used in estimating fair value were discounted using market rates from 10.8% to 11.5%.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nine months ended September 30, 2023 and October 1, 2022 was $2.8 million and $5.5 million, respectively; the estimated remaining fair values include amounts estimated at various dates during the related fiscal years. Substantially all of the remaining fair value of the impaired store assets represents the fair value of ROU assets. </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Additional fair value information</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Long-term Debt - Term A Loans and Revolving Loans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borrowings under the $148.1 million outstanding principal first lien term loan (“Term A Loans”) and revolving credit loans in an aggregate principal amount of $300.0 million (the “Revolving Loans”) utilize variable interest rate setting mechanisms such as Term SOFR, the fair values of these borrowings are deemed to approximate the carrying values. We also considered the effect of our own credit risk on the fair values of our Term A Loans and Revolving Loans. Refer to Note 5. “Long-term Debt” for more information on these borrowings.</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Long-term Debt - 2025 Notes</w:t>
      </w:r>
    </w:p>
    <w:p>
      <w:pPr>
        <w:pStyle w:val="TextBody"/>
        <w:bidi w:val="0"/>
        <w:spacing w:lineRule="auto" w:line="288" w:before="0" w:after="120"/>
        <w:jc w:val="both"/>
        <w:rPr/>
      </w:pPr>
      <w:r>
        <w:rPr>
          <w:rFonts w:ascii="Times New Roman;sans-serif" w:hAnsi="Times New Roman;sans-serif"/>
          <w:b w:val="false"/>
          <w:color w:val="000000"/>
          <w:sz w:val="20"/>
        </w:rPr>
        <w:t xml:space="preserve">The Company has $402.5 million in aggregate principal amount of 2.50% convertible senior notes due on May 15, 2025 (the “2025 Notes”) issued and outstanding as of September 30, 2023. Refer to Note 5. “Long-term Debt” for more information on the 2025 Notes. The estimated fair value of the 2025 Notes was approximately $386.1 million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nd $553.9 million as of September 30, 2023 and December 31, 2022,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5. “Long-term Debt” for more information on the 2025 Notes.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Long-term Debt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consists of the following:</w:t>
      </w:r>
    </w:p>
    <w:tbl>
      <w:tblPr>
        <w:tblW w:w="10205" w:type="dxa"/>
        <w:jc w:val="center"/>
        <w:tblInd w:w="0" w:type="dxa"/>
        <w:tblLayout w:type="fixed"/>
        <w:tblCellMar>
          <w:top w:w="28" w:type="dxa"/>
          <w:left w:w="28" w:type="dxa"/>
          <w:bottom w:w="28" w:type="dxa"/>
          <w:right w:w="28" w:type="dxa"/>
        </w:tblCellMar>
      </w:tblPr>
      <w:tblGrid>
        <w:gridCol w:w="2426"/>
        <w:gridCol w:w="2095"/>
        <w:gridCol w:w="2105"/>
        <w:gridCol w:w="298"/>
        <w:gridCol w:w="1169"/>
        <w:gridCol w:w="154"/>
        <w:gridCol w:w="109"/>
        <w:gridCol w:w="109"/>
        <w:gridCol w:w="109"/>
        <w:gridCol w:w="288"/>
        <w:gridCol w:w="1130"/>
        <w:gridCol w:w="213"/>
      </w:tblGrid>
      <w:tr>
        <w:trPr/>
        <w:tc>
          <w:tcPr>
            <w:tcW w:w="2426"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 due May 15, 2025</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402,497 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A Loans, due June 13, 2028</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 due June 13, 2028</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before unamortized discount and issuance costs</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552,497 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issuance costs - 2025 Notes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issuance costs - Term A Loans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debt discount and issuance costs</w:t>
            </w:r>
          </w:p>
        </w:tc>
        <w:tc>
          <w:tcPr>
            <w:tcW w:w="14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545,534 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546,231 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 noncurrent portion</w:t>
            </w:r>
          </w:p>
        </w:tc>
        <w:tc>
          <w:tcPr>
            <w:tcW w:w="14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538,034 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546,231 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 less current portion, discount, and issuance costs</w:t>
            </w:r>
          </w:p>
        </w:tc>
        <w:tc>
          <w:tcPr>
            <w:tcW w:w="2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552,191 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563,388 </w:t>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Scheduled annual maturities of debt are as follows: </w:t>
      </w:r>
    </w:p>
    <w:tbl>
      <w:tblPr>
        <w:tblW w:w="4106" w:type="dxa"/>
        <w:jc w:val="center"/>
        <w:tblInd w:w="0" w:type="dxa"/>
        <w:tblLayout w:type="fixed"/>
        <w:tblCellMar>
          <w:top w:w="28" w:type="dxa"/>
          <w:left w:w="28" w:type="dxa"/>
          <w:bottom w:w="28" w:type="dxa"/>
          <w:right w:w="28" w:type="dxa"/>
        </w:tblCellMar>
      </w:tblPr>
      <w:tblGrid>
        <w:gridCol w:w="935"/>
        <w:gridCol w:w="818"/>
        <w:gridCol w:w="827"/>
        <w:gridCol w:w="109"/>
        <w:gridCol w:w="109"/>
        <w:gridCol w:w="109"/>
        <w:gridCol w:w="212"/>
        <w:gridCol w:w="832"/>
        <w:gridCol w:w="155"/>
      </w:tblGrid>
      <w:tr>
        <w:trPr/>
        <w:tc>
          <w:tcPr>
            <w:tcW w:w="93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 remainder of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550,622 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(i) that certain Second Joinder and Restatement Agreement, dated as of June 13, 2023 (the “Second Restatement Agreement”), by and among the New Lenders party thereto, the Letter of Credit Issuers party thereto, Nautilus Acquisition Holdings, Inc. (“Holdings”), a Delaware corporation and a wholly-owned subsidiary of the Company, NVI, the subsidiaries of NVI party thereto, as guarantors, Bank of America, N.A. in its capacity as administrative agent and as collateral agent and (ii) the Second Amended and Restated Credit Agreement, dated as of June 13, 2023 (the “Credit Agreement”).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13, 2023 (the “Second Restatement Effective Date”), the Second Restatement Agreement amended and restated the Joinder and Amendment and Restatement Agreement, dated as of July 18, 2019 (as amended, restated, amended and restated, supplemented or otherwise modified prior to the Second Restatement Agreement, the “Original Credit Agreement”) to, among other things, (i) establish new Term A Loans to repay all principal, interest, fees and other amounts outstanding (other than contingent obligations) under the Original Credit Agreement immediately prior to the Second Restatement Effective Date, (ii) establish new Revolving Loans, (iii) provide for a Secured Overnight Financing Rate as administered by the Federal Reserve Bank of New York (or a successor administrator) (“SOFR”)-based rate, with a credit spread adjustment of 10 basis points for all Interest Periods and a SOFR floor of 0.00% per annum, and (iv) as set forth below, modify the Applicable Margins used to calculate the rate of interest payable with respect to the Term A Loans and Revolving Loans (collectively, the “Loans”).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as amended by the Second Restatement Agreement, provides that the Loans mature on the fifth anniversary of the Second Restatement Effective Date, subject to a springing maturity date, which is 91 days before the maturity date of the Company’s 2025 Notes if Minimum Liquidity is less than the sum of the redemption value of such convertible notes on that date plus $25.0 million (the “Maturity Date”). Commencing on the last day of the first full fiscal quarter ended after the Second Restatement Effective Date, the Term A Loans will amortize in equal calendar quarterly installments at a rate of 5.00% per calendar year. The $114.4 million balance (assuming the springing maturity date does not occur) will be payable on the Maturity Date.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new Applicable Margins are initially (i) 1.75% for the Loans that are Term SOFR Loans and (ii) 0.75% for the Loans that are Alternative Base Rate (“ABR”) Loans. Following the delivery of the financial statements for the period ending on September 30, 2023, the Applicable Margins for the Loans will instead be based on NVI’s total leverage ratio as follows: (a) if NVI’s consolidated total debt to consolidated EBITDA ratio is greater than 2.50 to 1.00, the Applicable Margin will be 2.25% for Term SOFR Loans and 1.25% for ABR Loans, (b) if NVI’s consolidated total debt to consolidated EBITDA ratio is less than or equal to 2.50 to 1.00 but greater than 1.75 to 1.00, the Applicable Margin will be 2.00% for Term SOFR Loans and 1.00% for ABR Loans, (c) if NVI’s consolidated total debt to consolidated EBITDA ratio is less than or equal to 1.75 to 1.00 but greater than 0.75 to 1.00, the Applicable Margin will be 1.75% for Term SOFR Loans and 0.75% for ABR Loans, (d) if NVI’s consolidated total debt to consolidated EBITDA ratio is less than or equal to 0.75 to 1.00, the Applicable Margin will be 1.50% for Term SOFR Loans and 0.50% for ABR Loans.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Second Amended and Restated Credit Agreement, we deferred $2.0 million of debt issuance costs related to the Revolving Loans in Other assets and $0.9 million of debt issuance costs related to the Term A Loans in Long-term debt and finance lease obligations, less current portion and debt discount on our Condensed Consolidated Balance Sheets as of July 1, 2023. We will amortize these costs over the term of the amended credit agreement. We wrote off previously unamortized debt issuance costs of $0.2 million in Interest expense (income), net during the nine months ended September 30, 2023 related to lenders who were parties to the Original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Agreement but are not parties to the Second Restatement Agreement. We recognized $0.2 million of other refinancing fees in Interest expense (income), net during the nine months ended September 30, 2023.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Restatement Agreement contains customary affirmative covenants, negative covenants, and events of default substantially comparable to the Original Credit Agreement.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covenants related to our long-term debt as of September 30, 2023.</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2025 Notes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in Interest expense (income), net related to the 2025 Notes:</w:t>
      </w:r>
    </w:p>
    <w:tbl>
      <w:tblPr>
        <w:tblW w:w="9888" w:type="dxa"/>
        <w:jc w:val="left"/>
        <w:tblInd w:w="0" w:type="dxa"/>
        <w:tblLayout w:type="fixed"/>
        <w:tblCellMar>
          <w:top w:w="28" w:type="dxa"/>
          <w:left w:w="28" w:type="dxa"/>
          <w:bottom w:w="28" w:type="dxa"/>
          <w:right w:w="28" w:type="dxa"/>
        </w:tblCellMar>
      </w:tblPr>
      <w:tblGrid>
        <w:gridCol w:w="940"/>
        <w:gridCol w:w="825"/>
        <w:gridCol w:w="829"/>
        <w:gridCol w:w="387"/>
        <w:gridCol w:w="1135"/>
        <w:gridCol w:w="202"/>
        <w:gridCol w:w="109"/>
        <w:gridCol w:w="109"/>
        <w:gridCol w:w="109"/>
        <w:gridCol w:w="318"/>
        <w:gridCol w:w="928"/>
        <w:gridCol w:w="164"/>
        <w:gridCol w:w="109"/>
        <w:gridCol w:w="109"/>
        <w:gridCol w:w="109"/>
        <w:gridCol w:w="387"/>
        <w:gridCol w:w="1135"/>
        <w:gridCol w:w="202"/>
        <w:gridCol w:w="109"/>
        <w:gridCol w:w="109"/>
        <w:gridCol w:w="109"/>
        <w:gridCol w:w="313"/>
        <w:gridCol w:w="914"/>
        <w:gridCol w:w="228"/>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Contractual interest expense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remaining period for the unamortized debt issuance costs balance was approximately two years. An immaterial amount of the principal balance of the 2025 Notes was converted during the nine months ended October 1, 2022.</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stock price conditions under which the 2025 Notes can be converted at the holders’ option were not met.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6. Interest Rate Derivatives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interest rate collar to offset the variability of cash flows in Term SOFR-indexed debt interest payments. During the second quarter of 2023, we amended the reference rate of the collar from LIBOR to Term SOFR. To manage credit risk associated with our interest rate hedging program, we select as counterparties major financial institutions with investment grade credit ratings. The aggregate notional amount of the interest rate collar, which is not designated as a cash flow hedge, was $325.0 million as of September 30, 2023. The fair value of our interest rate collar instrument was an asset of $8.9 million, which is recorded in Prepaid expenses and other current assets as of September 30, 2023, and an asset of $14.1 million ($10.0 million in Prepaid expenses and other current assets and $4.1 million in Other assets) as of December 31, 2022. See Note 4. “Fair Value Measurement” for further details.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(gains) losses on the change in fair value of the interest rate collar of $(0.4) million and $(2.7) million during the three and nine months ended September 30, 2023 respectively, and $(6.7) million and $(16.5) million during the three and nine months ended October 1, 2022, respectively, in interest expense (income), net. The interest rate collar will mature on July 18, 2024.</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related to derivatives qualifying as hedges are included in the same section of the Condensed Consolidated Statements of Cash Flows as the underlying assets and liabilities being hedged. Cash flows during the nine months ended September 30, 2023 and October 1, 2022 related to derivatives not qualifying as hedges were included in the operating section of the Condensed Consolidated Statements of Cash Flows and were immaterial.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fair value of the Company’s cash flow hedge derivative instruments from their inception are recorded in Accumulated other comprehensive loss (“AOCL”) if the instruments are deemed to be highly effective as cash flow hedges. As of September 30, 2023, we expect to reclassify approximately $0.6 million of unrealized losses on derivative instruments, net of tax, from AOCL into earnings in the next 12 months as the derivative instruments mature.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7. Stock Incentive Plans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granted 451,425 performance-based restricted stock units (“PSUs”) and 712,218 time-based restricted stock units (“RSUs”) to eligible employees and non-employee directors under the National Vision Holdings, Inc. 2017 Omnibus Incentive Plan (the “2017 Omnibus Incentive Plan”). The PSUs granted in fiscal 2023 are settled after the end of the performance period (i.e., cliff vesting), which begins on the first day of our 2023 fiscal year and ends on the last day of our 2025 fiscal year, and are based on the Company’s achievement of certain performance targets. The RSUs granted in fiscal 2023 vest primarily in three equal annual installments.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8. Revenue From Contracts With Customers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(i.e. warranties), eye care club memberships and management fees earned from our Legacy partner.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disaggregation of revenues depicts our revenue based on the timing of revenue recognition:</w:t>
      </w:r>
    </w:p>
    <w:tbl>
      <w:tblPr>
        <w:tblW w:w="10205" w:type="dxa"/>
        <w:jc w:val="left"/>
        <w:tblInd w:w="0" w:type="dxa"/>
        <w:tblLayout w:type="fixed"/>
        <w:tblCellMar>
          <w:top w:w="28" w:type="dxa"/>
          <w:left w:w="28" w:type="dxa"/>
          <w:bottom w:w="28" w:type="dxa"/>
          <w:right w:w="28" w:type="dxa"/>
        </w:tblCellMar>
      </w:tblPr>
      <w:tblGrid>
        <w:gridCol w:w="1109"/>
        <w:gridCol w:w="968"/>
        <w:gridCol w:w="973"/>
        <w:gridCol w:w="306"/>
        <w:gridCol w:w="1201"/>
        <w:gridCol w:w="158"/>
        <w:gridCol w:w="109"/>
        <w:gridCol w:w="109"/>
        <w:gridCol w:w="109"/>
        <w:gridCol w:w="254"/>
        <w:gridCol w:w="997"/>
        <w:gridCol w:w="131"/>
        <w:gridCol w:w="109"/>
        <w:gridCol w:w="109"/>
        <w:gridCol w:w="109"/>
        <w:gridCol w:w="273"/>
        <w:gridCol w:w="1265"/>
        <w:gridCol w:w="141"/>
        <w:gridCol w:w="109"/>
        <w:gridCol w:w="109"/>
        <w:gridCol w:w="109"/>
        <w:gridCol w:w="227"/>
        <w:gridCol w:w="1050"/>
        <w:gridCol w:w="171"/>
      </w:tblGrid>
      <w:tr>
        <w:trPr/>
        <w:tc>
          <w:tcPr>
            <w:tcW w:w="1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3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recognized at a point in time</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459,196 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1,501,469 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1,412,526 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recognized over time</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revenue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499,207 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1,620,065 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1,536,473 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11.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$4.2 million and $4.3 million during the three months ended September 30, 2023 and October 1, 2022, respectively, and $12.6 million and $10.0 million during the nine months ended September 30, 2023 and October 1, 2022, respectively.</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Credit loss expense recognized on our receivables, which is presented in SG&amp;A expenses in the Company’s condensed consolidated statements of operations, was $0.1 million and $0.2 million for the three months ended September 30, 2023 and October 1, 2022, respectively, and $0.4 million and $0.8 million for the nine months ended September 30, 2023 and October 1, 2022, respectively.</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Unsatisfied Performance Obligations (Contract Liabilities)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and October 1, 2022, we recognized $23.1 million and $23.3 million, respectively, of deferred revenues outstanding at the beginning of each respective period. During the nine months ended September 30, 2023 and October 1, 2022, we recognized $53.7 million and $56.8 million, respectively, of deferred revenues outstanding at the beginning of each respective period.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deferred revenue balance as of September 30, 2023 and December 31, 2022 was $86.2 million and $83.8 million, respectively. We expect future revenue recognition of the September 30, 2023 balance of $23.3 million, $46.1 million, $13.6 million and $3.2 million in fiscal years 2023, 2024, 2025 and thereafter, respectively.</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lease costs for the three and nine months ended September 30, 2023 and October 1, 2022 were as follows:</w:t>
      </w:r>
    </w:p>
    <w:tbl>
      <w:tblPr>
        <w:tblW w:w="10205" w:type="dxa"/>
        <w:jc w:val="left"/>
        <w:tblInd w:w="0" w:type="dxa"/>
        <w:tblLayout w:type="fixed"/>
        <w:tblCellMar>
          <w:top w:w="28" w:type="dxa"/>
          <w:left w:w="28" w:type="dxa"/>
          <w:bottom w:w="28" w:type="dxa"/>
          <w:right w:w="28" w:type="dxa"/>
        </w:tblCellMar>
      </w:tblPr>
      <w:tblGrid>
        <w:gridCol w:w="1025"/>
        <w:gridCol w:w="780"/>
        <w:gridCol w:w="785"/>
        <w:gridCol w:w="340"/>
        <w:gridCol w:w="1165"/>
        <w:gridCol w:w="175"/>
        <w:gridCol w:w="130"/>
        <w:gridCol w:w="130"/>
        <w:gridCol w:w="130"/>
        <w:gridCol w:w="299"/>
        <w:gridCol w:w="1027"/>
        <w:gridCol w:w="154"/>
        <w:gridCol w:w="130"/>
        <w:gridCol w:w="130"/>
        <w:gridCol w:w="130"/>
        <w:gridCol w:w="320"/>
        <w:gridCol w:w="1256"/>
        <w:gridCol w:w="165"/>
        <w:gridCol w:w="130"/>
        <w:gridCol w:w="130"/>
        <w:gridCol w:w="130"/>
        <w:gridCol w:w="298"/>
        <w:gridCol w:w="1020"/>
        <w:gridCol w:w="226"/>
      </w:tblGrid>
      <w:tr>
        <w:trPr/>
        <w:tc>
          <w:tcPr>
            <w:tcW w:w="102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2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 cost</w:t>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Fixed lease cost </w:t>
            </w:r>
            <w:r>
              <w:rPr>
                <w:rFonts w:ascii="Times New Roman;sans-serif" w:hAnsi="Times New Roman;sans-serif"/>
                <w:b w:val="false"/>
                <w:color w:val="000000"/>
                <w:sz w:val="13"/>
              </w:rPr>
              <w:t>(a)</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lease cost </w:t>
            </w:r>
            <w:r>
              <w:rPr>
                <w:rFonts w:ascii="Times New Roman;sans-serif" w:hAnsi="Times New Roman;sans-serif"/>
                <w:b w:val="false"/>
                <w:color w:val="000000"/>
                <w:sz w:val="13"/>
              </w:rPr>
              <w:t>(b)</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Sublease income </w:t>
            </w:r>
            <w:r>
              <w:rPr>
                <w:rFonts w:ascii="Times New Roman;sans-serif" w:hAnsi="Times New Roman;sans-serif"/>
                <w:b w:val="false"/>
                <w:color w:val="000000"/>
                <w:sz w:val="13"/>
              </w:rPr>
              <w:t>(c)</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Finance lease cost</w:t>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assets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lease cost</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 Includes short-term leases, which are immaterial.</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(b) Includes costs for insurance, real estate taxes and common area maintenance expenses, which are variable as well as lease costs above minimum thresholds for Fred Meyer stores and lease costs for Military stores.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 Income from sub-leasing of stores includes rental income from leasing space to independent optometrists.</w:t>
            </w:r>
          </w:p>
        </w:tc>
      </w:tr>
    </w:tbl>
    <w:p>
      <w:pPr>
        <w:pStyle w:val="TextBody"/>
        <w:bidi w:val="0"/>
        <w:spacing w:before="0" w:after="120"/>
        <w:jc w:val="center"/>
        <w:rPr/>
      </w:pPr>
      <w:r>
        <w:rPr/>
      </w:r>
    </w:p>
    <w:tbl>
      <w:tblPr>
        <w:tblW w:w="8061" w:type="dxa"/>
        <w:jc w:val="center"/>
        <w:tblInd w:w="0" w:type="dxa"/>
        <w:tblLayout w:type="fixed"/>
        <w:tblCellMar>
          <w:top w:w="28" w:type="dxa"/>
          <w:left w:w="28" w:type="dxa"/>
          <w:bottom w:w="28" w:type="dxa"/>
          <w:right w:w="28" w:type="dxa"/>
        </w:tblCellMar>
      </w:tblPr>
      <w:tblGrid>
        <w:gridCol w:w="1532"/>
        <w:gridCol w:w="1345"/>
        <w:gridCol w:w="1352"/>
        <w:gridCol w:w="109"/>
        <w:gridCol w:w="109"/>
        <w:gridCol w:w="109"/>
        <w:gridCol w:w="349"/>
        <w:gridCol w:w="1195"/>
        <w:gridCol w:w="180"/>
        <w:gridCol w:w="109"/>
        <w:gridCol w:w="109"/>
        <w:gridCol w:w="109"/>
        <w:gridCol w:w="282"/>
        <w:gridCol w:w="966"/>
        <w:gridCol w:w="206"/>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acquired under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and may in the future become subject to various claims and pending or threatened lawsuits in the ordinary course of our business.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On September 29, 2023, the state court set the PAGA action for trial on October 7, 2024. We intend to vigorously defend the litigation.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2023, the Company was served with notice of a former employee’s intention to file a representative action against the Company pursuant to California’s Private Attorneys General Act based on alleged violations of California’s wage and hour laws. On June 22, 2023, the Company was served with a related lawsuit filed by the former employee in California state court alleging, on behalf of a proposed class of employees, violations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California wage and hour laws. On July 24, 2023, the Company filed its answer and a notice of removal of the case to the federal District Court for the Southern District of California. On July 28, 2023, the Company filed a Notice of Related Cases, seeking for both the case currently pending in the Northern District of California and described in the paragraph above and this case to be assigned to the same Judge/Magistrate Judge in an effort to save judicial effort and avoid duplication of labor. On August 15, 2023, the parties filed a stipulation to stay the case in the Southern District of California pending the resolution of the lawsuit pending in the Northern District of California. On August 21, 2023, the court entered an Order to Show Cause why the action should not be either dismissed or transferred to the federal court for the Northern District of California. Following the parties’ submission of their respective responses, the court dismissed the action without prejudice on September 11, 2023. The plaintiff retains his ability to pursue a PAGA action in state court pursuant to the June 6, 2023 notice. We intend to vigorously defend the litigation.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January 27, 2023, a purported class action complaint was filed in federal court in the Northern District of Georgia against the Company and two of the Company’s officers. The complaint alleges violations of Sections 10(b) and 20(a) of the Exchange Act and Rule 10b-5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w:t>
      </w:r>
      <w:r>
        <w:rPr>
          <w:color w:val="000000"/>
        </w:rPr>
        <w:t xml:space="preserve"> </w:t>
      </w:r>
      <w:r>
        <w:rPr>
          <w:rFonts w:ascii="Times New Roman;sans-serif" w:hAnsi="Times New Roman;sans-serif"/>
          <w:b w:val="false"/>
          <w:color w:val="000000"/>
          <w:sz w:val="20"/>
        </w:rPr>
        <w:t>The plaintiffs filed their Response in Opposition to this motion on October 5, 2023. We dispute these allegations and intend to defend the litigation vigorously.</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11. Segment Reporting</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 Refer to Note 2. “Termination of Walmart Partnership” for developments related to the Legacy segment, AC Lens and FirstSight.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segments, including interest expense (income), net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Asset information is not included in the following summary since the CODM does not regularly review such information for the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79"/>
        <w:gridCol w:w="825"/>
        <w:gridCol w:w="828"/>
        <w:gridCol w:w="231"/>
        <w:gridCol w:w="909"/>
        <w:gridCol w:w="119"/>
        <w:gridCol w:w="109"/>
        <w:gridCol w:w="109"/>
        <w:gridCol w:w="109"/>
        <w:gridCol w:w="211"/>
        <w:gridCol w:w="721"/>
        <w:gridCol w:w="109"/>
        <w:gridCol w:w="109"/>
        <w:gridCol w:w="109"/>
        <w:gridCol w:w="109"/>
        <w:gridCol w:w="239"/>
        <w:gridCol w:w="1011"/>
        <w:gridCol w:w="123"/>
        <w:gridCol w:w="109"/>
        <w:gridCol w:w="109"/>
        <w:gridCol w:w="109"/>
        <w:gridCol w:w="367"/>
        <w:gridCol w:w="838"/>
        <w:gridCol w:w="191"/>
        <w:gridCol w:w="109"/>
        <w:gridCol w:w="109"/>
        <w:gridCol w:w="109"/>
        <w:gridCol w:w="211"/>
        <w:gridCol w:w="826"/>
        <w:gridCol w:w="159"/>
      </w:tblGrid>
      <w:tr>
        <w:trPr/>
        <w:tc>
          <w:tcPr>
            <w:tcW w:w="97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2023</w:t>
            </w:r>
          </w:p>
        </w:tc>
      </w:tr>
      <w:tr>
        <w:trPr/>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 &amp; Host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 and plans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252,026 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impairment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(139,191)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62"/>
        <w:gridCol w:w="824"/>
        <w:gridCol w:w="827"/>
        <w:gridCol w:w="233"/>
        <w:gridCol w:w="917"/>
        <w:gridCol w:w="120"/>
        <w:gridCol w:w="109"/>
        <w:gridCol w:w="109"/>
        <w:gridCol w:w="109"/>
        <w:gridCol w:w="211"/>
        <w:gridCol w:w="721"/>
        <w:gridCol w:w="109"/>
        <w:gridCol w:w="109"/>
        <w:gridCol w:w="109"/>
        <w:gridCol w:w="109"/>
        <w:gridCol w:w="262"/>
        <w:gridCol w:w="984"/>
        <w:gridCol w:w="135"/>
        <w:gridCol w:w="109"/>
        <w:gridCol w:w="109"/>
        <w:gridCol w:w="109"/>
        <w:gridCol w:w="314"/>
        <w:gridCol w:w="918"/>
        <w:gridCol w:w="164"/>
        <w:gridCol w:w="109"/>
        <w:gridCol w:w="109"/>
        <w:gridCol w:w="109"/>
        <w:gridCol w:w="211"/>
        <w:gridCol w:w="826"/>
        <w:gridCol w:w="159"/>
      </w:tblGrid>
      <w:tr>
        <w:trPr/>
        <w:tc>
          <w:tcPr>
            <w:tcW w:w="96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October 1, 2022</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 &amp; Host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323,472 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 and plans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232,800 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33"/>
        <w:gridCol w:w="768"/>
        <w:gridCol w:w="770"/>
        <w:gridCol w:w="211"/>
        <w:gridCol w:w="976"/>
        <w:gridCol w:w="109"/>
        <w:gridCol w:w="109"/>
        <w:gridCol w:w="109"/>
        <w:gridCol w:w="109"/>
        <w:gridCol w:w="211"/>
        <w:gridCol w:w="721"/>
        <w:gridCol w:w="109"/>
        <w:gridCol w:w="109"/>
        <w:gridCol w:w="109"/>
        <w:gridCol w:w="109"/>
        <w:gridCol w:w="236"/>
        <w:gridCol w:w="992"/>
        <w:gridCol w:w="121"/>
        <w:gridCol w:w="109"/>
        <w:gridCol w:w="109"/>
        <w:gridCol w:w="109"/>
        <w:gridCol w:w="309"/>
        <w:gridCol w:w="926"/>
        <w:gridCol w:w="161"/>
        <w:gridCol w:w="109"/>
        <w:gridCol w:w="109"/>
        <w:gridCol w:w="109"/>
        <w:gridCol w:w="211"/>
        <w:gridCol w:w="976"/>
        <w:gridCol w:w="157"/>
      </w:tblGrid>
      <w:tr>
        <w:trPr/>
        <w:tc>
          <w:tcPr>
            <w:tcW w:w="9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w:t>
            </w:r>
          </w:p>
        </w:tc>
      </w:tr>
      <w:tr>
        <w:trPr/>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 &amp; Host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1,333,242 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 and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impairment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(254,005)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0"/>
        <w:jc w:val="left"/>
        <w:rPr/>
      </w:pPr>
      <w:r>
        <w:rPr/>
      </w:r>
    </w:p>
    <w:tbl>
      <w:tblPr>
        <w:tblW w:w="10205" w:type="dxa"/>
        <w:jc w:val="left"/>
        <w:tblInd w:w="0" w:type="dxa"/>
        <w:tblLayout w:type="fixed"/>
        <w:tblCellMar>
          <w:top w:w="28" w:type="dxa"/>
          <w:left w:w="28" w:type="dxa"/>
          <w:bottom w:w="28" w:type="dxa"/>
          <w:right w:w="28" w:type="dxa"/>
        </w:tblCellMar>
      </w:tblPr>
      <w:tblGrid>
        <w:gridCol w:w="917"/>
        <w:gridCol w:w="767"/>
        <w:gridCol w:w="769"/>
        <w:gridCol w:w="211"/>
        <w:gridCol w:w="976"/>
        <w:gridCol w:w="109"/>
        <w:gridCol w:w="109"/>
        <w:gridCol w:w="109"/>
        <w:gridCol w:w="109"/>
        <w:gridCol w:w="211"/>
        <w:gridCol w:w="721"/>
        <w:gridCol w:w="109"/>
        <w:gridCol w:w="109"/>
        <w:gridCol w:w="109"/>
        <w:gridCol w:w="109"/>
        <w:gridCol w:w="238"/>
        <w:gridCol w:w="1006"/>
        <w:gridCol w:w="123"/>
        <w:gridCol w:w="109"/>
        <w:gridCol w:w="109"/>
        <w:gridCol w:w="109"/>
        <w:gridCol w:w="309"/>
        <w:gridCol w:w="926"/>
        <w:gridCol w:w="161"/>
        <w:gridCol w:w="109"/>
        <w:gridCol w:w="109"/>
        <w:gridCol w:w="109"/>
        <w:gridCol w:w="211"/>
        <w:gridCol w:w="976"/>
        <w:gridCol w:w="157"/>
      </w:tblGrid>
      <w:tr>
        <w:trPr/>
        <w:tc>
          <w:tcPr>
            <w:tcW w:w="91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October 1, 2022</w:t>
            </w:r>
          </w:p>
        </w:tc>
      </w:tr>
      <w:tr>
        <w:trPr/>
        <w:tc>
          <w:tcPr>
            <w:tcW w:w="2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 &amp; Host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 and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162,093 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Diluted EPS related to the 2025 Notes is calculated using the if-converted method; the number of dilutive shares is based on the initial conversion rate associated with the 2025 Notes. The 2025 Notes were dilutive for the nine months ended October 1, 2022. A reconciliation of the numerators and denominators of the basic and diluted EPS calculations is as follows:</w:t>
      </w:r>
    </w:p>
    <w:tbl>
      <w:tblPr>
        <w:tblW w:w="10205" w:type="dxa"/>
        <w:jc w:val="left"/>
        <w:tblInd w:w="0" w:type="dxa"/>
        <w:tblLayout w:type="fixed"/>
        <w:tblCellMar>
          <w:top w:w="28" w:type="dxa"/>
          <w:left w:w="28" w:type="dxa"/>
          <w:bottom w:w="28" w:type="dxa"/>
          <w:right w:w="28" w:type="dxa"/>
        </w:tblCellMar>
      </w:tblPr>
      <w:tblGrid>
        <w:gridCol w:w="1479"/>
        <w:gridCol w:w="1223"/>
        <w:gridCol w:w="1230"/>
        <w:gridCol w:w="269"/>
        <w:gridCol w:w="987"/>
        <w:gridCol w:w="138"/>
        <w:gridCol w:w="109"/>
        <w:gridCol w:w="109"/>
        <w:gridCol w:w="109"/>
        <w:gridCol w:w="248"/>
        <w:gridCol w:w="850"/>
        <w:gridCol w:w="128"/>
        <w:gridCol w:w="109"/>
        <w:gridCol w:w="109"/>
        <w:gridCol w:w="109"/>
        <w:gridCol w:w="269"/>
        <w:gridCol w:w="987"/>
        <w:gridCol w:w="138"/>
        <w:gridCol w:w="109"/>
        <w:gridCol w:w="109"/>
        <w:gridCol w:w="109"/>
        <w:gridCol w:w="247"/>
        <w:gridCol w:w="845"/>
        <w:gridCol w:w="186"/>
      </w:tblGrid>
      <w:tr>
        <w:trPr/>
        <w:tc>
          <w:tcPr>
            <w:tcW w:w="147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3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thousands, except EPS </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After-tax interest expense for 2025 Notes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diluted EPS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for basic EPS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dilutive securities: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for diluted EPS</w:t>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securities excluded from diluted weighted average common shares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March 1, 2023 (the “2022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sections of this Form 10-Q and the 2022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jc w:val="both"/>
        <w:rPr/>
      </w:pPr>
      <w:r>
        <w:rPr>
          <w:rFonts w:ascii="Times New Roman;sans-serif" w:hAnsi="Times New Roman;sans-serif"/>
          <w:b w:val="false"/>
          <w:color w:val="000000"/>
          <w:sz w:val="20"/>
        </w:rPr>
        <w:t xml:space="preserve">We are one of the largest optical retailers in the United States and a leader in the attractive value segment of the U.S. optical retail industry. We believe that vision is central to quality of life and that people deserve to see their best to live their best, regardless of their budget. We achieve this by providing eye exams, eyeglasses and contact lenses to value seeking and lower income consumers with an opening price point that strives to be among the lowest in the industry, enabled by our low-cost operating platform. We reach our customers through a diverse portfolio of 1,402 </w:t>
      </w:r>
      <w:r>
        <w:rPr>
          <w:rFonts w:ascii="Times New Roman;sans-serif" w:hAnsi="Times New Roman;sans-serif"/>
          <w:b w:val="false"/>
          <w:color w:val="000000"/>
          <w:sz w:val="20"/>
          <w:shd w:fill="FFFFFF" w:val="clear"/>
        </w:rPr>
        <w:t>r</w:t>
      </w:r>
      <w:r>
        <w:rPr>
          <w:rFonts w:ascii="Times New Roman;sans-serif" w:hAnsi="Times New Roman;sans-serif"/>
          <w:b w:val="false"/>
          <w:color w:val="000000"/>
          <w:sz w:val="20"/>
        </w:rPr>
        <w:t>etail stores across five brands and 13 consumer websites as of September 30, 2023.</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Brand and Segment Information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Refer to Part I. Item 1. Note 2. “Termination of Walmart Partnership” for more information on the termination of our Walmart partnership.</w:t>
      </w:r>
    </w:p>
    <w:p>
      <w:pPr>
        <w:pStyle w:val="TextBody"/>
        <w:bidi w:val="0"/>
        <w:spacing w:lineRule="auto" w:line="288" w:before="0" w:after="120"/>
        <w:jc w:val="left"/>
        <w:rPr/>
      </w:pPr>
      <w:r>
        <w:rPr>
          <w:rFonts w:ascii="Times New Roman;sans-serif" w:hAnsi="Times New Roman;sans-serif"/>
          <w:b w:val="false"/>
          <w:color w:val="000000"/>
          <w:sz w:val="20"/>
        </w:rPr>
        <w:t>Our operations consi</w:t>
      </w:r>
      <w:r>
        <w:rPr>
          <w:rFonts w:ascii="Times New Roman;sans-serif" w:hAnsi="Times New Roman;sans-serif"/>
          <w:b w:val="false"/>
          <w:color w:val="000000"/>
          <w:sz w:val="20"/>
          <w:shd w:fill="FFFFFF" w:val="clear"/>
        </w:rPr>
        <w:t>s</w:t>
      </w:r>
      <w:r>
        <w:rPr>
          <w:rFonts w:ascii="Times New Roman;sans-serif" w:hAnsi="Times New Roman;sans-serif"/>
          <w:b w:val="false"/>
          <w:color w:val="000000"/>
          <w:sz w:val="20"/>
        </w:rPr>
        <w:t>t of two reportable segments: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Owned &amp; Host - As of September 30, 2023, our owned brands consisted of 943 America’s Best Contacts and Eyeglasses retail stores and 147 Eyeglass World retail stores. Our Host brands consisted of 54 Vista Optical locations on select military bases and 29 Vista Optical locations within select Fred Meyer stores as of September 30, 2023. All brands utilize our centralized laboratories. This segment also includes sales from our America’s Best, Eyeglass World, and Military omni-channel websites.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Legacy - We manage the operations of, and supply inventory and laboratory processing service</w:t>
      </w:r>
      <w:r>
        <w:rPr>
          <w:rFonts w:ascii="Times New Roman;sans-serif" w:hAnsi="Times New Roman;sans-serif"/>
          <w:b w:val="false"/>
          <w:color w:val="000000"/>
          <w:sz w:val="20"/>
          <w:shd w:fill="FFFFFF" w:val="clear"/>
        </w:rPr>
        <w:t>s to,</w:t>
      </w:r>
      <w:r>
        <w:rPr>
          <w:color w:val="000000"/>
        </w:rPr>
        <w:t xml:space="preserve"> </w:t>
      </w:r>
      <w:r>
        <w:rPr>
          <w:rFonts w:ascii="Times New Roman;sans-serif" w:hAnsi="Times New Roman;sans-serif"/>
          <w:b w:val="false"/>
          <w:color w:val="000000"/>
          <w:sz w:val="20"/>
        </w:rPr>
        <w:t>229 Vision Centers in Walmart retail locations as of September 30, 2023. During the nine months ended September 30, 2023, sales associated with this arrangement repre</w:t>
      </w:r>
      <w:r>
        <w:rPr>
          <w:rFonts w:ascii="Times New Roman;sans-serif" w:hAnsi="Times New Roman;sans-serif"/>
          <w:b w:val="false"/>
          <w:color w:val="000000"/>
          <w:sz w:val="20"/>
          <w:shd w:fill="FFFFFF" w:val="clear"/>
        </w:rPr>
        <w:t>se</w:t>
      </w:r>
      <w:r>
        <w:rPr>
          <w:rFonts w:ascii="Times New Roman;sans-serif" w:hAnsi="Times New Roman;sans-serif"/>
          <w:b w:val="false"/>
          <w:color w:val="000000"/>
          <w:sz w:val="20"/>
        </w:rPr>
        <w:t xml:space="preserve">nted 7.2% </w:t>
      </w:r>
      <w:r>
        <w:rPr>
          <w:rFonts w:ascii="Times New Roman;sans-serif" w:hAnsi="Times New Roman;sans-serif"/>
          <w:b w:val="false"/>
          <w:color w:val="000000"/>
          <w:sz w:val="20"/>
          <w:shd w:fill="FFFFFF" w:val="clear"/>
        </w:rPr>
        <w:t>of co</w:t>
      </w:r>
      <w:r>
        <w:rPr>
          <w:rFonts w:ascii="Times New Roman;sans-serif" w:hAnsi="Times New Roman;sans-serif"/>
          <w:b w:val="false"/>
          <w:color w:val="000000"/>
          <w:sz w:val="20"/>
        </w:rPr>
        <w:t>nsolidated net revenue. On July 20, 2023, we received a notice of non-renewal from Walmart on the Walmart MSA and, accordingly, the Walmart MSA will terminate on February 23, 2024.</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results also include the following activity recorded in our Corporate/Other category: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e-commerce platform of nine dedicated websites managed by AC Lens. Our e-commerce business consists of</w:t>
      </w:r>
      <w:r>
        <w:rPr>
          <w:color w:val="000000"/>
          <w:shd w:fill="FFFFFF" w:val="clear"/>
        </w:rPr>
        <w:t xml:space="preserve"> </w:t>
      </w:r>
      <w:r>
        <w:rPr>
          <w:rFonts w:ascii="Times New Roman;sans-serif" w:hAnsi="Times New Roman;sans-serif"/>
          <w:b w:val="false"/>
          <w:color w:val="000000"/>
          <w:sz w:val="20"/>
        </w:rPr>
        <w:t>five proprietary branded websites, including aclens.com, discountglasses.com and discountcontactlenses.com, a</w:t>
      </w:r>
      <w:r>
        <w:rPr>
          <w:rFonts w:ascii="Times New Roman;sans-serif" w:hAnsi="Times New Roman;sans-serif"/>
          <w:b w:val="false"/>
          <w:color w:val="000000"/>
          <w:sz w:val="20"/>
          <w:shd w:fill="FFFFFF" w:val="clear"/>
        </w:rPr>
        <w:t>nd</w:t>
      </w:r>
      <w:r>
        <w:rPr>
          <w:color w:val="000000"/>
        </w:rPr>
        <w:t xml:space="preserve"> </w:t>
      </w:r>
      <w:r>
        <w:rPr>
          <w:rFonts w:ascii="Times New Roman;sans-serif" w:hAnsi="Times New Roman;sans-serif"/>
          <w:b w:val="false"/>
          <w:color w:val="000000"/>
          <w:sz w:val="20"/>
        </w:rPr>
        <w:t xml:space="preserve">four </w:t>
      </w:r>
      <w:r>
        <w:rPr>
          <w:rFonts w:ascii="Times New Roman;sans-serif" w:hAnsi="Times New Roman;sans-serif"/>
          <w:b w:val="false"/>
          <w:color w:val="000000"/>
          <w:sz w:val="20"/>
          <w:shd w:fill="FFFFFF" w:val="clear"/>
        </w:rPr>
        <w:t>th</w:t>
      </w:r>
      <w:r>
        <w:rPr>
          <w:rFonts w:ascii="Times New Roman;sans-serif" w:hAnsi="Times New Roman;sans-serif"/>
          <w:b w:val="false"/>
          <w:color w:val="000000"/>
          <w:sz w:val="20"/>
        </w:rPr>
        <w:t>ird-party websites with established retailers, such as Walmart, Sam’s Club and Giant Eagle as well as mid-sized vision insurance providers.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Wholesale contact lenses distribution to Walmart and Sam’s Club by AC Lens, which represente</w:t>
      </w:r>
      <w:r>
        <w:rPr>
          <w:rFonts w:ascii="Times New Roman;sans-serif" w:hAnsi="Times New Roman;sans-serif"/>
          <w:b w:val="false"/>
          <w:color w:val="000000"/>
          <w:sz w:val="20"/>
          <w:shd w:fill="FFFFFF" w:val="clear"/>
        </w:rPr>
        <w:t>d</w:t>
      </w:r>
      <w:r>
        <w:rPr>
          <w:color w:val="000000"/>
        </w:rPr>
        <w:t xml:space="preserve"> </w:t>
      </w:r>
      <w:r>
        <w:rPr>
          <w:rFonts w:ascii="Times New Roman;sans-serif" w:hAnsi="Times New Roman;sans-serif"/>
          <w:b w:val="false"/>
          <w:color w:val="000000"/>
          <w:sz w:val="20"/>
        </w:rPr>
        <w:t>6.9% o</w:t>
      </w:r>
      <w:r>
        <w:rPr>
          <w:rFonts w:ascii="Times New Roman;sans-serif" w:hAnsi="Times New Roman;sans-serif"/>
          <w:b w:val="false"/>
          <w:color w:val="000000"/>
          <w:sz w:val="20"/>
          <w:shd w:fill="FFFFFF" w:val="clear"/>
        </w:rPr>
        <w:t xml:space="preserve">f </w:t>
      </w:r>
      <w:r>
        <w:rPr>
          <w:rFonts w:ascii="Times New Roman;sans-serif" w:hAnsi="Times New Roman;sans-serif"/>
          <w:b w:val="false"/>
          <w:color w:val="000000"/>
          <w:sz w:val="20"/>
        </w:rPr>
        <w:t>consolidated net revenue for the nine months ended September 30, 2023. In connection with the termination of the Walmart MSA, AC Lens has delivered notices of non-renewal of the agreements it has with Walmart and Sam’s Club and those agreements are expected to terminate on June 30, 2024.</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Managed care business conducted by FirstSight, our wholly-owned subsidiary that is licensed as a single-service health plan under California law. In connection with the termination of the Walmart MSA, the agreement between FirstSight and Walmart, which arranges for the provision by FirstSight of optometric services at optometric offices next to certain Walmart stores throughout California, will also terminate on February 23, 2024.</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Unallocated corporate overhead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11. “Segment Reporting” in our condensed consolidated financial statements included in Part I. Item 1. of this Form 10-Q.</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Trends and Other Factors Affecting Our Business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remained focused on our long-term growth initiatives despite the ongoing macroeconomic uncertainty. Our core growth initiatives include, but are not limited to, continuing with the expansion of our remote medicine capabilities; maintaining and improving our optometric retention levels; increasing our marketing efficiency and omni-channel capabilities; increasing our participation in vision insurance programs; the further digitization of our stores and corporate office; continuing to position ourselves to capture whitespace opportunity for our stores; and incorporating our corporate sustainability strategy into our operations.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the following key drivers, challenges and risks.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bidi w:val="0"/>
        <w:spacing w:lineRule="auto" w:line="288" w:before="0" w:after="120"/>
        <w:jc w:val="both"/>
        <w:rPr/>
      </w:pPr>
      <w:r>
        <w:rPr>
          <w:rFonts w:ascii="Times New Roman;sans-serif" w:hAnsi="Times New Roman;sans-serif"/>
          <w:b w:val="false"/>
          <w:color w:val="000000"/>
          <w:sz w:val="20"/>
        </w:rPr>
        <w:t>Rising inflation can result in increased costs and greater profitability pressure for us. While pressures from increases to our raw materials prices have had an impact on our costs applicable to revenue in fiscal year 2023, we have been able to offset these pressures with efficiencies in our laboratory network, pricing actions and lower freight costs. Wage investments as a result of inflation and an increasingly competitive recruiting market for vision care professionals due to the pandemic and related effects have had, and may continue to have, an impact on our profitability. Targeted wage investments, including increases in compensation for optometrists and associates, as well as flexibility initiatives, impacted costs applicable to revenue and selling, general and administrative expenses in the first nine months of fiscal year 2023 and we anticipate that wage pressures in certain markets will continue. Further wage investment pressure and increases in raw materials prices</w:t>
      </w:r>
      <w:r>
        <w:rPr>
          <w:color w:val="000000"/>
          <w:shd w:fill="FFFFFF" w:val="clear"/>
        </w:rPr>
        <w:t xml:space="preserve"> </w:t>
      </w:r>
      <w:r>
        <w:rPr>
          <w:rFonts w:ascii="Times New Roman;sans-serif" w:hAnsi="Times New Roman;sans-serif"/>
          <w:b w:val="false"/>
          <w:color w:val="000000"/>
          <w:sz w:val="20"/>
          <w:shd w:fill="FFFFFF" w:val="clear"/>
        </w:rPr>
        <w:t>may not be able to be fully offset by leverage from revenue growth, productivity efficiency and, as appropriate, various pricing actions.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Vision care professional recruitment, coverage, and expanded offerings</w:t>
      </w:r>
    </w:p>
    <w:p>
      <w:pPr>
        <w:pStyle w:val="TextBody"/>
        <w:bidi w:val="0"/>
        <w:spacing w:lineRule="auto" w:line="288" w:before="0" w:after="120"/>
        <w:jc w:val="both"/>
        <w:rPr/>
      </w:pPr>
      <w:r>
        <w:rPr>
          <w:rFonts w:ascii="Times New Roman;sans-serif" w:hAnsi="Times New Roman;sans-serif"/>
          <w:b w:val="false"/>
          <w:color w:val="000000"/>
          <w:sz w:val="20"/>
        </w:rPr>
        <w:t xml:space="preserve">Our ability to continue to attract and retain qualified vision care professionals may affect exam capacity. Our operations, like those of many of our competitors, depend on our ability to offer both eyewear and eye exams. </w:t>
      </w:r>
      <w:r>
        <w:rPr>
          <w:rFonts w:ascii="Times New Roman;sans-serif" w:hAnsi="Times New Roman;sans-serif"/>
          <w:b w:val="false"/>
          <w:color w:val="000000"/>
          <w:sz w:val="20"/>
          <w:shd w:fill="FFFFFF" w:val="clear"/>
        </w:rPr>
        <w:t>We believe the impacts of the COVID-19 pandemic on vision care professional availability, including a competitive recruiting market and preferences for adjusted work schedules, and the demand for optometrists exceeding supply in certain areas during the first nine months</w:t>
      </w:r>
      <w:r>
        <w:rPr>
          <w:color w:val="000000"/>
        </w:rPr>
        <w:t xml:space="preserve"> </w:t>
      </w:r>
      <w:r>
        <w:rPr>
          <w:rFonts w:ascii="Times New Roman;sans-serif" w:hAnsi="Times New Roman;sans-serif"/>
          <w:b w:val="false"/>
          <w:color w:val="000000"/>
          <w:sz w:val="20"/>
        </w:rPr>
        <w:t>of fiscal year 2023 have caused constraints in exam capacity which are continuing.</w:t>
      </w:r>
      <w:r>
        <w:rPr>
          <w:color w:val="000000"/>
          <w:shd w:fill="FFFFFF" w:val="clear"/>
        </w:rPr>
        <w:t xml:space="preserve"> </w:t>
      </w:r>
      <w:r>
        <w:rPr>
          <w:rFonts w:ascii="Times New Roman;sans-serif" w:hAnsi="Times New Roman;sans-serif"/>
          <w:b w:val="false"/>
          <w:color w:val="000000"/>
          <w:sz w:val="20"/>
          <w:shd w:fill="FFFFFF" w:val="clear"/>
        </w:rPr>
        <w:t xml:space="preserve">Due to these factors, the costs to employ or retain optometrists have increased and may increase further, potentially materially. </w:t>
      </w:r>
      <w:r>
        <w:rPr>
          <w:rFonts w:ascii="Times New Roman;sans-serif" w:hAnsi="Times New Roman;sans-serif"/>
          <w:b w:val="false"/>
          <w:color w:val="000000"/>
          <w:sz w:val="20"/>
        </w:rPr>
        <w:t>We are</w:t>
      </w:r>
      <w:r>
        <w:rPr>
          <w:color w:val="000000"/>
          <w:shd w:fill="FFFFFF" w:val="clear"/>
        </w:rPr>
        <w:t xml:space="preserve"> </w:t>
      </w:r>
      <w:r>
        <w:rPr>
          <w:rFonts w:ascii="Times New Roman;sans-serif" w:hAnsi="Times New Roman;sans-serif"/>
          <w:b w:val="false"/>
          <w:color w:val="000000"/>
          <w:sz w:val="20"/>
          <w:shd w:fill="FFFFFF" w:val="clear"/>
        </w:rPr>
        <w:t>continuing to strategically</w:t>
      </w:r>
      <w:r>
        <w:rPr>
          <w:color w:val="000000"/>
        </w:rPr>
        <w:t xml:space="preserve"> </w:t>
      </w:r>
      <w:r>
        <w:rPr>
          <w:rFonts w:ascii="Times New Roman;sans-serif" w:hAnsi="Times New Roman;sans-serif"/>
          <w:b w:val="false"/>
          <w:color w:val="000000"/>
          <w:sz w:val="20"/>
        </w:rPr>
        <w:t>invest in recruitment and retention initiatives, including flexible adjusted work schedules, along with continuing our implementation of remote medicine technologies, which has expanded our offerings while also increasing costs. We anticipate continuing our investment in our remote medicine capabilities primarily in America’s Best stores in the near term, including enhancements in the efficiency of our remote medicine platform, which could lead to increased costs as we train our personnel to efficiently use these new technologies.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Comparable store sales growth</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comparable store sales growth in the first nine months of fiscal year 2023 was aided by our participation in managed care programs. Such participation continues to represent an increasingly significant portion of our overall revenues as the challenging economic environment continues to impact our core non-managed care customer base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Interim results and seasonality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business has realized a higher portion of net revenue, income from operations, and cash flows from operations in the first half of the fiscal year, and a lower portion of net revenue, income from operations, and cash flows from operations in the fourth fiscal quarter. The seasonally larger first half of the fiscal year is attributable primarily to the timing of our customers’ income tax refunds and annual health insurance program start/reset periods. Because our target market consists of value seeking and lower income consumers, a delay in the issuance of tax refunds or changes in the amount of tax refunds can have a negative impact on our financial results. Consumers could also alter how they utilize tax refund proceeds.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Pricing strategy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providing our products to our customers at low prices. We generally employ a simple low price/high value strategy that consistently delivers savings to our customers without the need for extensive promotions. Inflationary pressures, including wage investments, consumer confidence and preferences and increased raw material costs could impact our profitability and lead us to attempt to offset such increases through various pricing actions.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Walmart partnership termination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navigate the termination of our Walmart partnership, including the transition period, may significantly impact our business. The transition period, including Walmart’s solicitation period under the agreements to offer employment or similar arrangements to certain associates and optometrists from specified Vision Centers, presents numerous risks and may cause disruption to the business, including, without limitation, a reduction in sales, productivity and focus, and may make it harder to retain associates and optometrists, which in turn could adversely affect our financial condition and results of operations. Due to these factors, the costs to retain associates and optometrists during the transition period may increase, potentially materially. We may incur other exit-related costs in connection with the termination of our Walmart partnership and related winding down of our remaining AC Lens operations, which may be material. In addition, while we seek to reduce costs and replace lost business with new America’s Best or Eyeglass World stores and by other means, including anticipated non-headline pricing actions, we may not be successful in our efforts, which could impact our revenues and profitability. Refer to Part I. Item 1. Note 2. “Termination of Walmart Partnership,” and Part II. Item 1A. “Risk Factors” in this Form 10-Q for more details.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How We Assess the Performance of Our Business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Applicable to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SG&amp;A generally fluctuates consistently with revenue due to the variable store, field office and corporate support costs; however, some fixed costs slightly improve as a percentage of net revenue as our net revenues grow over time.</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New Store Openings</w:t>
      </w:r>
    </w:p>
    <w:p>
      <w:pPr>
        <w:pStyle w:val="TextBody"/>
        <w:bidi w:val="0"/>
        <w:spacing w:lineRule="auto" w:line="288" w:before="0" w:after="120"/>
        <w:jc w:val="both"/>
        <w:rPr/>
      </w:pPr>
      <w:r>
        <w:rPr>
          <w:rFonts w:ascii="Times New Roman;sans-serif" w:hAnsi="Times New Roman;sans-serif"/>
          <w:b w:val="false"/>
          <w:color w:val="000000"/>
          <w:sz w:val="20"/>
        </w:rPr>
        <w:t>The total number of new stores per year and the timing of store openings has, and will continue to have, an impact on our re</w:t>
      </w:r>
      <w:r>
        <w:rPr>
          <w:rFonts w:ascii="Times New Roman;sans-serif" w:hAnsi="Times New Roman;sans-serif"/>
          <w:b w:val="false"/>
          <w:color w:val="000000"/>
          <w:sz w:val="20"/>
          <w:shd w:fill="FFFFFF" w:val="clear"/>
        </w:rPr>
        <w:t>sults.</w:t>
      </w:r>
      <w:r>
        <w:rPr>
          <w:color w:val="000000"/>
        </w:rPr>
        <w:t xml:space="preserve"> </w:t>
      </w:r>
      <w:r>
        <w:rPr>
          <w:rFonts w:ascii="Times New Roman;sans-serif" w:hAnsi="Times New Roman;sans-serif"/>
          <w:b w:val="false"/>
          <w:color w:val="000000"/>
          <w:sz w:val="20"/>
        </w:rPr>
        <w:t>We expect to open 65 to 70 stores in the current year. We will continue to monitor and determine our plans for future new store openings based on health, safety</w:t>
      </w:r>
      <w:r>
        <w:rPr>
          <w:color w:val="000000"/>
          <w:shd w:fill="FFFFFF" w:val="clear"/>
        </w:rPr>
        <w:t xml:space="preserve"> </w:t>
      </w:r>
      <w:r>
        <w:rPr>
          <w:rFonts w:ascii="Times New Roman;sans-serif" w:hAnsi="Times New Roman;sans-serif"/>
          <w:b w:val="false"/>
          <w:color w:val="000000"/>
          <w:sz w:val="20"/>
          <w:shd w:fill="FFFFFF" w:val="clear"/>
        </w:rPr>
        <w:t>and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Comparable Store Sales Growth</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Income, Adjusted Operating Margin, Adjusted EBITDA, Adjusted EBITDA Margin and Adjusted Diluted EPS (collectively, the “Company Non-GAAP Measures”)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components of our results of operations for the periods indicated, both in dollars and as a percentage of our net revenue.</w:t>
      </w:r>
    </w:p>
    <w:tbl>
      <w:tblPr>
        <w:tblW w:w="10205" w:type="dxa"/>
        <w:jc w:val="left"/>
        <w:tblInd w:w="0" w:type="dxa"/>
        <w:tblLayout w:type="fixed"/>
        <w:tblCellMar>
          <w:top w:w="28" w:type="dxa"/>
          <w:left w:w="28" w:type="dxa"/>
          <w:bottom w:w="28" w:type="dxa"/>
          <w:right w:w="28" w:type="dxa"/>
        </w:tblCellMar>
      </w:tblPr>
      <w:tblGrid>
        <w:gridCol w:w="1430"/>
        <w:gridCol w:w="1128"/>
        <w:gridCol w:w="1135"/>
        <w:gridCol w:w="474"/>
        <w:gridCol w:w="317"/>
        <w:gridCol w:w="622"/>
        <w:gridCol w:w="119"/>
        <w:gridCol w:w="119"/>
        <w:gridCol w:w="119"/>
        <w:gridCol w:w="381"/>
        <w:gridCol w:w="259"/>
        <w:gridCol w:w="582"/>
        <w:gridCol w:w="109"/>
        <w:gridCol w:w="109"/>
        <w:gridCol w:w="109"/>
        <w:gridCol w:w="474"/>
        <w:gridCol w:w="317"/>
        <w:gridCol w:w="699"/>
        <w:gridCol w:w="116"/>
        <w:gridCol w:w="116"/>
        <w:gridCol w:w="116"/>
        <w:gridCol w:w="369"/>
        <w:gridCol w:w="249"/>
        <w:gridCol w:w="737"/>
      </w:tblGrid>
      <w:tr>
        <w:trPr/>
        <w:tc>
          <w:tcPr>
            <w:tcW w:w="143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3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earnings per share, percentage and store data</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435,556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1,333,242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1,265,554</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of services and plans </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96,800</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286,823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270,919</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4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1,620,065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1,536,473</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applicable to revenue (exclusive of depreciation and amortization):</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508,023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488,225</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and plans</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84,619</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215,179</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4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252,026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753,917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703,404</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249,705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743,598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681,411</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75,248</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80,834</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4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354,927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899,708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762,007</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71,062</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(78,319)</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73,220</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21,837</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51,383</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operating data:</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stores open at end of period</w:t>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stores opened during the period</w:t>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94,547</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Diluted EPS</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164,179</w:t>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 of net revenue:</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Three Months Ended September 30, 2023 compared to Three Months Ended October 1, 2022</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by segment and by brand, comparable store sales growth, stores open at the end of the period and net revenue for the three months ended September 30, 2023 compared to the three months ended October 1, 2022.</w:t>
      </w:r>
    </w:p>
    <w:tbl>
      <w:tblPr>
        <w:tblW w:w="10282" w:type="dxa"/>
        <w:jc w:val="left"/>
        <w:tblInd w:w="0" w:type="dxa"/>
        <w:tblLayout w:type="fixed"/>
        <w:tblCellMar>
          <w:top w:w="28" w:type="dxa"/>
          <w:left w:w="28" w:type="dxa"/>
          <w:bottom w:w="28" w:type="dxa"/>
          <w:right w:w="28" w:type="dxa"/>
        </w:tblCellMar>
      </w:tblPr>
      <w:tblGrid>
        <w:gridCol w:w="711"/>
        <w:gridCol w:w="282"/>
        <w:gridCol w:w="283"/>
        <w:gridCol w:w="109"/>
        <w:gridCol w:w="109"/>
        <w:gridCol w:w="109"/>
        <w:gridCol w:w="211"/>
        <w:gridCol w:w="211"/>
        <w:gridCol w:w="449"/>
        <w:gridCol w:w="109"/>
        <w:gridCol w:w="109"/>
        <w:gridCol w:w="109"/>
        <w:gridCol w:w="270"/>
        <w:gridCol w:w="211"/>
        <w:gridCol w:w="284"/>
        <w:gridCol w:w="109"/>
        <w:gridCol w:w="109"/>
        <w:gridCol w:w="109"/>
        <w:gridCol w:w="290"/>
        <w:gridCol w:w="290"/>
        <w:gridCol w:w="291"/>
        <w:gridCol w:w="109"/>
        <w:gridCol w:w="109"/>
        <w:gridCol w:w="109"/>
        <w:gridCol w:w="318"/>
        <w:gridCol w:w="238"/>
        <w:gridCol w:w="230"/>
        <w:gridCol w:w="109"/>
        <w:gridCol w:w="109"/>
        <w:gridCol w:w="109"/>
        <w:gridCol w:w="196"/>
        <w:gridCol w:w="736"/>
        <w:gridCol w:w="109"/>
        <w:gridCol w:w="278"/>
        <w:gridCol w:w="278"/>
        <w:gridCol w:w="256"/>
        <w:gridCol w:w="109"/>
        <w:gridCol w:w="109"/>
        <w:gridCol w:w="109"/>
        <w:gridCol w:w="196"/>
        <w:gridCol w:w="736"/>
        <w:gridCol w:w="109"/>
        <w:gridCol w:w="278"/>
        <w:gridCol w:w="278"/>
        <w:gridCol w:w="301"/>
      </w:tblGrid>
      <w:tr>
        <w:trPr/>
        <w:tc>
          <w:tcPr>
            <w:tcW w:w="7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Comparable store sales growth</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open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revenue</w:t>
            </w:r>
            <w:r>
              <w:rPr>
                <w:rFonts w:ascii="Times New Roman;sans-serif" w:hAnsi="Times New Roman;sans-serif"/>
                <w:b/>
                <w:color w:val="000000"/>
                <w:sz w:val="10"/>
              </w:rPr>
              <w:t>(2)</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 and store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October 1, 2022</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Owned &amp; Host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 Best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Eyeglass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Military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Fred Meyer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&amp; Host segment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Legacy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Corporate/Other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Comparable Store Sales Growth</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11. “Segment Reporting” in our unaudited condensed consolidated financial statements included in Part I. Item 1. of this Form 10-Q, with the exception of the Legacy segment, which is adjusted as noted in clause (ii) of footnote (3) below.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(2)Percentages reflect line item as a percentage of net revenue, adjusted for rounding.</w:t>
      </w:r>
    </w:p>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0.4% from total comparable store sales growth based on consolidated net revenue for the three months ended September 30, 2023 and (ii) Adjusted Comparable Store Sales Growth includes retail sales to the Legacy partner’s customers (rather than the revenues recognized consistent with the management &amp; services agreement with the Legacy partner), resulting in an increase of 0.1% and a decrease of 0.1% from total comparable store sales growth based on consolidated net revenue for the three months ended September 30, 2023 and October 1, 2022, respectively.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 of $532.4 million for the three months ended September 30, 2023 increased $33.1 million, or 6.6%, from $499.2 million for the three months ended October 1, 2022. The increase was driven by approximately 55% from Adjusted Comparable Store Sales Growth, 45% growth from new store sales, and 10% by our AC Lens business, partially offset by effects of deferred and unearned revenue of approximately 10%.</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Comparable store sales growth and Adjusted Comparable Store Sales Growth for the three months ended September 30, 2023 were 3.8% and 4.3%, respectively, both reflecting an increase in customer transactions and higher average ticket. Comparable store sales growth was negatively impacted by effects of deferred and unearned revenue.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2023, we opened 17 America’s Best stores and four Eyeglass World stores. Overall, store count grew 5.3% from October 1, 2022 to September 30, 2023 (60 and 11 net new America’s Best and Eyeglass World stores were added, respectively, and one Legacy store was closed).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product sales comprised 81.8% and 82.3% of total net revenue for the three months ended September 30, 2023 and October 1, 2022, respectively. Net product sales increased $24.9 million, or 6.1%, in the three months ended September 30, 2023 compared to the three months ended October 1, 2022, driven primarily by a $17.9 million, or 6.4% increase in eyeglass sales, a $4.0 million, or 4.1%, increase in contact lens sales and a $2.5 million, or 7.0%, increase in wholesale fulfillment.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 for the three months ended September 30, 2023 increased $8.3 million, or 9.4%, compared to the three months ended October 1, 2022, driven primarily by a $8.7 million, or 18.0% increase in eye exams, partially offset by a $0.7 million, or 8.0% decrease in management fees from our Legacy partner.</w:t>
      </w:r>
    </w:p>
    <w:p>
      <w:pPr>
        <w:pStyle w:val="TextBody"/>
        <w:bidi w:val="0"/>
        <w:spacing w:lineRule="auto" w:line="288" w:before="0" w:after="120"/>
        <w:jc w:val="both"/>
        <w:rPr/>
      </w:pPr>
      <w:r>
        <w:rPr>
          <w:rFonts w:ascii="Times New Roman;sans-serif" w:hAnsi="Times New Roman;sans-serif"/>
          <w:b w:val="false"/>
          <w:i/>
          <w:color w:val="000000"/>
          <w:sz w:val="20"/>
        </w:rPr>
        <w:t>Owned &amp; Host segment net revenue.</w:t>
      </w:r>
      <w:r>
        <w:rPr>
          <w:color w:val="000000"/>
        </w:rPr>
        <w:t xml:space="preserve"> </w:t>
      </w:r>
      <w:r>
        <w:rPr>
          <w:rFonts w:ascii="Times New Roman;sans-serif" w:hAnsi="Times New Roman;sans-serif"/>
          <w:b w:val="false"/>
          <w:color w:val="000000"/>
          <w:sz w:val="20"/>
        </w:rPr>
        <w:t>Net revenue increased $32.7 million, or 8.2%, driven primarily by comparable store sales growth and new store openings.</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net revenue. </w:t>
      </w:r>
      <w:r>
        <w:rPr>
          <w:rFonts w:ascii="Times New Roman;sans-serif" w:hAnsi="Times New Roman;sans-serif"/>
          <w:b w:val="false"/>
          <w:color w:val="000000"/>
          <w:sz w:val="20"/>
        </w:rPr>
        <w:t>Net revenue increased $0.1 million, or 0.2%, driven by positive comparable store sales growth.</w:t>
      </w:r>
    </w:p>
    <w:p>
      <w:pPr>
        <w:pStyle w:val="TextBody"/>
        <w:bidi w:val="0"/>
        <w:spacing w:lineRule="auto" w:line="288" w:before="0" w:after="120"/>
        <w:jc w:val="both"/>
        <w:rPr/>
      </w:pPr>
      <w:r>
        <w:rPr>
          <w:rFonts w:ascii="Times New Roman;sans-serif" w:hAnsi="Times New Roman;sans-serif"/>
          <w:b w:val="false"/>
          <w:i/>
          <w:color w:val="000000"/>
          <w:sz w:val="20"/>
        </w:rPr>
        <w:t xml:space="preserve">Corporate/Other segment net revenue. </w:t>
      </w:r>
      <w:r>
        <w:rPr>
          <w:rFonts w:ascii="Times New Roman;sans-serif" w:hAnsi="Times New Roman;sans-serif"/>
          <w:b w:val="false"/>
          <w:color w:val="000000"/>
          <w:sz w:val="20"/>
        </w:rPr>
        <w:t>Net revenue increased $3.0 million, or 4.9%, driven primarily by increases in wholesale fulfillment.</w:t>
      </w:r>
    </w:p>
    <w:p>
      <w:pPr>
        <w:pStyle w:val="TextBody"/>
        <w:bidi w:val="0"/>
        <w:spacing w:lineRule="auto" w:line="288" w:before="0" w:after="120"/>
        <w:jc w:val="both"/>
        <w:rPr/>
      </w:pPr>
      <w:r>
        <w:rPr>
          <w:rFonts w:ascii="Times New Roman;sans-serif" w:hAnsi="Times New Roman;sans-serif"/>
          <w:b w:val="false"/>
          <w:i/>
          <w:color w:val="000000"/>
          <w:sz w:val="20"/>
        </w:rPr>
        <w:t xml:space="preserve">Net revenue reconciliations. </w:t>
      </w:r>
      <w:r>
        <w:rPr>
          <w:rFonts w:ascii="Times New Roman;sans-serif" w:hAnsi="Times New Roman;sans-serif"/>
          <w:b w:val="false"/>
          <w:color w:val="000000"/>
          <w:sz w:val="20"/>
        </w:rPr>
        <w:t>The impact of reconciliations negatively impacted net revenue by $2.7 million in the three months ended September 30, 2023. Net revenue was negatively impacted by $1.7 million due to the timing of unearned revenue during the three months ended September 30, 2023. Net revenue was negatively impacted by $1.0 million, primarily due to higher sales of club memberships and product protection plans in the three months ended September 30, 2023 compared to the three months ended October 1, 2022.</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applicable to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Costs applicable to revenue of $252.0 million for the three months ended September 30, 2023 increased $19.2 million, or 8.3%, from $232.8 million for the three months ended October 1, 2022. As a percentage of net revenue, costs applicable to revenue increased from 46.6% for the three months ended October 1, 2022 to 47.3% for the three months ended September 30, 2023. This increase as a percentage of net revenue was primarily driven by growth in optometrist-related costs of 150 basis points and a 50 basis-point reduction in components of service revenue, including product protection plan revenue. These costs were partially offset by a 100 basis point effect from higher exam revenue and by a 30 basis point decrease in product costs driven by higher eyeglass margin and decreased freight expense.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Costs of products as a percentage of net product sales was 38.4% for the three months ended September 30, 2023 and 39.1% for the three months ended October 1, 2022, primarily driven by higher eyeglass margin and decreased freight expense.</w:t>
      </w:r>
    </w:p>
    <w:p>
      <w:pPr>
        <w:pStyle w:val="TextBody"/>
        <w:bidi w:val="0"/>
        <w:spacing w:lineRule="auto" w:line="288" w:before="0" w:after="120"/>
        <w:jc w:val="both"/>
        <w:rPr/>
      </w:pPr>
      <w:r>
        <w:rPr>
          <w:rFonts w:ascii="Times New Roman;sans-serif" w:hAnsi="Times New Roman;sans-serif"/>
          <w:b w:val="false"/>
          <w:i/>
          <w:color w:val="000000"/>
          <w:sz w:val="20"/>
        </w:rPr>
        <w:t xml:space="preserve">Owned &amp; Host segment costs of products. </w:t>
      </w:r>
      <w:r>
        <w:rPr>
          <w:rFonts w:ascii="Times New Roman;sans-serif" w:hAnsi="Times New Roman;sans-serif"/>
          <w:b w:val="false"/>
          <w:color w:val="000000"/>
          <w:sz w:val="20"/>
        </w:rPr>
        <w:t>Costs of products as a percentage of net product sales decreased from 29.3% for the three months ended October 1, 2022 to 28.8% for the three months ended September 30, 2023, primarily driven by higher eyeglass margin and decreased freight expense.</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costs of products. </w:t>
      </w:r>
      <w:r>
        <w:rPr>
          <w:rFonts w:ascii="Times New Roman;sans-serif" w:hAnsi="Times New Roman;sans-serif"/>
          <w:b w:val="false"/>
          <w:color w:val="000000"/>
          <w:sz w:val="20"/>
        </w:rPr>
        <w:t>Costs of products as a percentage of net product sales decreased from 47.9% for the three months ended October 1, 2022 to 46.0% for the three months ended September 30, 2023.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pStyle w:val="TextBody"/>
        <w:bidi w:val="0"/>
        <w:spacing w:lineRule="auto" w:line="268" w:before="0" w:after="120"/>
        <w:jc w:val="left"/>
        <w:rPr/>
      </w:pPr>
      <w:r>
        <w:rPr>
          <w:rFonts w:ascii="Times New Roman;sans-serif" w:hAnsi="Times New Roman;sans-serif"/>
          <w:b w:val="false"/>
          <w:color w:val="000000"/>
          <w:sz w:val="20"/>
        </w:rPr>
        <w:t>Costs of services and plans as a percentage of net sales of services and plans increased from 81.5% for the three months ended October 1, 2022 to 87.4% for the three months ended September 30, 2023. The increase was primarily driven by higher growth in optometrist-related costs, and lower product protection plan revenues and Legacy partner management fees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0"/>
        </w:rPr>
        <w:t>partially offset by higher exam revenue.</w:t>
      </w:r>
    </w:p>
    <w:p>
      <w:pPr>
        <w:pStyle w:val="TextBody"/>
        <w:bidi w:val="0"/>
        <w:spacing w:lineRule="auto" w:line="288" w:before="0" w:after="120"/>
        <w:jc w:val="both"/>
        <w:rPr/>
      </w:pPr>
      <w:r>
        <w:rPr>
          <w:rFonts w:ascii="Times New Roman;sans-serif" w:hAnsi="Times New Roman;sans-serif"/>
          <w:b w:val="false"/>
          <w:i/>
          <w:color w:val="000000"/>
          <w:sz w:val="20"/>
        </w:rPr>
        <w:t xml:space="preserve">Owned &amp; Host segment costs of services and plans. </w:t>
      </w:r>
      <w:r>
        <w:rPr>
          <w:rFonts w:ascii="Times New Roman;sans-serif" w:hAnsi="Times New Roman;sans-serif"/>
          <w:b w:val="false"/>
          <w:color w:val="000000"/>
          <w:sz w:val="20"/>
        </w:rPr>
        <w:t>Costs of services and plans as a percentage of net sales of services and plans increased from 89.0% for the three months ended October 1, 2022 to 92.4% for the three months ended September 30, 2023. The increase was primarily driven by growth in optometrist-related costs that was partially offset by higher exam revenue.</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costs of services and plans. </w:t>
      </w:r>
      <w:r>
        <w:rPr>
          <w:rFonts w:ascii="Times New Roman;sans-serif" w:hAnsi="Times New Roman;sans-serif"/>
          <w:b w:val="false"/>
          <w:color w:val="000000"/>
          <w:sz w:val="20"/>
        </w:rPr>
        <w:t>Costs of services and plans as a percentage of net sales of services and plans increased from 44.0% for the three months ended October 1, 2022 to 50.7% for the three months ended September 30, 2023. The increase was primarily driven by growth in optometrist-related costs and lower management fees from our Legacy partner, partially offset by higher exam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of $249.7 million for the three months ended September 30, 2023 increased $24.7 million, or 11.0%, from the three months ended October 1, 2022. As a percentage of net revenue, SG&amp;A increased from 45.1% for the three months ended October 1, 2022 to 46.9% for the three months ended September 30, 2023. The increase in SG&amp;A as a percentage of net revenue was primarily driven by higher performance-based incentive compensation of 80 basis points, higher payroll of 50 basis points, higher stock-based compensation of 40 basis points, and 40 basis points from other expenses primarily related to the termination of the Walmart partnership, partially offset by 20 basis points from advertising leverage. </w:t>
      </w:r>
    </w:p>
    <w:p>
      <w:pPr>
        <w:pStyle w:val="TextBody"/>
        <w:bidi w:val="0"/>
        <w:spacing w:lineRule="auto" w:line="288" w:before="0" w:after="120"/>
        <w:jc w:val="both"/>
        <w:rPr/>
      </w:pPr>
      <w:r>
        <w:rPr>
          <w:rFonts w:ascii="Times New Roman;sans-serif" w:hAnsi="Times New Roman;sans-serif"/>
          <w:b w:val="false"/>
          <w:i/>
          <w:color w:val="000000"/>
          <w:sz w:val="20"/>
        </w:rPr>
        <w:t xml:space="preserve">Owned &amp; Host SG&amp;A. </w:t>
      </w:r>
      <w:r>
        <w:rPr>
          <w:rFonts w:ascii="Times New Roman;sans-serif" w:hAnsi="Times New Roman;sans-serif"/>
          <w:b w:val="false"/>
          <w:color w:val="000000"/>
          <w:sz w:val="20"/>
        </w:rPr>
        <w:t>SG&amp;A as a percentage of net revenue decreased from 39.3% for the three months ended October 1, 2022 to 39.2% for the three months ended September 30, 2023, driven primarily by advertising leverage, partially offset by higher payroll.</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SG&amp;A. </w:t>
      </w:r>
      <w:r>
        <w:rPr>
          <w:rFonts w:ascii="Times New Roman;sans-serif" w:hAnsi="Times New Roman;sans-serif"/>
          <w:b w:val="false"/>
          <w:color w:val="000000"/>
          <w:sz w:val="20"/>
        </w:rPr>
        <w:t>SG&amp;A as a percentage of net revenue decreased from 38.8% for the three months ended October 1, 2022 to 38.3% for the three months ended September 30, 2023, driven primarily by lower payroll.</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of $24.4 million for the three months ended September 30, 2023 decreased $0.4 million, or 1.8%, from $24.9 million for the three months ended October 1, 2022 primarily driven by a decrease in amortization of intangible assets as a result of impairing the Walmart contract and relationship asset during the third quarter of 2023, partially offset by investments in remote medicine technology.</w:t>
      </w:r>
    </w:p>
    <w:p>
      <w:pPr>
        <w:pStyle w:val="TextBody"/>
        <w:bidi w:val="0"/>
        <w:spacing w:lineRule="auto" w:line="26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impairment charges of $80.8 million for the three months ended September 30, 2023 compared to $1.3 million for the three months ended October 1, 2022. The majority of the impairment charges in the current period were recorded in connection with the termination of the Walmart Partnership and included impairments at our Legacy and AC Lens operating segments. Refer to Part I. Item 1. Note 2. “Termination of Walmart Partnership” for more detail. In addition, we recorded impairment charges of $1.5 million related to tangible long-lived assets and ROU assets associated with our Owned &amp; Host segment for the three months ended September 30, 2023, which are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(income), net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 was $3.7 million for the three months ended September 30, 2023, compared to $(2.0) million for the three months ended October 1, 2022. The change was primarily a result of lower derivative income of $6.3 million and higher Term A Loans expense of $1.4 million, partially offset by higher income on cash balances of $1.7 million.</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 (benefit)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the three months ended September 30, 2023 and October 1, 2022 were 5.8% and 33.7%, respectively. The change in effective tax rates reflects our statutory federal and state rates of 25.4% and 25.5%, respectively, the disallowance of the Legacy segment goodwill impairment loss for income tax purposes and other permanent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20"/>
        <w:jc w:val="both"/>
        <w:rPr>
          <w:rFonts w:ascii="Times New Roman;sans-serif" w:hAnsi="Times New Roman;sans-serif"/>
          <w:b/>
          <w:color w:val="000000"/>
          <w:sz w:val="20"/>
        </w:rPr>
      </w:pPr>
      <w:r>
        <w:rPr>
          <w:rFonts w:ascii="Times New Roman;sans-serif" w:hAnsi="Times New Roman;sans-serif"/>
          <w:b/>
          <w:color w:val="000000"/>
          <w:sz w:val="20"/>
        </w:rPr>
        <w:t>Nine Months Ended September 30, 2023 compared to Nine Months Ended October 1, 2022</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by segment and by brand, comparable store sales growth, stores open at the end of the period and net revenue for the nine months ended September 30, 2023 compared to the nine months ended October 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tbl>
      <w:tblPr>
        <w:tblW w:w="10403" w:type="dxa"/>
        <w:jc w:val="center"/>
        <w:tblInd w:w="0" w:type="dxa"/>
        <w:tblLayout w:type="fixed"/>
        <w:tblCellMar>
          <w:top w:w="28" w:type="dxa"/>
          <w:left w:w="28" w:type="dxa"/>
          <w:bottom w:w="28" w:type="dxa"/>
          <w:right w:w="28" w:type="dxa"/>
        </w:tblCellMar>
      </w:tblPr>
      <w:tblGrid>
        <w:gridCol w:w="651"/>
        <w:gridCol w:w="282"/>
        <w:gridCol w:w="283"/>
        <w:gridCol w:w="109"/>
        <w:gridCol w:w="109"/>
        <w:gridCol w:w="109"/>
        <w:gridCol w:w="216"/>
        <w:gridCol w:w="216"/>
        <w:gridCol w:w="439"/>
        <w:gridCol w:w="109"/>
        <w:gridCol w:w="109"/>
        <w:gridCol w:w="109"/>
        <w:gridCol w:w="216"/>
        <w:gridCol w:w="216"/>
        <w:gridCol w:w="274"/>
        <w:gridCol w:w="109"/>
        <w:gridCol w:w="109"/>
        <w:gridCol w:w="109"/>
        <w:gridCol w:w="290"/>
        <w:gridCol w:w="290"/>
        <w:gridCol w:w="291"/>
        <w:gridCol w:w="109"/>
        <w:gridCol w:w="109"/>
        <w:gridCol w:w="109"/>
        <w:gridCol w:w="318"/>
        <w:gridCol w:w="238"/>
        <w:gridCol w:w="230"/>
        <w:gridCol w:w="109"/>
        <w:gridCol w:w="109"/>
        <w:gridCol w:w="109"/>
        <w:gridCol w:w="196"/>
        <w:gridCol w:w="871"/>
        <w:gridCol w:w="109"/>
        <w:gridCol w:w="278"/>
        <w:gridCol w:w="278"/>
        <w:gridCol w:w="241"/>
        <w:gridCol w:w="109"/>
        <w:gridCol w:w="109"/>
        <w:gridCol w:w="109"/>
        <w:gridCol w:w="196"/>
        <w:gridCol w:w="871"/>
        <w:gridCol w:w="109"/>
        <w:gridCol w:w="278"/>
        <w:gridCol w:w="278"/>
        <w:gridCol w:w="286"/>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Comparable store sales growth</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open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revenue</w:t>
            </w:r>
            <w:r>
              <w:rPr>
                <w:rFonts w:ascii="Times New Roman;sans-serif" w:hAnsi="Times New Roman;sans-serif"/>
                <w:b/>
                <w:color w:val="000000"/>
                <w:sz w:val="10"/>
              </w:rPr>
              <w:t>(2)</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 and store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October 1, 2022</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Owned &amp; Host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America’s Best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Eyeglass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Military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Fred Meyer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Owned &amp; Host segment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1,311,585 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1,235,259 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Legacy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Corporate/Other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Reconciliations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1,620,065 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1,536,473 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Adjusted Comparable Store Sales Growth</w:t>
            </w:r>
            <w:r>
              <w:rPr>
                <w:rFonts w:ascii="Times New Roman;sans-serif" w:hAnsi="Times New Roman;sans-serif"/>
                <w:b w:val="false"/>
                <w:color w:val="000000"/>
                <w:sz w:val="11"/>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11. “Segment Reporting” in our unaudited condensed consolidated financial statements included in Part I. Item 1. of this Form 10-Q, with the exception of the Legacy segment, which is adjusted as noted in clause (ii) of footnote (3) below.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(2)Percentages reflect line item as a percentage of net revenue, adjusted for rounding.</w:t>
      </w:r>
    </w:p>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0.2% and a decrease of 1.0% from total comparable store sales growth based on consolidated net revenue for the nine months ended September 30, 2023 and October 1, 2022, respectively, and (ii) Adjusted Comparable Store Sales Growth includes retail sales to the Legacy partner’s customers (rather than the revenues recognized consistent with the management &amp; services agreement with the Legacy partner), resulting in a decrease of 0.1% from total comparable store sales growth based on consolidated net revenue for both the nine months ended September 30, 2023 and October 1, 2022.</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 of $1,620.1 million for the nine months ended September 30, 2023 increased $83.6 million, or 5.4%, from $1,536.5 million for the nine months ended October 1, 2022. The increase was driven by approximately 60% growth from new store sales, 30% by Adjusted Comparable Store Sales Growth and 10% by our AC Lens business.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store sales growth and Adjusted Comparable Store Sales Growth for the nine months ended September 30, 2023 were 2.3% and 2.0%, respectively, primarily due to an increase in customer transactions and higher average ticket.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2023, we opened 42 new America’s Best stores and 11 Eyeglass World stores, and closed four America’s Best stores and one Legacy store as a result of our Legacy partner’s decision to cease its overall operations at the location. Overall, store count grew 5.3% from October 1, 2022 to September 30, 2023 (60 and 11 net new America’s Best and Eyeglass World stores were added, respectively, and one Legacy store was closed).</w:t>
      </w:r>
    </w:p>
    <w:p>
      <w:pPr>
        <w:pStyle w:val="TextBody"/>
        <w:bidi w:val="0"/>
        <w:spacing w:lineRule="auto" w:line="288" w:before="0" w:after="120"/>
        <w:jc w:val="both"/>
        <w:rPr/>
      </w:pPr>
      <w:r>
        <w:rPr>
          <w:rFonts w:ascii="Times New Roman;sans-serif" w:hAnsi="Times New Roman;sans-serif"/>
          <w:b w:val="false"/>
          <w:color w:val="000000"/>
          <w:sz w:val="20"/>
        </w:rPr>
        <w:t>Net product sales comprised 82.3% and 82.4% of total net revenue for the nine months ended September 30, 2023 and October 1, 2022, respectively. Net product sales increased $67.7 million, or 5.3%, in the nine months ended September 30, 2023 compared to the nine months ended October 1, 2022, primarily due to a $50.6 million, or 5.9%, increase in eyeglass sales, an $11.1 million, or 3.8%, increase in contact lens sales and a $5.5 million, or 5.2%, increase in wholesale fulfillment.</w:t>
      </w:r>
      <w:r>
        <w:rPr>
          <w:color w:val="EE2724"/>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pPr>
      <w:r>
        <w:rPr>
          <w:rFonts w:ascii="Times New Roman;sans-serif" w:hAnsi="Times New Roman;sans-serif"/>
          <w:b w:val="false"/>
          <w:color w:val="000000"/>
          <w:sz w:val="20"/>
        </w:rPr>
        <w:t>Net sales of services and plans for the nine months ended September 30, 2023 increased $15.9 million, or 5.9%, compared to the nine months ended October 1, 2022,</w:t>
      </w:r>
      <w:r>
        <w:rPr>
          <w:color w:val="EE2724"/>
        </w:rPr>
        <w:t xml:space="preserve"> </w:t>
      </w:r>
      <w:r>
        <w:rPr>
          <w:rFonts w:ascii="Times New Roman;sans-serif" w:hAnsi="Times New Roman;sans-serif"/>
          <w:b w:val="false"/>
          <w:color w:val="000000"/>
          <w:sz w:val="20"/>
        </w:rPr>
        <w:t>driven primarily by higher exam revenues of $21.2 million, or 14.5% increase, which was partially offset by a $3.3 million, or 5.7% decrease in product protection plan revenues and a $3.3 million, or 12.3%, decrease in management fees from our Legacy partner.</w:t>
      </w:r>
    </w:p>
    <w:p>
      <w:pPr>
        <w:pStyle w:val="TextBody"/>
        <w:bidi w:val="0"/>
        <w:spacing w:lineRule="auto" w:line="288" w:before="0" w:after="120"/>
        <w:jc w:val="both"/>
        <w:rPr/>
      </w:pPr>
      <w:r>
        <w:rPr>
          <w:rFonts w:ascii="Times New Roman;sans-serif" w:hAnsi="Times New Roman;sans-serif"/>
          <w:b w:val="false"/>
          <w:i/>
          <w:color w:val="000000"/>
          <w:sz w:val="20"/>
        </w:rPr>
        <w:t>Owned &amp; Host segment net revenue.</w:t>
      </w:r>
      <w:r>
        <w:rPr>
          <w:color w:val="000000"/>
        </w:rPr>
        <w:t xml:space="preserve"> </w:t>
      </w:r>
      <w:r>
        <w:rPr>
          <w:rFonts w:ascii="Times New Roman;sans-serif" w:hAnsi="Times New Roman;sans-serif"/>
          <w:b w:val="false"/>
          <w:color w:val="000000"/>
          <w:sz w:val="20"/>
        </w:rPr>
        <w:t>Net revenue increased $76.3 million, or 6.2%, driven primarily by new store openings and comparable store sales growth.</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net revenue. </w:t>
      </w:r>
      <w:r>
        <w:rPr>
          <w:rFonts w:ascii="Times New Roman;sans-serif" w:hAnsi="Times New Roman;sans-serif"/>
          <w:b w:val="false"/>
          <w:color w:val="000000"/>
          <w:sz w:val="20"/>
        </w:rPr>
        <w:t>Net revenue decreased $0.2 million, or 0.2%, driven by negative comparable store sales growth.</w:t>
      </w:r>
    </w:p>
    <w:p>
      <w:pPr>
        <w:pStyle w:val="TextBody"/>
        <w:bidi w:val="0"/>
        <w:spacing w:lineRule="auto" w:line="288" w:before="0" w:after="120"/>
        <w:jc w:val="both"/>
        <w:rPr/>
      </w:pPr>
      <w:r>
        <w:rPr>
          <w:rFonts w:ascii="Times New Roman;sans-serif" w:hAnsi="Times New Roman;sans-serif"/>
          <w:b w:val="false"/>
          <w:i/>
          <w:color w:val="000000"/>
          <w:sz w:val="20"/>
        </w:rPr>
        <w:t xml:space="preserve">Corporate/Other segment net revenue. </w:t>
      </w:r>
      <w:r>
        <w:rPr>
          <w:rFonts w:ascii="Times New Roman;sans-serif" w:hAnsi="Times New Roman;sans-serif"/>
          <w:b w:val="false"/>
          <w:color w:val="000000"/>
          <w:sz w:val="20"/>
        </w:rPr>
        <w:t>Net revenue increased $7.6 million, or 4.1%, driven primarily by increases in wholesale fulfillment.</w:t>
      </w:r>
    </w:p>
    <w:p>
      <w:pPr>
        <w:pStyle w:val="TextBody"/>
        <w:bidi w:val="0"/>
        <w:spacing w:lineRule="auto" w:line="288" w:before="0" w:after="120"/>
        <w:jc w:val="both"/>
        <w:rPr/>
      </w:pPr>
      <w:r>
        <w:rPr>
          <w:rFonts w:ascii="Times New Roman;sans-serif" w:hAnsi="Times New Roman;sans-serif"/>
          <w:b w:val="false"/>
          <w:i/>
          <w:color w:val="000000"/>
          <w:sz w:val="20"/>
        </w:rPr>
        <w:t xml:space="preserve">Net revenue reconciliations. </w:t>
      </w:r>
      <w:r>
        <w:rPr>
          <w:rFonts w:ascii="Times New Roman;sans-serif" w:hAnsi="Times New Roman;sans-serif"/>
          <w:b w:val="false"/>
          <w:color w:val="000000"/>
          <w:sz w:val="20"/>
        </w:rPr>
        <w:t>The impact of reconciliations negatively impacted net revenue by $0.2 million in the nine months ended September 30, 2023 compared to the nine months ended October 1, 2022. Net revenue was positively impacted by $4.3 million due to the timing of unearned revenue. Net revenue was negatively impacted by $4.4 million primarily due to higher sales of club memberships and product protection plans and lower recognition of product protection plan revenue in the nine months ended September 30, 2023 compared to the nine months ended October 1, 2022.</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applicable to revenue</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Costs applicable to revenue of $753.9 million for the nine months ended September 30, 2023 increased $50.5 million, or 7.2%, from $703.4 million for the nine months ended October 1, 2022. As a percentage of net revenue, costs applicable to revenue increased from 45.8% for the nine months ended October 1, 2022 to 46.5% for the nine months ended September 30, 2023. This increase as a percentage of net revenue was primarily driven by higher growth in optometrist-related costs of 130 basis points and by 60 basis points due to reduction in components of service revenue, including product protection plan revenue as well as other product mix and margin effects. These costs were partially offset by an 80 basis point effect from higher exam revenue and a 40 basis point effect from increased eyeglass mix and higher eyeglass margin.</w:t>
      </w:r>
    </w:p>
    <w:p>
      <w:pPr>
        <w:pStyle w:val="TextBody"/>
        <w:bidi w:val="0"/>
        <w:spacing w:lineRule="auto" w:line="288" w:before="0" w:after="180"/>
        <w:jc w:val="both"/>
        <w:rPr/>
      </w:pPr>
      <w:r>
        <w:rPr>
          <w:rFonts w:ascii="Times New Roman;sans-serif" w:hAnsi="Times New Roman;sans-serif"/>
          <w:b w:val="false"/>
          <w:color w:val="000000"/>
          <w:sz w:val="20"/>
        </w:rPr>
        <w:t>Costs of products as a percentage of net product sales decreased from 38.6% for the nine months ended October 1, 2022 to 38.1% for the nine months ended September 30, 2023, primarily driven</w:t>
      </w:r>
      <w:r>
        <w:rPr>
          <w:color w:val="FF0000"/>
        </w:rPr>
        <w:t xml:space="preserve"> </w:t>
      </w:r>
      <w:r>
        <w:rPr>
          <w:rFonts w:ascii="Times New Roman;sans-serif" w:hAnsi="Times New Roman;sans-serif"/>
          <w:b w:val="false"/>
          <w:color w:val="000000"/>
          <w:sz w:val="20"/>
        </w:rPr>
        <w:t>by increased eyeglass mix and higher eyeglass margin.</w:t>
      </w:r>
    </w:p>
    <w:p>
      <w:pPr>
        <w:pStyle w:val="TextBody"/>
        <w:bidi w:val="0"/>
        <w:spacing w:lineRule="auto" w:line="288" w:before="0" w:after="180"/>
        <w:jc w:val="both"/>
        <w:rPr/>
      </w:pPr>
      <w:r>
        <w:rPr>
          <w:rFonts w:ascii="Times New Roman;sans-serif" w:hAnsi="Times New Roman;sans-serif"/>
          <w:b w:val="false"/>
          <w:i/>
          <w:color w:val="000000"/>
          <w:sz w:val="20"/>
        </w:rPr>
        <w:t xml:space="preserve">Owned &amp; Host segment costs of products. </w:t>
      </w:r>
      <w:r>
        <w:rPr>
          <w:rFonts w:ascii="Times New Roman;sans-serif" w:hAnsi="Times New Roman;sans-serif"/>
          <w:b w:val="false"/>
          <w:color w:val="000000"/>
          <w:sz w:val="20"/>
        </w:rPr>
        <w:t>Costs of products as a percentage of net product sales decreased from 28.9% for the nine months ended October 1, 2022 to 28.7% for the nine months ended September 30, 2023, primarily driven</w:t>
      </w:r>
      <w:r>
        <w:rPr>
          <w:color w:val="FF0000"/>
        </w:rPr>
        <w:t xml:space="preserve"> </w:t>
      </w:r>
      <w:r>
        <w:rPr>
          <w:rFonts w:ascii="Times New Roman;sans-serif" w:hAnsi="Times New Roman;sans-serif"/>
          <w:b w:val="false"/>
          <w:color w:val="000000"/>
          <w:sz w:val="20"/>
        </w:rPr>
        <w:t xml:space="preserve">by increased eyeglass mix and higher eyeglass margin. </w:t>
      </w:r>
    </w:p>
    <w:p>
      <w:pPr>
        <w:pStyle w:val="TextBody"/>
        <w:bidi w:val="0"/>
        <w:spacing w:lineRule="auto" w:line="288" w:before="0" w:after="180"/>
        <w:jc w:val="both"/>
        <w:rPr/>
      </w:pPr>
      <w:r>
        <w:rPr>
          <w:rFonts w:ascii="Times New Roman;sans-serif" w:hAnsi="Times New Roman;sans-serif"/>
          <w:b w:val="false"/>
          <w:i/>
          <w:color w:val="000000"/>
          <w:sz w:val="20"/>
        </w:rPr>
        <w:t xml:space="preserve">Legacy segment costs of products. </w:t>
      </w:r>
      <w:r>
        <w:rPr>
          <w:rFonts w:ascii="Times New Roman;sans-serif" w:hAnsi="Times New Roman;sans-serif"/>
          <w:b w:val="false"/>
          <w:color w:val="000000"/>
          <w:sz w:val="20"/>
        </w:rPr>
        <w:t>Costs of products as a percentage of net product sales decreased from 47.3% for the nine months ended October 1, 2022 to 46.0% for the nine months ended September 30, 2023.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pStyle w:val="TextBody"/>
        <w:bidi w:val="0"/>
        <w:spacing w:lineRule="auto" w:line="268" w:before="0" w:after="180"/>
        <w:jc w:val="both"/>
        <w:rPr/>
      </w:pPr>
      <w:r>
        <w:rPr>
          <w:rFonts w:ascii="Times New Roman;sans-serif" w:hAnsi="Times New Roman;sans-serif"/>
          <w:b w:val="false"/>
          <w:color w:val="000000"/>
          <w:sz w:val="20"/>
        </w:rPr>
        <w:t>Costs of services and plans as a percentage of net sales of services and plans increased from 79.4% for the nine months ended October 1, 2022 to 85.7% for the nine months ended September 30, 2023. The increase was primarily driven by growth in optometrist-related costs, lower product protection plan revenues and lower management fees from our Legacy partner</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partially offset by higher exam revenue.</w:t>
      </w:r>
    </w:p>
    <w:p>
      <w:pPr>
        <w:pStyle w:val="TextBody"/>
        <w:bidi w:val="0"/>
        <w:spacing w:lineRule="auto" w:line="288" w:before="0" w:after="180"/>
        <w:jc w:val="both"/>
        <w:rPr/>
      </w:pPr>
      <w:r>
        <w:rPr>
          <w:rFonts w:ascii="Times New Roman;sans-serif" w:hAnsi="Times New Roman;sans-serif"/>
          <w:b w:val="false"/>
          <w:i/>
          <w:color w:val="000000"/>
          <w:sz w:val="20"/>
        </w:rPr>
        <w:t xml:space="preserve">Owned &amp; Host segment costs of services and plans. </w:t>
      </w:r>
      <w:r>
        <w:rPr>
          <w:rFonts w:ascii="Times New Roman;sans-serif" w:hAnsi="Times New Roman;sans-serif"/>
          <w:b w:val="false"/>
          <w:color w:val="000000"/>
          <w:sz w:val="20"/>
        </w:rPr>
        <w:t>Costs of services and plans as a percentage of net sales of services and plans increased from 86.6% for the nine months ended October 1, 2022 to 90.5% for the nine months ended September 30, 2023. The increase was primarily driven by growth in optometrist-related costs, partially offset by higher exam revenue.</w:t>
      </w:r>
    </w:p>
    <w:p>
      <w:pPr>
        <w:pStyle w:val="TextBody"/>
        <w:bidi w:val="0"/>
        <w:spacing w:lineRule="auto" w:line="276" w:before="0" w:after="180"/>
        <w:jc w:val="both"/>
        <w:rPr/>
      </w:pPr>
      <w:r>
        <w:rPr>
          <w:rFonts w:ascii="Times New Roman;sans-serif" w:hAnsi="Times New Roman;sans-serif"/>
          <w:b w:val="false"/>
          <w:i/>
          <w:color w:val="000000"/>
          <w:sz w:val="20"/>
        </w:rPr>
        <w:t xml:space="preserve">Legacy segment costs of services and plans. </w:t>
      </w:r>
      <w:r>
        <w:rPr>
          <w:rFonts w:ascii="Times New Roman;sans-serif" w:hAnsi="Times New Roman;sans-serif"/>
          <w:b w:val="false"/>
          <w:color w:val="000000"/>
          <w:sz w:val="20"/>
        </w:rPr>
        <w:t xml:space="preserve">Costs of services and plans as a percentage of net sales of services and plans increased from 43.4% for the nine months ended October 1, 2022 to 48.5% for the nine months ended September 30, 2023. The increase was primarily driven by lower management fees from our Legacy partner.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SG&amp;A of $743.6 million for the nine months ended September 30, 2023 increased $62.2 million, or 9.1%, from the nine months ended October 1, 2022. As a percentage of net revenue, SG&amp;A increased from 44.3% for the nine months ended October 1, 2022 to 45.9% for the nine months ended September 30, 2023. The increase in SG&amp;A as a percentage of net revenue was primarily driven by higher performance-based incentive compensation of 80 basis points, higher payroll of 60 basis points, higher stock-based compensation of 20 basis points, and higher occupancy expense of 20 basis points, partially offset by advertising leverage of 30 basis points.</w:t>
      </w:r>
    </w:p>
    <w:p>
      <w:pPr>
        <w:pStyle w:val="TextBody"/>
        <w:bidi w:val="0"/>
        <w:spacing w:lineRule="auto" w:line="288" w:before="0" w:after="120"/>
        <w:jc w:val="both"/>
        <w:rPr/>
      </w:pPr>
      <w:r>
        <w:rPr>
          <w:rFonts w:ascii="Times New Roman;sans-serif" w:hAnsi="Times New Roman;sans-serif"/>
          <w:b w:val="false"/>
          <w:i/>
          <w:color w:val="000000"/>
          <w:sz w:val="20"/>
        </w:rPr>
        <w:t xml:space="preserve">Owned &amp; Host SG&amp;A. </w:t>
      </w:r>
      <w:r>
        <w:rPr>
          <w:rFonts w:ascii="Times New Roman;sans-serif" w:hAnsi="Times New Roman;sans-serif"/>
          <w:b w:val="false"/>
          <w:color w:val="000000"/>
          <w:sz w:val="20"/>
        </w:rPr>
        <w:t>SG&amp;A as a percentage of net revenue increased from 38.1% for the nine months ended October 1, 2022 to 38.3% for the nine months ended September 30, 2023, driven primarily by higher payroll and occupancy expense, partially offset by advertising leverage.</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SG&amp;A. </w:t>
      </w:r>
      <w:r>
        <w:rPr>
          <w:rFonts w:ascii="Times New Roman;sans-serif" w:hAnsi="Times New Roman;sans-serif"/>
          <w:b w:val="false"/>
          <w:color w:val="000000"/>
          <w:sz w:val="20"/>
        </w:rPr>
        <w:t xml:space="preserve">SG&amp;A as a percentage of net revenue decreased from 37.8% for the nine months ended October 1, 2022 to 37.2% for the nine months ended September 30, 2023, driven primarily by lower payroll. </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of $74.1 million for the nine months ended September 30, 2023 decreased $1.1 million, or 1.5%, from $75.2 million for the nine months ended October 1, 2022 primarily driven by a shift to cloud-based software investments that are amortized in SG&amp;A and a decrease in amortization of intangible assets as a result of impairing the Walmart contracts and relationship asset during the third quarter of 2023, partially offset by investments in remote medicine technology and new store openings. </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impairment charges of $82.1 million for the nine months ended September 30, 2023 compared to $5.2 million recorded during the nine months ended October 1, 2022. The majority of the impairment charges were recorded in connection with the termination of the Walmart partnership and included impairments at our Legacy and AC Lens operating segments. Refer to Note 2. “Termination of Walmart Partnership” for more detail. In addition, we recorded impairment charges of $2.8 million related to tangible long-lived assets and ROU assets primarily associated with our Owned &amp; Host segment for the nine months ended September 30, 2023, which are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(income), net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 was $10.4 million for the nine months ended September 30, 2023, compared to $(2.2) million for the nine months ended October 1, 2022. The change was primarily a result of lower derivative income of $13.8 million and higher Term A Loans expense of $4.7 million, partially offset by higher income on cash balances of $5.8 million.</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the nine months ended September 30, 2023 and October 1, 2022 were (13.5)% and 29.8%, respectively. The change in effective tax rates reflects our statutory federal and state rates of 25.4% and 25.5%, respectively, the disallowance of the Legacy segment goodwill impairment loss for income tax purposes and other permanent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Income, Adjusted Operating Margin, EBITDA, Adjusted EBITDA, Adjusted EBITDA Margin and Adjusted Diluted EPS.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Operating Income as net income (loss), plus interest expense (income), net and income tax provision (benefit), further adjusted to exclude stock-based compensation expense, loss on extinguishment of debt, asset impairment, litigation settlement, secondary offering expenses, management realignment expenses, long-term incentive plan expenses, amortization of acquisition intangibles, Enterprise Resource Planning (“ERP”) implementation expenses and certain other expenses. We define Adjusted Operating Margin as Adjusted Operating Income as a percentage of net revenue. We define EBITDA as net income (loss), plus interest expense (income), net, income tax provision (benefit) and depreciation and amortization. We define Adjusted EBITDA as net income (loss), plus interest expense (income), net, income tax provision (benefit) and depreciation and amortization, further adjusted to exclude stock-based compensation expense, loss on extinguishment of debt, asset impairment, litigation settlement, secondary offering expenses, management realignment expenses, long-term incentive plan expenses, ERP implementation expenses and certain other expenses. We define Adjusted EBITDA Margin as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EBITDA as a percentage of net revenue. We define Adjusted Diluted EPS as diluted earnings (loss) per share, adjusted for the per share impact of stock-based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(loss) per share, losses (gains) on change in fair value of derivatives, ERP implementation expenses, certain other expenses, and tax expense (benefit) from stock-based compensation, less the tax effect of these adjustments.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the Company Non-GAAP Measures can vary substantially in size from one period to the next, and certain types of expenses are non-recurring in nature and consequently may not have been incurred in any of the periods presented below.</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presentations of these measures have limitations as analytical tools and should not be considered in isolation, or as a substitute for analysis of our results as reported under U.S. GAAP. Some of these limitations 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they do not reflect costs or cash outlays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they do not reflect changes in, or cash requirements for, our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Adjusted EBITDA and Adjusted Operating Income do not reflect the interest expense (income), net, or the cash requirements necessary to service interest or principal payments, on our debt;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Adjusted EBITDA and Adjusted Operating Income do not reflect period to period changes in taxes, income tax provision or the cash necessary to pay income taxes;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they do not reflect the impact of earnings or charges resulting from matters we consider not to be indicative of our ongoing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EBITDA and Adjusted EBITDA do not reflect cash requirements for such replacements;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other companies in our industry may calculate these measures differently than we do, limiting their usefulness as comparative measures.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EBITDA and the Company Non-GAAP Measures should not be considered as measures of discretionary cash available to invest in business growth or to reduce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our Adjusted Operating Income, Adjusted Operating Margin, EBITDA, Adjusted EBITDA, Adjusted EBITDA Margin to net income; and Adjusted Diluted EPS to diluted EPS for the periods presented:</w:t>
      </w:r>
    </w:p>
    <w:tbl>
      <w:tblPr>
        <w:tblW w:w="10205" w:type="dxa"/>
        <w:jc w:val="left"/>
        <w:tblInd w:w="0" w:type="dxa"/>
        <w:tblLayout w:type="fixed"/>
        <w:tblCellMar>
          <w:top w:w="28" w:type="dxa"/>
          <w:left w:w="28" w:type="dxa"/>
          <w:bottom w:w="28" w:type="dxa"/>
          <w:right w:w="28" w:type="dxa"/>
        </w:tblCellMar>
      </w:tblPr>
      <w:tblGrid>
        <w:gridCol w:w="968"/>
        <w:gridCol w:w="522"/>
        <w:gridCol w:w="525"/>
        <w:gridCol w:w="213"/>
        <w:gridCol w:w="756"/>
        <w:gridCol w:w="110"/>
        <w:gridCol w:w="268"/>
        <w:gridCol w:w="268"/>
        <w:gridCol w:w="274"/>
        <w:gridCol w:w="109"/>
        <w:gridCol w:w="109"/>
        <w:gridCol w:w="109"/>
        <w:gridCol w:w="211"/>
        <w:gridCol w:w="721"/>
        <w:gridCol w:w="109"/>
        <w:gridCol w:w="214"/>
        <w:gridCol w:w="216"/>
        <w:gridCol w:w="271"/>
        <w:gridCol w:w="109"/>
        <w:gridCol w:w="109"/>
        <w:gridCol w:w="109"/>
        <w:gridCol w:w="213"/>
        <w:gridCol w:w="756"/>
        <w:gridCol w:w="110"/>
        <w:gridCol w:w="214"/>
        <w:gridCol w:w="216"/>
        <w:gridCol w:w="274"/>
        <w:gridCol w:w="109"/>
        <w:gridCol w:w="109"/>
        <w:gridCol w:w="109"/>
        <w:gridCol w:w="211"/>
        <w:gridCol w:w="721"/>
        <w:gridCol w:w="109"/>
        <w:gridCol w:w="214"/>
        <w:gridCol w:w="216"/>
        <w:gridCol w:w="324"/>
      </w:tblGrid>
      <w:tr>
        <w:trPr/>
        <w:tc>
          <w:tcPr>
            <w:tcW w:w="96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88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impairment </w:t>
            </w:r>
            <w:r>
              <w:rPr>
                <w:rFonts w:ascii="Times New Roman;sans-serif" w:hAnsi="Times New Roman;sans-serif"/>
                <w:b w:val="false"/>
                <w:color w:val="000000"/>
                <w:sz w:val="13"/>
              </w:rPr>
              <w:t>(b)</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acquisition intangibles </w:t>
            </w:r>
            <w:r>
              <w:rPr>
                <w:rFonts w:ascii="Times New Roman;sans-serif" w:hAnsi="Times New Roman;sans-serif"/>
                <w:b w:val="false"/>
                <w:color w:val="000000"/>
                <w:sz w:val="13"/>
              </w:rPr>
              <w:t>(c)</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ERP implementation expenses </w:t>
            </w:r>
            <w:r>
              <w:rPr>
                <w:rFonts w:ascii="Times New Roman;sans-serif" w:hAnsi="Times New Roman;sans-serif"/>
                <w:b w:val="false"/>
                <w:color w:val="000000"/>
                <w:sz w:val="13"/>
              </w:rPr>
              <w:t>(f)</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(g)</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Operating Income / Adjusted Operating Margin</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i/>
                <w:color w:val="000000"/>
                <w:sz w:val="16"/>
              </w:rPr>
              <w:t>Note: Percentages reflect line item as a percentage of net revenue, adjusted for rounding.</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i/>
                <w:color w:val="000000"/>
                <w:sz w:val="16"/>
              </w:rPr>
              <w:t>Some of the percentage totals in the table above do not foot due to rounding differences.</w:t>
            </w:r>
          </w:p>
        </w:tc>
      </w:tr>
    </w:tbl>
    <w:tbl>
      <w:tblPr>
        <w:tblW w:w="10205" w:type="dxa"/>
        <w:jc w:val="left"/>
        <w:tblInd w:w="0" w:type="dxa"/>
        <w:tblLayout w:type="fixed"/>
        <w:tblCellMar>
          <w:top w:w="28" w:type="dxa"/>
          <w:left w:w="28" w:type="dxa"/>
          <w:bottom w:w="28" w:type="dxa"/>
          <w:right w:w="28" w:type="dxa"/>
        </w:tblCellMar>
      </w:tblPr>
      <w:tblGrid>
        <w:gridCol w:w="888"/>
        <w:gridCol w:w="439"/>
        <w:gridCol w:w="441"/>
        <w:gridCol w:w="213"/>
        <w:gridCol w:w="752"/>
        <w:gridCol w:w="110"/>
        <w:gridCol w:w="267"/>
        <w:gridCol w:w="267"/>
        <w:gridCol w:w="273"/>
        <w:gridCol w:w="109"/>
        <w:gridCol w:w="109"/>
        <w:gridCol w:w="109"/>
        <w:gridCol w:w="211"/>
        <w:gridCol w:w="721"/>
        <w:gridCol w:w="109"/>
        <w:gridCol w:w="213"/>
        <w:gridCol w:w="215"/>
        <w:gridCol w:w="271"/>
        <w:gridCol w:w="109"/>
        <w:gridCol w:w="109"/>
        <w:gridCol w:w="109"/>
        <w:gridCol w:w="212"/>
        <w:gridCol w:w="832"/>
        <w:gridCol w:w="109"/>
        <w:gridCol w:w="213"/>
        <w:gridCol w:w="215"/>
        <w:gridCol w:w="273"/>
        <w:gridCol w:w="109"/>
        <w:gridCol w:w="109"/>
        <w:gridCol w:w="109"/>
        <w:gridCol w:w="211"/>
        <w:gridCol w:w="826"/>
        <w:gridCol w:w="109"/>
        <w:gridCol w:w="254"/>
        <w:gridCol w:w="257"/>
        <w:gridCol w:w="323"/>
      </w:tblGrid>
      <w:tr>
        <w:trPr/>
        <w:tc>
          <w:tcPr>
            <w:tcW w:w="88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8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impairment </w:t>
            </w:r>
            <w:r>
              <w:rPr>
                <w:rFonts w:ascii="Times New Roman;sans-serif" w:hAnsi="Times New Roman;sans-serif"/>
                <w:b w:val="false"/>
                <w:color w:val="000000"/>
                <w:sz w:val="13"/>
              </w:rPr>
              <w:t>(b)</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ERP implementation expenses </w:t>
            </w:r>
            <w:r>
              <w:rPr>
                <w:rFonts w:ascii="Times New Roman;sans-serif" w:hAnsi="Times New Roman;sans-serif"/>
                <w:b w:val="false"/>
                <w:color w:val="000000"/>
                <w:sz w:val="13"/>
              </w:rPr>
              <w:t>(f)</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(g)</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 Adjusted EBITDA Margin</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Note: Percentages reflect line item as a percentage of net revenue, adjusted for rounding.</w:t>
              <w:br/>
              <w:t>Some of the percentage totals in the table above do not foot due to rounding differences.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tbl>
      <w:tblPr>
        <w:tblW w:w="10205" w:type="dxa"/>
        <w:jc w:val="center"/>
        <w:tblInd w:w="0" w:type="dxa"/>
        <w:tblLayout w:type="fixed"/>
        <w:tblCellMar>
          <w:top w:w="28" w:type="dxa"/>
          <w:left w:w="28" w:type="dxa"/>
          <w:bottom w:w="28" w:type="dxa"/>
          <w:right w:w="28" w:type="dxa"/>
        </w:tblCellMar>
      </w:tblPr>
      <w:tblGrid>
        <w:gridCol w:w="1477"/>
        <w:gridCol w:w="1176"/>
        <w:gridCol w:w="1183"/>
        <w:gridCol w:w="363"/>
        <w:gridCol w:w="908"/>
        <w:gridCol w:w="189"/>
        <w:gridCol w:w="109"/>
        <w:gridCol w:w="109"/>
        <w:gridCol w:w="109"/>
        <w:gridCol w:w="307"/>
        <w:gridCol w:w="744"/>
        <w:gridCol w:w="158"/>
        <w:gridCol w:w="109"/>
        <w:gridCol w:w="109"/>
        <w:gridCol w:w="109"/>
        <w:gridCol w:w="363"/>
        <w:gridCol w:w="908"/>
        <w:gridCol w:w="189"/>
        <w:gridCol w:w="109"/>
        <w:gridCol w:w="109"/>
        <w:gridCol w:w="109"/>
        <w:gridCol w:w="302"/>
        <w:gridCol w:w="732"/>
        <w:gridCol w:w="225"/>
      </w:tblGrid>
      <w:tr>
        <w:trPr/>
        <w:tc>
          <w:tcPr>
            <w:tcW w:w="147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3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impairment</w:t>
            </w:r>
            <w:r>
              <w:rPr>
                <w:color w:val="000000"/>
              </w:rPr>
              <w:t xml:space="preserve"> </w:t>
            </w:r>
            <w:r>
              <w:rPr>
                <w:rFonts w:ascii="Times New Roman;sans-serif" w:hAnsi="Times New Roman;sans-serif"/>
                <w:b w:val="false"/>
                <w:color w:val="000000"/>
                <w:sz w:val="13"/>
              </w:rPr>
              <w:t>(b)</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acquisition intangibles </w:t>
            </w:r>
            <w:r>
              <w:rPr>
                <w:rFonts w:ascii="Times New Roman;sans-serif" w:hAnsi="Times New Roman;sans-serif"/>
                <w:b w:val="false"/>
                <w:color w:val="000000"/>
                <w:sz w:val="13"/>
              </w:rPr>
              <w:t>(c)</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of debt discount and deferred financing costs</w:t>
            </w:r>
            <w:r>
              <w:rPr>
                <w:color w:val="000000"/>
              </w:rPr>
              <w:t xml:space="preserve"> </w:t>
            </w:r>
            <w:r>
              <w:rPr>
                <w:rFonts w:ascii="Times New Roman;sans-serif" w:hAnsi="Times New Roman;sans-serif"/>
                <w:b w:val="false"/>
                <w:color w:val="000000"/>
                <w:sz w:val="13"/>
              </w:rPr>
              <w:t>(d)</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Losses (gains) on change in fair value of derivatives</w:t>
            </w:r>
            <w:r>
              <w:rPr>
                <w:color w:val="000000"/>
              </w:rPr>
              <w:t xml:space="preserve"> </w:t>
            </w:r>
            <w:r>
              <w:rPr>
                <w:rFonts w:ascii="Times New Roman;sans-serif" w:hAnsi="Times New Roman;sans-serif"/>
                <w:b w:val="false"/>
                <w:color w:val="000000"/>
                <w:sz w:val="13"/>
              </w:rPr>
              <w:t>(e)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ERP implementation expenses </w:t>
            </w:r>
            <w:r>
              <w:rPr>
                <w:rFonts w:ascii="Times New Roman;sans-serif" w:hAnsi="Times New Roman;sans-serif"/>
                <w:b w:val="false"/>
                <w:color w:val="000000"/>
                <w:sz w:val="13"/>
              </w:rPr>
              <w:t>(f)</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(j)</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expense (benefit) from stock-based compensation </w:t>
            </w:r>
            <w:r>
              <w:rPr>
                <w:rFonts w:ascii="Times New Roman;sans-serif" w:hAnsi="Times New Roman;sans-serif"/>
                <w:b w:val="false"/>
                <w:color w:val="000000"/>
                <w:sz w:val="13"/>
              </w:rPr>
              <w:t>(h)</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effect of total adjustments </w:t>
            </w:r>
            <w:r>
              <w:rPr>
                <w:rFonts w:ascii="Times New Roman;sans-serif" w:hAnsi="Times New Roman;sans-serif"/>
                <w:b w:val="false"/>
                <w:color w:val="000000"/>
                <w:sz w:val="13"/>
              </w:rPr>
              <w:t>(i)</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Diluted EPS</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diluted shares outstanding</w:t>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Note: Some of the totals in the table above do not foot due to rounding differences.</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(a)Non-cash charges related to stock-based compensation programs, which vary from period to period depending on the timing of awards and performance vesting conditions.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(b)Reflects write-off related to impairment of long-lived assets, primarily goodwill of the Legacy Segment, Walmart contracts and relationship asset, property and equipment at Walmart stores and associated with our AC Lens business, and impairment of property, equipment and lease-related assets on closed or underperforming stores.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(c)Amortization of the increase in carrying values of finite-lived intangible assets resulting from the application of purchase accounting following the acquisition of the Company by affiliates of KKR &amp; Co. Inc.</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(e)Reflects losses (gains) recognized in interest expense (income), net on change in fair value of de-designated hedges.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(f)Costs related to the Company’s ERP implementation. </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(g)Other adjustments include amounts that management believes are not representative of our operating performance (amounts in brackets represent reductions in Adjusted Operating Income, Adjusted Diluted EPS and Adjusted EBITDA), which are primarily costs related to the termination of the Walmart partnership of $2.1 million for the three and nine months ended </w:t>
      </w:r>
      <w:r>
        <w:rPr>
          <w:rFonts w:ascii="Times New Roman;sans-serif" w:hAnsi="Times New Roman;sans-serif"/>
          <w:b w:val="false"/>
          <w:color w:val="000000"/>
          <w:sz w:val="16"/>
          <w:shd w:fill="FFFFFF" w:val="clear"/>
        </w:rPr>
        <w:t>September 30, 2023</w:t>
      </w:r>
      <w:r>
        <w:rPr>
          <w:rFonts w:ascii="Times New Roman;sans-serif" w:hAnsi="Times New Roman;sans-serif"/>
          <w:b w:val="false"/>
          <w:color w:val="000000"/>
          <w:sz w:val="16"/>
        </w:rPr>
        <w:t>, excess payroll taxes on vesting of restricted stock units and exercises of stock options, executive severance and relocation and other expenses and adjustments, including losses on other investments of $0.3 million for the nine months ended October 1, 2022.</w:t>
      </w:r>
    </w:p>
    <w:p>
      <w:pPr>
        <w:pStyle w:val="TextBody"/>
        <w:bidi w:val="0"/>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(h)Tax expense (benefit) associated with accounting guidance requiring excess tax expense (benefit) related to vesting of restricted stock units and exercises of stock options to be recorded in earnings as discrete items in the reporting period in which they occur.</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(i)Represents the income tax effect of the total adjustments at our combined statutory federal and state income tax rates, </w:t>
      </w:r>
      <w:r>
        <w:rPr>
          <w:rFonts w:ascii="Times New Roman;sans-serif" w:hAnsi="Times New Roman;sans-serif"/>
          <w:b w:val="false"/>
          <w:color w:val="000000"/>
          <w:sz w:val="16"/>
          <w:shd w:fill="FFFFFF" w:val="clear"/>
        </w:rPr>
        <w:t xml:space="preserve">excluding Walmart goodwill impairment charges of </w:t>
      </w:r>
      <w:r>
        <w:rPr>
          <w:rFonts w:ascii="Times New Roman;sans-serif" w:hAnsi="Times New Roman;sans-serif"/>
          <w:b w:val="false"/>
          <w:color w:val="000000"/>
          <w:sz w:val="16"/>
        </w:rPr>
        <w:t>$60.1 million</w:t>
      </w:r>
      <w:r>
        <w:rPr>
          <w:color w:val="000000"/>
          <w:shd w:fill="FFFFFF" w:val="clear"/>
        </w:rPr>
        <w:t xml:space="preserve"> </w:t>
      </w:r>
      <w:r>
        <w:rPr>
          <w:rFonts w:ascii="Times New Roman;sans-serif" w:hAnsi="Times New Roman;sans-serif"/>
          <w:b w:val="false"/>
          <w:color w:val="000000"/>
          <w:sz w:val="16"/>
          <w:shd w:fill="FFFFFF" w:val="clear"/>
        </w:rPr>
        <w:t xml:space="preserve">for the three and nine months ended September 30, 2023. </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(j)Reflects other</w:t>
      </w:r>
      <w:r>
        <w:rPr>
          <w:color w:val="000000"/>
          <w:shd w:fill="FFFFFF" w:val="clear"/>
        </w:rPr>
        <w:t xml:space="preserve"> </w:t>
      </w:r>
      <w:r>
        <w:rPr>
          <w:rFonts w:ascii="Times New Roman;sans-serif" w:hAnsi="Times New Roman;sans-serif"/>
          <w:b w:val="false"/>
          <w:color w:val="000000"/>
          <w:sz w:val="16"/>
          <w:shd w:fill="FFFFFF" w:val="clear"/>
        </w:rPr>
        <w:t xml:space="preserve">expenses in </w:t>
      </w:r>
      <w:r>
        <w:rPr>
          <w:rFonts w:ascii="Times New Roman;sans-serif" w:hAnsi="Times New Roman;sans-serif"/>
          <w:b w:val="false"/>
          <w:color w:val="000000"/>
          <w:sz w:val="16"/>
        </w:rPr>
        <w:t>(g</w:t>
      </w:r>
      <w:r>
        <w:rPr>
          <w:rFonts w:ascii="Times New Roman;sans-serif" w:hAnsi="Times New Roman;sans-serif"/>
          <w:b w:val="false"/>
          <w:color w:val="000000"/>
          <w:sz w:val="16"/>
          <w:shd w:fill="FFFFFF" w:val="clear"/>
        </w:rPr>
        <w:t>) above, including</w:t>
      </w:r>
      <w:r>
        <w:rPr>
          <w:color w:val="000000"/>
        </w:rPr>
        <w:t xml:space="preserve"> </w:t>
      </w:r>
      <w:r>
        <w:rPr>
          <w:rFonts w:ascii="Times New Roman;sans-serif" w:hAnsi="Times New Roman;sans-serif"/>
          <w:b w:val="false"/>
          <w:color w:val="000000"/>
          <w:sz w:val="16"/>
        </w:rPr>
        <w:t>debt issuance costs of $0.2 million for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Loans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as well as modifications to our Term A Loans where possible. We recently refinanced our Term A Loans and Revolving Loans, extending their maturity to 2028. Refer to Part I. Item 1. Note 5. “Long-term Debt” for more information.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$265.8 million in cash and cash equivalents and $293.6 million of availability under our Revolving Loans, which includes $6.4 million in outstanding letters of credit.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$148.1 million of Term A Loans outstanding under our credit agreement. We were in compliance with all covenants related to our long-term debt as of September 30, 2023.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flows provided by (used for) operating activities, investing activities and financing activities for the periods indicated:</w:t>
      </w:r>
    </w:p>
    <w:tbl>
      <w:tblPr>
        <w:tblW w:w="8141" w:type="dxa"/>
        <w:jc w:val="left"/>
        <w:tblInd w:w="0" w:type="dxa"/>
        <w:tblLayout w:type="fixed"/>
        <w:tblCellMar>
          <w:top w:w="28" w:type="dxa"/>
          <w:left w:w="28" w:type="dxa"/>
          <w:bottom w:w="28" w:type="dxa"/>
          <w:right w:w="28" w:type="dxa"/>
        </w:tblCellMar>
      </w:tblPr>
      <w:tblGrid>
        <w:gridCol w:w="1679"/>
        <w:gridCol w:w="1474"/>
        <w:gridCol w:w="1482"/>
        <w:gridCol w:w="317"/>
        <w:gridCol w:w="1244"/>
        <w:gridCol w:w="164"/>
        <w:gridCol w:w="109"/>
        <w:gridCol w:w="109"/>
        <w:gridCol w:w="109"/>
        <w:gridCol w:w="257"/>
        <w:gridCol w:w="1009"/>
        <w:gridCol w:w="188"/>
      </w:tblGrid>
      <w:tr>
        <w:trPr/>
        <w:tc>
          <w:tcPr>
            <w:tcW w:w="167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for):</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121,337 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(49,354)</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increased $31.9 million from $121.3 million during the nine months ended October 1, 2022 to $153.3 million for the nine months ended September 30, 2023. Changes in net working capital and other assets and liabilities contributed $43.6 million of cash year-over-year. A lower net income of $101.3 million, partially offset by the increase in non-cash adjustments of $89.6 million compared to the nine months ended October 1, 2022, used $11.7 million net in year-over-year cash. Both the decrease in net income and increase in non-cash adjustments were primarily driven by the termination of the Walmart partnership and related impairment charges of $79.4 million.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Increases in other liabilities during the nine months ended September 30, 2023 contributed $36.8 million in year-over-year cash primarily due to increases in compensation-related accruals. Decreases in accounts receivable contributed $11.6 million in year-over-year cash primarily due to an increase in the CARES Act receivable during the nine months ended October 1, 2022 that did not recur during the nine months ended September 30, 2023, as well as a decrease in credit card receivables. These were partially offset by decreases in accounts payable that used $7.0 million in year-over-year cash, primarily as a result of timing of payments.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for Investing Activities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decreased by $3.5 million, to $82.6 million, during the nine months ended September 30, 2023 from $86.1 million during the nine months ended October 1, 2022. The year-over-year decrease was primarily due to lower remote medicine and information technology infrastructure investments, partially offset by investments in our labs and distribution center. Refer to Part I. Item 1. Note 1. “Description of Business and Basis of Presentation” for more information on other investments.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For Financing Activities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financing activities was $34.2 million during the nine months ended September 30, 2023 as compared to $84.6 million during the nine months ended October 1, 2022. The $50.5 million year-over-year decrease in cash used for financing activities was primarily due to decreased purchases of treasury stock of $56.0 million offset by payments of debt issuance costs of $2.9 million during the nine months ended September 30, 2023.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Authority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October 1, 2022, the Company repurchased 1.1 million shares of its common stock for $25.0 million, and 2.7 million shares of its common stock for $80.0 million, respectively, under the share repurchase program. As of September 30, 2023, $25.0 million remains available under the share repurchase authorization.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Pr>
          <w:t>Table</w:t>
        </w:r>
      </w:hyperlink>
      <w:hyperlink w:anchor="i64021bd0ef74469a8e1e12d99c296f00_7">
        <w:r>
          <w:rPr>
            <w:rStyle w:val="InternetLink"/>
          </w:rPr>
          <w:t xml:space="preserv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outside the ordinary course of business in our material cash requirements and commercial commitments from those reported in the 2022 Annual Report on Form 10-K. The refinancing of our Term A Loans and Revolving Loans changed the timing of the repayment of our Term A Loans from what was presented in the 2022 Annual Report on Form 10-K. Refer to Part I. Item 1. Note 5. “Long-term Debt” in this Form 10-Q for the new payment schedule.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2022 Annual Report on Form 10-K. We are not a party to any other material off-balance sheet arrangements.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2022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2022 Annual Report on Form 10-K. In connection with the termination of the Walmart MSA, the Company recorded a total of $79.4 million of long-lived assets impairment in the third quarter of fiscal 2023. Refer to Part I. Item 1. Note 2. “Termination of Walmart Partnership” for more detail.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Adoption of New Accounting Pronouncements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due to recently issued or adopted accounting standards since those disclosed in our 2022 Annual Report on Form 10-K.</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market risk exposure from changes in interest rates. When appropriate, we use derivative financial instruments to mitigate the risk from such exposure. A discussion of our accounting policies for derivative financial instruments is included in Note 4. “Fair Value Measurement” and Note 6. “Interest Rate Derivatives” to our unaudited condensed consolidated financial statements included in Part I. Item 1. of this Form 10-Q.</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$148.1 million of Term A Loans borrowings were subject to variable interest rates, with a weighted average borrowing rate of 3.6%. An increase to market rates of 1.0% as of September 30, 2023 would not result in a material increase to interest expense. Assuming a decrease to market rates of 1.0% as of September 30, 2023, the resulting increase to interest expense related to the interest rate derivative would be approximately $2 million. For more information about quantitative and qualitative disclosures about market risk, please see Item 7A. “Quantitative and Qualitative Disclosures About Market Risk” in Part II. of the 2022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(“CFO”),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September 30, 2023.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that term is defined in Rules 13a-15(f) and 15d-15(f) of the Exchange Act) that occurred during the third quarter of fiscal year 2023 that have materially affected, or are reasonably likely to materially affect, our internal control over financial reporting.</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10. “Commitments and Contingencies” in our condensed consolidated financial statements included in Part I. Item 1. of this Form 10-Q for information regarding certain legal proceedings in which we are involved, which discussion is incorporated herein by reference.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could affect the Company’s results of operations, financial condition and liquidity, see the risk factors discussed in Part I. Item 1A. “Risk Factors” in our 2022 Annual Report on Form 10-K. Except as described below, there have been no material changes to the risk factors described in our 2022 Annual Report on Form 10-K.</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termination of our partnership with Walmart, including the transition period, will have a significant impact on our business, revenues, profitability and cash flows, which impact could be material.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receipt of notice of non-renewal by Walmart on July 20, 2023, our partnership with Walmart, which includes supplying and operating Vision Centers in select Walmart stores and arranging for the provision of optometric services at certain Walmart locations in California, is ending effective February 23, 2024 unless an alternate date is agreed by the parties. Additionally, the agreements governing our provision of contact lens distribution and related services to Walmart and Sam’s Club are terminating effective June 30, 2024 unless an earlier date is agreed by the parties. The Company will also wind down its remaining AC Lens operations, including the closure of its Ohio distribution center, which largely supported the whole distribution and ecommerce contact lens services that we provided to Walmart and Sam’s Club. The termination of the Walmart partnership and the wind down of AC Lens will result in a reduction of our revenues, profitability and cash flows, and therefore, will adversely affect our business, financial condition and results of operations, which could be material. In addition, in connection with the termination of these agreements, we recorded impairment charges of $79.4 million for the three and nine months ended September 30, 2023, including $60.1 million related to goodwill, $9.1 million related to contracts and relationships, and $10.2 million related to property &amp; equipment, which adversely impacted our profitability during these periods. Additional asset impairment charges may be possible as we further evaluate the effect of the termination on our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agreements include pre-termination transition and post-termination obligations of the parties, including a solicitation period for Walmart to offer employment or similar arrangements to certain associates and optometrists from specified Vision Centers. The transition period presents numerous risks and may cause disruption to these businesses, including, without limitation, a potential reduction in sales, productivity and focus, and may make it harder to retain associates and optometrists, which in turn could adversely affect our financial condition and results of operations. The termination of the Walmart partnership could negatively impact other parts of our business, including, without limitation, impairing our ability to attract and retain management, associates and optometrists, to compete for managed vision care contracts, to obtain favorable terms from vendors and to generate cash to fund our business. While we are seeking to reduce costs and replace any lost business with new America’s Best or Eyeglass World stores and by other means, we may not be successful in our efforts. In addition, the termination of the Walmart partnership has adversely affected, and may continue to adversely affect,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 of our common stock, regardless of our actual operating performance during the transition period and thereafter.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For additional risks associated with the termination of the Walmart partnership, see the following risk factors included in our 2022 Form 10-K: “</w:t>
      </w:r>
      <w:r>
        <w:rPr>
          <w:rFonts w:ascii="Times New Roman;sans-serif" w:hAnsi="Times New Roman;sans-serif"/>
          <w:b w:val="false"/>
          <w:i/>
          <w:color w:val="000000"/>
          <w:sz w:val="20"/>
        </w:rPr>
        <w:t>If we fail to retain our existing senior management team or attract qualified new personnel, such failure could have a material adverse effect on our business, financial condition and results of operations,” “The optical retail industry is highly competitive, and if we do not compete successfully, our business may be adversely impacted,” “Failure to recruit and retain vision care professionals could adversely affect our business, financial condition and results of operations,” and “If we fail to open and operate new stores in a timely and cost-effective manner or fail to successfully enter new markets, our financial performance could be materially and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L. Reade Fahs, the Company’s Chief Executive Officer, modified a Rule 10b5-1 trading arrangement, originally adopted on June 2, 2023. The modified trading arrangement is intended to satisfy the affirmative defense of Rule 10b5-1(c) and provides for the potential sale of up to an aggregate of 260,000 shares of the Company’s common stock until the earlier of (1) May 31, 2024 and (2) the date on which all such shares have been sold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328"/>
        <w:gridCol w:w="289"/>
        <w:gridCol w:w="290"/>
        <w:gridCol w:w="109"/>
        <w:gridCol w:w="109"/>
        <w:gridCol w:w="109"/>
        <w:gridCol w:w="2731"/>
        <w:gridCol w:w="2575"/>
        <w:gridCol w:w="3665"/>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Certificate of Incorporation of National Vision Holdings, Inc. - incorporated herein by reference to Exhibit 3.1 to the Company’s Current Report on Form 8-K filed on June 10, 2021.</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Bylaws of National Vision Holdings, Inc. - incorporated herein by reference to Exhibit 3.2 to the Company’s Current Report on Form 8-K filed on June 10, 2021.</w:t>
            </w:r>
          </w:p>
        </w:tc>
      </w:tr>
      <w:tr>
        <w:trPr/>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nvhisoxcerts311xq3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Executive Officer under Section 302 of the Sarbanes-Oxley Act of 2002 (filed herewith).</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nvhisoxcerts312xq3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Financial Officer under Section 302 of the Sarbanes-Oxley Act of 2002 (filed herewith).</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nvhisoxcerts321xq3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 (furnished herewith).</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nvhisoxcerts322xq32023.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 (furnished herewith).</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Inline XBRL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of the Company’s Quarterly report on Form 10-Q for the quarter ended September 30, 2023, formatted in Inline XBRL (included within the Exhibit 101 attachments).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4021bd0ef74469a8e1e12d99c296f0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432" w:type="dxa"/>
        <w:jc w:val="left"/>
        <w:tblInd w:w="0" w:type="dxa"/>
        <w:tblLayout w:type="fixed"/>
        <w:tblCellMar>
          <w:top w:w="28" w:type="dxa"/>
          <w:left w:w="28" w:type="dxa"/>
          <w:bottom w:w="28" w:type="dxa"/>
          <w:right w:w="28" w:type="dxa"/>
        </w:tblCellMar>
      </w:tblPr>
      <w:tblGrid>
        <w:gridCol w:w="797"/>
        <w:gridCol w:w="700"/>
        <w:gridCol w:w="707"/>
        <w:gridCol w:w="408"/>
        <w:gridCol w:w="408"/>
        <w:gridCol w:w="408"/>
        <w:gridCol w:w="1165"/>
        <w:gridCol w:w="1165"/>
        <w:gridCol w:w="1674"/>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Vision Holdings, Inc.</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9, 2023</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Reade Fahs</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9, 2023</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Rasmussen</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and Accounting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OF PERIODIC REPORT UNDER SECTION 302 OF</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L. Reade Fahs,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1.I have reviewed this quarterly report on Form 10-Q for the quarterly period ended September 30, 2023 of National Vision Holdings,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 xml:space="preserve">4.The registrant’s other certifying officer and I are responsible for establishing and maintaining disclosure controls and procedures (as defined in Exchange Act Rules 13a-15(e) and 15d-15(e)) </w:t>
      </w:r>
      <w:r>
        <w:rPr>
          <w:rFonts w:ascii="Times New Roman;sans-serif" w:hAnsi="Times New Roman;sans-serif"/>
          <w:b w:val="false"/>
          <w:color w:val="000000"/>
          <w:sz w:val="20"/>
        </w:rPr>
        <w:t>and internal control over financial reporting (as defined in Exchange Act Rules 13a-15(f) and 15d-15(f))</w:t>
      </w:r>
      <w:r>
        <w:rPr>
          <w:color w:val="000000"/>
          <w:shd w:fill="FFFFFF" w:val="clear"/>
        </w:rPr>
        <w:t xml:space="preserve"> </w:t>
      </w:r>
      <w:r>
        <w:rPr>
          <w:rFonts w:ascii="Times New Roman;sans-serif" w:hAnsi="Times New Roman;sans-serif"/>
          <w:b w:val="false"/>
          <w:color w:val="000000"/>
          <w:sz w:val="20"/>
          <w:shd w:fill="FFFFFF" w:val="clear"/>
        </w:rPr>
        <w:t>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November 9, 2023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144" w:type="dxa"/>
        <w:jc w:val="center"/>
        <w:tblInd w:w="0" w:type="dxa"/>
        <w:tblLayout w:type="fixed"/>
        <w:tblCellMar>
          <w:top w:w="28" w:type="dxa"/>
          <w:left w:w="28" w:type="dxa"/>
          <w:bottom w:w="28" w:type="dxa"/>
          <w:right w:w="28" w:type="dxa"/>
        </w:tblCellMar>
      </w:tblPr>
      <w:tblGrid>
        <w:gridCol w:w="124"/>
        <w:gridCol w:w="109"/>
        <w:gridCol w:w="109"/>
        <w:gridCol w:w="809"/>
        <w:gridCol w:w="809"/>
        <w:gridCol w:w="8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Reade Fahs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Reade Fahs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 31.2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OF PERIODIC REPORT UNDER SECTION 302 OF</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Melissa Rasmussen,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1.I have reviewed this quarterly report on Form 10-Q for the quarterly period ended September 30, 2023 of National Vision Holdings,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 xml:space="preserve">4.The registrant’s other certifying officer and I are responsible for establishing and maintaining disclosure controls and procedures (as defined in Exchange Act Rules 13a-15(e) and 15d-15(e)) </w:t>
      </w:r>
      <w:r>
        <w:rPr>
          <w:rFonts w:ascii="Times New Roman;sans-serif" w:hAnsi="Times New Roman;sans-serif"/>
          <w:b w:val="false"/>
          <w:color w:val="000000"/>
          <w:sz w:val="20"/>
        </w:rPr>
        <w:t>and internal control over financial reporting (as defined in Exchange Act Rules 13a-15(f) and 15d-15(f))</w:t>
      </w:r>
      <w:r>
        <w:rPr>
          <w:color w:val="000000"/>
          <w:shd w:fill="FFFFFF" w:val="clear"/>
        </w:rPr>
        <w:t xml:space="preserve"> </w:t>
      </w:r>
      <w:r>
        <w:rPr>
          <w:rFonts w:ascii="Times New Roman;sans-serif" w:hAnsi="Times New Roman;sans-serif"/>
          <w:b w:val="false"/>
          <w:color w:val="000000"/>
          <w:sz w:val="20"/>
          <w:shd w:fill="FFFFFF" w:val="clear"/>
        </w:rPr>
        <w:t>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November 9, 2023 </w:t>
      </w:r>
    </w:p>
    <w:p>
      <w:pPr>
        <w:pStyle w:val="TextBody"/>
        <w:bidi w:val="0"/>
        <w:spacing w:before="0" w:after="0"/>
        <w:jc w:val="left"/>
        <w:rPr/>
      </w:pPr>
      <w:r>
        <w:rPr/>
      </w:r>
    </w:p>
    <w:tbl>
      <w:tblPr>
        <w:tblW w:w="4509" w:type="dxa"/>
        <w:jc w:val="center"/>
        <w:tblInd w:w="0" w:type="dxa"/>
        <w:tblLayout w:type="fixed"/>
        <w:tblCellMar>
          <w:top w:w="28" w:type="dxa"/>
          <w:left w:w="28" w:type="dxa"/>
          <w:bottom w:w="28" w:type="dxa"/>
          <w:right w:w="28" w:type="dxa"/>
        </w:tblCellMar>
      </w:tblPr>
      <w:tblGrid>
        <w:gridCol w:w="124"/>
        <w:gridCol w:w="109"/>
        <w:gridCol w:w="109"/>
        <w:gridCol w:w="1264"/>
        <w:gridCol w:w="1264"/>
        <w:gridCol w:w="12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Rasmussen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Rasmussen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 32.1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906</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National Vision Holdings, Inc. (the “Company”) on Form 10-Q for the quarterly period ended September 30, 2023 filed with the Securities and Exchange Commission on the date hereof (the “Report”), I, L. Reade Fahs, Chief Executive Officer of the Company, do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November 9, 2023 </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p>
    <w:tbl>
      <w:tblPr>
        <w:tblW w:w="3144" w:type="dxa"/>
        <w:jc w:val="center"/>
        <w:tblInd w:w="0" w:type="dxa"/>
        <w:tblLayout w:type="fixed"/>
        <w:tblCellMar>
          <w:top w:w="28" w:type="dxa"/>
          <w:left w:w="28" w:type="dxa"/>
          <w:bottom w:w="28" w:type="dxa"/>
          <w:right w:w="28" w:type="dxa"/>
        </w:tblCellMar>
      </w:tblPr>
      <w:tblGrid>
        <w:gridCol w:w="124"/>
        <w:gridCol w:w="109"/>
        <w:gridCol w:w="109"/>
        <w:gridCol w:w="809"/>
        <w:gridCol w:w="809"/>
        <w:gridCol w:w="8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Reade Fahs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Reade Fahs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 32.2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906</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National Vision Holdings, Inc. (the “Company”) on Form 10-Q for the quarterly period ended September 30, 2023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November 9, 2023 </w:t>
      </w:r>
    </w:p>
    <w:p>
      <w:pPr>
        <w:pStyle w:val="TextBody"/>
        <w:bidi w:val="0"/>
        <w:spacing w:before="0" w:after="0"/>
        <w:jc w:val="left"/>
        <w:rPr/>
      </w:pPr>
      <w:r>
        <w:rPr/>
      </w:r>
    </w:p>
    <w:tbl>
      <w:tblPr>
        <w:tblW w:w="4509" w:type="dxa"/>
        <w:jc w:val="center"/>
        <w:tblInd w:w="0" w:type="dxa"/>
        <w:tblLayout w:type="fixed"/>
        <w:tblCellMar>
          <w:top w:w="28" w:type="dxa"/>
          <w:left w:w="28" w:type="dxa"/>
          <w:bottom w:w="28" w:type="dxa"/>
          <w:right w:w="28" w:type="dxa"/>
        </w:tblCellMar>
      </w:tblPr>
      <w:tblGrid>
        <w:gridCol w:w="124"/>
        <w:gridCol w:w="109"/>
        <w:gridCol w:w="109"/>
        <w:gridCol w:w="1264"/>
        <w:gridCol w:w="1264"/>
        <w:gridCol w:w="12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Rasmussen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Rasmussen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0155/000171015521000036/nationalvision-thirdamende.htm" TargetMode="External"/><Relationship Id="rId3" Type="http://schemas.openxmlformats.org/officeDocument/2006/relationships/hyperlink" Target="https://www.sec.gov/Archives/edgar/data/0001710155/000171015521000036/nationalvisionholdingsinc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24317</Words>
  <Characters>133637</Characters>
  <CharactersWithSpaces>156386</CharactersWithSpaces>
  <Paragraphs>3060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