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5"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8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July 2, 2022</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410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113"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30"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Delaware</w:t>
            </w:r>
          </w:p>
        </w:tc>
        <w:tc>
          <w:tcPr>
            <w:tcW w:w="276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(State or other jurisdiction of</w:t>
            </w:r>
          </w:p>
        </w:tc>
        <w:tc>
          <w:tcPr>
            <w:tcW w:w="2760" w:type="dxa"/>
            <w:vAlign w:val="bottom"/>
          </w:tcPr>
          <w:p>
            <w:pPr>
              <w:jc w:val="center"/>
              <w:ind w:left="1459"/>
              <w:spacing w:after="0"/>
              <w:rPr>
                <w:sz w:val="20"/>
                <w:szCs w:val="20"/>
                <w:color w:val="auto"/>
              </w:rPr>
            </w:pPr>
            <w:r>
              <w:rPr>
                <w:rFonts w:ascii="Arial" w:cs="Arial" w:eastAsia="Arial" w:hAnsi="Arial"/>
                <w:sz w:val="16"/>
                <w:szCs w:val="16"/>
                <w:color w:val="auto"/>
                <w:w w:val="93"/>
              </w:rPr>
              <w:t>(I.R.S. Employer</w:t>
            </w:r>
          </w:p>
        </w:tc>
      </w:tr>
      <w:tr>
        <w:trPr>
          <w:trHeight w:val="20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4"/>
              </w:rPr>
              <w:t>incorporation or organization)</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6"/>
              </w:rPr>
              <w:t>Identification No.)</w:t>
            </w:r>
          </w:p>
        </w:tc>
      </w:tr>
      <w:tr>
        <w:trPr>
          <w:trHeight w:val="27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2435 Commerce Ave</w:t>
            </w:r>
          </w:p>
        </w:tc>
        <w:tc>
          <w:tcPr>
            <w:tcW w:w="2760" w:type="dxa"/>
            <w:vAlign w:val="bottom"/>
          </w:tcPr>
          <w:p>
            <w:pPr>
              <w:spacing w:after="0"/>
              <w:rPr>
                <w:sz w:val="23"/>
                <w:szCs w:val="23"/>
                <w:color w:val="auto"/>
              </w:rPr>
            </w:pP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Building 2200</w:t>
            </w:r>
          </w:p>
        </w:tc>
        <w:tc>
          <w:tcPr>
            <w:tcW w:w="27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3"/>
              </w:rPr>
              <w:t>Duluth, Georgia</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5"/>
              </w:rPr>
              <w:t>(Zip Code)</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(Address of principal executive offices)</w:t>
            </w:r>
          </w:p>
        </w:tc>
        <w:tc>
          <w:tcPr>
            <w:tcW w:w="2760" w:type="dxa"/>
            <w:vAlign w:val="bottom"/>
          </w:tcPr>
          <w:p>
            <w:pPr>
              <w:spacing w:after="0"/>
              <w:rPr>
                <w:sz w:val="18"/>
                <w:szCs w:val="18"/>
                <w:color w:val="auto"/>
              </w:rPr>
            </w:pPr>
          </w:p>
        </w:tc>
      </w:tr>
    </w:tbl>
    <w:p>
      <w:pPr>
        <w:spacing w:after="0" w:line="8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5"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920" w:type="dxa"/>
        <w:tblCellMar>
          <w:top w:w="0" w:type="dxa"/>
          <w:left w:w="0" w:type="dxa"/>
          <w:bottom w:w="0" w:type="dxa"/>
          <w:right w:w="0" w:type="dxa"/>
        </w:tblCellMar>
      </w:tblPr>
      <w:tr>
        <w:trPr>
          <w:trHeight w:val="21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20" w:type="dxa"/>
            <w:vAlign w:val="bottom"/>
          </w:tcPr>
          <w:p>
            <w:pPr>
              <w:spacing w:after="0"/>
              <w:rPr>
                <w:sz w:val="18"/>
                <w:szCs w:val="18"/>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3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par value $0.01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EYE</w:t>
            </w:r>
          </w:p>
        </w:tc>
        <w:tc>
          <w:tcPr>
            <w:tcW w:w="378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185" w:lineRule="exact"/>
        <w:rPr>
          <w:sz w:val="24"/>
          <w:szCs w:val="24"/>
          <w:color w:val="auto"/>
        </w:rPr>
      </w:pPr>
    </w:p>
    <w:p>
      <w:pPr>
        <w:ind w:right="3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ind w:right="40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1800" w:type="dxa"/>
        <w:tblCellMar>
          <w:top w:w="0" w:type="dxa"/>
          <w:left w:w="0" w:type="dxa"/>
          <w:bottom w:w="0" w:type="dxa"/>
          <w:right w:w="0" w:type="dxa"/>
        </w:tblCellMar>
      </w:tblPr>
      <w:tr>
        <w:trPr>
          <w:trHeight w:val="237"/>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2"/>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Arial" w:cs="Arial" w:eastAsia="Arial" w:hAnsi="Arial"/>
                <w:sz w:val="16"/>
                <w:szCs w:val="16"/>
                <w:color w:val="auto"/>
                <w:w w:val="94"/>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3"/>
              </w:rPr>
              <w:t>Non-accelerated filer</w:t>
            </w:r>
          </w:p>
        </w:tc>
        <w:tc>
          <w:tcPr>
            <w:tcW w:w="11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1420" w:type="dxa"/>
            <w:vAlign w:val="bottom"/>
          </w:tcPr>
          <w:p>
            <w:pPr>
              <w:spacing w:after="0"/>
              <w:rPr>
                <w:sz w:val="18"/>
                <w:szCs w:val="18"/>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at July 29, 2022</w:t>
            </w:r>
          </w:p>
        </w:tc>
      </w:tr>
      <w:tr>
        <w:trPr>
          <w:trHeight w:val="206"/>
        </w:trPr>
        <w:tc>
          <w:tcPr>
            <w:tcW w:w="6320" w:type="dxa"/>
            <w:vAlign w:val="bottom"/>
            <w:gridSpan w:val="2"/>
          </w:tcPr>
          <w:p>
            <w:pPr>
              <w:ind w:left="20"/>
              <w:spacing w:after="0"/>
              <w:rPr>
                <w:sz w:val="20"/>
                <w:szCs w:val="20"/>
                <w:color w:val="auto"/>
              </w:rPr>
            </w:pPr>
            <w:r>
              <w:rPr>
                <w:rFonts w:ascii="Arial" w:cs="Arial" w:eastAsia="Arial" w:hAnsi="Arial"/>
                <w:sz w:val="16"/>
                <w:szCs w:val="16"/>
                <w:color w:val="auto"/>
              </w:rPr>
              <w:t>Common stock, $0.01 par value</w:t>
            </w:r>
          </w:p>
        </w:tc>
        <w:tc>
          <w:tcPr>
            <w:tcW w:w="4920" w:type="dxa"/>
            <w:vAlign w:val="bottom"/>
          </w:tcPr>
          <w:p>
            <w:pPr>
              <w:ind w:left="20"/>
              <w:spacing w:after="0"/>
              <w:rPr>
                <w:sz w:val="20"/>
                <w:szCs w:val="20"/>
                <w:color w:val="auto"/>
              </w:rPr>
            </w:pPr>
            <w:r>
              <w:rPr>
                <w:rFonts w:ascii="Arial" w:cs="Arial" w:eastAsia="Arial" w:hAnsi="Arial"/>
                <w:sz w:val="16"/>
                <w:szCs w:val="16"/>
                <w:color w:val="auto"/>
              </w:rPr>
              <w:t>78,887,096</w:t>
            </w:r>
          </w:p>
        </w:tc>
      </w:tr>
      <w:tr>
        <w:trPr>
          <w:trHeight w:val="128"/>
        </w:trPr>
        <w:tc>
          <w:tcPr>
            <w:tcW w:w="4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857"/>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Page</w:t>
            </w:r>
          </w:p>
        </w:tc>
      </w:tr>
      <w:tr>
        <w:trPr>
          <w:trHeight w:val="229"/>
        </w:trPr>
        <w:tc>
          <w:tcPr>
            <w:tcW w:w="180" w:type="dxa"/>
            <w:vAlign w:val="bottom"/>
          </w:tcPr>
          <w:p>
            <w:pPr>
              <w:spacing w:after="0"/>
              <w:rPr>
                <w:sz w:val="19"/>
                <w:szCs w:val="19"/>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0000FF"/>
              </w:rPr>
              <w:t>SPECIAL NOTE REGARDING FORWARD-LOOKING STATEMENTS</w:t>
            </w:r>
          </w:p>
        </w:tc>
        <w:tc>
          <w:tcPr>
            <w:tcW w:w="180" w:type="dxa"/>
            <w:vAlign w:val="bottom"/>
            <w:gridSpan w:val="2"/>
          </w:tcPr>
          <w:p>
            <w:pPr>
              <w:spacing w:after="0"/>
              <w:rPr>
                <w:sz w:val="20"/>
                <w:szCs w:val="20"/>
                <w:color w:val="auto"/>
              </w:rPr>
            </w:pPr>
            <w:r>
              <w:rPr>
                <w:rFonts w:ascii="Arial" w:cs="Arial" w:eastAsia="Arial" w:hAnsi="Arial"/>
                <w:sz w:val="18"/>
                <w:szCs w:val="18"/>
                <w:color w:val="0000FF"/>
              </w:rPr>
              <w:t>3</w:t>
            </w:r>
          </w:p>
        </w:tc>
        <w:tc>
          <w:tcPr>
            <w:tcW w:w="560" w:type="dxa"/>
            <w:vAlign w:val="bottom"/>
          </w:tcPr>
          <w:p>
            <w:pPr>
              <w:spacing w:after="0"/>
              <w:rPr>
                <w:sz w:val="19"/>
                <w:szCs w:val="19"/>
                <w:color w:val="auto"/>
              </w:rPr>
            </w:pPr>
          </w:p>
        </w:tc>
      </w:tr>
      <w:tr>
        <w:trPr>
          <w:trHeight w:val="250"/>
        </w:trPr>
        <w:tc>
          <w:tcPr>
            <w:tcW w:w="180" w:type="dxa"/>
            <w:vAlign w:val="bottom"/>
          </w:tcPr>
          <w:p>
            <w:pPr>
              <w:spacing w:after="0"/>
              <w:rPr>
                <w:sz w:val="21"/>
                <w:szCs w:val="21"/>
                <w:color w:val="auto"/>
              </w:rPr>
            </w:pPr>
          </w:p>
        </w:tc>
        <w:tc>
          <w:tcPr>
            <w:tcW w:w="29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7"/>
              </w:rPr>
              <w:t>PART I – FINANCIAL INFORMATION</w:t>
            </w:r>
          </w:p>
        </w:tc>
        <w:tc>
          <w:tcPr>
            <w:tcW w:w="2360" w:type="dxa"/>
            <w:vAlign w:val="bottom"/>
            <w:tcBorders>
              <w:top w:val="single" w:sz="8" w:color="0000FF"/>
            </w:tcBorders>
            <w:gridSpan w:val="6"/>
          </w:tcPr>
          <w:p>
            <w:pPr>
              <w:spacing w:after="0"/>
              <w:rPr>
                <w:sz w:val="21"/>
                <w:szCs w:val="21"/>
                <w:color w:val="auto"/>
              </w:rPr>
            </w:pPr>
          </w:p>
        </w:tc>
        <w:tc>
          <w:tcPr>
            <w:tcW w:w="4980" w:type="dxa"/>
            <w:vAlign w:val="bottom"/>
            <w:gridSpan w:val="6"/>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92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180" w:type="dxa"/>
            <w:vAlign w:val="bottom"/>
            <w:gridSpan w:val="2"/>
          </w:tcPr>
          <w:p>
            <w:pPr>
              <w:spacing w:after="0"/>
              <w:rPr>
                <w:sz w:val="20"/>
                <w:szCs w:val="20"/>
                <w:color w:val="auto"/>
              </w:rPr>
            </w:pPr>
            <w:r>
              <w:rPr>
                <w:rFonts w:ascii="Arial" w:cs="Arial" w:eastAsia="Arial" w:hAnsi="Arial"/>
                <w:sz w:val="18"/>
                <w:szCs w:val="18"/>
                <w:color w:val="0000FF"/>
              </w:rPr>
              <w:t>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7"/>
              </w:rPr>
              <w:t>Condensed Consolidated Balance Sheets</w:t>
            </w:r>
          </w:p>
        </w:tc>
        <w:tc>
          <w:tcPr>
            <w:tcW w:w="5980" w:type="dxa"/>
            <w:vAlign w:val="bottom"/>
            <w:gridSpan w:val="8"/>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Statements of Operations and Comprehensive Income</w:t>
            </w:r>
          </w:p>
        </w:tc>
        <w:tc>
          <w:tcPr>
            <w:tcW w:w="3200" w:type="dxa"/>
            <w:vAlign w:val="bottom"/>
            <w:gridSpan w:val="2"/>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Condensed Consolidated Statements of Stockholders’ Equity</w:t>
            </w:r>
          </w:p>
        </w:tc>
        <w:tc>
          <w:tcPr>
            <w:tcW w:w="4520" w:type="dxa"/>
            <w:vAlign w:val="bottom"/>
            <w:gridSpan w:val="3"/>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5200" w:type="dxa"/>
            <w:vAlign w:val="bottom"/>
            <w:gridSpan w:val="7"/>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920" w:type="dxa"/>
            <w:vAlign w:val="bottom"/>
            <w:gridSpan w:val="5"/>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892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22</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892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38</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tcBorders>
              <w:left w:val="single" w:sz="8" w:color="0000FF"/>
            </w:tcBorders>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892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39</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0000FF"/>
              </w:rPr>
              <w:t>PART II – OTHER INFORMATION</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40</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92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40</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40</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40</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892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40</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892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40</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5.</w:t>
            </w:r>
          </w:p>
        </w:tc>
        <w:tc>
          <w:tcPr>
            <w:tcW w:w="892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40</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892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6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42</w:t>
            </w:r>
          </w:p>
        </w:tc>
        <w:tc>
          <w:tcPr>
            <w:tcW w:w="560" w:type="dxa"/>
            <w:vAlign w:val="bottom"/>
          </w:tcPr>
          <w:p>
            <w:pPr>
              <w:spacing w:after="0"/>
              <w:rPr>
                <w:sz w:val="21"/>
                <w:szCs w:val="21"/>
                <w:color w:val="auto"/>
              </w:rPr>
            </w:pPr>
          </w:p>
        </w:tc>
      </w:tr>
      <w:tr>
        <w:trPr>
          <w:trHeight w:val="1134"/>
        </w:trPr>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and Part I, Item 1A - “Risk Factors” in the Company’s Annual Report on Form 10-K for the year ended January 1, 2022 (the “2021 Annual Report on Form 10-K”), as filed with the Securities and Exchange Commission (the “SEC”), as such risk factors may be updated from time to time in our periodic filings with the SEC, which are accessible on the SEC’s website at www.sec.gov, and also include the following:</w:t>
      </w:r>
    </w:p>
    <w:p>
      <w:pPr>
        <w:spacing w:after="0" w:line="70" w:lineRule="exact"/>
        <w:rPr>
          <w:sz w:val="20"/>
          <w:szCs w:val="20"/>
          <w:color w:val="auto"/>
        </w:rPr>
      </w:pPr>
    </w:p>
    <w:p>
      <w:pPr>
        <w:ind w:left="340" w:hanging="170"/>
        <w:spacing w:after="0" w:line="25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resurgence and variants, and the impact of evolving federal, state, and local governmental actions in response thereto, including risks stemming from vaccination and testing programs and mandates;</w:t>
      </w:r>
    </w:p>
    <w:p>
      <w:pPr>
        <w:spacing w:after="0" w:line="1" w:lineRule="exact"/>
        <w:rPr>
          <w:rFonts w:ascii="Arial" w:cs="Arial" w:eastAsia="Arial" w:hAnsi="Arial"/>
          <w:sz w:val="18"/>
          <w:szCs w:val="18"/>
          <w:color w:val="auto"/>
        </w:rPr>
      </w:pPr>
    </w:p>
    <w:p>
      <w:pPr>
        <w:ind w:left="340" w:right="20" w:hanging="170"/>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behavior in response to the continuing pandemic and its more recent outbreaks of variants, including the impact of such behavior on in-store traffic and sales;</w:t>
      </w:r>
    </w:p>
    <w:p>
      <w:pPr>
        <w:ind w:left="340" w:hanging="170"/>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other factors impacting consumer spending, including inflation, rising interest rates and geopolitical instability;</w:t>
      </w:r>
    </w:p>
    <w:p>
      <w:pPr>
        <w:ind w:left="340" w:hanging="170"/>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open and operate new stores in a timely and cost-effective manner, or keep stores safely open in light of the continuing COVID-19 pandemic, and to successfully enter new markets;</w:t>
      </w: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 in general and in light of the pandemic;</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maintain and extend relationships with managed vision care companies, vision insurance providers and other third-party payors;</w:t>
      </w:r>
    </w:p>
    <w:p>
      <w:pPr>
        <w:spacing w:after="0" w:line="32" w:lineRule="exact"/>
        <w:rPr>
          <w:rFonts w:ascii="Arial" w:cs="Arial" w:eastAsia="Arial" w:hAnsi="Arial"/>
          <w:sz w:val="16"/>
          <w:szCs w:val="16"/>
          <w:color w:val="auto"/>
        </w:rPr>
      </w:pPr>
    </w:p>
    <w:p>
      <w:pPr>
        <w:ind w:left="320" w:hanging="150"/>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performance of our Host and Legacy brands and our current operating relationships with our Host and Legacy partners;</w:t>
      </w:r>
    </w:p>
    <w:p>
      <w:pPr>
        <w:spacing w:after="0" w:line="20" w:lineRule="exact"/>
        <w:rPr>
          <w:rFonts w:ascii="Arial" w:cs="Arial" w:eastAsia="Arial" w:hAnsi="Arial"/>
          <w:sz w:val="17"/>
          <w:szCs w:val="17"/>
          <w:color w:val="auto"/>
        </w:rPr>
      </w:pP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9" w:lineRule="exact"/>
        <w:rPr>
          <w:rFonts w:ascii="Arial" w:cs="Arial" w:eastAsia="Arial" w:hAnsi="Arial"/>
          <w:sz w:val="18"/>
          <w:szCs w:val="18"/>
          <w:color w:val="auto"/>
        </w:rPr>
      </w:pPr>
    </w:p>
    <w:p>
      <w:pPr>
        <w:ind w:left="340" w:hanging="170"/>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execute or sustain our growth strategy or obtain additional financing at satisfactory terms or at all;</w:t>
      </w:r>
    </w:p>
    <w:p>
      <w:pPr>
        <w:ind w:left="340" w:hanging="170"/>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 resulting in the inability to fulfill customer orders and deliver our products in a timely manner;</w:t>
      </w: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 including our dependence on a limited number of suppliers;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operate our information technology systems and prevent interruption or security breach;</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and efficiently implement our marketing, advertising and promotional efforts;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 including future increases in occupancy costs;</w:t>
      </w:r>
    </w:p>
    <w:p>
      <w:pPr>
        <w:spacing w:after="0" w:line="9" w:lineRule="exact"/>
        <w:rPr>
          <w:rFonts w:ascii="Arial" w:cs="Arial" w:eastAsia="Arial" w:hAnsi="Arial"/>
          <w:sz w:val="18"/>
          <w:szCs w:val="18"/>
          <w:color w:val="auto"/>
        </w:rPr>
      </w:pPr>
    </w:p>
    <w:p>
      <w:pPr>
        <w:ind w:left="340" w:right="20" w:hanging="170"/>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320" w:hanging="15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inventory;</w:t>
      </w:r>
    </w:p>
    <w:p>
      <w:pPr>
        <w:spacing w:after="0" w:line="23"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coverage and reimbursement, including government programs, for an increasing portion of our revenues;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e-commerce and omni-channel business;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losses arising from our investments in technological innovators in the optical retail industry;</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environmental, social and governance issues, including climate change;</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amount of indebtedness and our ability to generate sufficient cash flow to satisfy our debt obligations;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interest rates as well as changes in benchmark rates and uncertainty related to the foregoing;</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dilution to existing stockholders upon the conversion of our convertible notes; and</w:t>
      </w:r>
    </w:p>
    <w:p>
      <w:pPr>
        <w:spacing w:after="0" w:line="9" w:lineRule="exact"/>
        <w:rPr>
          <w:rFonts w:ascii="Arial" w:cs="Arial" w:eastAsia="Arial" w:hAnsi="Arial"/>
          <w:sz w:val="18"/>
          <w:szCs w:val="18"/>
          <w:color w:val="auto"/>
        </w:rPr>
      </w:pPr>
    </w:p>
    <w:p>
      <w:pPr>
        <w:ind w:left="340" w:hanging="170"/>
        <w:spacing w:after="0" w:line="26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owning our common stock, including our ability to comply with requirements to design and implement and maintain effective internal controls.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7"/>
                <w:szCs w:val="17"/>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37"/>
        </w:trPr>
        <w:tc>
          <w:tcPr>
            <w:tcW w:w="6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July 2, 2022</w:t>
            </w:r>
          </w:p>
        </w:tc>
        <w:tc>
          <w:tcPr>
            <w:tcW w:w="300" w:type="dxa"/>
            <w:vAlign w:val="bottom"/>
          </w:tcPr>
          <w:p>
            <w:pPr>
              <w:spacing w:after="0"/>
              <w:rPr>
                <w:sz w:val="20"/>
                <w:szCs w:val="20"/>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1, 2022</w:t>
            </w:r>
          </w:p>
        </w:tc>
      </w:tr>
      <w:tr>
        <w:trPr>
          <w:trHeight w:val="216"/>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305,800</w:t>
            </w: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63,774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55,697</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123,669</w:t>
            </w: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29,410</w:t>
            </w: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514,576</w:t>
            </w:r>
          </w:p>
        </w:tc>
      </w:tr>
      <w:tr>
        <w:trPr>
          <w:trHeight w:val="203"/>
        </w:trPr>
        <w:tc>
          <w:tcPr>
            <w:tcW w:w="6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350,840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346,436</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Trademarks and trade names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240,547</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42,020</w:t>
            </w: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Right of use assets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372,121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354,900</w:t>
            </w: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r>
      <w:tr>
        <w:trPr>
          <w:trHeight w:val="223"/>
        </w:trPr>
        <w:tc>
          <w:tcPr>
            <w:tcW w:w="68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non-current assets</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1,797,873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1,778,515</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2,293,091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64,331</w:t>
            </w: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107,578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119,323</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64,295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65,325</w:t>
            </w: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60,930</w:t>
            </w: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343,803</w:t>
            </w:r>
          </w:p>
        </w:tc>
      </w:tr>
      <w:tr>
        <w:trPr>
          <w:trHeight w:val="162"/>
        </w:trPr>
        <w:tc>
          <w:tcPr>
            <w:tcW w:w="6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w w:val="97"/>
              </w:rPr>
              <w:t>Long-term debt and finance lease obligations, less current portion and debt discount</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564,152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566,081</w:t>
            </w: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342,241</w:t>
            </w: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23,166</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1,023,308</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9)</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4"/>
              </w:rPr>
              <w:t>Common stock, $0.01 par value; 200,000 shares authorized; 84,147 and 83,840 shares</w:t>
            </w: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8"/>
        </w:trPr>
        <w:tc>
          <w:tcPr>
            <w:tcW w:w="6800" w:type="dxa"/>
            <w:vAlign w:val="bottom"/>
          </w:tcPr>
          <w:p>
            <w:pPr>
              <w:ind w:left="220"/>
              <w:spacing w:after="0" w:line="189" w:lineRule="exact"/>
              <w:rPr>
                <w:sz w:val="20"/>
                <w:szCs w:val="20"/>
                <w:color w:val="auto"/>
              </w:rPr>
            </w:pPr>
            <w:r>
              <w:rPr>
                <w:rFonts w:ascii="Arial" w:cs="Arial" w:eastAsia="Arial" w:hAnsi="Arial"/>
                <w:sz w:val="18"/>
                <w:szCs w:val="18"/>
                <w:color w:val="auto"/>
                <w:w w:val="94"/>
              </w:rPr>
              <w:t>issued as of July 2, 2022 and January 1, 2022, respectively; 78,885 and 81,405 shares</w:t>
            </w: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outstanding as of July 2, 2022 and January 1, 2022, respectively</w:t>
            </w: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3"/>
              </w:rPr>
              <w:t>Treasury stock, at cost; 5,262 and 2,435 shares as of July 2, 2022 and January 1, 2022,</w:t>
            </w: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43"/>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3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(101,791)</w:t>
            </w: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925,980</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2,278,343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r>
      <w:tr>
        <w:trPr>
          <w:trHeight w:val="21"/>
        </w:trPr>
        <w:tc>
          <w:tcPr>
            <w:tcW w:w="6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660" w:type="dxa"/>
            <w:vAlign w:val="bottom"/>
            <w:gridSpan w:val="7"/>
          </w:tcPr>
          <w:p>
            <w:pPr>
              <w:ind w:left="2860"/>
              <w:spacing w:after="0"/>
              <w:rPr>
                <w:sz w:val="20"/>
                <w:szCs w:val="20"/>
                <w:color w:val="auto"/>
              </w:rPr>
            </w:pPr>
            <w:r>
              <w:rPr>
                <w:rFonts w:ascii="Arial" w:cs="Arial" w:eastAsia="Arial" w:hAnsi="Arial"/>
                <w:sz w:val="18"/>
                <w:szCs w:val="18"/>
                <w:b w:val="1"/>
                <w:bCs w:val="1"/>
                <w:color w:val="auto"/>
                <w:w w:val="93"/>
              </w:rPr>
              <w:t>National Vision Holdings, Inc. and Subsidiaries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360" w:type="dxa"/>
            <w:vAlign w:val="bottom"/>
            <w:gridSpan w:val="10"/>
          </w:tcPr>
          <w:p>
            <w:pPr>
              <w:jc w:val="center"/>
              <w:ind w:left="23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6660" w:type="dxa"/>
            <w:vAlign w:val="bottom"/>
            <w:gridSpan w:val="7"/>
          </w:tcPr>
          <w:p>
            <w:pPr>
              <w:jc w:val="center"/>
              <w:ind w:left="195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66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3080" w:type="dxa"/>
            <w:vAlign w:val="bottom"/>
            <w:gridSpan w:val="4"/>
          </w:tcPr>
          <w:p>
            <w:pPr>
              <w:jc w:val="right"/>
              <w:ind w:right="890"/>
              <w:spacing w:after="0"/>
              <w:rPr>
                <w:sz w:val="20"/>
                <w:szCs w:val="20"/>
                <w:color w:val="auto"/>
              </w:rPr>
            </w:pPr>
            <w:r>
              <w:rPr>
                <w:rFonts w:ascii="Arial" w:cs="Arial" w:eastAsia="Arial" w:hAnsi="Arial"/>
                <w:sz w:val="18"/>
                <w:szCs w:val="18"/>
                <w:color w:val="auto"/>
              </w:rPr>
              <w:t>Six Months Ended</w:t>
            </w:r>
          </w:p>
        </w:tc>
      </w:tr>
      <w:tr>
        <w:trPr>
          <w:trHeight w:val="223"/>
        </w:trPr>
        <w:tc>
          <w:tcPr>
            <w:tcW w:w="12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July 2, 2022</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July 3, 2021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July 2, 2022</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July 3, 2021</w:t>
            </w:r>
          </w:p>
        </w:tc>
      </w:tr>
      <w:tr>
        <w:trPr>
          <w:trHeight w:val="209"/>
        </w:trPr>
        <w:tc>
          <w:tcPr>
            <w:tcW w:w="4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Net product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421,600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458,206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854,853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901,273</w:t>
            </w:r>
          </w:p>
        </w:tc>
      </w:tr>
      <w:tr>
        <w:trPr>
          <w:trHeight w:val="229"/>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182,396</w:t>
            </w: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 net revenue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509,555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549,489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1,037,266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1,083,669</w:t>
            </w:r>
          </w:p>
        </w:tc>
      </w:tr>
      <w:tr>
        <w:trPr>
          <w:trHeight w:val="175"/>
        </w:trPr>
        <w:tc>
          <w:tcPr>
            <w:tcW w:w="4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88"/>
              </w:rPr>
              <w:t>Costs applicable to revenue (exclusive of depreciation and</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163,361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167,028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327,580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326,719</w:t>
            </w:r>
          </w:p>
        </w:tc>
      </w:tr>
      <w:tr>
        <w:trPr>
          <w:trHeight w:val="229"/>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133,917</w:t>
            </w: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 costs applicable to revenue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234,567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235,946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470,604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460,636</w:t>
            </w: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227,829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456,383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457,828</w:t>
            </w:r>
          </w:p>
        </w:tc>
      </w:tr>
      <w:tr>
        <w:trPr>
          <w:trHeight w:val="229"/>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47,580</w:t>
            </w:r>
          </w:p>
        </w:tc>
      </w:tr>
      <w:tr>
        <w:trPr>
          <w:trHeight w:val="230"/>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Asset impairment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1,478</w:t>
            </w:r>
          </w:p>
        </w:tc>
      </w:tr>
      <w:tr>
        <w:trPr>
          <w:trHeight w:val="229"/>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45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506,756</w:t>
            </w: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116,277</w:t>
            </w:r>
          </w:p>
        </w:tc>
      </w:tr>
      <w:tr>
        <w:trPr>
          <w:trHeight w:val="229"/>
        </w:trPr>
        <w:tc>
          <w:tcPr>
            <w:tcW w:w="4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expense (income), net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16,518</w:t>
            </w: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99,759</w:t>
            </w:r>
          </w:p>
        </w:tc>
      </w:tr>
      <w:tr>
        <w:trPr>
          <w:trHeight w:val="230"/>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18,726</w:t>
            </w:r>
          </w:p>
        </w:tc>
      </w:tr>
      <w:tr>
        <w:trPr>
          <w:trHeight w:val="248"/>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81,033</w:t>
            </w:r>
          </w:p>
        </w:tc>
      </w:tr>
      <w:tr>
        <w:trPr>
          <w:trHeight w:val="20"/>
        </w:trPr>
        <w:tc>
          <w:tcPr>
            <w:tcW w:w="45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29"/>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81,457</w:t>
            </w:r>
          </w:p>
        </w:tc>
      </w:tr>
      <w:tr>
        <w:trPr>
          <w:trHeight w:val="230"/>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80,403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96,082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94,109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96,044</w:t>
            </w:r>
          </w:p>
        </w:tc>
      </w:tr>
      <w:tr>
        <w:trPr>
          <w:trHeight w:val="216"/>
        </w:trPr>
        <w:tc>
          <w:tcPr>
            <w:tcW w:w="45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81,033</w:t>
            </w:r>
          </w:p>
        </w:tc>
      </w:tr>
      <w:tr>
        <w:trPr>
          <w:trHeight w:val="229"/>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Unrealized gain on hedge instruments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4,609</w:t>
            </w:r>
          </w:p>
        </w:tc>
      </w:tr>
      <w:tr>
        <w:trPr>
          <w:trHeight w:val="230"/>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Tax provision of unrealized gain on hedge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82,340</w:t>
            </w: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1"/>
        </w:trPr>
        <w:tc>
          <w:tcPr>
            <w:tcW w:w="128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60" w:type="dxa"/>
            <w:vAlign w:val="bottom"/>
            <w:gridSpan w:val="9"/>
          </w:tcPr>
          <w:p>
            <w:pPr>
              <w:jc w:val="center"/>
              <w:ind w:right="310"/>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Three and Six Months Ended July 2, 2022</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center"/>
              <w:ind w:right="90"/>
              <w:spacing w:after="0" w:line="149" w:lineRule="exact"/>
              <w:rPr>
                <w:sz w:val="20"/>
                <w:szCs w:val="20"/>
                <w:color w:val="auto"/>
              </w:rPr>
            </w:pPr>
            <w:r>
              <w:rPr>
                <w:rFonts w:ascii="Arial" w:cs="Arial" w:eastAsia="Arial" w:hAnsi="Arial"/>
                <w:sz w:val="17"/>
                <w:szCs w:val="17"/>
                <w:color w:val="auto"/>
              </w:rPr>
              <w:t>Additional</w:t>
            </w:r>
          </w:p>
        </w:tc>
        <w:tc>
          <w:tcPr>
            <w:tcW w:w="180" w:type="dxa"/>
            <w:vAlign w:val="bottom"/>
          </w:tcPr>
          <w:p>
            <w:pPr>
              <w:spacing w:after="0"/>
              <w:rPr>
                <w:sz w:val="4"/>
                <w:szCs w:val="4"/>
                <w:color w:val="auto"/>
              </w:rPr>
            </w:pPr>
          </w:p>
        </w:tc>
        <w:tc>
          <w:tcPr>
            <w:tcW w:w="1440" w:type="dxa"/>
            <w:vAlign w:val="bottom"/>
            <w:vMerge w:val="restart"/>
          </w:tcPr>
          <w:p>
            <w:pPr>
              <w:jc w:val="center"/>
              <w:ind w:right="90"/>
              <w:spacing w:after="0" w:line="149" w:lineRule="exact"/>
              <w:rPr>
                <w:sz w:val="20"/>
                <w:szCs w:val="20"/>
                <w:color w:val="auto"/>
              </w:rPr>
            </w:pPr>
            <w:r>
              <w:rPr>
                <w:rFonts w:ascii="Arial" w:cs="Arial" w:eastAsia="Arial" w:hAnsi="Arial"/>
                <w:sz w:val="17"/>
                <w:szCs w:val="17"/>
                <w:color w:val="auto"/>
                <w:w w:val="98"/>
              </w:rPr>
              <w:t>Other</w:t>
            </w:r>
          </w:p>
        </w:tc>
        <w:tc>
          <w:tcPr>
            <w:tcW w:w="140" w:type="dxa"/>
            <w:vAlign w:val="bottom"/>
          </w:tcPr>
          <w:p>
            <w:pPr>
              <w:spacing w:after="0"/>
              <w:rPr>
                <w:sz w:val="4"/>
                <w:szCs w:val="4"/>
                <w:color w:val="auto"/>
              </w:rPr>
            </w:pP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color w:val="auto"/>
                <w:w w:val="91"/>
              </w:rPr>
              <w:t>Retained</w:t>
            </w:r>
          </w:p>
        </w:tc>
        <w:tc>
          <w:tcPr>
            <w:tcW w:w="160" w:type="dxa"/>
            <w:vAlign w:val="bottom"/>
          </w:tcPr>
          <w:p>
            <w:pPr>
              <w:spacing w:after="0"/>
              <w:rPr>
                <w:sz w:val="4"/>
                <w:szCs w:val="4"/>
                <w:color w:val="auto"/>
              </w:rPr>
            </w:pPr>
          </w:p>
        </w:tc>
        <w:tc>
          <w:tcPr>
            <w:tcW w:w="940" w:type="dxa"/>
            <w:vAlign w:val="bottom"/>
            <w:vMerge w:val="restart"/>
          </w:tcPr>
          <w:p>
            <w:pPr>
              <w:jc w:val="center"/>
              <w:ind w:right="70"/>
              <w:spacing w:after="0"/>
              <w:rPr>
                <w:sz w:val="20"/>
                <w:szCs w:val="20"/>
                <w:color w:val="auto"/>
              </w:rPr>
            </w:pPr>
            <w:r>
              <w:rPr>
                <w:rFonts w:ascii="Arial" w:cs="Arial" w:eastAsia="Arial" w:hAnsi="Arial"/>
                <w:sz w:val="18"/>
                <w:szCs w:val="18"/>
                <w:color w:val="auto"/>
                <w:w w:val="87"/>
              </w:rPr>
              <w:t>Treasury</w:t>
            </w:r>
          </w:p>
        </w:tc>
        <w:tc>
          <w:tcPr>
            <w:tcW w:w="160" w:type="dxa"/>
            <w:vAlign w:val="bottom"/>
          </w:tcPr>
          <w:p>
            <w:pPr>
              <w:spacing w:after="0"/>
              <w:rPr>
                <w:sz w:val="4"/>
                <w:szCs w:val="4"/>
                <w:color w:val="auto"/>
              </w:rPr>
            </w:pPr>
          </w:p>
        </w:tc>
        <w:tc>
          <w:tcPr>
            <w:tcW w:w="1320" w:type="dxa"/>
            <w:vAlign w:val="bottom"/>
            <w:vMerge w:val="restart"/>
          </w:tcPr>
          <w:p>
            <w:pPr>
              <w:jc w:val="center"/>
              <w:ind w:right="110"/>
              <w:spacing w:after="0" w:line="149" w:lineRule="exact"/>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4"/>
              </w:rPr>
              <w:t>Paid-In</w:t>
            </w:r>
          </w:p>
        </w:tc>
        <w:tc>
          <w:tcPr>
            <w:tcW w:w="18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0"/>
              </w:rPr>
              <w:t>Comprehensive</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Capital</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Earnings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Stock</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January 1,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925,980</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(10,649)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 of 2025 Notes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instruments, net of tax</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Balances at April 2, 2022</w:t>
            </w:r>
          </w:p>
        </w:tc>
        <w:tc>
          <w:tcPr>
            <w:tcW w:w="940" w:type="dxa"/>
            <w:vAlign w:val="bottom"/>
          </w:tcPr>
          <w:p>
            <w:pPr>
              <w:jc w:val="right"/>
              <w:spacing w:after="0"/>
              <w:rPr>
                <w:sz w:val="20"/>
                <w:szCs w:val="20"/>
                <w:color w:val="auto"/>
              </w:rPr>
            </w:pPr>
            <w:r>
              <w:rPr>
                <w:rFonts w:ascii="Arial" w:cs="Arial" w:eastAsia="Arial" w:hAnsi="Arial"/>
                <w:sz w:val="18"/>
                <w:szCs w:val="18"/>
                <w:color w:val="auto"/>
              </w:rPr>
              <w:t>81,422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755,535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308,542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(112,440)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950,726</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(73,008)</w:t>
            </w:r>
          </w:p>
        </w:tc>
        <w:tc>
          <w:tcPr>
            <w:tcW w:w="0" w:type="dxa"/>
            <w:vAlign w:val="bottom"/>
          </w:tcPr>
          <w:p>
            <w:pPr>
              <w:spacing w:after="0"/>
              <w:rPr>
                <w:sz w:val="1"/>
                <w:szCs w:val="1"/>
                <w:color w:val="auto"/>
              </w:rPr>
            </w:pPr>
          </w:p>
        </w:tc>
      </w:tr>
      <w:tr>
        <w:trPr>
          <w:trHeight w:val="176"/>
        </w:trPr>
        <w:tc>
          <w:tcPr>
            <w:tcW w:w="30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instruments, net of tax</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Balances at July 2, 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891,669</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Three and Six Months Ended July 3, 2021</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1000" w:type="dxa"/>
            <w:vAlign w:val="bottom"/>
            <w:vMerge w:val="restart"/>
          </w:tcPr>
          <w:p>
            <w:pPr>
              <w:jc w:val="center"/>
              <w:ind w:right="90"/>
              <w:spacing w:after="0"/>
              <w:rPr>
                <w:sz w:val="20"/>
                <w:szCs w:val="20"/>
                <w:color w:val="auto"/>
              </w:rPr>
            </w:pPr>
            <w:r>
              <w:rPr>
                <w:rFonts w:ascii="Arial" w:cs="Arial" w:eastAsia="Arial" w:hAnsi="Arial"/>
                <w:sz w:val="18"/>
                <w:szCs w:val="18"/>
                <w:color w:val="auto"/>
                <w:w w:val="98"/>
              </w:rPr>
              <w:t>Additional</w:t>
            </w:r>
          </w:p>
        </w:tc>
        <w:tc>
          <w:tcPr>
            <w:tcW w:w="18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restart"/>
          </w:tcPr>
          <w:p>
            <w:pPr>
              <w:jc w:val="center"/>
              <w:ind w:right="11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vMerge w:val="restart"/>
          </w:tcPr>
          <w:p>
            <w:pPr>
              <w:jc w:val="center"/>
              <w:ind w:right="90"/>
              <w:spacing w:after="0" w:line="162" w:lineRule="exact"/>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4"/>
                <w:szCs w:val="4"/>
                <w:color w:val="auto"/>
              </w:rPr>
            </w:pP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color w:val="auto"/>
                <w:w w:val="91"/>
              </w:rPr>
              <w:t>Retained</w:t>
            </w:r>
          </w:p>
        </w:tc>
        <w:tc>
          <w:tcPr>
            <w:tcW w:w="160" w:type="dxa"/>
            <w:vAlign w:val="bottom"/>
          </w:tcPr>
          <w:p>
            <w:pPr>
              <w:spacing w:after="0"/>
              <w:rPr>
                <w:sz w:val="4"/>
                <w:szCs w:val="4"/>
                <w:color w:val="auto"/>
              </w:rPr>
            </w:pPr>
          </w:p>
        </w:tc>
        <w:tc>
          <w:tcPr>
            <w:tcW w:w="940" w:type="dxa"/>
            <w:vAlign w:val="bottom"/>
            <w:vMerge w:val="restart"/>
          </w:tcPr>
          <w:p>
            <w:pPr>
              <w:jc w:val="center"/>
              <w:ind w:right="70"/>
              <w:spacing w:after="0"/>
              <w:rPr>
                <w:sz w:val="20"/>
                <w:szCs w:val="20"/>
                <w:color w:val="auto"/>
              </w:rPr>
            </w:pPr>
            <w:r>
              <w:rPr>
                <w:rFonts w:ascii="Arial" w:cs="Arial" w:eastAsia="Arial" w:hAnsi="Arial"/>
                <w:sz w:val="18"/>
                <w:szCs w:val="18"/>
                <w:color w:val="auto"/>
                <w:w w:val="87"/>
              </w:rPr>
              <w:t>Treasury</w:t>
            </w:r>
          </w:p>
        </w:tc>
        <w:tc>
          <w:tcPr>
            <w:tcW w:w="16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4"/>
              </w:rPr>
              <w:t>Paid-In</w:t>
            </w:r>
          </w:p>
        </w:tc>
        <w:tc>
          <w:tcPr>
            <w:tcW w:w="18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0"/>
              </w:rPr>
              <w:t>Comprehensive</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Capital</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Earnings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Stock</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January 2,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188"/>
        </w:trPr>
        <w:tc>
          <w:tcPr>
            <w:tcW w:w="300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Cumulative effect of change in</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accounting principle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(71,385)</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(64,114)</w:t>
            </w:r>
          </w:p>
        </w:tc>
        <w:tc>
          <w:tcPr>
            <w:tcW w:w="0" w:type="dxa"/>
            <w:vAlign w:val="bottom"/>
          </w:tcPr>
          <w:p>
            <w:pPr>
              <w:spacing w:after="0"/>
              <w:rPr>
                <w:sz w:val="1"/>
                <w:szCs w:val="1"/>
                <w:color w:val="auto"/>
              </w:rPr>
            </w:pPr>
          </w:p>
        </w:tc>
      </w:tr>
      <w:tr>
        <w:trPr>
          <w:trHeight w:val="168"/>
        </w:trPr>
        <w:tc>
          <w:tcPr>
            <w:tcW w:w="30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Balances at January 3, 2021 - as</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81,239</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724,312</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842,388</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188"/>
        </w:trPr>
        <w:tc>
          <w:tcPr>
            <w:tcW w:w="30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Unrealized gain (loss) on hedge</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April 3,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887,532</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3,863</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8"/>
        </w:trPr>
        <w:tc>
          <w:tcPr>
            <w:tcW w:w="30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Unrealized gain (loss) on hedge</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37,601</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July 3,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938,337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color w:val="auto"/>
              </w:rPr>
              <w:t>Six Months Ended</w:t>
            </w:r>
          </w:p>
        </w:tc>
      </w:tr>
      <w:tr>
        <w:trPr>
          <w:trHeight w:val="209"/>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6"/>
                <w:szCs w:val="16"/>
                <w:color w:val="auto"/>
              </w:rPr>
              <w:t>July 2, 2022</w:t>
            </w:r>
          </w:p>
        </w:tc>
        <w:tc>
          <w:tcPr>
            <w:tcW w:w="280" w:type="dxa"/>
            <w:vAlign w:val="bottom"/>
          </w:tcPr>
          <w:p>
            <w:pPr>
              <w:spacing w:after="0"/>
              <w:rPr>
                <w:sz w:val="18"/>
                <w:szCs w:val="18"/>
                <w:color w:val="auto"/>
              </w:rPr>
            </w:pP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July 3, 2021</w:t>
            </w:r>
          </w:p>
        </w:tc>
      </w:tr>
      <w:tr>
        <w:trPr>
          <w:trHeight w:val="19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39,881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81,033</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50,396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47,580</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14,582</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10,201</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(10,208)</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 and lease liabilities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12,816</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Deferred and unearned revenue</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18,782</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7,885</w:t>
            </w:r>
          </w:p>
        </w:tc>
      </w:tr>
      <w:tr>
        <w:trPr>
          <w:trHeight w:val="20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88,031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189,808</w:t>
            </w:r>
          </w:p>
        </w:tc>
      </w:tr>
      <w:tr>
        <w:trPr>
          <w:trHeight w:val="19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(55,714)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(38,812)</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(55,694)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(38,790)</w:t>
            </w:r>
          </w:p>
        </w:tc>
      </w:tr>
      <w:tr>
        <w:trPr>
          <w:trHeight w:val="19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Repayments on long-term debt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(117,375)</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(83,632)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(1,466)</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2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w:t>
            </w:r>
          </w:p>
        </w:tc>
      </w:tr>
      <w:tr>
        <w:trPr>
          <w:trHeight w:val="21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(83,608)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(116,529)</w:t>
            </w:r>
          </w:p>
        </w:tc>
      </w:tr>
      <w:tr>
        <w:trPr>
          <w:trHeight w:val="206"/>
        </w:trPr>
        <w:tc>
          <w:tcPr>
            <w:tcW w:w="774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(51,271)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34,489</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306,876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375,159</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255,605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409,648</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29"/>
        </w:trPr>
        <w:tc>
          <w:tcPr>
            <w:tcW w:w="7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14,640</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Cash paid for taxes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5,632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6,995</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8,827</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Notes to Condensed Consolidated Financial Statements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Page</w:t>
            </w: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0000FF"/>
                <w:w w:val="92"/>
              </w:rPr>
              <w:t>1.</w:t>
            </w:r>
          </w:p>
        </w:tc>
        <w:tc>
          <w:tcPr>
            <w:tcW w:w="3620" w:type="dxa"/>
            <w:vAlign w:val="bottom"/>
            <w:gridSpan w:val="10"/>
          </w:tcPr>
          <w:p>
            <w:pPr>
              <w:ind w:left="20"/>
              <w:spacing w:after="0"/>
              <w:rPr>
                <w:sz w:val="20"/>
                <w:szCs w:val="20"/>
                <w:color w:val="auto"/>
              </w:rPr>
            </w:pPr>
            <w:r>
              <w:rPr>
                <w:rFonts w:ascii="Arial" w:cs="Arial" w:eastAsia="Arial" w:hAnsi="Arial"/>
                <w:sz w:val="18"/>
                <w:szCs w:val="18"/>
                <w:color w:val="0000FF"/>
                <w:w w:val="89"/>
              </w:rPr>
              <w:t>Description of Business and Basis of Presentation</w:t>
            </w:r>
          </w:p>
        </w:tc>
        <w:tc>
          <w:tcPr>
            <w:tcW w:w="880" w:type="dxa"/>
            <w:vAlign w:val="bottom"/>
          </w:tcPr>
          <w:p>
            <w:pPr>
              <w:spacing w:after="0"/>
              <w:rPr>
                <w:sz w:val="24"/>
                <w:szCs w:val="24"/>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10</w:t>
            </w:r>
          </w:p>
        </w:tc>
        <w:tc>
          <w:tcPr>
            <w:tcW w:w="1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w w:val="92"/>
              </w:rPr>
              <w:t>2.</w:t>
            </w:r>
          </w:p>
        </w:tc>
        <w:tc>
          <w:tcPr>
            <w:tcW w:w="3080" w:type="dxa"/>
            <w:vAlign w:val="bottom"/>
            <w:gridSpan w:val="9"/>
          </w:tcPr>
          <w:p>
            <w:pPr>
              <w:ind w:left="20"/>
              <w:spacing w:after="0"/>
              <w:rPr>
                <w:sz w:val="20"/>
                <w:szCs w:val="20"/>
                <w:color w:val="auto"/>
              </w:rPr>
            </w:pPr>
            <w:r>
              <w:rPr>
                <w:rFonts w:ascii="Arial" w:cs="Arial" w:eastAsia="Arial" w:hAnsi="Arial"/>
                <w:sz w:val="18"/>
                <w:szCs w:val="18"/>
                <w:color w:val="0000FF"/>
                <w:w w:val="89"/>
              </w:rPr>
              <w:t>Details of Certain Balance Sheet Accounts</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12</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w w:val="92"/>
              </w:rPr>
              <w:t>3.</w:t>
            </w:r>
          </w:p>
        </w:tc>
        <w:tc>
          <w:tcPr>
            <w:tcW w:w="1800" w:type="dxa"/>
            <w:vAlign w:val="bottom"/>
            <w:gridSpan w:val="5"/>
          </w:tcPr>
          <w:p>
            <w:pPr>
              <w:ind w:left="20"/>
              <w:spacing w:after="0"/>
              <w:rPr>
                <w:sz w:val="20"/>
                <w:szCs w:val="20"/>
                <w:color w:val="auto"/>
              </w:rPr>
            </w:pPr>
            <w:r>
              <w:rPr>
                <w:rFonts w:ascii="Arial" w:cs="Arial" w:eastAsia="Arial" w:hAnsi="Arial"/>
                <w:sz w:val="18"/>
                <w:szCs w:val="18"/>
                <w:color w:val="0000FF"/>
                <w:w w:val="89"/>
              </w:rPr>
              <w:t>Fair Value Measurement</w:t>
            </w:r>
          </w:p>
        </w:tc>
        <w:tc>
          <w:tcPr>
            <w:tcW w:w="1280" w:type="dxa"/>
            <w:vAlign w:val="bottom"/>
            <w:gridSpan w:val="4"/>
          </w:tcPr>
          <w:p>
            <w:pPr>
              <w:spacing w:after="0"/>
              <w:rPr>
                <w:sz w:val="18"/>
                <w:szCs w:val="18"/>
                <w:color w:val="auto"/>
              </w:rPr>
            </w:pPr>
          </w:p>
        </w:tc>
        <w:tc>
          <w:tcPr>
            <w:tcW w:w="1420" w:type="dxa"/>
            <w:vAlign w:val="bottom"/>
            <w:gridSpan w:val="2"/>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13</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w w:val="92"/>
              </w:rPr>
              <w:t>4.</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w w:val="92"/>
              </w:rPr>
              <w:t>Long-term Debt</w:t>
            </w:r>
          </w:p>
        </w:tc>
        <w:tc>
          <w:tcPr>
            <w:tcW w:w="600" w:type="dxa"/>
            <w:vAlign w:val="bottom"/>
            <w:gridSpan w:val="3"/>
          </w:tcPr>
          <w:p>
            <w:pPr>
              <w:spacing w:after="0"/>
              <w:rPr>
                <w:sz w:val="18"/>
                <w:szCs w:val="18"/>
                <w:color w:val="auto"/>
              </w:rPr>
            </w:pPr>
          </w:p>
        </w:tc>
        <w:tc>
          <w:tcPr>
            <w:tcW w:w="2700" w:type="dxa"/>
            <w:vAlign w:val="bottom"/>
            <w:gridSpan w:val="6"/>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14</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w w:val="92"/>
              </w:rPr>
              <w:t>5.</w:t>
            </w:r>
          </w:p>
        </w:tc>
        <w:tc>
          <w:tcPr>
            <w:tcW w:w="1820" w:type="dxa"/>
            <w:vAlign w:val="bottom"/>
            <w:gridSpan w:val="6"/>
          </w:tcPr>
          <w:p>
            <w:pPr>
              <w:ind w:left="20"/>
              <w:spacing w:after="0"/>
              <w:rPr>
                <w:sz w:val="20"/>
                <w:szCs w:val="20"/>
                <w:color w:val="auto"/>
              </w:rPr>
            </w:pPr>
            <w:r>
              <w:rPr>
                <w:rFonts w:ascii="Arial" w:cs="Arial" w:eastAsia="Arial" w:hAnsi="Arial"/>
                <w:sz w:val="18"/>
                <w:szCs w:val="18"/>
                <w:color w:val="0000FF"/>
                <w:w w:val="90"/>
              </w:rPr>
              <w:t>Interest Rate Derivatives</w:t>
            </w:r>
          </w:p>
        </w:tc>
        <w:tc>
          <w:tcPr>
            <w:tcW w:w="2680" w:type="dxa"/>
            <w:vAlign w:val="bottom"/>
            <w:gridSpan w:val="5"/>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14</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w w:val="92"/>
              </w:rPr>
              <w:t>6.</w:t>
            </w:r>
          </w:p>
        </w:tc>
        <w:tc>
          <w:tcPr>
            <w:tcW w:w="1820" w:type="dxa"/>
            <w:vAlign w:val="bottom"/>
            <w:gridSpan w:val="6"/>
          </w:tcPr>
          <w:p>
            <w:pPr>
              <w:ind w:left="20"/>
              <w:spacing w:after="0"/>
              <w:rPr>
                <w:sz w:val="20"/>
                <w:szCs w:val="20"/>
                <w:color w:val="auto"/>
              </w:rPr>
            </w:pPr>
            <w:r>
              <w:rPr>
                <w:rFonts w:ascii="Arial" w:cs="Arial" w:eastAsia="Arial" w:hAnsi="Arial"/>
                <w:sz w:val="18"/>
                <w:szCs w:val="18"/>
                <w:color w:val="0000FF"/>
              </w:rPr>
              <w:t>Stock Incentive Plans</w:t>
            </w:r>
          </w:p>
        </w:tc>
        <w:tc>
          <w:tcPr>
            <w:tcW w:w="2680" w:type="dxa"/>
            <w:vAlign w:val="bottom"/>
            <w:gridSpan w:val="5"/>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15</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w w:val="92"/>
              </w:rPr>
              <w:t>7.</w:t>
            </w:r>
          </w:p>
        </w:tc>
        <w:tc>
          <w:tcPr>
            <w:tcW w:w="3040" w:type="dxa"/>
            <w:vAlign w:val="bottom"/>
            <w:gridSpan w:val="8"/>
          </w:tcPr>
          <w:p>
            <w:pPr>
              <w:ind w:left="20"/>
              <w:spacing w:after="0"/>
              <w:rPr>
                <w:sz w:val="20"/>
                <w:szCs w:val="20"/>
                <w:color w:val="auto"/>
              </w:rPr>
            </w:pPr>
            <w:r>
              <w:rPr>
                <w:rFonts w:ascii="Arial" w:cs="Arial" w:eastAsia="Arial" w:hAnsi="Arial"/>
                <w:sz w:val="18"/>
                <w:szCs w:val="18"/>
                <w:color w:val="0000FF"/>
                <w:w w:val="89"/>
              </w:rPr>
              <w:t>Revenue From Contracts With Customers</w:t>
            </w:r>
          </w:p>
        </w:tc>
        <w:tc>
          <w:tcPr>
            <w:tcW w:w="1460" w:type="dxa"/>
            <w:vAlign w:val="bottom"/>
            <w:gridSpan w:val="3"/>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15</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w w:val="92"/>
              </w:rPr>
              <w:t>8.</w:t>
            </w:r>
          </w:p>
        </w:tc>
        <w:tc>
          <w:tcPr>
            <w:tcW w:w="520" w:type="dxa"/>
            <w:vAlign w:val="bottom"/>
          </w:tcPr>
          <w:p>
            <w:pPr>
              <w:ind w:left="20"/>
              <w:spacing w:after="0"/>
              <w:rPr>
                <w:sz w:val="20"/>
                <w:szCs w:val="20"/>
                <w:color w:val="auto"/>
              </w:rPr>
            </w:pPr>
            <w:r>
              <w:rPr>
                <w:rFonts w:ascii="Arial" w:cs="Arial" w:eastAsia="Arial" w:hAnsi="Arial"/>
                <w:sz w:val="18"/>
                <w:szCs w:val="18"/>
                <w:color w:val="0000FF"/>
                <w:w w:val="82"/>
              </w:rPr>
              <w:t>Leases</w:t>
            </w:r>
          </w:p>
        </w:tc>
        <w:tc>
          <w:tcPr>
            <w:tcW w:w="2520" w:type="dxa"/>
            <w:vAlign w:val="bottom"/>
            <w:gridSpan w:val="7"/>
          </w:tcPr>
          <w:p>
            <w:pPr>
              <w:spacing w:after="0"/>
              <w:rPr>
                <w:sz w:val="18"/>
                <w:szCs w:val="18"/>
                <w:color w:val="auto"/>
              </w:rPr>
            </w:pPr>
          </w:p>
        </w:tc>
        <w:tc>
          <w:tcPr>
            <w:tcW w:w="1460" w:type="dxa"/>
            <w:vAlign w:val="bottom"/>
            <w:gridSpan w:val="3"/>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16</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w w:val="92"/>
              </w:rPr>
              <w:t>9.</w:t>
            </w:r>
          </w:p>
        </w:tc>
        <w:tc>
          <w:tcPr>
            <w:tcW w:w="4500" w:type="dxa"/>
            <w:vAlign w:val="bottom"/>
            <w:gridSpan w:val="11"/>
          </w:tcPr>
          <w:p>
            <w:pPr>
              <w:ind w:left="20"/>
              <w:spacing w:after="0"/>
              <w:rPr>
                <w:sz w:val="20"/>
                <w:szCs w:val="20"/>
                <w:color w:val="auto"/>
              </w:rPr>
            </w:pPr>
            <w:r>
              <w:rPr>
                <w:rFonts w:ascii="Arial" w:cs="Arial" w:eastAsia="Arial" w:hAnsi="Arial"/>
                <w:sz w:val="18"/>
                <w:szCs w:val="18"/>
                <w:color w:val="0000FF"/>
              </w:rPr>
              <w:t>Commitments and Contingencies</w:t>
            </w: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17</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0000FF"/>
                <w:w w:val="86"/>
              </w:rPr>
              <w:t>10. Segment Reporting</w:t>
            </w:r>
          </w:p>
        </w:tc>
        <w:tc>
          <w:tcPr>
            <w:tcW w:w="940" w:type="dxa"/>
            <w:vAlign w:val="bottom"/>
            <w:gridSpan w:val="4"/>
          </w:tcPr>
          <w:p>
            <w:pPr>
              <w:spacing w:after="0"/>
              <w:rPr>
                <w:sz w:val="18"/>
                <w:szCs w:val="18"/>
                <w:color w:val="auto"/>
              </w:rPr>
            </w:pPr>
          </w:p>
        </w:tc>
        <w:tc>
          <w:tcPr>
            <w:tcW w:w="2080" w:type="dxa"/>
            <w:vAlign w:val="bottom"/>
            <w:gridSpan w:val="4"/>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17</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0000FF"/>
                <w:w w:val="85"/>
              </w:rPr>
              <w:t>11. Earnings Per Share</w:t>
            </w:r>
          </w:p>
        </w:tc>
        <w:tc>
          <w:tcPr>
            <w:tcW w:w="3020" w:type="dxa"/>
            <w:vAlign w:val="bottom"/>
            <w:gridSpan w:val="8"/>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20</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8"/>
                <w:szCs w:val="18"/>
                <w:color w:val="0000FF"/>
              </w:rPr>
              <w:t>12. Accumulated Other Comprehensive Loss</w:t>
            </w: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20</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6"/>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10"/>
          </w:tcPr>
          <w:p>
            <w:pPr>
              <w:spacing w:after="0"/>
              <w:rPr>
                <w:sz w:val="20"/>
                <w:szCs w:val="20"/>
                <w:color w:val="auto"/>
              </w:rPr>
            </w:pPr>
            <w:r>
              <w:rPr>
                <w:rFonts w:ascii="Arial" w:cs="Arial" w:eastAsia="Arial" w:hAnsi="Arial"/>
                <w:sz w:val="18"/>
                <w:szCs w:val="18"/>
                <w:color w:val="0000FF"/>
              </w:rPr>
              <w:t>13. Subsequent Events</w:t>
            </w:r>
          </w:p>
        </w:tc>
        <w:tc>
          <w:tcPr>
            <w:tcW w:w="1420" w:type="dxa"/>
            <w:vAlign w:val="bottom"/>
            <w:gridSpan w:val="2"/>
          </w:tcPr>
          <w:p>
            <w:pPr>
              <w:spacing w:after="0"/>
              <w:rPr>
                <w:sz w:val="18"/>
                <w:szCs w:val="18"/>
                <w:color w:val="auto"/>
              </w:rPr>
            </w:pPr>
          </w:p>
        </w:tc>
        <w:tc>
          <w:tcPr>
            <w:tcW w:w="5140" w:type="dxa"/>
            <w:vAlign w:val="bottom"/>
            <w:gridSpan w:val="2"/>
          </w:tcPr>
          <w:p>
            <w:pPr>
              <w:ind w:left="4960"/>
              <w:spacing w:after="0"/>
              <w:rPr>
                <w:sz w:val="20"/>
                <w:szCs w:val="20"/>
                <w:color w:val="auto"/>
              </w:rPr>
            </w:pPr>
            <w:r>
              <w:rPr>
                <w:rFonts w:ascii="Arial" w:cs="Arial" w:eastAsia="Arial" w:hAnsi="Arial"/>
                <w:sz w:val="18"/>
                <w:szCs w:val="18"/>
                <w:color w:val="0000FF"/>
                <w:w w:val="79"/>
              </w:rPr>
              <w:t>21</w:t>
            </w:r>
          </w:p>
        </w:tc>
        <w:tc>
          <w:tcPr>
            <w:tcW w:w="1420" w:type="dxa"/>
            <w:vAlign w:val="bottom"/>
          </w:tcPr>
          <w:p>
            <w:pPr>
              <w:spacing w:after="0"/>
              <w:rPr>
                <w:sz w:val="18"/>
                <w:szCs w:val="18"/>
                <w:color w:val="auto"/>
              </w:rPr>
            </w:pPr>
          </w:p>
        </w:tc>
      </w:tr>
      <w:tr>
        <w:trPr>
          <w:trHeight w:val="763"/>
        </w:trPr>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tcPr>
          <w:p>
            <w:pPr>
              <w:ind w:left="90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We operated 1,314 and 1,278 retail optical locations in the United States and its territories as of July 2, 2022 and January 1, 2022,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January 1, 2022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January 1, 2022 included in the 2021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six months ended July 2, 2022.</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financial statements include our accounts and those of our wholly-owned subsidiaries. All intercompany balances and transactions have been eliminated in consolidation. Certain amounts within the Condensed Consolidated Statements of Operations and Comprehensive Income and footnotes to the condensed consolidated financial statements for fiscal year 2021 have been reclassified to conform to the fiscal year 2022 presentation.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At July 2, 2022, the variable interest entities include 31 professional corporations. The total assets of the consolidated VIEs included in the accompanying Condensed Consolidated Balance Sheets as of July 2, 2022 and January 1, 2022, were $5.7 million and $6.0 million, respectively, and the total liabilities of the consolidated VIEs were $6.2 million and $6.8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2022 contains 52 weeks and will end on December 31, 2022. All three and six month periods presented herein contain 13 and 26 weeks, respectively. All references to years and quarters relate to fiscal periods rather than calendar periods.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results of operations for the three and six months ended July 2, 2022 and July 3, 2021,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although delays in tax refund timing have occurred in 2020 and 2021, and may continue to occur in future years.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Consumer behavior driven by the COVID-19 pandemic, shifting macroeconomic trends, consumer preferences and demand have resulted in a departure from seasonal norms we have experienced in recent years. We expect COVID-19 and the current macroeconomic environment to continue to impact the seasonality we have historically experienced.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rates for the three months ended July 2, 2022 and July 3, 2021 were 32.4% and 15.8%, respectively, reflecting our statutory federal and state rate of 25.5% and effects of other permanent items. Our effective tax rates for the six months ended July 2, 2022 and July 3, 2021 were 28.6% and 18.8%, respectively, reflecting our statutory federal and state rate of 25.5% and effects of other permanent items as well as a stranded tax effect of $2.1 million associated with our matured interest rate swaps during the six months ended July 3,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July 2, 2022, the Company repurchased 2.7 million shares of its common stock for $80.0 million under the share repurchase program. After these repurchases, $50.0 million remains available under the share repurchase authorization.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Reference Rate Reform. </w:t>
      </w: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 xml:space="preserve"> Facilitation of the Effects of Reference Rate Reform on Financial Reporting </w:t>
      </w:r>
      <w:r>
        <w:rPr>
          <w:rFonts w:ascii="Arial" w:cs="Arial" w:eastAsia="Arial" w:hAnsi="Arial"/>
          <w:sz w:val="16"/>
          <w:szCs w:val="16"/>
          <w:color w:val="auto"/>
        </w:rPr>
        <w:t>(“ASU 2020-04”). This guidance provides optional expedients and exceptions for applying U.S. GAAP to contracts, hedging relationships, and other transactions that may be affected by the cessation of the London Inter-bank Offered Rate (“LIBOR.”) An entity may elect to apply the amendments for contract modifications as of any date from the beginning of an interim period that includes or is subsequent to March 12, 2020 through December 31, 2022. A portion of our debt is subject to interest payments that are indexed to LIBOR; additionally, we are party to an interest rate derivative based on LIBOR. We are currently evaluating the effect of this guidance and have not applied the provisions of this guidance during the current fiscal year.</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FASB issued other accounting guidance during the period that is not currently applicable or expected to have a material impact on the Company’s condensed consolidated financial statements, and therefore, is not described above.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1720" w:type="dxa"/>
            <w:vAlign w:val="bottom"/>
            <w:tcBorders>
              <w:bottom w:val="single" w:sz="8" w:color="auto"/>
            </w:tcBorders>
          </w:tcPr>
          <w:p>
            <w:pPr>
              <w:spacing w:after="0"/>
              <w:rPr>
                <w:sz w:val="20"/>
                <w:szCs w:val="20"/>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19"/>
                <w:szCs w:val="19"/>
                <w:color w:val="auto"/>
              </w:rPr>
            </w:pPr>
          </w:p>
        </w:tc>
        <w:tc>
          <w:tcPr>
            <w:tcW w:w="2080" w:type="dxa"/>
            <w:vAlign w:val="bottom"/>
            <w:gridSpan w:val="2"/>
          </w:tcPr>
          <w:p>
            <w:pPr>
              <w:ind w:left="320"/>
              <w:spacing w:after="0"/>
              <w:rPr>
                <w:sz w:val="20"/>
                <w:szCs w:val="20"/>
                <w:color w:val="auto"/>
              </w:rPr>
            </w:pPr>
            <w:r>
              <w:rPr>
                <w:rFonts w:ascii="Arial" w:cs="Arial" w:eastAsia="Arial" w:hAnsi="Arial"/>
                <w:sz w:val="18"/>
                <w:szCs w:val="18"/>
                <w:color w:val="auto"/>
              </w:rPr>
              <w:t>July 2, 2022</w:t>
            </w:r>
          </w:p>
        </w:tc>
        <w:tc>
          <w:tcPr>
            <w:tcW w:w="680" w:type="dxa"/>
            <w:vAlign w:val="bottom"/>
          </w:tcPr>
          <w:p>
            <w:pPr>
              <w:spacing w:after="0"/>
              <w:rPr>
                <w:sz w:val="19"/>
                <w:szCs w:val="19"/>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w w:val="96"/>
              </w:rPr>
              <w:t>July 3, 2021</w:t>
            </w: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44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2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254,382</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408,301</w:t>
            </w:r>
          </w:p>
        </w:tc>
      </w:tr>
      <w:tr>
        <w:trPr>
          <w:trHeight w:val="229"/>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23"/>
        </w:trPr>
        <w:tc>
          <w:tcPr>
            <w:tcW w:w="62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255,605</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409,648</w:t>
            </w:r>
          </w:p>
        </w:tc>
      </w:tr>
      <w:tr>
        <w:trPr>
          <w:trHeight w:val="21"/>
        </w:trPr>
        <w:tc>
          <w:tcPr>
            <w:tcW w:w="6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additional details of certain balance sheet accounts as of the dates shown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As of</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4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July 2, 2022</w:t>
            </w: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January 1, 2022</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Trade receivables</w:t>
            </w:r>
          </w:p>
        </w:tc>
        <w:tc>
          <w:tcPr>
            <w:tcW w:w="1740" w:type="dxa"/>
            <w:vAlign w:val="bottom"/>
          </w:tcPr>
          <w:p>
            <w:pPr>
              <w:jc w:val="right"/>
              <w:ind w:right="15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32,951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32,504</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card receivables</w:t>
            </w:r>
          </w:p>
        </w:tc>
        <w:tc>
          <w:tcPr>
            <w:tcW w:w="17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17,010</w:t>
            </w:r>
          </w:p>
        </w:tc>
      </w:tr>
      <w:tr>
        <w:trPr>
          <w:trHeight w:val="229"/>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23"/>
                <w:szCs w:val="23"/>
                <w:color w:val="auto"/>
                <w:vertAlign w:val="superscript"/>
              </w:rPr>
              <w:t>(1)</w:t>
            </w:r>
          </w:p>
        </w:tc>
        <w:tc>
          <w:tcPr>
            <w:tcW w:w="1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6,685</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17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4"/>
        </w:trPr>
        <w:tc>
          <w:tcPr>
            <w:tcW w:w="6320" w:type="dxa"/>
            <w:vAlign w:val="bottom"/>
          </w:tcPr>
          <w:p>
            <w:pPr>
              <w:spacing w:after="0"/>
              <w:rPr>
                <w:sz w:val="19"/>
                <w:szCs w:val="19"/>
                <w:color w:val="auto"/>
              </w:rPr>
            </w:pPr>
          </w:p>
        </w:tc>
        <w:tc>
          <w:tcPr>
            <w:tcW w:w="1740" w:type="dxa"/>
            <w:vAlign w:val="bottom"/>
          </w:tcPr>
          <w:p>
            <w:pPr>
              <w:jc w:val="right"/>
              <w:ind w:right="15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63,774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55,697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0</wp:posOffset>
            </wp:positionV>
            <wp:extent cx="3128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Includes Coronavirus Aid, Relief, and Economic Security (“CARES”) Act receivable in the amount of $6.7 million as of July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-89535</wp:posOffset>
            </wp:positionV>
            <wp:extent cx="3128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As of</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2, 2022</w:t>
            </w: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January 1, 2022</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1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1680" w:type="dxa"/>
            <w:vAlign w:val="bottom"/>
          </w:tcPr>
          <w:p>
            <w:pPr>
              <w:jc w:val="right"/>
              <w:ind w:right="14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63,062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65,262</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58,407</w:t>
            </w:r>
          </w:p>
        </w:tc>
      </w:tr>
      <w:tr>
        <w:trPr>
          <w:trHeight w:val="224"/>
        </w:trPr>
        <w:tc>
          <w:tcPr>
            <w:tcW w:w="6320" w:type="dxa"/>
            <w:vAlign w:val="bottom"/>
          </w:tcPr>
          <w:p>
            <w:pPr>
              <w:spacing w:after="0"/>
              <w:rPr>
                <w:sz w:val="19"/>
                <w:szCs w:val="19"/>
                <w:color w:val="auto"/>
              </w:rPr>
            </w:pPr>
          </w:p>
        </w:tc>
        <w:tc>
          <w:tcPr>
            <w:tcW w:w="1680" w:type="dxa"/>
            <w:vAlign w:val="bottom"/>
          </w:tcPr>
          <w:p>
            <w:pPr>
              <w:jc w:val="right"/>
              <w:ind w:right="14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129,493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123,669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0</wp:posOffset>
            </wp:positionV>
            <wp:extent cx="3128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 w:lineRule="exact"/>
        <w:rPr>
          <w:sz w:val="20"/>
          <w:szCs w:val="20"/>
          <w:color w:val="auto"/>
        </w:rPr>
      </w:pPr>
    </w:p>
    <w:p>
      <w:pPr>
        <w:ind w:left="260" w:right="20" w:hanging="234"/>
        <w:spacing w:after="0" w:line="253" w:lineRule="auto"/>
        <w:tabs>
          <w:tab w:leader="none" w:pos="252" w:val="left"/>
        </w:tabs>
        <w:numPr>
          <w:ilvl w:val="0"/>
          <w:numId w:val="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-203200</wp:posOffset>
            </wp:positionV>
            <wp:extent cx="3128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As of</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2, 2022</w:t>
            </w: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January 1, 2022</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1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Associate compensation and benefits </w:t>
            </w:r>
            <w:r>
              <w:rPr>
                <w:rFonts w:ascii="Arial" w:cs="Arial" w:eastAsia="Arial" w:hAnsi="Arial"/>
                <w:sz w:val="23"/>
                <w:szCs w:val="23"/>
                <w:color w:val="auto"/>
                <w:vertAlign w:val="superscript"/>
              </w:rPr>
              <w:t>(1)</w:t>
            </w:r>
          </w:p>
        </w:tc>
        <w:tc>
          <w:tcPr>
            <w:tcW w:w="1680" w:type="dxa"/>
            <w:vAlign w:val="bottom"/>
          </w:tcPr>
          <w:p>
            <w:pPr>
              <w:jc w:val="right"/>
              <w:ind w:right="14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47,929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55,670</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1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10,571</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1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Reserves for customer returns and remakes</w:t>
            </w:r>
          </w:p>
        </w:tc>
        <w:tc>
          <w:tcPr>
            <w:tcW w:w="1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7,556</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Legacy management &amp; services agreement</w:t>
            </w:r>
          </w:p>
        </w:tc>
        <w:tc>
          <w:tcPr>
            <w:tcW w:w="1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1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Supplies and other store support expenses</w:t>
            </w:r>
          </w:p>
        </w:tc>
        <w:tc>
          <w:tcPr>
            <w:tcW w:w="1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Litigation settlements</w:t>
            </w:r>
          </w:p>
        </w:tc>
        <w:tc>
          <w:tcPr>
            <w:tcW w:w="1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derivative liabilities</w:t>
            </w:r>
          </w:p>
        </w:tc>
        <w:tc>
          <w:tcPr>
            <w:tcW w:w="16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30"/>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13,245</w:t>
            </w:r>
          </w:p>
        </w:tc>
      </w:tr>
      <w:tr>
        <w:trPr>
          <w:trHeight w:val="230"/>
        </w:trPr>
        <w:tc>
          <w:tcPr>
            <w:tcW w:w="6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107,578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119,323</w:t>
            </w:r>
          </w:p>
        </w:tc>
      </w:tr>
    </w:tbl>
    <w:p>
      <w:pPr>
        <w:ind w:left="260"/>
        <w:spacing w:after="0"/>
        <w:rPr>
          <w:sz w:val="20"/>
          <w:szCs w:val="20"/>
          <w:color w:val="auto"/>
        </w:rPr>
      </w:pPr>
      <w:r>
        <w:rPr>
          <w:rFonts w:ascii="Arial" w:cs="Arial" w:eastAsia="Arial" w:hAnsi="Arial"/>
          <w:sz w:val="14"/>
          <w:szCs w:val="14"/>
          <w:color w:val="auto"/>
        </w:rPr>
        <w:t>(1) Includes the CARES Act deferred employer payroll taxes in the amount of $6.7 million as of July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-92710</wp:posOffset>
            </wp:positionV>
            <wp:extent cx="3128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12"/>
        </w:trPr>
        <w:tc>
          <w:tcPr>
            <w:tcW w:w="1240" w:type="dxa"/>
            <w:vAlign w:val="bottom"/>
            <w:tcBorders>
              <w:top w:val="single" w:sz="8" w:color="0000FF"/>
            </w:tcBorders>
          </w:tcPr>
          <w:p>
            <w:pPr>
              <w:spacing w:after="0"/>
              <w:rPr>
                <w:sz w:val="24"/>
                <w:szCs w:val="24"/>
                <w:color w:val="auto"/>
              </w:rPr>
            </w:pPr>
          </w:p>
        </w:tc>
        <w:tc>
          <w:tcPr>
            <w:tcW w:w="5080" w:type="dxa"/>
            <w:vAlign w:val="bottom"/>
          </w:tcPr>
          <w:p>
            <w:pPr>
              <w:spacing w:after="0"/>
              <w:rPr>
                <w:sz w:val="24"/>
                <w:szCs w:val="24"/>
                <w:color w:val="auto"/>
              </w:rPr>
            </w:pPr>
          </w:p>
        </w:tc>
        <w:tc>
          <w:tcPr>
            <w:tcW w:w="1780" w:type="dxa"/>
            <w:vAlign w:val="bottom"/>
          </w:tcPr>
          <w:p>
            <w:pPr>
              <w:jc w:val="right"/>
              <w:ind w:right="290"/>
              <w:spacing w:after="0"/>
              <w:rPr>
                <w:sz w:val="20"/>
                <w:szCs w:val="20"/>
                <w:color w:val="auto"/>
              </w:rPr>
            </w:pPr>
            <w:r>
              <w:rPr>
                <w:rFonts w:ascii="Arial" w:cs="Arial" w:eastAsia="Arial" w:hAnsi="Arial"/>
                <w:sz w:val="18"/>
                <w:szCs w:val="18"/>
                <w:color w:val="auto"/>
              </w:rPr>
              <w:t>As of</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43"/>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July 2, 2022</w:t>
            </w: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January 1, 2022</w:t>
            </w:r>
          </w:p>
        </w:tc>
      </w:tr>
      <w:tr>
        <w:trPr>
          <w:trHeight w:val="20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Fair value of derivative liabilities</w:t>
            </w:r>
          </w:p>
        </w:tc>
        <w:tc>
          <w:tcPr>
            <w:tcW w:w="1780" w:type="dxa"/>
            <w:vAlign w:val="bottom"/>
          </w:tcPr>
          <w:p>
            <w:pPr>
              <w:jc w:val="right"/>
              <w:ind w:right="15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9"/>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17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r>
      <w:tr>
        <w:trPr>
          <w:trHeight w:val="230"/>
        </w:trPr>
        <w:tc>
          <w:tcPr>
            <w:tcW w:w="63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LIBOR forward rates. See Note 5. “Interest Rate Derivatives” for further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Tangible Long-lived and Right of Use (“ROU”) Store Assets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impairments of $3.5 million and $3.9 million during the three and six months ended July 2, 2022, respectively, and $0.5 million and $1.5 million during the three and six months ended July 3, 2021, respectively, related to our long-lived tangible store assets and ROU assets. The impairments were primarily driven by lower than projected customer sales volume in certain stores. The cash flows used in estimating fair value were discounted using market rates from 7.5% to 7.8%.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six months ended July 2, 2022 and July 3, 2021 was $4.0 million and $2.9 million, respectively; the estimated remaining fair values include amounts estimated at various dates during the related fiscal years. Substantially all of the remaining fair value of the impaired store assets represents the fair value of ROU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fair value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 - 2025 Notes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$402.5 million in aggregate principal amount of 2.50% convertible senior notes due on May 15, 2025 (the “2025 Notes”) issued and outstanding as of July 2, 2022. Refer to Note 4. “Long-term Debt” for more information on the 2025 Notes. The estimated fair value of the 2025 Notes was approximately $453.5 million and $674.9 million as of July 2, 2022 and January 1, 2022,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4. “Long-term Debt” for more information on the 2025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4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ind w:left="880"/>
              <w:spacing w:after="0"/>
              <w:rPr>
                <w:sz w:val="20"/>
                <w:szCs w:val="20"/>
                <w:color w:val="auto"/>
              </w:rPr>
            </w:pPr>
            <w:r>
              <w:rPr>
                <w:rFonts w:ascii="Arial" w:cs="Arial" w:eastAsia="Arial" w:hAnsi="Arial"/>
                <w:sz w:val="18"/>
                <w:szCs w:val="18"/>
                <w:color w:val="auto"/>
              </w:rPr>
              <w:t>As of</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79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July 2, 2022</w:t>
            </w:r>
          </w:p>
        </w:tc>
        <w:tc>
          <w:tcPr>
            <w:tcW w:w="1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January 1, 2022</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402,497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29"/>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Term loan, due July 18, 2024</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150,000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due July 18, 2024</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Long-term debt before debt discount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552,497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552,500</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debt discount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544,822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543,566</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544,822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543,566</w:t>
            </w:r>
          </w:p>
        </w:tc>
        <w:tc>
          <w:tcPr>
            <w:tcW w:w="0" w:type="dxa"/>
            <w:vAlign w:val="bottom"/>
          </w:tcPr>
          <w:p>
            <w:pPr>
              <w:spacing w:after="0"/>
              <w:rPr>
                <w:sz w:val="1"/>
                <w:szCs w:val="1"/>
                <w:color w:val="auto"/>
              </w:rPr>
            </w:pPr>
          </w:p>
        </w:tc>
      </w:tr>
      <w:tr>
        <w:trPr>
          <w:trHeight w:val="229"/>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23,981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26,514</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23"/>
        </w:trPr>
        <w:tc>
          <w:tcPr>
            <w:tcW w:w="6700" w:type="dxa"/>
            <w:vAlign w:val="bottom"/>
            <w:gridSpan w:val="5"/>
          </w:tcPr>
          <w:p>
            <w:pPr>
              <w:ind w:left="20"/>
              <w:spacing w:after="0"/>
              <w:rPr>
                <w:sz w:val="20"/>
                <w:szCs w:val="20"/>
                <w:color w:val="auto"/>
              </w:rPr>
            </w:pPr>
            <w:r>
              <w:rPr>
                <w:rFonts w:ascii="Arial" w:cs="Arial" w:eastAsia="Arial" w:hAnsi="Arial"/>
                <w:sz w:val="18"/>
                <w:szCs w:val="18"/>
                <w:color w:val="auto"/>
                <w:w w:val="99"/>
              </w:rPr>
              <w:t>Long-term debt and finance lease obligations, less current portion and debt discount</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564,152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566,081</w:t>
            </w:r>
          </w:p>
        </w:tc>
        <w:tc>
          <w:tcPr>
            <w:tcW w:w="0" w:type="dxa"/>
            <w:vAlign w:val="bottom"/>
          </w:tcPr>
          <w:p>
            <w:pPr>
              <w:spacing w:after="0"/>
              <w:rPr>
                <w:sz w:val="1"/>
                <w:szCs w:val="1"/>
                <w:color w:val="auto"/>
              </w:rPr>
            </w:pPr>
          </w:p>
        </w:tc>
      </w:tr>
      <w:tr>
        <w:trPr>
          <w:trHeight w:val="21"/>
        </w:trPr>
        <w:tc>
          <w:tcPr>
            <w:tcW w:w="51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Credit Agreement</w:t>
            </w: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1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5"/>
          </w:tcPr>
          <w:p>
            <w:pPr>
              <w:spacing w:after="0"/>
              <w:rPr>
                <w:sz w:val="20"/>
                <w:szCs w:val="20"/>
                <w:color w:val="auto"/>
              </w:rPr>
            </w:pPr>
            <w:r>
              <w:rPr>
                <w:rFonts w:ascii="Arial" w:cs="Arial" w:eastAsia="Arial" w:hAnsi="Arial"/>
                <w:sz w:val="18"/>
                <w:szCs w:val="18"/>
                <w:color w:val="auto"/>
                <w:w w:val="93"/>
              </w:rPr>
              <w:t>We were in compliance with all covenants related to our long-term debt as of July 2, 2022.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2025 Notes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5"/>
          </w:tcPr>
          <w:p>
            <w:pPr>
              <w:spacing w:after="0"/>
              <w:rPr>
                <w:sz w:val="20"/>
                <w:szCs w:val="20"/>
                <w:color w:val="auto"/>
              </w:rPr>
            </w:pPr>
            <w:r>
              <w:rPr>
                <w:rFonts w:ascii="Arial" w:cs="Arial" w:eastAsia="Arial" w:hAnsi="Arial"/>
                <w:sz w:val="18"/>
                <w:szCs w:val="18"/>
                <w:color w:val="auto"/>
                <w:w w:val="94"/>
              </w:rPr>
              <w:t>We recognized the following in interest expense (income), net related to the 2025 Notes: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ind w:left="560"/>
              <w:spacing w:after="0"/>
              <w:rPr>
                <w:sz w:val="20"/>
                <w:szCs w:val="20"/>
                <w:color w:val="auto"/>
              </w:rPr>
            </w:pPr>
            <w:r>
              <w:rPr>
                <w:rFonts w:ascii="Arial" w:cs="Arial" w:eastAsia="Arial" w:hAnsi="Arial"/>
                <w:sz w:val="18"/>
                <w:szCs w:val="18"/>
                <w:color w:val="auto"/>
              </w:rPr>
              <w:t>Three Months Ended</w:t>
            </w:r>
          </w:p>
        </w:tc>
        <w:tc>
          <w:tcPr>
            <w:tcW w:w="720" w:type="dxa"/>
            <w:vAlign w:val="bottom"/>
          </w:tcPr>
          <w:p>
            <w:pPr>
              <w:spacing w:after="0"/>
              <w:rPr>
                <w:sz w:val="24"/>
                <w:szCs w:val="24"/>
                <w:color w:val="auto"/>
              </w:rPr>
            </w:pPr>
          </w:p>
        </w:tc>
        <w:tc>
          <w:tcPr>
            <w:tcW w:w="2280" w:type="dxa"/>
            <w:vAlign w:val="bottom"/>
            <w:gridSpan w:val="5"/>
          </w:tcPr>
          <w:p>
            <w:pPr>
              <w:jc w:val="right"/>
              <w:ind w:right="730"/>
              <w:spacing w:after="0"/>
              <w:rPr>
                <w:sz w:val="20"/>
                <w:szCs w:val="20"/>
                <w:color w:val="auto"/>
              </w:rPr>
            </w:pPr>
            <w:r>
              <w:rPr>
                <w:rFonts w:ascii="Arial" w:cs="Arial" w:eastAsia="Arial" w:hAnsi="Arial"/>
                <w:sz w:val="18"/>
                <w:szCs w:val="18"/>
                <w:color w:val="auto"/>
                <w:w w:val="98"/>
              </w:rPr>
              <w:t>Six Months Ended</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July 2, 2022</w:t>
            </w: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July 3, 2021</w:t>
            </w:r>
          </w:p>
        </w:tc>
        <w:tc>
          <w:tcPr>
            <w:tcW w:w="120" w:type="dxa"/>
            <w:vAlign w:val="bottom"/>
          </w:tcPr>
          <w:p>
            <w:pPr>
              <w:spacing w:after="0"/>
              <w:rPr>
                <w:sz w:val="19"/>
                <w:szCs w:val="19"/>
                <w:color w:val="auto"/>
              </w:rPr>
            </w:pPr>
          </w:p>
        </w:tc>
        <w:tc>
          <w:tcPr>
            <w:tcW w:w="1560" w:type="dxa"/>
            <w:vAlign w:val="bottom"/>
            <w:tcBorders>
              <w:top w:val="single" w:sz="8" w:color="auto"/>
            </w:tcBorders>
            <w:gridSpan w:val="4"/>
          </w:tcPr>
          <w:p>
            <w:pPr>
              <w:ind w:left="280"/>
              <w:spacing w:after="0"/>
              <w:rPr>
                <w:sz w:val="20"/>
                <w:szCs w:val="20"/>
                <w:color w:val="auto"/>
              </w:rPr>
            </w:pPr>
            <w:r>
              <w:rPr>
                <w:rFonts w:ascii="Arial" w:cs="Arial" w:eastAsia="Arial" w:hAnsi="Arial"/>
                <w:sz w:val="18"/>
                <w:szCs w:val="18"/>
                <w:color w:val="auto"/>
              </w:rPr>
              <w:t>July 2, 2022</w:t>
            </w: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July 3, 2021</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Amortization of issuance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0"/>
                <w:szCs w:val="20"/>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July 2, 2022, the remaining period for the unamortized debt issuance costs balance was approximately three years. An immaterial amount of the principal balance of the 2025 Notes was converted during the six months ended July 2,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July 2, 2022, the stock price conditions under which the 2025 Notes can be converted at the holders’ option were not met.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Rate Derivatives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an interest rate collar to offset the variability of cash flows in LIBOR-indexed debt interest payments. To manage credit risk associated with our interest rate hedging program, we select as counterparties major financial institutions with investment grade credit ratings. The aggregate notional amount of the interest rate collar, which is not designated as a cash flow hedge, was $350.0 million as of July 2, 2022. The fair value of our interest rate collar instrument was an asset of $7.9 million ($4.2 million in Prepaid expenses and other current assets and $3.7 million in Other assets) as of July 2, 2022, and a liability of $3.3 million ($2.8 million in Other payables and accrued expenses and $0.5 million in Other non-current liabilities) as of January 1, 2022. See Note 3. “Fair Value Measurement” for further details.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(gains) losses on the change in fair value of the interest rate collar of $(0.8) million and $(9.8) million during the three and six months ended July 2, 2022, respectively, and $0.5 million and $(1.5) million during the three and six months ended July 3, 2021, respectively, in interest expense (income), net. We recognized $1.5 million in interest expense (income), net during the six months ended July 3, 2021 related to our interest rate swaps that were considered to be highly effective hedges and that matured during the six months ended July 3, 2021.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flows related to derivatives qualifying as hedges are included in the same section of the Condensed Consolidated Statements of Cash Flows as the underlying assets and liabilities being hedged. Cash flows during the six months ended July 2, 2022 and July 3, 2021 related to derivatives not qualifying as hedges were included in the operating section of the Condensed Consolidated Statements of Cash Flows and were immaterial.</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July 2, 2022 we expect to reclassify approximately $0.8 million of unrealized losses on derivative instruments, net of tax, from Accumulated other comprehensive loss (“AOCL”) into earnings in the next 12 months as the derivative instruments mature. See Note 12. “Accumulated Other Comprehensive Loss” for further details.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Incentive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July 2, 2022, the Company granted 158,985 performance-based restricted stock units (“PSUs”) and 303,264 time-based restricted stock units (“RSUs”) to eligible employees under the National Vision Holdings, Inc. 2017 Omnibus Incentive Plan (the “2017 Omnibus Incentive Plan”). The PSUs granted in fiscal 2022 are settled after the end of the performance period (i.e., cliff vesting), which begins on the first day of our 2022 fiscal year and ends on the last day of our 2024 fiscal year, and are based on the Company’s achievement of certain performance targets. The RSUs granted in fiscal 2022 vest primarily in three equal installments.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(i.e. warranties), eye care club memberships and management fees earned from our Legacy partner.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5"/>
          </w:tcPr>
          <w:p>
            <w:pPr>
              <w:ind w:left="62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3080" w:type="dxa"/>
            <w:vAlign w:val="bottom"/>
            <w:gridSpan w:val="4"/>
          </w:tcPr>
          <w:p>
            <w:pPr>
              <w:jc w:val="right"/>
              <w:ind w:right="890"/>
              <w:spacing w:after="0"/>
              <w:rPr>
                <w:sz w:val="20"/>
                <w:szCs w:val="20"/>
                <w:color w:val="auto"/>
              </w:rPr>
            </w:pPr>
            <w:r>
              <w:rPr>
                <w:rFonts w:ascii="Arial" w:cs="Arial" w:eastAsia="Arial" w:hAnsi="Arial"/>
                <w:sz w:val="18"/>
                <w:szCs w:val="18"/>
                <w:color w:val="auto"/>
              </w:rPr>
              <w:t>Six Months Ended</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July 2, 2022</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8"/>
              </w:rPr>
              <w:t>July 3, 2021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July 2, 2022</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July 3, 2021</w:t>
            </w: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953,330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998,407</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85,262</w:t>
            </w: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1,037,266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1,083,669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10.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$3.0 million and $1.6 million during the three months ended July 2, 2022 and July 3, 2021, respectively, and $5.7 million and $4.4 million during the six months ended July 2, 2022 and July 3, 2021,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loss expense recognized on our receivables, which is presented in SG&amp;A expenses in the Company’s condensed consolidated statements of operations, were $0.5 million and $0.2 million for the three months ended July 2, 2022 and July 3, 2021, respectively, as compared to $0.6 million and $0.3 million for the six months ended July 2, 2022 and July 3, 2021,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July 2, 2022 and July 3, 2021, we recognized $23.9 million and $23.0 million, respectively, of deferred revenues outstanding at the beginning of each respective period. During the six months ended July 2, 2022 and July 3, 2021, we recognized $43.3 million and $37.3 million, respectively, of deferred revenues outstanding at the beginning of each respective period.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deferred revenue balance as of July 2, 2022 was $87.3 million. We expect future revenue recognition of this balance of $41.7 million, $33.0 million, $10.9 million, $1.5 million and $0.2 million in fiscal years 2022, 2023, 2024, 2025 and thereafter, respectively.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8. Leases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8140" w:type="dxa"/>
            <w:vAlign w:val="bottom"/>
            <w:gridSpan w:val="7"/>
          </w:tcPr>
          <w:p>
            <w:pPr>
              <w:spacing w:after="0"/>
              <w:rPr>
                <w:sz w:val="20"/>
                <w:szCs w:val="20"/>
                <w:color w:val="auto"/>
              </w:rPr>
            </w:pPr>
            <w:r>
              <w:rPr>
                <w:rFonts w:ascii="Arial" w:cs="Arial" w:eastAsia="Arial" w:hAnsi="Arial"/>
                <w:sz w:val="18"/>
                <w:szCs w:val="18"/>
                <w:color w:val="auto"/>
              </w:rPr>
              <w:t>Our lease costs for the three and six months ended July 2, 2022 and July 3, 2021 were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4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0" w:type="dxa"/>
            <w:vAlign w:val="bottom"/>
            <w:gridSpan w:val="5"/>
          </w:tcPr>
          <w:p>
            <w:pPr>
              <w:ind w:left="5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2"/>
                <w:szCs w:val="22"/>
                <w:color w:val="auto"/>
              </w:rPr>
            </w:pPr>
          </w:p>
        </w:tc>
        <w:tc>
          <w:tcPr>
            <w:tcW w:w="2880" w:type="dxa"/>
            <w:vAlign w:val="bottom"/>
            <w:gridSpan w:val="4"/>
          </w:tcPr>
          <w:p>
            <w:pPr>
              <w:jc w:val="right"/>
              <w:ind w:right="790"/>
              <w:spacing w:after="0"/>
              <w:rPr>
                <w:sz w:val="20"/>
                <w:szCs w:val="20"/>
                <w:color w:val="auto"/>
              </w:rPr>
            </w:pPr>
            <w:r>
              <w:rPr>
                <w:rFonts w:ascii="Arial" w:cs="Arial" w:eastAsia="Arial" w:hAnsi="Arial"/>
                <w:sz w:val="18"/>
                <w:szCs w:val="18"/>
                <w:color w:val="auto"/>
              </w:rPr>
              <w:t>Six Months Ended</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July 2, 2022</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8"/>
              </w:rPr>
              <w:t>July 3, 2021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July 2, 2022</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8"/>
              </w:rPr>
              <w:t>July 3, 2021</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4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22,488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20,903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44,437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41,554</w:t>
            </w: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14,918</w:t>
            </w:r>
          </w:p>
        </w:tc>
      </w:tr>
      <w:tr>
        <w:trPr>
          <w:trHeight w:val="229"/>
        </w:trPr>
        <w:tc>
          <w:tcPr>
            <w:tcW w:w="4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Sublease income </w:t>
            </w:r>
            <w:r>
              <w:rPr>
                <w:rFonts w:ascii="Arial" w:cs="Arial" w:eastAsia="Arial" w:hAnsi="Arial"/>
                <w:sz w:val="23"/>
                <w:szCs w:val="23"/>
                <w:color w:val="auto"/>
                <w:vertAlign w:val="superscript"/>
              </w:rPr>
              <w:t>(c)</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(1,829)</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Amortization of finance lease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2,236</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58,402</w:t>
            </w: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20" w:hanging="194"/>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41" w:lineRule="exact"/>
        <w:rPr>
          <w:rFonts w:ascii="Arial" w:cs="Arial" w:eastAsia="Arial" w:hAnsi="Arial"/>
          <w:sz w:val="14"/>
          <w:szCs w:val="14"/>
          <w:color w:val="auto"/>
        </w:rPr>
      </w:pPr>
    </w:p>
    <w:p>
      <w:pPr>
        <w:ind w:left="20" w:right="40" w:firstLine="6"/>
        <w:spacing w:after="0" w:line="251" w:lineRule="auto"/>
        <w:tabs>
          <w:tab w:leader="none" w:pos="225"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are lease costs above minimum thresholds for Fred Meyer stores and lease costs for Military stores.</w:t>
      </w:r>
    </w:p>
    <w:p>
      <w:pPr>
        <w:ind w:left="220" w:hanging="194"/>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leasing space to independent optometrists.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3640" w:type="dxa"/>
            <w:vAlign w:val="bottom"/>
            <w:gridSpan w:val="2"/>
          </w:tcPr>
          <w:p>
            <w:pPr>
              <w:jc w:val="center"/>
              <w:ind w:left="1450"/>
              <w:spacing w:after="0"/>
              <w:rPr>
                <w:sz w:val="20"/>
                <w:szCs w:val="20"/>
                <w:color w:val="auto"/>
              </w:rPr>
            </w:pPr>
            <w:r>
              <w:rPr>
                <w:rFonts w:ascii="Arial" w:cs="Arial" w:eastAsia="Arial" w:hAnsi="Arial"/>
                <w:sz w:val="18"/>
                <w:szCs w:val="18"/>
                <w:color w:val="auto"/>
                <w:w w:val="92"/>
              </w:rPr>
              <w:t>As of</w:t>
            </w:r>
          </w:p>
        </w:tc>
        <w:tc>
          <w:tcPr>
            <w:tcW w:w="1880" w:type="dxa"/>
            <w:vAlign w:val="bottom"/>
          </w:tcPr>
          <w:p>
            <w:pPr>
              <w:jc w:val="right"/>
              <w:ind w:right="650"/>
              <w:spacing w:after="0"/>
              <w:rPr>
                <w:sz w:val="20"/>
                <w:szCs w:val="20"/>
                <w:color w:val="auto"/>
              </w:rPr>
            </w:pPr>
            <w:r>
              <w:rPr>
                <w:rFonts w:ascii="Arial" w:cs="Arial" w:eastAsia="Arial" w:hAnsi="Arial"/>
                <w:sz w:val="18"/>
                <w:szCs w:val="18"/>
                <w:color w:val="auto"/>
              </w:rPr>
              <w:t>As of</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3640" w:type="dxa"/>
            <w:vAlign w:val="bottom"/>
            <w:gridSpan w:val="2"/>
          </w:tcPr>
          <w:p>
            <w:pPr>
              <w:jc w:val="center"/>
              <w:ind w:left="1450"/>
              <w:spacing w:after="0"/>
              <w:rPr>
                <w:sz w:val="20"/>
                <w:szCs w:val="20"/>
                <w:color w:val="auto"/>
              </w:rPr>
            </w:pPr>
            <w:r>
              <w:rPr>
                <w:rFonts w:ascii="Arial" w:cs="Arial" w:eastAsia="Arial" w:hAnsi="Arial"/>
                <w:sz w:val="18"/>
                <w:szCs w:val="18"/>
                <w:color w:val="auto"/>
                <w:w w:val="92"/>
              </w:rPr>
              <w:t>July 2, 2022</w:t>
            </w: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January 1, 2022</w:t>
            </w:r>
          </w:p>
        </w:tc>
      </w:tr>
      <w:tr>
        <w:trPr>
          <w:trHeight w:val="223"/>
        </w:trPr>
        <w:tc>
          <w:tcPr>
            <w:tcW w:w="5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3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5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7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304"/>
        </w:trPr>
        <w:tc>
          <w:tcPr>
            <w:tcW w:w="5720" w:type="dxa"/>
            <w:vAlign w:val="bottom"/>
          </w:tcPr>
          <w:p>
            <w:pPr>
              <w:ind w:left="2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3520" w:type="dxa"/>
            <w:vAlign w:val="bottom"/>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11.7 %</w:t>
            </w:r>
          </w:p>
        </w:tc>
      </w:tr>
    </w:tbl>
    <w:p>
      <w:pPr>
        <w:spacing w:after="0" w:line="82" w:lineRule="exact"/>
        <w:rPr>
          <w:sz w:val="20"/>
          <w:szCs w:val="20"/>
          <w:color w:val="auto"/>
        </w:rPr>
      </w:pPr>
    </w:p>
    <w:p>
      <w:pPr>
        <w:ind w:left="20" w:right="40" w:firstLine="6"/>
        <w:spacing w:after="0" w:line="231" w:lineRule="auto"/>
        <w:tabs>
          <w:tab w:leader="none" w:pos="21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term loan and revolving credit facility; (ii) fixed rates on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21" w:lineRule="exact"/>
        <w:rPr>
          <w:rFonts w:ascii="Arial" w:cs="Arial" w:eastAsia="Arial" w:hAnsi="Arial"/>
          <w:sz w:val="14"/>
          <w:szCs w:val="14"/>
          <w:color w:val="auto"/>
        </w:rPr>
      </w:pPr>
    </w:p>
    <w:p>
      <w:pPr>
        <w:ind w:left="20" w:right="140" w:firstLine="6"/>
        <w:spacing w:after="0" w:line="236"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color w:val="auto"/>
              </w:rPr>
              <w:t>Six Months Ended</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July 2, 2022</w:t>
            </w:r>
          </w:p>
        </w:tc>
        <w:tc>
          <w:tcPr>
            <w:tcW w:w="280" w:type="dxa"/>
            <w:vAlign w:val="bottom"/>
          </w:tcPr>
          <w:p>
            <w:pPr>
              <w:spacing w:after="0"/>
              <w:rPr>
                <w:sz w:val="21"/>
                <w:szCs w:val="21"/>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July 3, 2021</w:t>
            </w: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33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47,337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43,860</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Right of use assets acquired under operating leases</w:t>
            </w:r>
          </w:p>
        </w:tc>
        <w:tc>
          <w:tcPr>
            <w:tcW w:w="3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ind w:left="840"/>
              <w:spacing w:after="0"/>
              <w:rPr>
                <w:sz w:val="20"/>
                <w:szCs w:val="20"/>
                <w:color w:val="auto"/>
              </w:rPr>
            </w:pPr>
            <w:r>
              <w:rPr>
                <w:rFonts w:ascii="Arial" w:cs="Arial" w:eastAsia="Arial" w:hAnsi="Arial"/>
                <w:sz w:val="18"/>
                <w:szCs w:val="18"/>
                <w:color w:val="auto"/>
                <w:w w:val="98"/>
              </w:rPr>
              <w:t>58,180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44,544</w:t>
            </w:r>
          </w:p>
        </w:tc>
      </w:tr>
      <w:tr>
        <w:trPr>
          <w:trHeight w:val="850"/>
        </w:trPr>
        <w:tc>
          <w:tcPr>
            <w:tcW w:w="4620" w:type="dxa"/>
            <w:vAlign w:val="bottom"/>
          </w:tcPr>
          <w:p>
            <w:pPr>
              <w:spacing w:after="0"/>
              <w:rPr>
                <w:sz w:val="24"/>
                <w:szCs w:val="24"/>
                <w:color w:val="auto"/>
              </w:rPr>
            </w:pPr>
          </w:p>
        </w:tc>
        <w:tc>
          <w:tcPr>
            <w:tcW w:w="3080" w:type="dxa"/>
            <w:vAlign w:val="bottom"/>
          </w:tcPr>
          <w:p>
            <w:pPr>
              <w:jc w:val="right"/>
              <w:ind w:right="189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our lease liabilities as of July 2,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Pr>
          <w:p>
            <w:pPr>
              <w:spacing w:after="0"/>
              <w:rPr>
                <w:sz w:val="22"/>
                <w:szCs w:val="22"/>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340" w:type="dxa"/>
            <w:vAlign w:val="bottom"/>
          </w:tcPr>
          <w:p>
            <w:pPr>
              <w:spacing w:after="0"/>
              <w:rPr>
                <w:sz w:val="22"/>
                <w:szCs w:val="22"/>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color w:val="auto"/>
                <w:w w:val="98"/>
              </w:rPr>
              <w:t xml:space="preserve">Finance Leases </w:t>
            </w:r>
            <w:r>
              <w:rPr>
                <w:rFonts w:ascii="Arial" w:cs="Arial" w:eastAsia="Arial" w:hAnsi="Arial"/>
                <w:sz w:val="23"/>
                <w:szCs w:val="23"/>
                <w:color w:val="auto"/>
                <w:w w:val="98"/>
                <w:vertAlign w:val="superscript"/>
              </w:rPr>
              <w:t>(b)</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93,577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6,263</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78,136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4,888</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6,886</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30,314</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r>
      <w:tr>
        <w:trPr>
          <w:trHeight w:val="248"/>
        </w:trPr>
        <w:tc>
          <w:tcPr>
            <w:tcW w:w="63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194"/>
        <w:spacing w:after="0"/>
        <w:tabs>
          <w:tab w:leader="none" w:pos="2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Operating lease payments include $43.0 million related to options to extend lease terms that are reasonably certain of being exercised.</w:t>
      </w:r>
    </w:p>
    <w:p>
      <w:pPr>
        <w:spacing w:after="0" w:line="41" w:lineRule="exact"/>
        <w:rPr>
          <w:rFonts w:ascii="Arial" w:cs="Arial" w:eastAsia="Arial" w:hAnsi="Arial"/>
          <w:sz w:val="14"/>
          <w:szCs w:val="14"/>
          <w:color w:val="auto"/>
        </w:rPr>
      </w:pPr>
    </w:p>
    <w:p>
      <w:pPr>
        <w:ind w:left="220" w:hanging="194"/>
        <w:spacing w:after="0"/>
        <w:tabs>
          <w:tab w:leader="none" w:pos="220" w:val="left"/>
        </w:tabs>
        <w:numPr>
          <w:ilvl w:val="1"/>
          <w:numId w:val="8"/>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41" w:lineRule="exact"/>
        <w:rPr>
          <w:rFonts w:ascii="Arial" w:cs="Arial" w:eastAsia="Arial" w:hAnsi="Arial"/>
          <w:sz w:val="14"/>
          <w:szCs w:val="14"/>
          <w:color w:val="auto"/>
        </w:rPr>
      </w:pPr>
    </w:p>
    <w:p>
      <w:pPr>
        <w:ind w:left="220" w:hanging="194"/>
        <w:spacing w:after="0"/>
        <w:tabs>
          <w:tab w:leader="none" w:pos="220" w:val="left"/>
        </w:tabs>
        <w:numPr>
          <w:ilvl w:val="1"/>
          <w:numId w:val="8"/>
        </w:numPr>
        <w:rPr>
          <w:rFonts w:ascii="Arial" w:cs="Arial" w:eastAsia="Arial" w:hAnsi="Arial"/>
          <w:sz w:val="14"/>
          <w:szCs w:val="14"/>
          <w:color w:val="auto"/>
        </w:rPr>
      </w:pPr>
      <w:r>
        <w:rPr>
          <w:rFonts w:ascii="Arial" w:cs="Arial" w:eastAsia="Arial" w:hAnsi="Arial"/>
          <w:sz w:val="14"/>
          <w:szCs w:val="14"/>
          <w:color w:val="auto"/>
        </w:rPr>
        <w:t>The present value of lease liabilities excludes $19.6 million of legally binding minimum lease payments for leases signed but not yet commenced.</w:t>
      </w:r>
    </w:p>
    <w:p>
      <w:pPr>
        <w:spacing w:after="0" w:line="200" w:lineRule="exact"/>
        <w:rPr>
          <w:rFonts w:ascii="Arial" w:cs="Arial" w:eastAsia="Arial" w:hAnsi="Arial"/>
          <w:sz w:val="14"/>
          <w:szCs w:val="14"/>
          <w:color w:val="auto"/>
        </w:rPr>
      </w:pPr>
    </w:p>
    <w:p>
      <w:pPr>
        <w:spacing w:after="0" w:line="287" w:lineRule="exact"/>
        <w:rPr>
          <w:rFonts w:ascii="Arial" w:cs="Arial" w:eastAsia="Arial" w:hAnsi="Arial"/>
          <w:sz w:val="14"/>
          <w:szCs w:val="14"/>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 Incremental expenses related to the COVID-19 pandemic are allocated to the reportable segments.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segments, including interest expense (income)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Asset information is not included in the following summary since the CODM does not regularly review such information for the reportable segments.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ind w:left="820"/>
              <w:spacing w:after="0"/>
              <w:rPr>
                <w:sz w:val="20"/>
                <w:szCs w:val="20"/>
                <w:color w:val="auto"/>
              </w:rPr>
            </w:pPr>
            <w:r>
              <w:rPr>
                <w:rFonts w:ascii="Arial" w:cs="Arial" w:eastAsia="Arial" w:hAnsi="Arial"/>
                <w:sz w:val="18"/>
                <w:szCs w:val="18"/>
                <w:color w:val="auto"/>
              </w:rPr>
              <w:t>Three Months Ended July 2, 2022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421,600</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73,158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87,955</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399,158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509,555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95,264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163,361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71,206</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160,578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17,398</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54,499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234,567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227,829</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82,346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25,245</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(income),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gridSpan w:val="8"/>
            <w:vMerge w:val="restart"/>
          </w:tcPr>
          <w:p>
            <w:pPr>
              <w:ind w:left="820"/>
              <w:spacing w:after="0"/>
              <w:rPr>
                <w:sz w:val="20"/>
                <w:szCs w:val="20"/>
                <w:color w:val="auto"/>
              </w:rPr>
            </w:pPr>
            <w:r>
              <w:rPr>
                <w:rFonts w:ascii="Arial" w:cs="Arial" w:eastAsia="Arial" w:hAnsi="Arial"/>
                <w:sz w:val="18"/>
                <w:szCs w:val="18"/>
                <w:color w:val="auto"/>
              </w:rPr>
              <w:t>Three Months Ended July 3, 2021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3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361,377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458,206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78,780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91,283</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440,157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549,489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98,539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167,028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68,918</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160,987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53,683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235,946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234,235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120,257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(53,137)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24,025</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(income),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10,188</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124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ind w:left="920"/>
              <w:spacing w:after="0"/>
              <w:rPr>
                <w:sz w:val="20"/>
                <w:szCs w:val="20"/>
                <w:color w:val="auto"/>
              </w:rPr>
            </w:pPr>
            <w:r>
              <w:rPr>
                <w:rFonts w:ascii="Arial" w:cs="Arial" w:eastAsia="Arial" w:hAnsi="Arial"/>
                <w:sz w:val="18"/>
                <w:szCs w:val="18"/>
                <w:color w:val="auto"/>
              </w:rPr>
              <w:t>Six Months Ended July 2, 2022</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153,173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837,077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196,304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327,219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36,522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107,964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196,163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gridSpan w:val="8"/>
            <w:vMerge w:val="restart"/>
          </w:tcPr>
          <w:p>
            <w:pPr>
              <w:ind w:left="920"/>
              <w:spacing w:after="0"/>
              <w:rPr>
                <w:sz w:val="20"/>
                <w:szCs w:val="20"/>
                <w:color w:val="auto"/>
              </w:rPr>
            </w:pPr>
            <w:r>
              <w:rPr>
                <w:rFonts w:ascii="Arial" w:cs="Arial" w:eastAsia="Arial" w:hAnsi="Arial"/>
                <w:sz w:val="18"/>
                <w:szCs w:val="18"/>
                <w:color w:val="auto"/>
              </w:rPr>
              <w:t>Six Months Ended July 3, 2021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1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730,747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161,857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195,643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316,895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38,434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266,833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47,580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1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EPS related to the 2025 Notes is calculated using the if-converted method; the number of dilutive shares is based on the initial conversion rate associated with the 2025 Notes. The 2025 Notes were antidilutive for the three months ended July 2, 2022. A reconciliation of the numerators and denominators of the basic and diluted EPS calculations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58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3200" w:type="dxa"/>
            <w:vAlign w:val="bottom"/>
            <w:gridSpan w:val="4"/>
          </w:tcPr>
          <w:p>
            <w:pPr>
              <w:jc w:val="right"/>
              <w:ind w:right="970"/>
              <w:spacing w:after="0"/>
              <w:rPr>
                <w:sz w:val="20"/>
                <w:szCs w:val="20"/>
                <w:color w:val="auto"/>
              </w:rPr>
            </w:pPr>
            <w:r>
              <w:rPr>
                <w:rFonts w:ascii="Arial" w:cs="Arial" w:eastAsia="Arial" w:hAnsi="Arial"/>
                <w:sz w:val="18"/>
                <w:szCs w:val="18"/>
                <w:color w:val="auto"/>
              </w:rPr>
              <w:t>Six Months Ended</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EPS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July 2, 2022</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8"/>
              </w:rPr>
              <w:t>July 3, 2021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July 2, 2022</w:t>
            </w: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July 3, 2021</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81,033</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After-tax interest expense for 2025 Notes</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4,694</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for diluted EPS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85,727</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basic EPS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81,601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80,744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81,457</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2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2025 Notes</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12,912</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EPS</w:t>
            </w: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96,044</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Basic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188"/>
        </w:trPr>
        <w:tc>
          <w:tcPr>
            <w:tcW w:w="4580" w:type="dxa"/>
            <w:vAlign w:val="bottom"/>
          </w:tcPr>
          <w:p>
            <w:pPr>
              <w:ind w:left="20"/>
              <w:spacing w:after="0" w:line="189" w:lineRule="exact"/>
              <w:rPr>
                <w:sz w:val="20"/>
                <w:szCs w:val="20"/>
                <w:color w:val="auto"/>
              </w:rPr>
            </w:pPr>
            <w:r>
              <w:rPr>
                <w:rFonts w:ascii="Arial" w:cs="Arial" w:eastAsia="Arial" w:hAnsi="Arial"/>
                <w:sz w:val="18"/>
                <w:szCs w:val="18"/>
                <w:color w:val="auto"/>
              </w:rPr>
              <w:t>Anti-dilutive securities excluded from diluted weighted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average common shares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three and six months ended July 2, 2022 and July 3, 2021,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5"/>
          </w:tcPr>
          <w:p>
            <w:pPr>
              <w:ind w:left="6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3200" w:type="dxa"/>
            <w:vAlign w:val="bottom"/>
            <w:gridSpan w:val="4"/>
          </w:tcPr>
          <w:p>
            <w:pPr>
              <w:jc w:val="right"/>
              <w:ind w:right="970"/>
              <w:spacing w:after="0"/>
              <w:rPr>
                <w:sz w:val="20"/>
                <w:szCs w:val="20"/>
                <w:color w:val="auto"/>
              </w:rPr>
            </w:pPr>
            <w:r>
              <w:rPr>
                <w:rFonts w:ascii="Arial" w:cs="Arial" w:eastAsia="Arial" w:hAnsi="Arial"/>
                <w:sz w:val="18"/>
                <w:szCs w:val="18"/>
                <w:color w:val="auto"/>
              </w:rPr>
              <w:t>Six Months Ended</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July 2, 2022</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July 3, 2021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July 2, 2022</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July 3, 2021</w:t>
            </w: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hedging activity:</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r>
      <w:tr>
        <w:trPr>
          <w:trHeight w:val="223"/>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Other comprehensive income (loss) before reclassification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88"/>
        </w:trPr>
        <w:tc>
          <w:tcPr>
            <w:tcW w:w="4480" w:type="dxa"/>
            <w:vAlign w:val="bottom"/>
          </w:tcPr>
          <w:p>
            <w:pPr>
              <w:ind w:left="220"/>
              <w:spacing w:after="0" w:line="189" w:lineRule="exact"/>
              <w:rPr>
                <w:sz w:val="20"/>
                <w:szCs w:val="20"/>
                <w:color w:val="auto"/>
              </w:rPr>
            </w:pPr>
            <w:r>
              <w:rPr>
                <w:rFonts w:ascii="Arial" w:cs="Arial" w:eastAsia="Arial" w:hAnsi="Arial"/>
                <w:sz w:val="18"/>
                <w:szCs w:val="18"/>
                <w:color w:val="auto"/>
                <w:w w:val="96"/>
              </w:rPr>
              <w:t>Tax effect of other comprehensive income (loss) before</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reclassification</w:t>
            </w:r>
          </w:p>
        </w:tc>
        <w:tc>
          <w:tcPr>
            <w:tcW w:w="2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reclassified from AOCL into interest expense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r>
      <w:tr>
        <w:trPr>
          <w:trHeight w:val="188"/>
        </w:trPr>
        <w:tc>
          <w:tcPr>
            <w:tcW w:w="4480" w:type="dxa"/>
            <w:vAlign w:val="bottom"/>
          </w:tcPr>
          <w:p>
            <w:pPr>
              <w:ind w:left="220"/>
              <w:spacing w:after="0" w:line="189" w:lineRule="exact"/>
              <w:rPr>
                <w:sz w:val="20"/>
                <w:szCs w:val="20"/>
                <w:color w:val="auto"/>
              </w:rPr>
            </w:pPr>
            <w:r>
              <w:rPr>
                <w:rFonts w:ascii="Arial" w:cs="Arial" w:eastAsia="Arial" w:hAnsi="Arial"/>
                <w:sz w:val="18"/>
                <w:szCs w:val="18"/>
                <w:color w:val="auto"/>
                <w:w w:val="93"/>
              </w:rPr>
              <w:t>Tax effect of amount reclassified from AOCL into interest</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Stranded tax effect of matured interest rate swaps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168"/>
        </w:trPr>
        <w:tc>
          <w:tcPr>
            <w:tcW w:w="4480" w:type="dxa"/>
            <w:vAlign w:val="bottom"/>
          </w:tcPr>
          <w:p>
            <w:pPr>
              <w:ind w:left="220"/>
              <w:spacing w:after="0" w:line="168" w:lineRule="exact"/>
              <w:rPr>
                <w:sz w:val="20"/>
                <w:szCs w:val="20"/>
                <w:color w:val="auto"/>
              </w:rPr>
            </w:pPr>
            <w:r>
              <w:rPr>
                <w:rFonts w:ascii="Arial" w:cs="Arial" w:eastAsia="Arial" w:hAnsi="Arial"/>
                <w:sz w:val="18"/>
                <w:szCs w:val="18"/>
                <w:color w:val="auto"/>
                <w:w w:val="91"/>
              </w:rPr>
              <w:t>Net current period other comprehensive income (loss), net</w:t>
            </w: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30"/>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of tax</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5.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19, 2022, the Company entered into an amendment to the letter agreement dated November 12, 2018 with Essilor of America, Inc. (“Essilor”), which, among other things, extends the term of the Company’s contractual agreement with Essilor for three years from May 31, 2023 to May 31, 2026. Under the agreement, Essilor has the sole and exclusive right to supply certain lenses for eyeglasses to the Company.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January 1, 2022 (the “2021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 of the 2021 Annual Report on Form 10-K and in the “Risk Factors” section of this Form 10-Q,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1,314 retail stores across five brands and 17 consumer websites as of July 2, 2022.</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Ongoing macroeconomic uncertainty of the U.S. economy, constraints to exam capacity and the COVID-19 pandemic continued to adversely affect our sales in the second quarter of 2022 and may continue to impact our performance going forward.</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Consumer preferences and demand, as well as spending habits, including for our goods and services, are impacted by the prevailing macroeconomic conditions and uncertainty, inflation, salaries and wages, consumer confidence and consumer perception. The U.S. economy is experiencing high inflation because of changing economic conditions, labor shortages, supply chain constraints, logistics challenges, the conflict in Ukraine, and steps taken by governments and central banks in response to the pandemic as well as other stimulus and spending programs. These overall economic trends continued to impact consumer demand and adversely impact our sales in the second quarter of 2022.</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Exam capacity, which encompasses the overall availability of vision care professionals, is impacted by several factors including retention, hiring, coverage and work schedules, and continued to be constrained in the second quarter of 2022. We remain focused on our strategy to provide our customers and patients reliable and quality low cost eye care and eyewear, and are taking certain actions to enhance our exam capacity through recruitment, retention and remote medicine initiatives.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emergence of the Omicron variant and subvariants, the COVID-19 pandemic resulted in increased associate and vision care professional absences, adjusted work schedules and reduced consumer traffic to our stores in 2022. The ultimate impact of COVID-19 on our operations and financial performance in future periods remains uncertain and will depend on future pandemic-related developments, including the duration of the pandemic, potential subsequent waves of COVID-19 infection or potential new variants, the effectiveness and adoption of COVID-19 vaccines and therapeutics, supplier impacts and related government actions to prevent and manage disease spread, including the implementation of any federal, state, local or foreign vaccine mandates, all of which are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69"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Owned &amp; Host - As of July 2, 2022, our owned brands consisted of 872 America’s Best Contacts and Eyeglasses retail stores and 129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July 2, 2022. We have strong, long-standing relationships with our Host partners and have maintained each partnership for over 22 years. These brands provide eye exams primarily by independent optometrists. All brands utilize our centralized laboratories. This segment also includes sales from our America’s Best, Eyeglass World, and Military omni-channel websites.</w:t>
      </w:r>
    </w:p>
    <w:p>
      <w:pPr>
        <w:spacing w:after="0" w:line="77" w:lineRule="exact"/>
        <w:rPr>
          <w:rFonts w:ascii="Arial" w:cs="Arial" w:eastAsia="Arial" w:hAnsi="Arial"/>
          <w:sz w:val="17"/>
          <w:szCs w:val="17"/>
          <w:color w:val="auto"/>
        </w:rPr>
      </w:pPr>
    </w:p>
    <w:p>
      <w:pPr>
        <w:jc w:val="both"/>
        <w:ind w:left="660" w:hanging="328"/>
        <w:spacing w:after="0" w:line="28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230 Vision Centers in Walmart retail locations as of July 2, 2022. This strategic relationship with Walmart is in its 32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year.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by three years to February 23, 2024.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six months ended July 2, 2022, sales associated with this arrangement represented 7.7% of consolidated net revenue. This exposes us to concentration of customer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30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e-commerce platform of 13 dedicated websites managed by AC Lens. Our e-commerce business consists of five proprietary branded websites, including aclens.com, discountglasses.com and discountcontactlenses.com, and eight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4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6.9% of consolidated net revenue.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plans in connection with our America’s Best operations in California.</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condensed consolidated financial statements included in Part I. Item 1. of this Form 10-Q.</w:t>
      </w:r>
    </w:p>
    <w:p>
      <w:pPr>
        <w:spacing w:after="0" w:line="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will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 consumer preferences and demand</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(including the Russian invasion of Ukraine), inclement weather, natural disasters, terrorism, outbreak of viruses or widespread illness and consumer perceptions of personal well-being and security. Over the past few years, global markets and economic conditions have been challenging, particularly in light of the COVID-19 pandemic. During periods of economic downturn and uncertainty, our customers especially benefit from our low prices. The long-term effects of the COVID-19 pandemic and other macroeconomic and geopolitical events on consumer preferences and demand remain uncertain. We believe, but cannot be certain, our business model of providing exceptional value and convenience to customers, enabled by our low-cost operating platform will mitigate these impacts to a certain extent; however uncertainties and risk exposures may be exacerbated by the immediate and ongoing impacts of these factors.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coverage, and expanded offerings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continue to attract and retain qualified vision care professionals affect exam capacity and is critical to our operations. Our operations, like those of many of our competitors, depend on our ability to offer both eyewear and eye exams. We compete with other optical retail companies, health systems and group practices for vision care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professionals. We, as well as the professional corporations or similar entities that employ optometrists in certain of our retail locations, could face difficulties attracting and retaining qualified professionals if we or such corporations fail to offer competitive compensation and benefits. Increased compensation for vision care professionals could raise our costs and negatively affect our margins. We believe the impacts of the COVID-19 pandemic on vision care professional availability, including a competitive recruiting market and preferences for adjusted work schedules, and the demand for optometrists exceeding supply in certain areas in the first half of fiscal year 2022 have caused constraints in exam capacity. Due to these factors the costs to employ or retain optometrists may increase, potentially materially, from current levels. We are investing in recruitment and retention initiatives along with continuing our implementation of remote medicine technologies.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COVID-19 pandemic has had far-reaching impacts, directly and indirectly, on our operations. We continue to monitor the evolving situation as there remain many uncertainties regarding the pandemic and more recent outbreaks of variants, including anticipated duration, vision care professional availability, related healthcare authority guidelines and efficacy of vaccination initiatives, including the impact of, and associated risks regarding, federal, state and local vaccination and testing programs. We continue to monitor potential impacts on our stores and exam capacity, lab network, and potential disruptions of product and equipment deliveries. To date, we have been able to meet customer demand with operations at our laboratories and our supply chain partners. However, prolonged shutdowns in countries which support our supply chain or a deterioration of conditions in such countries and others or increasing strains on international and domestic supply chain infrastructure could result in product and equipment availability delays in the future. We could experience further material impacts as a result of COVID-19, including, but not limited to, charges from additional asset impairments and deferred tax valuation allowances. We will continue to evaluate additional measures that we may elect to take as a response to the pandemic, including, where appropriate, future action to reduce store hours and patient appointments, temporarily close stores or make additional forward buys. There can be no assurance whether or when any such measures will be adopted. For a discussion of significant risks that have the potential to cause our actual results to differ materially from our expectations, refer to Part II. Item 1A. “Risk Factors” in this Form 10-Q and Part I. Item 1A. “Risk Factors,” included in our 2021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committed to providing our products to our customers at low prices. We generally employ a simple low price/high value strategy that consistently delivers savings to our customers without the need for extensive promotions. Inflationary pressures, including wage investments, consumer confidence and preferences and increased raw material costs, could impact our profitability and lead us to attempt to offset such increases through various pricing actions. Effective May 9, 2022 we changed the price of our America’s Best signature offer to “two pairs of eyeglasses for $79.95, including a free eye exam” from its original $69.95 price. Effective March 14, 2022, we changed the price of our Eyeglass World opening offer to “two pairs of eyeglasses for $89” from its original price of $78. We believe that these changes will enable us to continue to offer the best possible value and service to our customers at prices that allow us to maintain our brands’ strong value propositions in the marketplace.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Comparable store sales growth is a key driver of our business and our value proposition will continue to drive comparable store sales growth as we attract new customers and increase loyalty with existing customers. During the six months ended July 2, 2022 comparable store sales growth was negatively impacted due to overall economic trends impacting consumer preferences and demand, constraints on exam capacity in certain markets and the Omicron COVID-19 variant. We believe our business model of providing exceptional value and convenience to customers, enabled by our low-cost operating platform will mitigate these impacts to a certain extent. Our strategies to mitigate these effects include, but are not limited to, investing in recruitment and retention initiatives along with continuing our implementation of remote medicine technologies and optimizing our marketing investments. The impact of macroeconomic factors, the COVID-19 pandemic and constraints on exam capacity on our comparable store sales growth remains uncertain, and effects and relevant risk exposures may be exacerbated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 increases in product costs due to increases in materials cost or general inflation could lead to greater profitability pressure as we may not be able to pass costs on to consumers. To date, changes in materials prices and general inflation have not materially impacted our business. However, targeted wage investments, including increases in compensation and other expenses for our optometrists and associates, have impacted our costs applicable to revenue and selling, general and administrative expenses. Any further wage investments, along with increased raw materials costs as a result of inflation or supply chain issues, increases in energy and fuel prices and lease and utility costs, would increase our costs applicable to revenue or selling, general and administrative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Such cost increases may not be offset by leverage from revenue growth, productivity efficiency and, as appropriate, various pricing actions which could impact our profitability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Consumer behavior driven by the COVID-19 pandemic, impacts on overall economic trends, consumer preferences and demand has resulted in a departure from seasonal norms we have experienced in recent years and we expect it will continue to disrupt the historical quarterly cadence of our results of operations for an unknown period of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remain committed to our long-term vision and continue to position ourselves to make progress against our key initiatives while balancing the near-term challenges and uncertainty presented by the COVID-19 pandemic and other macroeconomic factors. We believe the following factors may continue to influence our short-term and long-term results:</w:t>
      </w:r>
    </w:p>
    <w:p>
      <w:pPr>
        <w:spacing w:after="0" w:line="7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store openings;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Managed care and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Infrastructure investment;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source and distribute products effectively;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competition and consolidation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We expect to open at least 80 stores in the current year. We will continue to monitor and determine our plans for future new store openings based on health, safety and economic conditions.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Operating Income, Adjusted Operating Margin, Adjusted EBITDA, Adjusted EBITDA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5"/>
              </w:rPr>
              <w:t>In thousands, except earnings per share, percentage and</w:t>
            </w:r>
          </w:p>
        </w:tc>
        <w:tc>
          <w:tcPr>
            <w:tcW w:w="240" w:type="dxa"/>
            <w:vAlign w:val="bottom"/>
          </w:tcPr>
          <w:p>
            <w:pPr>
              <w:spacing w:after="0"/>
              <w:rPr>
                <w:sz w:val="20"/>
                <w:szCs w:val="20"/>
                <w:color w:val="auto"/>
              </w:rPr>
            </w:pPr>
          </w:p>
        </w:tc>
        <w:tc>
          <w:tcPr>
            <w:tcW w:w="3220" w:type="dxa"/>
            <w:vAlign w:val="bottom"/>
            <w:gridSpan w:val="5"/>
          </w:tcPr>
          <w:p>
            <w:pPr>
              <w:ind w:left="6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3120" w:type="dxa"/>
            <w:vAlign w:val="bottom"/>
            <w:gridSpan w:val="4"/>
          </w:tcPr>
          <w:p>
            <w:pPr>
              <w:jc w:val="right"/>
              <w:ind w:right="9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56"/>
        </w:trPr>
        <w:tc>
          <w:tcPr>
            <w:tcW w:w="442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store data</w:t>
            </w:r>
          </w:p>
        </w:tc>
        <w:tc>
          <w:tcPr>
            <w:tcW w:w="240" w:type="dxa"/>
            <w:vAlign w:val="bottom"/>
          </w:tcPr>
          <w:p>
            <w:pPr>
              <w:spacing w:after="0"/>
              <w:rPr>
                <w:sz w:val="21"/>
                <w:szCs w:val="21"/>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July 2, 2022</w:t>
            </w:r>
          </w:p>
        </w:tc>
        <w:tc>
          <w:tcPr>
            <w:tcW w:w="220" w:type="dxa"/>
            <w:vAlign w:val="bottom"/>
          </w:tcPr>
          <w:p>
            <w:pPr>
              <w:spacing w:after="0"/>
              <w:rPr>
                <w:sz w:val="21"/>
                <w:szCs w:val="21"/>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July 3, 2021</w:t>
            </w:r>
          </w:p>
        </w:tc>
        <w:tc>
          <w:tcPr>
            <w:tcW w:w="240" w:type="dxa"/>
            <w:vAlign w:val="bottom"/>
          </w:tcPr>
          <w:p>
            <w:pPr>
              <w:spacing w:after="0"/>
              <w:rPr>
                <w:sz w:val="21"/>
                <w:szCs w:val="21"/>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July 2, 2022</w:t>
            </w:r>
          </w:p>
        </w:tc>
        <w:tc>
          <w:tcPr>
            <w:tcW w:w="24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July 3, 2021</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421,600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458,206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854,853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901,273</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87,955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91,283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182,413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182,396</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509,555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549,489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1,037,266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1,083,669</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Costs applicable to revenue (exclusive of depreciation</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and amortization):</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163,361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167,028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327,580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71,206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68,918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143,024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133,917</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234,567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235,946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470,604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460,636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227,829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234,235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456,383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457,828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25,245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50,396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47,580</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256,617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258,714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510,959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506,756</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18,371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54,829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116,277</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 (income), net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16,518</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14,408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99,759</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4,674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18,726</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9,734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81,033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 opened during the period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27,780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65,581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73,084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133,249</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Adjusted Diluted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51,153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119,736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177,085</w:t>
            </w:r>
          </w:p>
        </w:tc>
        <w:tc>
          <w:tcPr>
            <w:tcW w:w="0" w:type="dxa"/>
            <w:vAlign w:val="bottom"/>
          </w:tcPr>
          <w:p>
            <w:pPr>
              <w:spacing w:after="0"/>
              <w:rPr>
                <w:sz w:val="1"/>
                <w:szCs w:val="1"/>
                <w:color w:val="auto"/>
              </w:rPr>
            </w:pPr>
          </w:p>
        </w:tc>
      </w:tr>
      <w:tr>
        <w:trPr>
          <w:trHeight w:val="540"/>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46.8 %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742"/>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980"/>
        <w:spacing w:after="0" w:line="378" w:lineRule="auto"/>
        <w:rPr>
          <w:sz w:val="20"/>
          <w:szCs w:val="20"/>
          <w:color w:val="auto"/>
        </w:rPr>
      </w:pPr>
      <w:r>
        <w:rPr>
          <w:rFonts w:ascii="Arial" w:cs="Arial" w:eastAsia="Arial" w:hAnsi="Arial"/>
          <w:sz w:val="18"/>
          <w:szCs w:val="18"/>
          <w:b w:val="1"/>
          <w:bCs w:val="1"/>
          <w:color w:val="auto"/>
        </w:rPr>
        <w:t xml:space="preserve">Three Months Ended July 2, 2022 compared to Three Months Ended July 3, 2021 </w:t>
      </w:r>
      <w:r>
        <w:rPr>
          <w:rFonts w:ascii="Arial" w:cs="Arial" w:eastAsia="Arial" w:hAnsi="Arial"/>
          <w:sz w:val="18"/>
          <w:szCs w:val="18"/>
          <w:i w:val="1"/>
          <w:iCs w:val="1"/>
          <w:color w:val="auto"/>
        </w:rPr>
        <w:t>Net revenue</w:t>
      </w:r>
    </w:p>
    <w:p>
      <w:pPr>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July 2, 2022 compared to the three months ended July 3,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spacing w:after="0" w:line="253" w:lineRule="auto"/>
        <w:rPr>
          <w:sz w:val="20"/>
          <w:szCs w:val="20"/>
          <w:color w:val="auto"/>
        </w:rPr>
      </w:pPr>
      <w:r>
        <w:rPr>
          <w:rFonts w:ascii="Arial" w:cs="Arial" w:eastAsia="Arial" w:hAnsi="Arial"/>
          <w:sz w:val="14"/>
          <w:szCs w:val="14"/>
          <w:i w:val="1"/>
          <w:iCs w:val="1"/>
          <w:color w:val="auto"/>
        </w:rPr>
        <w:t>In thousands, except percentage and store data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0" w:type="dxa"/>
            <w:vAlign w:val="bottom"/>
            <w:gridSpan w:val="3"/>
          </w:tcPr>
          <w:p>
            <w:pPr>
              <w:ind w:left="140"/>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18"/>
                <w:szCs w:val="18"/>
                <w:b w:val="1"/>
                <w:bCs w:val="1"/>
                <w:color w:val="auto"/>
                <w:vertAlign w:val="superscript"/>
              </w:rPr>
              <w:t>(1)</w:t>
            </w:r>
          </w:p>
        </w:tc>
        <w:tc>
          <w:tcPr>
            <w:tcW w:w="2160" w:type="dxa"/>
            <w:vAlign w:val="bottom"/>
            <w:gridSpan w:val="3"/>
          </w:tcPr>
          <w:p>
            <w:pPr>
              <w:ind w:left="160"/>
              <w:spacing w:after="0"/>
              <w:rPr>
                <w:sz w:val="20"/>
                <w:szCs w:val="20"/>
                <w:color w:val="auto"/>
              </w:rPr>
            </w:pPr>
            <w:r>
              <w:rPr>
                <w:rFonts w:ascii="Arial" w:cs="Arial" w:eastAsia="Arial" w:hAnsi="Arial"/>
                <w:sz w:val="14"/>
                <w:szCs w:val="14"/>
                <w:b w:val="1"/>
                <w:bCs w:val="1"/>
                <w:color w:val="auto"/>
              </w:rPr>
              <w:t>Stores open at end of period</w:t>
            </w:r>
          </w:p>
        </w:tc>
        <w:tc>
          <w:tcPr>
            <w:tcW w:w="4160" w:type="dxa"/>
            <w:vAlign w:val="bottom"/>
            <w:gridSpan w:val="2"/>
          </w:tcPr>
          <w:p>
            <w:pPr>
              <w:ind w:left="1660"/>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33"/>
        </w:trPr>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Three Months</w:t>
            </w: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4"/>
        </w:trPr>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3"/>
              </w:rPr>
              <w:t>Ended</w:t>
            </w: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July 2, 2022</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July 3, 2021</w:t>
            </w:r>
          </w:p>
        </w:tc>
        <w:tc>
          <w:tcPr>
            <w:tcW w:w="208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July 2, 2022</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July 3, 2021</w:t>
            </w:r>
          </w:p>
        </w:tc>
        <w:tc>
          <w:tcPr>
            <w:tcW w:w="10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July 2, 2022</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July 3, 2021</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2120" w:space="260"/>
            <w:col w:w="88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Owned &amp; Host segment</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America’s Best</w:t>
            </w:r>
          </w:p>
        </w:tc>
        <w:tc>
          <w:tcPr>
            <w:tcW w:w="108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81.8 %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336,366</w:t>
            </w:r>
          </w:p>
        </w:tc>
        <w:tc>
          <w:tcPr>
            <w:tcW w:w="860" w:type="dxa"/>
            <w:vAlign w:val="bottom"/>
          </w:tcPr>
          <w:p>
            <w:pPr>
              <w:jc w:val="right"/>
              <w:spacing w:after="0"/>
              <w:rPr>
                <w:sz w:val="20"/>
                <w:szCs w:val="20"/>
                <w:color w:val="auto"/>
              </w:rPr>
            </w:pPr>
            <w:r>
              <w:rPr>
                <w:rFonts w:ascii="Arial" w:cs="Arial" w:eastAsia="Arial" w:hAnsi="Arial"/>
                <w:sz w:val="16"/>
                <w:szCs w:val="16"/>
                <w:color w:val="auto"/>
              </w:rPr>
              <w:t>66.0 %</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372,846</w:t>
            </w:r>
          </w:p>
        </w:tc>
        <w:tc>
          <w:tcPr>
            <w:tcW w:w="840" w:type="dxa"/>
            <w:vAlign w:val="bottom"/>
          </w:tcPr>
          <w:p>
            <w:pPr>
              <w:jc w:val="right"/>
              <w:spacing w:after="0"/>
              <w:rPr>
                <w:sz w:val="20"/>
                <w:szCs w:val="20"/>
                <w:color w:val="auto"/>
              </w:rPr>
            </w:pPr>
            <w:r>
              <w:rPr>
                <w:rFonts w:ascii="Arial" w:cs="Arial" w:eastAsia="Arial" w:hAnsi="Arial"/>
                <w:sz w:val="16"/>
                <w:szCs w:val="16"/>
                <w:color w:val="auto"/>
              </w:rPr>
              <w:t>67.9 %</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Eyeglass World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54,228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58,061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Military</w:t>
            </w: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65.0 %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5,640</w:t>
            </w:r>
          </w:p>
        </w:tc>
        <w:tc>
          <w:tcPr>
            <w:tcW w:w="86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6,007</w:t>
            </w:r>
          </w:p>
        </w:tc>
        <w:tc>
          <w:tcPr>
            <w:tcW w:w="84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 Meyer</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3,243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7"/>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Owned &amp; Host segment total</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399,158</w:t>
            </w:r>
          </w:p>
        </w:tc>
        <w:tc>
          <w:tcPr>
            <w:tcW w:w="860" w:type="dxa"/>
            <w:vAlign w:val="bottom"/>
          </w:tcPr>
          <w:p>
            <w:pPr>
              <w:jc w:val="right"/>
              <w:spacing w:after="0"/>
              <w:rPr>
                <w:sz w:val="20"/>
                <w:szCs w:val="20"/>
                <w:color w:val="auto"/>
              </w:rPr>
            </w:pPr>
            <w:r>
              <w:rPr>
                <w:rFonts w:ascii="Arial" w:cs="Arial" w:eastAsia="Arial" w:hAnsi="Arial"/>
                <w:sz w:val="16"/>
                <w:szCs w:val="16"/>
                <w:color w:val="auto"/>
              </w:rPr>
              <w:t>78.3 %</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440,157</w:t>
            </w:r>
          </w:p>
        </w:tc>
        <w:tc>
          <w:tcPr>
            <w:tcW w:w="840" w:type="dxa"/>
            <w:vAlign w:val="bottom"/>
          </w:tcPr>
          <w:p>
            <w:pPr>
              <w:jc w:val="right"/>
              <w:spacing w:after="0"/>
              <w:rPr>
                <w:sz w:val="20"/>
                <w:szCs w:val="20"/>
                <w:color w:val="auto"/>
              </w:rPr>
            </w:pPr>
            <w:r>
              <w:rPr>
                <w:rFonts w:ascii="Arial" w:cs="Arial" w:eastAsia="Arial" w:hAnsi="Arial"/>
                <w:sz w:val="16"/>
                <w:szCs w:val="16"/>
                <w:color w:val="auto"/>
              </w:rPr>
              <w:t>80.1 %</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Legacy segment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37,837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43,600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Corporate/Other</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61,885</w:t>
            </w:r>
          </w:p>
        </w:tc>
        <w:tc>
          <w:tcPr>
            <w:tcW w:w="860" w:type="dxa"/>
            <w:vAlign w:val="bottom"/>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61,520</w:t>
            </w:r>
          </w:p>
        </w:tc>
        <w:tc>
          <w:tcPr>
            <w:tcW w:w="840" w:type="dxa"/>
            <w:vAlign w:val="bottom"/>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10,675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4,212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2"/>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99.1 %</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509,555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549,489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5"/>
                <w:szCs w:val="15"/>
                <w:color w:val="auto"/>
              </w:rPr>
              <w:t>Adjusted Comparable Store Sales</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76.7 %</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38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Growth</w:t>
            </w:r>
            <w:r>
              <w:rPr>
                <w:rFonts w:ascii="Arial" w:cs="Arial" w:eastAsia="Arial" w:hAnsi="Arial"/>
                <w:sz w:val="21"/>
                <w:szCs w:val="21"/>
                <w:color w:val="auto"/>
                <w:vertAlign w:val="superscript"/>
              </w:rPr>
              <w:t>(3)</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89" w:lineRule="auto"/>
        <w:tabs>
          <w:tab w:leader="none" w:pos="652"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71" w:lineRule="exact"/>
        <w:rPr>
          <w:rFonts w:ascii="Arial" w:cs="Arial" w:eastAsia="Arial" w:hAnsi="Arial"/>
          <w:sz w:val="13"/>
          <w:szCs w:val="13"/>
          <w:color w:val="auto"/>
        </w:rPr>
      </w:pPr>
    </w:p>
    <w:p>
      <w:pPr>
        <w:ind w:left="640" w:hanging="30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3" w:lineRule="exact"/>
        <w:rPr>
          <w:rFonts w:ascii="Arial" w:cs="Arial" w:eastAsia="Arial" w:hAnsi="Arial"/>
          <w:sz w:val="14"/>
          <w:szCs w:val="14"/>
          <w:color w:val="auto"/>
        </w:rPr>
      </w:pPr>
    </w:p>
    <w:p>
      <w:pPr>
        <w:jc w:val="both"/>
        <w:ind w:left="660" w:right="640" w:hanging="328"/>
        <w:spacing w:after="0" w:line="260"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1.2% and a decrease of 21.6% from total comparable store sales growth based on consolidated net revenue for the three months ended July 2, 2022 and July 3, 2021, respectively, and (ii) Adjusted Comparable Store Sales Growth includes retail sales to the Legacy partner’s customers (rather than the revenues recognized consistent with the management &amp; services agreement with the Legacy partner), resulting in a decrease of 0.2% and a decrease of 0.8% from total comparable store sales growth based on consolidated net revenue for the three months ended July 2, 2022 and July 3, 2021, respectively.</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revenue of $509.6 million for the three months ended July 2, 2022 decreased $39.9 million, or 7.3%, from $549.5 million for the three months ended July 3, 2021. The decrease was driven primarily by reduced Adjusted Comparable Store Sales Growth, partially offset by growth from new store sales and recognition of deferred revenue.</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three months ended July 2, 2022, we opened 20 America’s Best stores and two Eyeglass World stores. Overall, store count grew 5.2% from July 3, 2021 to July 2, 2022 (59 and six net new America’s Best and Eyeglass World were added, respectively).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Comparable store sales growth and Adjusted Comparable Store Sales Growth for the three months ended July 2, 2022 were (11.0)% and (12.4)%, respectively, primarily due to a decrease in customer transactions and, to a lesser extent, lower average ticket. Comparable store sales growth and Adjusted Comparable Store Sales Growth were negative during the three months ended July 2, 2022 due to overall economic trends impacting customer demand and constraints affecting exam capacity in certain markets.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82.7% and 83.4% of total net revenue for the three months ended July 2, 2022 and July 3, 2021, respectively. Net product sales decreased $36.6 million, or 8.0%, in the three months ended July 2, 2022 compared to the three months ended July 3, 2021, driven primarily by a $37.0 million decrease in eyeglass sales. Net sales of services and plans decreased $3.3 million, or 3.6%, driven primarily by a $2.3 million decrease in management fees from our Legacy partner.</w:t>
      </w:r>
    </w:p>
    <w:p>
      <w:pPr>
        <w:spacing w:after="0" w:line="7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decreased $41.0 million, or 9.3%, driven primarily by negative comparable store sales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new store openings.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decreased $5.8 million, or 13.2%, driven by negative comparable store sales growth.</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$0.4 million, or 0.6%, driven primarily by higher online retail business.</w:t>
      </w:r>
    </w:p>
    <w:p>
      <w:pPr>
        <w:spacing w:after="0" w:line="104" w:lineRule="exact"/>
        <w:rPr>
          <w:sz w:val="20"/>
          <w:szCs w:val="20"/>
          <w:color w:val="auto"/>
        </w:rPr>
      </w:pPr>
    </w:p>
    <w:p>
      <w:pPr>
        <w:jc w:val="both"/>
        <w:ind w:left="340"/>
        <w:spacing w:after="0" w:line="262" w:lineRule="auto"/>
        <w:rPr>
          <w:sz w:val="20"/>
          <w:szCs w:val="20"/>
          <w:color w:val="auto"/>
        </w:rPr>
      </w:pPr>
      <w:r>
        <w:rPr>
          <w:rFonts w:ascii="Arial" w:cs="Arial" w:eastAsia="Arial" w:hAnsi="Arial"/>
          <w:sz w:val="17"/>
          <w:szCs w:val="17"/>
          <w:i w:val="1"/>
          <w:iCs w:val="1"/>
          <w:color w:val="auto"/>
        </w:rPr>
        <w:t xml:space="preserve">Net revenue reconciliations. </w:t>
      </w:r>
      <w:r>
        <w:rPr>
          <w:rFonts w:ascii="Arial" w:cs="Arial" w:eastAsia="Arial" w:hAnsi="Arial"/>
          <w:sz w:val="17"/>
          <w:szCs w:val="17"/>
          <w:color w:val="auto"/>
        </w:rPr>
        <w:t>Net revenue was positively impacted by $6.5 million due to the timing of unearned revenue and recognition of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for the three months ended July 2, 2022 compared to the three months ended July 3, 2021. Net revenue was positively impacted by $1.0 million due to the timing of unearned revenue during the three months ended July 2, 2022. Net revenue was positively impacted by $5.5 million due to lower sales of product protection plan and club memberships during the three months ended July 2,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$234.6 million for the three months ended July 2, 2022 decreased $1.4 million, or 0.6%, from $235.9 million for the three months ended July 3, 2021. As a percentage of net revenue, costs applicable to revenue increased from 42.9% for the three months ended July 3, 2021 to 46.0% for the three months ended July 2, 2022. This increase as a percentage of net revenue was primarily driven by higher growth in optometrist-related costs, reduced eyeglass mix and lower eyeglass margin.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increased from 36.5% for the three months ended July 3, 2021 to 38.7% for the three months ended July 2, 2022, primarily driven by reduced eyeglass mix and lower eyeglass margin.</w:t>
      </w:r>
    </w:p>
    <w:p>
      <w:pPr>
        <w:spacing w:after="0" w:line="62"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Owned &amp; Host segment costs of products. </w:t>
      </w:r>
      <w:r>
        <w:rPr>
          <w:rFonts w:ascii="Arial" w:cs="Arial" w:eastAsia="Arial" w:hAnsi="Arial"/>
          <w:sz w:val="16"/>
          <w:szCs w:val="16"/>
          <w:color w:val="auto"/>
        </w:rPr>
        <w:t>Costs of products as a percentage of net product sales increased from 27.3% for the three months ended July</w:t>
      </w:r>
      <w:r>
        <w:rPr>
          <w:rFonts w:ascii="Arial" w:cs="Arial" w:eastAsia="Arial" w:hAnsi="Arial"/>
          <w:sz w:val="16"/>
          <w:szCs w:val="16"/>
          <w:i w:val="1"/>
          <w:iCs w:val="1"/>
          <w:color w:val="auto"/>
        </w:rPr>
        <w:t xml:space="preserve"> </w:t>
      </w:r>
      <w:r>
        <w:rPr>
          <w:rFonts w:ascii="Arial" w:cs="Arial" w:eastAsia="Arial" w:hAnsi="Arial"/>
          <w:sz w:val="16"/>
          <w:szCs w:val="16"/>
          <w:color w:val="auto"/>
        </w:rPr>
        <w:t>3, 2021 to 29.2% for the three months ended July 2, 2022. The increase was primarily driven by reduced eyeglass mix and lower eyeglass margin.</w:t>
      </w:r>
    </w:p>
    <w:p>
      <w:pPr>
        <w:spacing w:after="0" w:line="1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Costs of products as a percentage of net product sales decreased from 48.1% for the three months ended July 3,</w:t>
      </w:r>
      <w:r>
        <w:rPr>
          <w:rFonts w:ascii="Arial" w:cs="Arial" w:eastAsia="Arial" w:hAnsi="Arial"/>
          <w:sz w:val="18"/>
          <w:szCs w:val="18"/>
          <w:i w:val="1"/>
          <w:iCs w:val="1"/>
          <w:color w:val="auto"/>
        </w:rPr>
        <w:t xml:space="preserve"> </w:t>
      </w:r>
      <w:r>
        <w:rPr>
          <w:rFonts w:ascii="Arial" w:cs="Arial" w:eastAsia="Arial" w:hAnsi="Arial"/>
          <w:sz w:val="18"/>
          <w:szCs w:val="18"/>
          <w:color w:val="auto"/>
        </w:rPr>
        <w:t>2021 to 47.3% for the three months ended July 2, 2022.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of services and plans as a percentage of net sales of services and plans increased from 75.5% for the three months ended July 3, 2021 to 81.0% for the three months ended July 2, 2022. The increase was primarily driven by higher growth in optometrist-related costs.</w:t>
      </w:r>
    </w:p>
    <w:p>
      <w:pPr>
        <w:spacing w:after="0" w:line="6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 the Owned &amp; Host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increased from 79.3% for the three months ended July 3, 2021 to 89.3% for the three months ended July 2, 2022. The increase was primarily driven by higher growth in optometrist-related costs.</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 the Legacy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from 38.6% for the three months ended July 3, 2021 to 43.5% for the three months ended July 2, 2022. The increase was primarily driven by higher growth in optometrist-related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of $227.8 million for the three months ended July 2, 2022 decreased $6.4 million, or 2.7%, from the three months ended July 3, 2021. As a percentage of net revenue, SG&amp;A increased from 42.6% for the three months ended July 3, 2021 to 44.7% for the three months ended July 2, 2022. The increase in SG&amp;A as a percentage of net revenue was primarily driven by payroll and occupancy expense, partially offset by lower performance-based incentive compensation, stock-based compensation and advertising expense. SG&amp;A for the three months ended July 2, 2022 and July 3, 2021 includes $0.2 million and $0.3 million, respectively, of incremental costs directly related to adapting the Company’s operations during the COVID-19 pandemic; these costs were not reflected as adjustments for the Company’s presentation of non-GAAP measures below.</w:t>
      </w:r>
    </w:p>
    <w:p>
      <w:pPr>
        <w:spacing w:after="0" w:line="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increased from 36.1% for the three months ended July 3, 2021 to 39.1%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2, 2022, driven primarily by increases in payroll and occupancy expense.</w:t>
      </w:r>
    </w:p>
    <w:p>
      <w:pPr>
        <w:spacing w:after="0" w:line="6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33.9% for the three months ended July 3, 2021 to 39.0%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2, 2022, driven primarily by higher payroll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of $25.2 million for the three months ended July 2, 2022 increased $1.2 million, or 5.1%, from $24.0 million for the three months ended July 3, 2021 primarily driven by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recognized $3.5 million for impairment of tangible long-lived assets and ROU assets associated with our retail stores during the three months ended July 2, 2022, compared to $0.5 million recognized during the three months ended July 3, 2021.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net, of $4.0 million for the three months ended July 2, 2022 decreased $6.2 million, or 61.1%, from $10.2 million for the three months ended July 3, 2021. The decrease was primarily driven by gains on our interest rate collar.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effective tax rates for the three months ended July 2, 2022 and July 3, 2021 were 32.4% and 15.8%, respectively, reflecting our statutory federal and state rate of 25.5% and effects of other permanent items.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right="5420"/>
        <w:spacing w:after="0" w:line="377" w:lineRule="auto"/>
        <w:rPr>
          <w:sz w:val="20"/>
          <w:szCs w:val="20"/>
          <w:color w:val="auto"/>
        </w:rPr>
      </w:pPr>
      <w:r>
        <w:rPr>
          <w:rFonts w:ascii="Arial" w:cs="Arial" w:eastAsia="Arial" w:hAnsi="Arial"/>
          <w:sz w:val="18"/>
          <w:szCs w:val="18"/>
          <w:b w:val="1"/>
          <w:bCs w:val="1"/>
          <w:color w:val="auto"/>
        </w:rPr>
        <w:t xml:space="preserve">Six Months Ended July 2, 2022 compared to Six Months Ended July 3, 2021 </w:t>
      </w:r>
      <w:r>
        <w:rPr>
          <w:rFonts w:ascii="Arial" w:cs="Arial" w:eastAsia="Arial" w:hAnsi="Arial"/>
          <w:sz w:val="18"/>
          <w:szCs w:val="18"/>
          <w:i w:val="1"/>
          <w:iCs w:val="1"/>
          <w:color w:val="auto"/>
        </w:rPr>
        <w:t>Net revenue</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six months ended July 2, 2022 compared to the six months ended July 3,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ind w:left="180"/>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18"/>
                <w:szCs w:val="18"/>
                <w:b w:val="1"/>
                <w:bCs w:val="1"/>
                <w:color w:val="auto"/>
                <w:vertAlign w:val="superscript"/>
              </w:rPr>
              <w:t>(1)</w:t>
            </w:r>
          </w:p>
        </w:tc>
        <w:tc>
          <w:tcPr>
            <w:tcW w:w="2140" w:type="dxa"/>
            <w:vAlign w:val="bottom"/>
            <w:gridSpan w:val="4"/>
          </w:tcPr>
          <w:p>
            <w:pPr>
              <w:ind w:left="160"/>
              <w:spacing w:after="0"/>
              <w:rPr>
                <w:sz w:val="20"/>
                <w:szCs w:val="20"/>
                <w:color w:val="auto"/>
              </w:rPr>
            </w:pPr>
            <w:r>
              <w:rPr>
                <w:rFonts w:ascii="Arial" w:cs="Arial" w:eastAsia="Arial" w:hAnsi="Arial"/>
                <w:sz w:val="14"/>
                <w:szCs w:val="14"/>
                <w:b w:val="1"/>
                <w:bCs w:val="1"/>
                <w:color w:val="auto"/>
              </w:rPr>
              <w:t>Stores open at end of period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3"/>
              </w:rPr>
              <w:t>Six Months</w:t>
            </w: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vMerge w:val="restart"/>
          </w:tcPr>
          <w:p>
            <w:pPr>
              <w:jc w:val="right"/>
              <w:ind w:right="384"/>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48"/>
        </w:trPr>
        <w:tc>
          <w:tcPr>
            <w:tcW w:w="2400" w:type="dxa"/>
            <w:vAlign w:val="bottom"/>
            <w:gridSpan w:val="2"/>
          </w:tcPr>
          <w:p>
            <w:pPr>
              <w:ind w:left="20"/>
              <w:spacing w:after="0" w:line="149" w:lineRule="exact"/>
              <w:rPr>
                <w:sz w:val="20"/>
                <w:szCs w:val="20"/>
                <w:color w:val="auto"/>
              </w:rPr>
            </w:pPr>
            <w:r>
              <w:rPr>
                <w:rFonts w:ascii="Arial" w:cs="Arial" w:eastAsia="Arial" w:hAnsi="Arial"/>
                <w:sz w:val="14"/>
                <w:szCs w:val="14"/>
                <w:i w:val="1"/>
                <w:iCs w:val="1"/>
                <w:color w:val="auto"/>
              </w:rPr>
              <w:t>In thousands, except percentage and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July 2, 2022</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July 3, 2021</w:t>
            </w:r>
          </w:p>
        </w:tc>
        <w:tc>
          <w:tcPr>
            <w:tcW w:w="24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00" w:type="dxa"/>
            <w:vAlign w:val="bottom"/>
            <w:gridSpan w:val="2"/>
          </w:tcPr>
          <w:p>
            <w:pPr>
              <w:ind w:left="20"/>
              <w:spacing w:after="0"/>
              <w:rPr>
                <w:sz w:val="20"/>
                <w:szCs w:val="20"/>
                <w:color w:val="auto"/>
              </w:rPr>
            </w:pPr>
            <w:r>
              <w:rPr>
                <w:rFonts w:ascii="Arial" w:cs="Arial" w:eastAsia="Arial" w:hAnsi="Arial"/>
                <w:sz w:val="14"/>
                <w:szCs w:val="14"/>
                <w:i w:val="1"/>
                <w:iCs w:val="1"/>
                <w:color w:val="auto"/>
              </w:rPr>
              <w:t>store data</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July 2, 2022</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July 3, 2021</w:t>
            </w:r>
          </w:p>
        </w:tc>
        <w:tc>
          <w:tcPr>
            <w:tcW w:w="108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July 2, 2022</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July 3, 2021</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Owned &amp; Host segment</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gridSpan w:val="2"/>
          </w:tcPr>
          <w:p>
            <w:pPr>
              <w:ind w:left="20"/>
              <w:spacing w:after="0"/>
              <w:rPr>
                <w:sz w:val="20"/>
                <w:szCs w:val="20"/>
                <w:color w:val="auto"/>
              </w:rPr>
            </w:pPr>
            <w:r>
              <w:rPr>
                <w:rFonts w:ascii="Arial" w:cs="Arial" w:eastAsia="Arial" w:hAnsi="Arial"/>
                <w:sz w:val="15"/>
                <w:szCs w:val="15"/>
                <w:color w:val="auto"/>
              </w:rPr>
              <w:t>America’s Best</w:t>
            </w:r>
          </w:p>
        </w:tc>
        <w:tc>
          <w:tcPr>
            <w:tcW w:w="1140" w:type="dxa"/>
            <w:vAlign w:val="bottom"/>
          </w:tcPr>
          <w:p>
            <w:pPr>
              <w:jc w:val="right"/>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54.9 %</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872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706,404</w:t>
            </w:r>
          </w:p>
        </w:tc>
        <w:tc>
          <w:tcPr>
            <w:tcW w:w="600" w:type="dxa"/>
            <w:vAlign w:val="bottom"/>
          </w:tcPr>
          <w:p>
            <w:pPr>
              <w:jc w:val="right"/>
              <w:spacing w:after="0"/>
              <w:rPr>
                <w:sz w:val="20"/>
                <w:szCs w:val="20"/>
                <w:color w:val="auto"/>
              </w:rPr>
            </w:pPr>
            <w:r>
              <w:rPr>
                <w:rFonts w:ascii="Arial" w:cs="Arial" w:eastAsia="Arial" w:hAnsi="Arial"/>
                <w:sz w:val="15"/>
                <w:szCs w:val="15"/>
                <w:color w:val="auto"/>
              </w:rPr>
              <w:t>68.1 %</w:t>
            </w:r>
          </w:p>
        </w:tc>
        <w:tc>
          <w:tcPr>
            <w:tcW w:w="8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84"/>
              <w:spacing w:after="0"/>
              <w:rPr>
                <w:sz w:val="20"/>
                <w:szCs w:val="20"/>
                <w:color w:val="auto"/>
              </w:rPr>
            </w:pPr>
            <w:r>
              <w:rPr>
                <w:rFonts w:ascii="Arial" w:cs="Arial" w:eastAsia="Arial" w:hAnsi="Arial"/>
                <w:sz w:val="15"/>
                <w:szCs w:val="15"/>
                <w:color w:val="auto"/>
              </w:rPr>
              <w:t>755,201</w:t>
            </w:r>
          </w:p>
        </w:tc>
        <w:tc>
          <w:tcPr>
            <w:tcW w:w="600" w:type="dxa"/>
            <w:vAlign w:val="bottom"/>
          </w:tcPr>
          <w:p>
            <w:pPr>
              <w:jc w:val="right"/>
              <w:spacing w:after="0"/>
              <w:rPr>
                <w:sz w:val="20"/>
                <w:szCs w:val="20"/>
                <w:color w:val="auto"/>
              </w:rPr>
            </w:pPr>
            <w:r>
              <w:rPr>
                <w:rFonts w:ascii="Arial" w:cs="Arial" w:eastAsia="Arial" w:hAnsi="Arial"/>
                <w:sz w:val="15"/>
                <w:szCs w:val="15"/>
                <w:color w:val="auto"/>
              </w:rPr>
              <w:t>69.7 %</w:t>
            </w:r>
          </w:p>
        </w:tc>
        <w:tc>
          <w:tcPr>
            <w:tcW w:w="0" w:type="dxa"/>
            <w:vAlign w:val="bottom"/>
          </w:tcPr>
          <w:p>
            <w:pPr>
              <w:spacing w:after="0"/>
              <w:rPr>
                <w:sz w:val="1"/>
                <w:szCs w:val="1"/>
                <w:color w:val="auto"/>
              </w:rPr>
            </w:pPr>
          </w:p>
        </w:tc>
      </w:tr>
      <w:tr>
        <w:trPr>
          <w:trHeight w:val="207"/>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Eyeglass World</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57.1 %</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113,002</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10.9 %</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rPr>
              <w:t>118,836</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11.0 %</w:t>
            </w:r>
          </w:p>
        </w:tc>
        <w:tc>
          <w:tcPr>
            <w:tcW w:w="0" w:type="dxa"/>
            <w:vAlign w:val="bottom"/>
          </w:tcPr>
          <w:p>
            <w:pPr>
              <w:spacing w:after="0"/>
              <w:rPr>
                <w:sz w:val="1"/>
                <w:szCs w:val="1"/>
                <w:color w:val="auto"/>
              </w:rPr>
            </w:pPr>
          </w:p>
        </w:tc>
      </w:tr>
      <w:tr>
        <w:trPr>
          <w:trHeight w:val="198"/>
        </w:trPr>
        <w:tc>
          <w:tcPr>
            <w:tcW w:w="2400" w:type="dxa"/>
            <w:vAlign w:val="bottom"/>
            <w:gridSpan w:val="2"/>
          </w:tcPr>
          <w:p>
            <w:pPr>
              <w:ind w:left="20"/>
              <w:spacing w:after="0"/>
              <w:rPr>
                <w:sz w:val="20"/>
                <w:szCs w:val="20"/>
                <w:color w:val="auto"/>
              </w:rPr>
            </w:pPr>
            <w:r>
              <w:rPr>
                <w:rFonts w:ascii="Arial" w:cs="Arial" w:eastAsia="Arial" w:hAnsi="Arial"/>
                <w:sz w:val="15"/>
                <w:szCs w:val="15"/>
                <w:color w:val="auto"/>
              </w:rPr>
              <w:t>Military</w:t>
            </w:r>
          </w:p>
        </w:tc>
        <w:tc>
          <w:tcPr>
            <w:tcW w:w="1140" w:type="dxa"/>
            <w:vAlign w:val="bottom"/>
          </w:tcPr>
          <w:p>
            <w:pPr>
              <w:jc w:val="right"/>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38.1 %</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11,625</w:t>
            </w:r>
          </w:p>
        </w:tc>
        <w:tc>
          <w:tcPr>
            <w:tcW w:w="600" w:type="dxa"/>
            <w:vAlign w:val="bottom"/>
          </w:tcPr>
          <w:p>
            <w:pPr>
              <w:jc w:val="right"/>
              <w:spacing w:after="0"/>
              <w:rPr>
                <w:sz w:val="20"/>
                <w:szCs w:val="20"/>
                <w:color w:val="auto"/>
              </w:rPr>
            </w:pPr>
            <w:r>
              <w:rPr>
                <w:rFonts w:ascii="Arial" w:cs="Arial" w:eastAsia="Arial" w:hAnsi="Arial"/>
                <w:sz w:val="15"/>
                <w:szCs w:val="15"/>
                <w:color w:val="auto"/>
              </w:rPr>
              <w:t>1.1 %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384"/>
              <w:spacing w:after="0"/>
              <w:rPr>
                <w:sz w:val="20"/>
                <w:szCs w:val="20"/>
                <w:color w:val="auto"/>
              </w:rPr>
            </w:pPr>
            <w:r>
              <w:rPr>
                <w:rFonts w:ascii="Arial" w:cs="Arial" w:eastAsia="Arial" w:hAnsi="Arial"/>
                <w:sz w:val="15"/>
                <w:szCs w:val="15"/>
                <w:color w:val="auto"/>
              </w:rPr>
              <w:t>12,246</w:t>
            </w:r>
          </w:p>
        </w:tc>
        <w:tc>
          <w:tcPr>
            <w:tcW w:w="600" w:type="dxa"/>
            <w:vAlign w:val="bottom"/>
          </w:tcPr>
          <w:p>
            <w:pPr>
              <w:jc w:val="right"/>
              <w:spacing w:after="0"/>
              <w:rPr>
                <w:sz w:val="20"/>
                <w:szCs w:val="20"/>
                <w:color w:val="auto"/>
              </w:rPr>
            </w:pPr>
            <w:r>
              <w:rPr>
                <w:rFonts w:ascii="Arial" w:cs="Arial" w:eastAsia="Arial" w:hAnsi="Arial"/>
                <w:sz w:val="15"/>
                <w:szCs w:val="15"/>
                <w:color w:val="auto"/>
              </w:rPr>
              <w:t>1.1 %</w:t>
            </w:r>
          </w:p>
        </w:tc>
        <w:tc>
          <w:tcPr>
            <w:tcW w:w="0" w:type="dxa"/>
            <w:vAlign w:val="bottom"/>
          </w:tcPr>
          <w:p>
            <w:pPr>
              <w:spacing w:after="0"/>
              <w:rPr>
                <w:sz w:val="1"/>
                <w:szCs w:val="1"/>
                <w:color w:val="auto"/>
              </w:rPr>
            </w:pPr>
          </w:p>
        </w:tc>
      </w:tr>
      <w:tr>
        <w:trPr>
          <w:trHeight w:val="207"/>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Fred Meyer</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36.1 %</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rPr>
              <w:t>6,046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rPr>
              <w:t>6,321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0" w:type="dxa"/>
            <w:vAlign w:val="bottom"/>
          </w:tcPr>
          <w:p>
            <w:pPr>
              <w:spacing w:after="0"/>
              <w:rPr>
                <w:sz w:val="1"/>
                <w:szCs w:val="1"/>
                <w:color w:val="auto"/>
              </w:rPr>
            </w:pPr>
          </w:p>
        </w:tc>
      </w:tr>
      <w:tr>
        <w:trPr>
          <w:trHeight w:val="192"/>
        </w:trPr>
        <w:tc>
          <w:tcPr>
            <w:tcW w:w="2400" w:type="dxa"/>
            <w:vAlign w:val="bottom"/>
            <w:gridSpan w:val="2"/>
          </w:tcPr>
          <w:p>
            <w:pPr>
              <w:ind w:left="20"/>
              <w:spacing w:after="0"/>
              <w:rPr>
                <w:sz w:val="20"/>
                <w:szCs w:val="20"/>
                <w:color w:val="auto"/>
              </w:rPr>
            </w:pPr>
            <w:r>
              <w:rPr>
                <w:rFonts w:ascii="Arial" w:cs="Arial" w:eastAsia="Arial" w:hAnsi="Arial"/>
                <w:sz w:val="15"/>
                <w:szCs w:val="15"/>
                <w:color w:val="auto"/>
              </w:rPr>
              <w:t>Owned &amp; Host segment total</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1,084</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1,019</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837,077</w:t>
            </w:r>
          </w:p>
        </w:tc>
        <w:tc>
          <w:tcPr>
            <w:tcW w:w="600" w:type="dxa"/>
            <w:vAlign w:val="bottom"/>
          </w:tcPr>
          <w:p>
            <w:pPr>
              <w:jc w:val="right"/>
              <w:spacing w:after="0"/>
              <w:rPr>
                <w:sz w:val="20"/>
                <w:szCs w:val="20"/>
                <w:color w:val="auto"/>
              </w:rPr>
            </w:pPr>
            <w:r>
              <w:rPr>
                <w:rFonts w:ascii="Arial" w:cs="Arial" w:eastAsia="Arial" w:hAnsi="Arial"/>
                <w:sz w:val="15"/>
                <w:szCs w:val="15"/>
                <w:color w:val="auto"/>
              </w:rPr>
              <w:t>80.7 %</w:t>
            </w:r>
          </w:p>
        </w:tc>
        <w:tc>
          <w:tcPr>
            <w:tcW w:w="80" w:type="dxa"/>
            <w:vAlign w:val="bottom"/>
          </w:tcPr>
          <w:p>
            <w:pPr>
              <w:spacing w:after="0"/>
              <w:rPr>
                <w:sz w:val="16"/>
                <w:szCs w:val="16"/>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84"/>
              <w:spacing w:after="0"/>
              <w:rPr>
                <w:sz w:val="20"/>
                <w:szCs w:val="20"/>
                <w:color w:val="auto"/>
              </w:rPr>
            </w:pPr>
            <w:r>
              <w:rPr>
                <w:rFonts w:ascii="Arial" w:cs="Arial" w:eastAsia="Arial" w:hAnsi="Arial"/>
                <w:sz w:val="15"/>
                <w:szCs w:val="15"/>
                <w:color w:val="auto"/>
              </w:rPr>
              <w:t>892,604</w:t>
            </w:r>
          </w:p>
        </w:tc>
        <w:tc>
          <w:tcPr>
            <w:tcW w:w="600" w:type="dxa"/>
            <w:vAlign w:val="bottom"/>
          </w:tcPr>
          <w:p>
            <w:pPr>
              <w:jc w:val="right"/>
              <w:spacing w:after="0"/>
              <w:rPr>
                <w:sz w:val="20"/>
                <w:szCs w:val="20"/>
                <w:color w:val="auto"/>
              </w:rPr>
            </w:pPr>
            <w:r>
              <w:rPr>
                <w:rFonts w:ascii="Arial" w:cs="Arial" w:eastAsia="Arial" w:hAnsi="Arial"/>
                <w:sz w:val="15"/>
                <w:szCs w:val="15"/>
                <w:color w:val="auto"/>
              </w:rPr>
              <w:t>82.4 %</w:t>
            </w:r>
          </w:p>
        </w:tc>
        <w:tc>
          <w:tcPr>
            <w:tcW w:w="0" w:type="dxa"/>
            <w:vAlign w:val="bottom"/>
          </w:tcPr>
          <w:p>
            <w:pPr>
              <w:spacing w:after="0"/>
              <w:rPr>
                <w:sz w:val="1"/>
                <w:szCs w:val="1"/>
                <w:color w:val="auto"/>
              </w:rPr>
            </w:pPr>
          </w:p>
        </w:tc>
      </w:tr>
      <w:tr>
        <w:trPr>
          <w:trHeight w:val="206"/>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Legacy segment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42.6 %</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79,995</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7.7 %</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rPr>
              <w:t>87,182</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00"/>
        </w:trPr>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Corporate/Other</w:t>
            </w:r>
          </w:p>
        </w:tc>
        <w:tc>
          <w:tcPr>
            <w:tcW w:w="122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123,582</w:t>
            </w:r>
          </w:p>
        </w:tc>
        <w:tc>
          <w:tcPr>
            <w:tcW w:w="600" w:type="dxa"/>
            <w:vAlign w:val="bottom"/>
          </w:tcPr>
          <w:p>
            <w:pPr>
              <w:jc w:val="right"/>
              <w:spacing w:after="0"/>
              <w:rPr>
                <w:sz w:val="20"/>
                <w:szCs w:val="20"/>
                <w:color w:val="auto"/>
              </w:rPr>
            </w:pPr>
            <w:r>
              <w:rPr>
                <w:rFonts w:ascii="Arial" w:cs="Arial" w:eastAsia="Arial" w:hAnsi="Arial"/>
                <w:sz w:val="15"/>
                <w:szCs w:val="15"/>
                <w:color w:val="auto"/>
              </w:rPr>
              <w:t>11.9 %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384"/>
              <w:spacing w:after="0"/>
              <w:rPr>
                <w:sz w:val="20"/>
                <w:szCs w:val="20"/>
                <w:color w:val="auto"/>
              </w:rPr>
            </w:pPr>
            <w:r>
              <w:rPr>
                <w:rFonts w:ascii="Arial" w:cs="Arial" w:eastAsia="Arial" w:hAnsi="Arial"/>
                <w:sz w:val="15"/>
                <w:szCs w:val="15"/>
                <w:color w:val="auto"/>
              </w:rPr>
              <w:t>122,738</w:t>
            </w:r>
          </w:p>
        </w:tc>
        <w:tc>
          <w:tcPr>
            <w:tcW w:w="600" w:type="dxa"/>
            <w:vAlign w:val="bottom"/>
          </w:tcPr>
          <w:p>
            <w:pPr>
              <w:jc w:val="right"/>
              <w:spacing w:after="0"/>
              <w:rPr>
                <w:sz w:val="20"/>
                <w:szCs w:val="20"/>
                <w:color w:val="auto"/>
              </w:rPr>
            </w:pPr>
            <w:r>
              <w:rPr>
                <w:rFonts w:ascii="Arial" w:cs="Arial" w:eastAsia="Arial" w:hAnsi="Arial"/>
                <w:sz w:val="15"/>
                <w:szCs w:val="15"/>
                <w:color w:val="auto"/>
              </w:rPr>
              <w:t>11.3 %</w:t>
            </w: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Reconciliations</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(3,388)</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rPr>
              <w:t>(18,855)</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98"/>
        </w:trPr>
        <w:tc>
          <w:tcPr>
            <w:tcW w:w="240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140" w:type="dxa"/>
            <w:vAlign w:val="bottom"/>
          </w:tcPr>
          <w:p>
            <w:pPr>
              <w:jc w:val="right"/>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48.9 %</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1,314</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color w:val="auto"/>
              </w:rPr>
              <w:t>1,037,266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5"/>
                <w:szCs w:val="15"/>
                <w:color w:val="auto"/>
                <w:w w:val="89"/>
              </w:rPr>
              <w:t>1,083,669</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0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3"/>
                <w:szCs w:val="13"/>
                <w:color w:val="auto"/>
              </w:rPr>
              <w:t>Adjusted Comparable Store Sales</w:t>
            </w: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5"/>
                <w:szCs w:val="15"/>
                <w:color w:val="auto"/>
              </w:rPr>
              <w:t>Growth</w:t>
            </w:r>
            <w:r>
              <w:rPr>
                <w:rFonts w:ascii="Arial" w:cs="Arial" w:eastAsia="Arial" w:hAnsi="Arial"/>
                <w:sz w:val="19"/>
                <w:szCs w:val="19"/>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660" w:right="660" w:hanging="328"/>
        <w:spacing w:after="0" w:line="281" w:lineRule="auto"/>
        <w:tabs>
          <w:tab w:leader="none" w:pos="652"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9" w:lineRule="exact"/>
        <w:rPr>
          <w:rFonts w:ascii="Arial" w:cs="Arial" w:eastAsia="Arial" w:hAnsi="Arial"/>
          <w:sz w:val="14"/>
          <w:szCs w:val="14"/>
          <w:color w:val="auto"/>
        </w:rPr>
      </w:pPr>
    </w:p>
    <w:p>
      <w:pPr>
        <w:jc w:val="both"/>
        <w:ind w:left="660" w:right="640" w:hanging="328"/>
        <w:spacing w:after="0" w:line="261" w:lineRule="auto"/>
        <w:tabs>
          <w:tab w:leader="none" w:pos="6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1.4% and an increase of 4.4% from total comparable store sales growth based on consolidated net revenue for the six months ended July 2, 2022 and July 3, 2021, respectively, and (ii) Adjusted Comparable Store Sales Growth includes retail sales to the Legacy partner’s customers (rather than the revenues recognized consistent with the management &amp; services agreement with the Legacy partner), resulting in a decrease of 0.2% from total comparable store sales growth based on consolidated net revenue for the six months ended July 2, 2022.</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revenue of $1,037.3 million for the six months ended July 2, 2022 decreased $46.4 million, or 4.3%, from $1,083.7 million for the six months ended July 3, 2021. The decrease was driven primarily by reduced Adjusted Comparable Store Sales Growth, partially offset by growth from new store sales and recognition of deferred revenue.</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six months ended July 2, 2022, we opened 35 new America’s Best stores and four Eyeglass World stores, and closed three America’s Best stores; Overall, store count grew 5.2% from July 3, 2021 to July 2, 2022 (59, and six net new America’s Best and Eyeglass World stores were added, respectively).</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Comparable store sales growth and Adjusted Comparable Store Sales Growth for the six months ended July 2, 2022 were (8.0)% and (9.6)%, respectively, primarily due to a decrease in customer transactions and, to a lesser extent, lower average ticket. Comparable store sales growth and Adjusted Comparable Store Sales Growth were negative during the six months ended July 2, 2022 due to overall economic trends impacting customer demand, constraints affecting exam capacity in certain markets and the Omicron COVID-19 variant impacting customer transactions.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product sales comprised 82.4% and 83.2% of total net revenue for the six months ended July 2, 2022 and July 3, 2021, respectively. Net product sales decreased $46.4 million, or 5.2%, in the six months ended July 2, 2022 compared to the six months ended July 3, 2021, primarily due to a $49.8 million, or 7.8% decrease in eyeglass sales which was partially offset by a $2.3 million, or 1.2% increase in contact lens sales.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of services and plans for the six months ended July 2, 2022 did not change materially compared to the six months ended July 3, 2021, as higher product protection plan revenue was offset by lower management fees from our Legacy partner.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decreased $55.5 million, or 6.2%, driven primarily by negative comparable store sales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new store openings.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decreased $7.2 million, or 8.2%, driven by negative comparable store sales growth.</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Corporate/Other segment net revenue. </w:t>
      </w:r>
      <w:r>
        <w:rPr>
          <w:rFonts w:ascii="Arial" w:cs="Arial" w:eastAsia="Arial" w:hAnsi="Arial"/>
          <w:sz w:val="17"/>
          <w:szCs w:val="17"/>
          <w:color w:val="auto"/>
        </w:rPr>
        <w:t>Net revenue increased $0.8 million, or 0.7%, driven primarily by increases in wholesale fulfillment.</w:t>
      </w:r>
    </w:p>
    <w:p>
      <w:pPr>
        <w:spacing w:after="0" w:line="1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The impact of reconciliations positively impacted net revenue by $15.5 million in the six months ended July 2,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six months ended July 3, 2021. Net revenue was positively impacted by $1.9 million due to the timing of unearned revenue. Net revenue was positively impacted by $13.5 million due to lower sales of product protection plan and club memberships in the six months ended July 2,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$470.6 million for the six months ended July 2, 2022 increased $10.0 million, or 2.2%, from $460.6 million for the six months ended July 3, 2021. As a percentage of net revenue, costs applicable to revenue increased from 42.5% for the six months ended July 3, 2021 to 45.4% for the six months ended July 2, 2022. This increase as a percentage of net revenue was primarily driven by higher optometrist-related costs, reduced eyeglass mix and lower eyeglass margin.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of products as a percentage of net product sales increased from 36.3% for the six months ended July 3, 2021 to 38.3% for the six months ended July 2, 2022, primarily driven by reduced eyeglass mix and lower eyeglass margin.</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increased from 26.8% for the six months ended July 3,</w:t>
      </w:r>
      <w:r>
        <w:rPr>
          <w:rFonts w:ascii="Arial" w:cs="Arial" w:eastAsia="Arial" w:hAnsi="Arial"/>
          <w:sz w:val="18"/>
          <w:szCs w:val="18"/>
          <w:i w:val="1"/>
          <w:iCs w:val="1"/>
          <w:color w:val="auto"/>
        </w:rPr>
        <w:t xml:space="preserve"> </w:t>
      </w:r>
      <w:r>
        <w:rPr>
          <w:rFonts w:ascii="Arial" w:cs="Arial" w:eastAsia="Arial" w:hAnsi="Arial"/>
          <w:sz w:val="18"/>
          <w:szCs w:val="18"/>
          <w:color w:val="auto"/>
        </w:rPr>
        <w:t>2021 to 28.7% for the six months ended July 2, 2022 driven by reduced eyeglass mix and lower eyeglass margin.</w:t>
      </w:r>
    </w:p>
    <w:p>
      <w:pPr>
        <w:spacing w:after="0" w:line="6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Legacy segment costs of products. </w:t>
      </w:r>
      <w:r>
        <w:rPr>
          <w:rFonts w:ascii="Arial" w:cs="Arial" w:eastAsia="Arial" w:hAnsi="Arial"/>
          <w:sz w:val="16"/>
          <w:szCs w:val="16"/>
          <w:color w:val="auto"/>
        </w:rPr>
        <w:t>Costs of products as a percentage of net product sales decreased from 47.5% for the six months ended July 3, 2021</w:t>
      </w:r>
      <w:r>
        <w:rPr>
          <w:rFonts w:ascii="Arial" w:cs="Arial" w:eastAsia="Arial" w:hAnsi="Arial"/>
          <w:sz w:val="16"/>
          <w:szCs w:val="16"/>
          <w:i w:val="1"/>
          <w:iCs w:val="1"/>
          <w:color w:val="auto"/>
        </w:rPr>
        <w:t xml:space="preserve"> </w:t>
      </w:r>
      <w:r>
        <w:rPr>
          <w:rFonts w:ascii="Arial" w:cs="Arial" w:eastAsia="Arial" w:hAnsi="Arial"/>
          <w:sz w:val="16"/>
          <w:szCs w:val="16"/>
          <w:color w:val="auto"/>
        </w:rPr>
        <w:t>to 47.0% for the six months ended July 2, 2022.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increased from 73.4% for the six months ended July 3, 2021 to 78.4% for the six months ended July 2, 2022. The increase was primarily driven by higher growth in optometrist-related costs which were partially offset by higher eye exam revenue.</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increased from 74.9%</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July 3, 2021 to 85.5% for the six months ended July 2, 2022. The increase was primarily driven by higher optometrist-related costs which were partially offset by higher eye exam revenue.</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increased from 38.5%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July 3, 2021 to 43.1% for the six months ended July 2, 2022. The increase was primarily driven by higher growth in optometrist-related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of $456.4 million for the six months ended July 2, 2022 decreased $1.4 million, or 0.3%, from the six months ended July 3, 2021. As a percentage of net revenue, SG&amp;A increased from 42.2% for the six months ended July 3, 2021 to 44.0% for the six months ended July 2, 2022. The increase in SG&amp;A as a percentage of net revenue was primarily driven by store payroll and occupancy expense, partially offset by lower performance-based incentive compensation. SG&amp;A for the six months ended July 2, 2022 and July 3, 2021 includes $0.4 million and $0.7 million, respectively, of incremental costs directly related to adapting the Company’s operations during the COVID-19 pandemic.</w:t>
      </w:r>
    </w:p>
    <w:p>
      <w:pPr>
        <w:spacing w:after="0" w:line="8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increased from 34.6% for the six months ended July 3, 2021 to 37.5%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2, 2022, driven primarily by higher payroll and occupancy expense.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33.4% for the six months ended July 3, 2021 to 37.3%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2, 2022 driven primarily by higher payroll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of $50.4 million for the six months ended July 2, 2022 increased $2.8 million, or 5.9%, from $47.6 million for the six months ended July 3, 2021 primarily driven by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recognized $3.9 million for impairment of tangible long-lived assets and ROU assets associated with our retail stores during the six months ended July 2, 2022 compared to $1.5 million recognized during the six months ended July 3, 2021.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(income), net was $(0.2) million for the six months ended July 2, 2022, compared to $16.5 million for the six months ended July 3,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was primarily driven by gains on our interest rate collar as a result of increasing interest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rates for the six months ended July 2, 2022 and July 3, 2021 were 28.6% and 18.8%, respectively, reflecting our statutory federal and state rate of 25.5% and effects of other permanent items as well as a stranded tax effect of $2.1 million associated with our matured interest rate swaps during the six months ended July 3,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define Adjusted Operating Income as net income, plus interest expense (income), net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and certain other expenses. We define Adjusted Operating Margin as Adjusted Operating Income as a percentage of net revenue. We define EBITDA as net income, plus interest expense (income), net, income tax provision (benefit) and depreciation and amortization. We define Adjusted EBITDA as net income, plus interest expense (income), net, income tax provision (benefit) and depreciation and amortization, further adjusted to exclude stock compensation expense, loss on extinguishment of debt, asset impairment, litigation settlement, secondary offering expenses, management realignment expenses, long-term incentive plan expenses, and certain other expenses. We define Adjusted EBITDA Margin as Adjusted EBITDA as a percentage of net revenue. We define Adjusted Diluted EPS as diluted earnings per share, adjusted for the per share impact of stock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 losses (gains) on change in fair value of derivatives, certain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(income), or the cash requirements necessary to service interest or principal payments, on our debt;</w:t>
      </w:r>
    </w:p>
    <w:p>
      <w:pPr>
        <w:ind w:left="660" w:right="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provision or the cash necessary to pay income taxes;</w:t>
      </w: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reconciles our Adjusted Operating Income, Adjusted Operating Margin, EBITDA, Adjusted EBITDA, Adjusted EBITDA Margin to net income; and Adjusted Diluted EPS for the periods presented: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128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color w:val="auto"/>
              </w:rPr>
              <w:t>Three Months Ended</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color w:val="auto"/>
              </w:rPr>
              <w:t>Six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color w:val="auto"/>
              </w:rPr>
              <w:t>July 2, 2022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July 3, 2021</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rPr>
              <w:t>July 2, 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w w:val="94"/>
              </w:rPr>
              <w:t>July 3, 2021</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2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81,033</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7.5 %</w:t>
            </w:r>
          </w:p>
        </w:tc>
        <w:tc>
          <w:tcPr>
            <w:tcW w:w="0" w:type="dxa"/>
            <w:vAlign w:val="bottom"/>
          </w:tcPr>
          <w:p>
            <w:pPr>
              <w:spacing w:after="0"/>
              <w:rPr>
                <w:sz w:val="1"/>
                <w:szCs w:val="1"/>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Interest expense (income)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10,188</w:t>
            </w:r>
          </w:p>
        </w:tc>
        <w:tc>
          <w:tcPr>
            <w:tcW w:w="2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7"/>
              </w:rPr>
              <w:t>16,518</w:t>
            </w:r>
          </w:p>
        </w:tc>
        <w:tc>
          <w:tcPr>
            <w:tcW w:w="260" w:type="dxa"/>
            <w:vAlign w:val="bottom"/>
          </w:tcPr>
          <w:p>
            <w:pPr>
              <w:spacing w:after="0"/>
              <w:rPr>
                <w:sz w:val="19"/>
                <w:szCs w:val="19"/>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color w:val="auto"/>
                <w:w w:val="91"/>
              </w:rPr>
              <w:t>1.5 %</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18,726</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1.7 %</w:t>
            </w:r>
          </w:p>
        </w:tc>
        <w:tc>
          <w:tcPr>
            <w:tcW w:w="0" w:type="dxa"/>
            <w:vAlign w:val="bottom"/>
          </w:tcPr>
          <w:p>
            <w:pPr>
              <w:spacing w:after="0"/>
              <w:rPr>
                <w:sz w:val="1"/>
                <w:szCs w:val="1"/>
                <w:color w:val="auto"/>
              </w:rPr>
            </w:pPr>
          </w:p>
        </w:tc>
      </w:tr>
      <w:tr>
        <w:trPr>
          <w:trHeight w:val="229"/>
        </w:trPr>
        <w:tc>
          <w:tcPr>
            <w:tcW w:w="3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7,213</w:t>
            </w:r>
          </w:p>
        </w:tc>
        <w:tc>
          <w:tcPr>
            <w:tcW w:w="2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7,372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7"/>
              </w:rPr>
              <w:t>10,201</w:t>
            </w:r>
          </w:p>
        </w:tc>
        <w:tc>
          <w:tcPr>
            <w:tcW w:w="260" w:type="dxa"/>
            <w:vAlign w:val="bottom"/>
          </w:tcPr>
          <w:p>
            <w:pPr>
              <w:spacing w:after="0"/>
              <w:rPr>
                <w:sz w:val="19"/>
                <w:szCs w:val="19"/>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color w:val="auto"/>
                <w:w w:val="91"/>
              </w:rPr>
              <w:t>0.9 %</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229"/>
        </w:trPr>
        <w:tc>
          <w:tcPr>
            <w:tcW w:w="318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6"/>
              </w:rPr>
              <w:t xml:space="preserve">Amortization of acquisition intangibles </w:t>
            </w:r>
            <w:r>
              <w:rPr>
                <w:rFonts w:ascii="Arial" w:cs="Arial" w:eastAsia="Arial" w:hAnsi="Arial"/>
                <w:sz w:val="23"/>
                <w:szCs w:val="23"/>
                <w:color w:val="auto"/>
                <w:w w:val="96"/>
                <w:vertAlign w:val="superscript"/>
              </w:rPr>
              <w:t>(c)</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3,744</w:t>
            </w:r>
          </w:p>
        </w:tc>
        <w:tc>
          <w:tcPr>
            <w:tcW w:w="260" w:type="dxa"/>
            <w:vAlign w:val="bottom"/>
          </w:tcPr>
          <w:p>
            <w:pPr>
              <w:spacing w:after="0"/>
              <w:rPr>
                <w:sz w:val="19"/>
                <w:szCs w:val="19"/>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color w:val="auto"/>
                <w:w w:val="91"/>
              </w:rPr>
              <w:t>0.3 %</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156"/>
        </w:trPr>
        <w:tc>
          <w:tcPr>
            <w:tcW w:w="3180" w:type="dxa"/>
            <w:vAlign w:val="bottom"/>
            <w:gridSpan w:val="2"/>
          </w:tcPr>
          <w:p>
            <w:pPr>
              <w:ind w:left="140"/>
              <w:spacing w:after="0" w:line="156" w:lineRule="exact"/>
              <w:rPr>
                <w:sz w:val="20"/>
                <w:szCs w:val="20"/>
                <w:color w:val="auto"/>
              </w:rPr>
            </w:pPr>
            <w:r>
              <w:rPr>
                <w:rFonts w:ascii="Arial" w:cs="Arial" w:eastAsia="Arial" w:hAnsi="Arial"/>
                <w:sz w:val="18"/>
                <w:szCs w:val="18"/>
                <w:b w:val="1"/>
                <w:bCs w:val="1"/>
                <w:color w:val="auto"/>
                <w:w w:val="92"/>
              </w:rPr>
              <w:t>Adjusted Operating Income / Adjusted</w:t>
            </w:r>
          </w:p>
        </w:tc>
        <w:tc>
          <w:tcPr>
            <w:tcW w:w="40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27,780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3"/>
            <w:vMerge w:val="restart"/>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65,581</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73,084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4"/>
            <w:vMerge w:val="restart"/>
          </w:tcPr>
          <w:p>
            <w:pPr>
              <w:jc w:val="right"/>
              <w:spacing w:after="0"/>
              <w:rPr>
                <w:sz w:val="20"/>
                <w:szCs w:val="20"/>
                <w:color w:val="auto"/>
              </w:rPr>
            </w:pPr>
            <w:r>
              <w:rPr>
                <w:rFonts w:ascii="Arial" w:cs="Arial" w:eastAsia="Arial" w:hAnsi="Arial"/>
                <w:sz w:val="18"/>
                <w:szCs w:val="18"/>
                <w:color w:val="auto"/>
                <w:w w:val="95"/>
              </w:rPr>
              <w:t>133,249</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 Margin</w:t>
            </w:r>
          </w:p>
        </w:tc>
        <w:tc>
          <w:tcPr>
            <w:tcW w:w="4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5.5 %</w:t>
            </w:r>
          </w:p>
        </w:tc>
        <w:tc>
          <w:tcPr>
            <w:tcW w:w="400" w:type="dxa"/>
            <w:vAlign w:val="bottom"/>
            <w:gridSpan w:val="3"/>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11.9 %</w:t>
            </w:r>
          </w:p>
        </w:tc>
        <w:tc>
          <w:tcPr>
            <w:tcW w:w="320" w:type="dxa"/>
            <w:vAlign w:val="bottom"/>
            <w:gridSpan w:val="3"/>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7.0 %</w:t>
            </w:r>
          </w:p>
        </w:tc>
        <w:tc>
          <w:tcPr>
            <w:tcW w:w="400" w:type="dxa"/>
            <w:vAlign w:val="bottom"/>
            <w:gridSpan w:val="2"/>
            <w:vMerge w:val="continue"/>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
        </w:trPr>
        <w:tc>
          <w:tcPr>
            <w:tcW w:w="3320" w:type="dxa"/>
            <w:vAlign w:val="bottom"/>
            <w:gridSpan w:val="3"/>
            <w:vMerge w:val="restart"/>
          </w:tcPr>
          <w:p>
            <w:pPr>
              <w:ind w:left="60"/>
              <w:spacing w:after="0" w:line="142" w:lineRule="exact"/>
              <w:rPr>
                <w:sz w:val="20"/>
                <w:szCs w:val="20"/>
                <w:color w:val="auto"/>
              </w:rPr>
            </w:pPr>
            <w:r>
              <w:rPr>
                <w:rFonts w:ascii="Arial" w:cs="Arial" w:eastAsia="Arial" w:hAnsi="Arial"/>
                <w:sz w:val="14"/>
                <w:szCs w:val="14"/>
                <w:color w:val="auto"/>
                <w:w w:val="90"/>
              </w:rPr>
              <w:t>Note: Percentages reflect line item as a percentage of net</w:t>
            </w: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gridSpan w:val="3"/>
            <w:vMerge w:val="restart"/>
          </w:tcPr>
          <w:p>
            <w:pPr>
              <w:jc w:val="right"/>
              <w:ind w:right="100"/>
              <w:spacing w:after="0" w:line="142" w:lineRule="exact"/>
              <w:rPr>
                <w:sz w:val="20"/>
                <w:szCs w:val="20"/>
                <w:color w:val="auto"/>
              </w:rPr>
            </w:pPr>
            <w:r>
              <w:rPr>
                <w:rFonts w:ascii="Arial" w:cs="Arial" w:eastAsia="Arial" w:hAnsi="Arial"/>
                <w:sz w:val="14"/>
                <w:szCs w:val="14"/>
                <w:color w:val="auto"/>
              </w:rPr>
              <w:t>for rounding</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3320" w:type="dxa"/>
            <w:vAlign w:val="bottom"/>
            <w:gridSpan w:val="3"/>
            <w:vMerge w:val="continue"/>
          </w:tcPr>
          <w:p>
            <w:pPr>
              <w:spacing w:after="0"/>
              <w:rPr>
                <w:sz w:val="8"/>
                <w:szCs w:val="8"/>
                <w:color w:val="auto"/>
              </w:rPr>
            </w:pPr>
          </w:p>
        </w:tc>
        <w:tc>
          <w:tcPr>
            <w:tcW w:w="960" w:type="dxa"/>
            <w:vAlign w:val="bottom"/>
            <w:gridSpan w:val="3"/>
          </w:tcPr>
          <w:p>
            <w:pPr>
              <w:ind w:left="40"/>
              <w:spacing w:after="0" w:line="102" w:lineRule="exact"/>
              <w:rPr>
                <w:sz w:val="20"/>
                <w:szCs w:val="20"/>
                <w:color w:val="auto"/>
              </w:rPr>
            </w:pPr>
            <w:r>
              <w:rPr>
                <w:rFonts w:ascii="Arial" w:cs="Arial" w:eastAsia="Arial" w:hAnsi="Arial"/>
                <w:sz w:val="11"/>
                <w:szCs w:val="11"/>
                <w:color w:val="auto"/>
              </w:rPr>
              <w:t>revenue, adjusted</w:t>
            </w:r>
          </w:p>
        </w:tc>
        <w:tc>
          <w:tcPr>
            <w:tcW w:w="9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5240" w:type="dxa"/>
            <w:vAlign w:val="bottom"/>
            <w:gridSpan w:val="9"/>
          </w:tcPr>
          <w:p>
            <w:pPr>
              <w:ind w:left="60"/>
              <w:spacing w:after="0"/>
              <w:rPr>
                <w:sz w:val="20"/>
                <w:szCs w:val="20"/>
                <w:color w:val="auto"/>
              </w:rPr>
            </w:pPr>
            <w:r>
              <w:rPr>
                <w:rFonts w:ascii="Arial" w:cs="Arial" w:eastAsia="Arial" w:hAnsi="Arial"/>
                <w:sz w:val="14"/>
                <w:szCs w:val="14"/>
                <w:color w:val="auto"/>
                <w:w w:val="94"/>
              </w:rPr>
              <w:t>Some of the percentage totals in the table above do not foot due to rounding differences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Three Months Ended</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color w:val="auto"/>
              </w:rPr>
              <w:t>Six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8"/>
                <w:szCs w:val="18"/>
                <w:color w:val="auto"/>
              </w:rPr>
              <w:t>July 2, 2022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color w:val="auto"/>
              </w:rPr>
              <w:t>July 3, 2021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5"/>
          </w:tcPr>
          <w:p>
            <w:pPr>
              <w:jc w:val="right"/>
              <w:ind w:right="410"/>
              <w:spacing w:after="0"/>
              <w:rPr>
                <w:sz w:val="20"/>
                <w:szCs w:val="20"/>
                <w:color w:val="auto"/>
              </w:rPr>
            </w:pPr>
            <w:r>
              <w:rPr>
                <w:rFonts w:ascii="Arial" w:cs="Arial" w:eastAsia="Arial" w:hAnsi="Arial"/>
                <w:sz w:val="18"/>
                <w:szCs w:val="18"/>
                <w:color w:val="auto"/>
              </w:rPr>
              <w:t>July 2, 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gridSpan w:val="4"/>
          </w:tcPr>
          <w:p>
            <w:pPr>
              <w:jc w:val="right"/>
              <w:ind w:right="410"/>
              <w:spacing w:after="0"/>
              <w:rPr>
                <w:sz w:val="20"/>
                <w:szCs w:val="20"/>
                <w:color w:val="auto"/>
              </w:rPr>
            </w:pPr>
            <w:r>
              <w:rPr>
                <w:rFonts w:ascii="Arial" w:cs="Arial" w:eastAsia="Arial" w:hAnsi="Arial"/>
                <w:sz w:val="18"/>
                <w:szCs w:val="18"/>
                <w:color w:val="auto"/>
                <w:w w:val="94"/>
              </w:rPr>
              <w:t>July 3, 2021</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39,881</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81,033</w:t>
            </w:r>
          </w:p>
        </w:tc>
        <w:tc>
          <w:tcPr>
            <w:tcW w:w="2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7.5 %</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Interest expense (income)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10,188</w:t>
            </w:r>
          </w:p>
        </w:tc>
        <w:tc>
          <w:tcPr>
            <w:tcW w:w="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7"/>
              </w:rPr>
              <w:t>16,518</w:t>
            </w:r>
          </w:p>
        </w:tc>
        <w:tc>
          <w:tcPr>
            <w:tcW w:w="260" w:type="dxa"/>
            <w:vAlign w:val="bottom"/>
          </w:tcPr>
          <w:p>
            <w:pPr>
              <w:spacing w:after="0"/>
              <w:rPr>
                <w:sz w:val="19"/>
                <w:szCs w:val="19"/>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color w:val="auto"/>
                <w:w w:val="91"/>
              </w:rPr>
              <w:t>1.5 %</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18,726</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1.7 %</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25,245</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24,025</w:t>
            </w: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4.4 %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50,396</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47,580</w:t>
            </w: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center"/>
              <w:ind w:left="90"/>
              <w:spacing w:after="0"/>
              <w:rPr>
                <w:sz w:val="20"/>
                <w:szCs w:val="20"/>
                <w:color w:val="auto"/>
              </w:rPr>
            </w:pPr>
            <w:r>
              <w:rPr>
                <w:rFonts w:ascii="Arial" w:cs="Arial" w:eastAsia="Arial" w:hAnsi="Arial"/>
                <w:sz w:val="18"/>
                <w:szCs w:val="18"/>
                <w:color w:val="auto"/>
                <w:w w:val="91"/>
              </w:rPr>
              <w:t>4.4 %</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78,854</w:t>
            </w: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163,857</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70"/>
        </w:trPr>
        <w:tc>
          <w:tcPr>
            <w:tcW w:w="31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10,201</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0.9 %</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1,478</w:t>
            </w:r>
          </w:p>
        </w:tc>
        <w:tc>
          <w:tcPr>
            <w:tcW w:w="260" w:type="dxa"/>
            <w:vAlign w:val="bottom"/>
          </w:tcPr>
          <w:p>
            <w:pPr>
              <w:spacing w:after="0"/>
              <w:rPr>
                <w:sz w:val="19"/>
                <w:szCs w:val="19"/>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164"/>
        </w:trPr>
        <w:tc>
          <w:tcPr>
            <w:tcW w:w="3180" w:type="dxa"/>
            <w:vAlign w:val="bottom"/>
            <w:gridSpan w:val="2"/>
          </w:tcPr>
          <w:p>
            <w:pPr>
              <w:ind w:left="140"/>
              <w:spacing w:after="0" w:line="164" w:lineRule="exact"/>
              <w:rPr>
                <w:sz w:val="20"/>
                <w:szCs w:val="20"/>
                <w:color w:val="auto"/>
              </w:rPr>
            </w:pPr>
            <w:r>
              <w:rPr>
                <w:rFonts w:ascii="Arial" w:cs="Arial" w:eastAsia="Arial" w:hAnsi="Arial"/>
                <w:sz w:val="18"/>
                <w:szCs w:val="18"/>
                <w:b w:val="1"/>
                <w:bCs w:val="1"/>
                <w:color w:val="auto"/>
                <w:w w:val="96"/>
              </w:rPr>
              <w:t>Adjusted EBITDA / Adjusted EBITDA</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51,153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3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87,735</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2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119,736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vMerge w:val="restart"/>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4"/>
            <w:vMerge w:val="restart"/>
          </w:tcPr>
          <w:p>
            <w:pPr>
              <w:jc w:val="right"/>
              <w:spacing w:after="0"/>
              <w:rPr>
                <w:sz w:val="20"/>
                <w:szCs w:val="20"/>
                <w:color w:val="auto"/>
              </w:rPr>
            </w:pPr>
            <w:r>
              <w:rPr>
                <w:rFonts w:ascii="Arial" w:cs="Arial" w:eastAsia="Arial" w:hAnsi="Arial"/>
                <w:sz w:val="18"/>
                <w:szCs w:val="18"/>
                <w:color w:val="auto"/>
                <w:w w:val="95"/>
              </w:rPr>
              <w:t>177,085</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1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Margin</w:t>
            </w:r>
          </w:p>
        </w:tc>
        <w:tc>
          <w:tcPr>
            <w:tcW w:w="1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320" w:type="dxa"/>
            <w:vAlign w:val="bottom"/>
            <w:tcBorders>
              <w:bottom w:val="single" w:sz="8" w:color="auto"/>
            </w:tcBorders>
            <w:gridSpan w:val="2"/>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16.0 %</w:t>
            </w:r>
          </w:p>
        </w:tc>
        <w:tc>
          <w:tcPr>
            <w:tcW w:w="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Borders>
              <w:bottom w:val="single" w:sz="8" w:color="auto"/>
            </w:tcBorders>
            <w:gridSpan w:val="2"/>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11.5 %</w:t>
            </w:r>
          </w:p>
        </w:tc>
        <w:tc>
          <w:tcPr>
            <w:tcW w:w="120" w:type="dxa"/>
            <w:vAlign w:val="bottom"/>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ind w:left="140"/>
              <w:spacing w:after="0" w:line="151" w:lineRule="exact"/>
              <w:rPr>
                <w:sz w:val="20"/>
                <w:szCs w:val="20"/>
                <w:color w:val="auto"/>
              </w:rPr>
            </w:pPr>
            <w:r>
              <w:rPr>
                <w:rFonts w:ascii="Arial" w:cs="Arial" w:eastAsia="Arial" w:hAnsi="Arial"/>
                <w:sz w:val="14"/>
                <w:szCs w:val="14"/>
                <w:color w:val="auto"/>
                <w:w w:val="90"/>
              </w:rPr>
              <w:t>Note: Percentages reflect line item as a percentage of</w:t>
            </w:r>
          </w:p>
        </w:tc>
        <w:tc>
          <w:tcPr>
            <w:tcW w:w="1060" w:type="dxa"/>
            <w:vAlign w:val="bottom"/>
            <w:tcBorders>
              <w:bottom w:val="single" w:sz="8" w:color="auto"/>
            </w:tcBorders>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3180" w:type="dxa"/>
            <w:vAlign w:val="bottom"/>
            <w:gridSpan w:val="2"/>
            <w:vMerge w:val="continue"/>
          </w:tcPr>
          <w:p>
            <w:pPr>
              <w:spacing w:after="0"/>
              <w:rPr>
                <w:sz w:val="9"/>
                <w:szCs w:val="9"/>
                <w:color w:val="auto"/>
              </w:rPr>
            </w:pPr>
          </w:p>
        </w:tc>
        <w:tc>
          <w:tcPr>
            <w:tcW w:w="2060" w:type="dxa"/>
            <w:vAlign w:val="bottom"/>
            <w:gridSpan w:val="7"/>
          </w:tcPr>
          <w:p>
            <w:pPr>
              <w:jc w:val="right"/>
              <w:ind w:right="20"/>
              <w:spacing w:after="0" w:line="110" w:lineRule="exact"/>
              <w:rPr>
                <w:sz w:val="20"/>
                <w:szCs w:val="20"/>
                <w:color w:val="auto"/>
              </w:rPr>
            </w:pPr>
            <w:r>
              <w:rPr>
                <w:rFonts w:ascii="Arial" w:cs="Arial" w:eastAsia="Arial" w:hAnsi="Arial"/>
                <w:sz w:val="12"/>
                <w:szCs w:val="12"/>
                <w:color w:val="auto"/>
              </w:rPr>
              <w:t>net revenue, adjusted for rounding</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5240" w:type="dxa"/>
            <w:vAlign w:val="bottom"/>
            <w:gridSpan w:val="9"/>
          </w:tcPr>
          <w:p>
            <w:pPr>
              <w:ind w:left="140"/>
              <w:spacing w:after="0"/>
              <w:rPr>
                <w:sz w:val="20"/>
                <w:szCs w:val="20"/>
                <w:color w:val="auto"/>
              </w:rPr>
            </w:pPr>
            <w:r>
              <w:rPr>
                <w:rFonts w:ascii="Arial" w:cs="Arial" w:eastAsia="Arial" w:hAnsi="Arial"/>
                <w:sz w:val="14"/>
                <w:szCs w:val="14"/>
                <w:color w:val="auto"/>
                <w:w w:val="93"/>
              </w:rPr>
              <w:t>Some of the percentage totals in the table above do not foot due to rounding differences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12"/>
          </w:tcPr>
          <w:p>
            <w:pPr>
              <w:ind w:left="6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2000" w:type="dxa"/>
            <w:vAlign w:val="bottom"/>
            <w:gridSpan w:val="8"/>
          </w:tcPr>
          <w:p>
            <w:pPr>
              <w:ind w:left="580"/>
              <w:spacing w:after="0"/>
              <w:rPr>
                <w:sz w:val="20"/>
                <w:szCs w:val="20"/>
                <w:color w:val="auto"/>
              </w:rPr>
            </w:pPr>
            <w:r>
              <w:rPr>
                <w:rFonts w:ascii="Arial" w:cs="Arial" w:eastAsia="Arial" w:hAnsi="Arial"/>
                <w:sz w:val="18"/>
                <w:szCs w:val="18"/>
                <w:color w:val="auto"/>
                <w:w w:val="95"/>
              </w:rPr>
              <w:t>Six Months Ended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ind w:left="20"/>
              <w:spacing w:after="0"/>
              <w:rPr>
                <w:sz w:val="20"/>
                <w:szCs w:val="20"/>
                <w:color w:val="auto"/>
              </w:rPr>
            </w:pPr>
            <w:r>
              <w:rPr>
                <w:rFonts w:ascii="Arial" w:cs="Arial" w:eastAsia="Arial" w:hAnsi="Arial"/>
                <w:sz w:val="18"/>
                <w:szCs w:val="18"/>
                <w:i w:val="1"/>
                <w:iCs w:val="1"/>
                <w:color w:val="auto"/>
                <w:w w:val="97"/>
              </w:rPr>
              <w:t>In thousands, except per share amounts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Borders>
              <w:top w:val="single" w:sz="8" w:color="auto"/>
            </w:tcBorders>
            <w:gridSpan w:val="4"/>
          </w:tcPr>
          <w:p>
            <w:pPr>
              <w:ind w:left="220"/>
              <w:spacing w:after="0"/>
              <w:rPr>
                <w:sz w:val="20"/>
                <w:szCs w:val="20"/>
                <w:color w:val="auto"/>
              </w:rPr>
            </w:pPr>
            <w:r>
              <w:rPr>
                <w:rFonts w:ascii="Arial" w:cs="Arial" w:eastAsia="Arial" w:hAnsi="Arial"/>
                <w:sz w:val="18"/>
                <w:szCs w:val="18"/>
                <w:color w:val="auto"/>
              </w:rPr>
              <w:t>July 2, 2022</w:t>
            </w: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5"/>
          </w:tcPr>
          <w:p>
            <w:pPr>
              <w:jc w:val="right"/>
              <w:ind w:right="220"/>
              <w:spacing w:after="0"/>
              <w:rPr>
                <w:sz w:val="20"/>
                <w:szCs w:val="20"/>
                <w:color w:val="auto"/>
              </w:rPr>
            </w:pPr>
            <w:r>
              <w:rPr>
                <w:rFonts w:ascii="Arial" w:cs="Arial" w:eastAsia="Arial" w:hAnsi="Arial"/>
                <w:sz w:val="18"/>
                <w:szCs w:val="18"/>
                <w:color w:val="auto"/>
                <w:w w:val="90"/>
              </w:rPr>
              <w:t>July 3, 2021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July 2, 2022</w:t>
            </w: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July 3, 2021</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5"/>
              </w:rPr>
              <w:t>0.89</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color w:val="auto"/>
                <w:w w:val="85"/>
              </w:rPr>
              <w:t>0.11</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5"/>
              </w:rPr>
              <w:t>0.02</w:t>
            </w:r>
          </w:p>
        </w:tc>
        <w:tc>
          <w:tcPr>
            <w:tcW w:w="0" w:type="dxa"/>
            <w:vAlign w:val="bottom"/>
          </w:tcPr>
          <w:p>
            <w:pPr>
              <w:spacing w:after="0"/>
              <w:rPr>
                <w:sz w:val="1"/>
                <w:szCs w:val="1"/>
                <w:color w:val="auto"/>
              </w:rPr>
            </w:pPr>
          </w:p>
        </w:tc>
      </w:tr>
      <w:tr>
        <w:trPr>
          <w:trHeight w:val="229"/>
        </w:trPr>
        <w:tc>
          <w:tcPr>
            <w:tcW w:w="318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6"/>
              </w:rPr>
              <w:t xml:space="preserve">Amortization of acquisition intangibles </w:t>
            </w:r>
            <w:r>
              <w:rPr>
                <w:rFonts w:ascii="Arial" w:cs="Arial" w:eastAsia="Arial" w:hAnsi="Arial"/>
                <w:sz w:val="23"/>
                <w:szCs w:val="23"/>
                <w:color w:val="auto"/>
                <w:w w:val="96"/>
                <w:vertAlign w:val="superscript"/>
              </w:rPr>
              <w:t>(c)</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color w:val="auto"/>
                <w:w w:val="85"/>
              </w:rPr>
              <w:t>0.04</w:t>
            </w:r>
          </w:p>
        </w:tc>
        <w:tc>
          <w:tcPr>
            <w:tcW w:w="0" w:type="dxa"/>
            <w:vAlign w:val="bottom"/>
          </w:tcPr>
          <w:p>
            <w:pPr>
              <w:spacing w:after="0"/>
              <w:rPr>
                <w:sz w:val="1"/>
                <w:szCs w:val="1"/>
                <w:color w:val="auto"/>
              </w:rPr>
            </w:pPr>
          </w:p>
        </w:tc>
      </w:tr>
      <w:tr>
        <w:trPr>
          <w:trHeight w:val="230"/>
        </w:trPr>
        <w:tc>
          <w:tcPr>
            <w:tcW w:w="4440" w:type="dxa"/>
            <w:vAlign w:val="bottom"/>
            <w:gridSpan w:val="7"/>
            <w:shd w:val="clear" w:color="auto" w:fill="CCEEFF"/>
          </w:tcPr>
          <w:p>
            <w:pPr>
              <w:ind w:left="20"/>
              <w:spacing w:after="0" w:line="230" w:lineRule="exact"/>
              <w:rPr>
                <w:sz w:val="20"/>
                <w:szCs w:val="20"/>
                <w:color w:val="auto"/>
              </w:rPr>
            </w:pPr>
            <w:r>
              <w:rPr>
                <w:rFonts w:ascii="Arial" w:cs="Arial" w:eastAsia="Arial" w:hAnsi="Arial"/>
                <w:sz w:val="18"/>
                <w:szCs w:val="18"/>
                <w:color w:val="auto"/>
                <w:w w:val="90"/>
              </w:rPr>
              <w:t xml:space="preserve">Amortization of debt discount and deferred financing costs </w:t>
            </w:r>
            <w:r>
              <w:rPr>
                <w:rFonts w:ascii="Arial" w:cs="Arial" w:eastAsia="Arial" w:hAnsi="Arial"/>
                <w:sz w:val="23"/>
                <w:szCs w:val="23"/>
                <w:color w:val="auto"/>
                <w:w w:val="90"/>
                <w:vertAlign w:val="superscript"/>
              </w:rPr>
              <w:t>(d)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5"/>
              </w:rPr>
              <w:t>0.01</w:t>
            </w:r>
          </w:p>
        </w:tc>
        <w:tc>
          <w:tcPr>
            <w:tcW w:w="0" w:type="dxa"/>
            <w:vAlign w:val="bottom"/>
          </w:tcPr>
          <w:p>
            <w:pPr>
              <w:spacing w:after="0"/>
              <w:rPr>
                <w:sz w:val="1"/>
                <w:szCs w:val="1"/>
                <w:color w:val="auto"/>
              </w:rPr>
            </w:pPr>
          </w:p>
        </w:tc>
      </w:tr>
      <w:tr>
        <w:trPr>
          <w:trHeight w:val="230"/>
        </w:trPr>
        <w:tc>
          <w:tcPr>
            <w:tcW w:w="4440" w:type="dxa"/>
            <w:vAlign w:val="bottom"/>
            <w:gridSpan w:val="7"/>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(e)</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color w:val="auto"/>
                <w:w w:val="85"/>
              </w:rPr>
              <w:t>0.00</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318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9"/>
              </w:rPr>
              <w:t xml:space="preserve">Tax benefit of stock option exercises </w:t>
            </w:r>
            <w:r>
              <w:rPr>
                <w:rFonts w:ascii="Arial" w:cs="Arial" w:eastAsia="Arial" w:hAnsi="Arial"/>
                <w:sz w:val="23"/>
                <w:szCs w:val="23"/>
                <w:color w:val="auto"/>
                <w:w w:val="99"/>
                <w:vertAlign w:val="superscript"/>
              </w:rPr>
              <w:t>(g)</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(h)</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318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0.53</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5"/>
              </w:rPr>
              <w:t>0.97</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Weighted average diluted shares outstanding</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80,403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94,109</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96,044</w:t>
            </w:r>
          </w:p>
        </w:tc>
        <w:tc>
          <w:tcPr>
            <w:tcW w:w="0" w:type="dxa"/>
            <w:vAlign w:val="bottom"/>
          </w:tcPr>
          <w:p>
            <w:pPr>
              <w:spacing w:after="0"/>
              <w:rPr>
                <w:sz w:val="1"/>
                <w:szCs w:val="1"/>
                <w:color w:val="auto"/>
              </w:rPr>
            </w:pPr>
          </w:p>
        </w:tc>
      </w:tr>
      <w:tr>
        <w:trPr>
          <w:trHeight w:val="162"/>
        </w:trPr>
        <w:tc>
          <w:tcPr>
            <w:tcW w:w="5240" w:type="dxa"/>
            <w:vAlign w:val="bottom"/>
            <w:gridSpan w:val="9"/>
          </w:tcPr>
          <w:p>
            <w:pPr>
              <w:ind w:left="2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write-off of property, equipment and lease-related assets on closed or underperforming stores.</w:t>
      </w:r>
    </w:p>
    <w:p>
      <w:pPr>
        <w:spacing w:after="0" w:line="9" w:lineRule="exact"/>
        <w:rPr>
          <w:rFonts w:ascii="Arial" w:cs="Arial" w:eastAsia="Arial" w:hAnsi="Arial"/>
          <w:sz w:val="14"/>
          <w:szCs w:val="14"/>
          <w:color w:val="auto"/>
        </w:rPr>
      </w:pPr>
    </w:p>
    <w:p>
      <w:pPr>
        <w:ind w:left="660" w:right="660" w:hanging="328"/>
        <w:spacing w:after="0" w:line="283" w:lineRule="auto"/>
        <w:tabs>
          <w:tab w:leader="none" w:pos="657"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660" w:right="660" w:hanging="328"/>
        <w:spacing w:after="0" w:line="266" w:lineRule="auto"/>
        <w:tabs>
          <w:tab w:leader="none" w:pos="6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(income), net on change in fair value of de-designated hedges.</w:t>
      </w:r>
    </w:p>
    <w:p>
      <w:pPr>
        <w:spacing w:after="0" w:line="6" w:lineRule="exact"/>
        <w:rPr>
          <w:rFonts w:ascii="Arial" w:cs="Arial" w:eastAsia="Arial" w:hAnsi="Arial"/>
          <w:sz w:val="14"/>
          <w:szCs w:val="14"/>
          <w:color w:val="auto"/>
        </w:rPr>
      </w:pPr>
    </w:p>
    <w:p>
      <w:pPr>
        <w:jc w:val="both"/>
        <w:ind w:left="660" w:right="640" w:hanging="328"/>
        <w:spacing w:after="0" w:line="278" w:lineRule="auto"/>
        <w:tabs>
          <w:tab w:leader="none" w:pos="655"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stock option exercises, executive severance and relocation and other expenses and adjustments, including losses on other investments of $0.3 million for the six months ended July 2, 2022.</w:t>
      </w:r>
    </w:p>
    <w:p>
      <w:pPr>
        <w:spacing w:after="0" w:line="1" w:lineRule="exact"/>
        <w:rPr>
          <w:rFonts w:ascii="Arial" w:cs="Arial" w:eastAsia="Arial" w:hAnsi="Arial"/>
          <w:sz w:val="13"/>
          <w:szCs w:val="13"/>
          <w:color w:val="auto"/>
        </w:rPr>
      </w:pPr>
    </w:p>
    <w:p>
      <w:pPr>
        <w:ind w:left="660" w:right="660" w:hanging="328"/>
        <w:spacing w:after="0" w:line="255" w:lineRule="auto"/>
        <w:tabs>
          <w:tab w:leader="none" w:pos="6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9" w:lineRule="exact"/>
        <w:rPr>
          <w:rFonts w:ascii="Arial" w:cs="Arial" w:eastAsia="Arial" w:hAnsi="Arial"/>
          <w:sz w:val="14"/>
          <w:szCs w:val="14"/>
          <w:color w:val="auto"/>
        </w:rPr>
      </w:pPr>
    </w:p>
    <w:p>
      <w:pPr>
        <w:ind w:left="660" w:right="660" w:hanging="328"/>
        <w:spacing w:after="0" w:line="283" w:lineRule="auto"/>
        <w:tabs>
          <w:tab w:leader="none" w:pos="6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other expenses in (f) above, including the impact of stranded tax effect of $(2.1) million for the six months ended July 3, 2021 associated with our interest rate swaps that matured in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We continue to prioritize cash conservation and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further modifications to our term loan where possible. However, our ability to maintain sufficient liquidity may be affected by numerous factors, many of which are outside our control. We primarily fund our working capital needs using cash provided by operations. Our working capital requirements for inventory will increase as we continue to open additional stores.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July 2, 2022, we had $254.4 million in cash and cash equivalents and $293.6 million of availability under our revolving credit facility, which includes $6.4 million in outstanding letters of credit.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2, 2022, we had $150.0 million of term loan outstanding under our credit agreement. We were in compliance with all covenants related to our long-term debt as of July 2, 2022.</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1230"/>
              <w:spacing w:after="0"/>
              <w:rPr>
                <w:sz w:val="20"/>
                <w:szCs w:val="20"/>
                <w:color w:val="auto"/>
              </w:rPr>
            </w:pPr>
            <w:r>
              <w:rPr>
                <w:rFonts w:ascii="Arial" w:cs="Arial" w:eastAsia="Arial" w:hAnsi="Arial"/>
                <w:sz w:val="18"/>
                <w:szCs w:val="18"/>
                <w:color w:val="auto"/>
              </w:rPr>
              <w:t>Six Months Ended</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July 2, 2022</w:t>
            </w:r>
          </w:p>
        </w:tc>
        <w:tc>
          <w:tcPr>
            <w:tcW w:w="320" w:type="dxa"/>
            <w:vAlign w:val="bottom"/>
          </w:tcPr>
          <w:p>
            <w:pPr>
              <w:spacing w:after="0"/>
              <w:rPr>
                <w:sz w:val="19"/>
                <w:szCs w:val="19"/>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July 3, 2021</w:t>
            </w:r>
          </w:p>
        </w:tc>
      </w:tr>
      <w:tr>
        <w:trPr>
          <w:trHeight w:val="210"/>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center"/>
              <w:ind w:left="890"/>
              <w:spacing w:after="0"/>
              <w:rPr>
                <w:sz w:val="20"/>
                <w:szCs w:val="20"/>
                <w:color w:val="auto"/>
              </w:rPr>
            </w:pPr>
            <w:r>
              <w:rPr>
                <w:rFonts w:ascii="Arial" w:cs="Arial" w:eastAsia="Arial" w:hAnsi="Arial"/>
                <w:sz w:val="18"/>
                <w:szCs w:val="18"/>
                <w:color w:val="auto"/>
                <w:w w:val="90"/>
              </w:rPr>
              <w:t>88,031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189,808</w:t>
            </w:r>
          </w:p>
        </w:tc>
      </w:tr>
      <w:tr>
        <w:trPr>
          <w:trHeight w:val="230"/>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2"/>
              </w:rPr>
              <w:t>(55,694)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(38,790)</w:t>
            </w:r>
          </w:p>
        </w:tc>
      </w:tr>
      <w:tr>
        <w:trPr>
          <w:trHeight w:val="229"/>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2"/>
              </w:rPr>
              <w:t>(83,608)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(116,529)</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2"/>
              </w:rPr>
              <w:t>(51,271)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provided by operating activities decreased $101.8 million from $189.8 million during the six months ended July 3, 2021 to $88.0 million for the six months ended July 2, 2022 as a result of $41.2 million lower net income as compared to the six months ended July 3, 2021 and a decrease of non-cash expense adjustments of $18.2 million and changes in net working capital and other assets and liabilities, which used $42.4 million in cash compared to the six months ended July 3, 2021. Decreases in other liabilities during the six months ended July 2, 2022 used $15.5 million in year-over-year cash primarily due to compensation related accruals, partially offset by increases in payroll and income taxes payable. Decreases in deferred and unearned revenue used $15.5 million in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year-over-year cash, primarily as a result of lower sales of product protection plans and club memberships in the current period. Increases in accounts receivable used $11.1 million in year-over-year cash primarily due to other receivables. Decreases in accounts payable during the six months ended July 2, 2022 used $7.1 million in year-over-year cash, primarily due to timing of payments. Offsetting these items were decreases in inventories which contributed $3.0 million in year-over-year cash, primarily due to timing of purchases. Decreases in other assets during the six months ended July 2, 2022 contributed $3.4 million in year-over-year cash consisting primarily of decreases in income tax related receivables.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used for investing activities increased by $16.9 million, to $55.7 million, during the six months ended July 2, 2022 from $38.8 million during the six months ended July 3, 2021. The increase was primarily due to increased capital investments in remote medicine, information technology and new store openings. Approximately 80% of our capital spend is related to our expected growth (i.e., new stores, optometric equipment, additional capacity in our optical laboratories and distribution centers, and our IT and remote medicine infrastructure, including omni-channel platform related investments).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financing activities was $83.6 million during the six months ended July 2, 2022 as compared to the use of cash of $116.5 million during the six months ended July 3, 2021. The decrease in cash used for financing activities was primarily due to voluntary term loan prepayments of $117.4 million during the six months ended July 3, 2021 that did not recur in the current period, partially offset by increases in purchases of treasury stock of $82.2 million during the six months ended July 2,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Authority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July 2, 2022, the Company repurchased approximately 2.7 million shares of its common stock for $80.0 million under the share repurchase program. After these repurchases, $50.0 million remains available under the share repurchase authorization.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outside the ordinary course of business in our material cash requirements and commercial commitments from those reported in the 2021 Annual Report on Form 10-K.</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2021 Annual Report on form 10-K. We are not a party to any other material off-balance sheet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2021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2021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due to recently issued or adopted accounting standards since those disclosed in our Annual Report on Form 10-K for the fiscal year ended January 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and Note 5. “Interest Rate Derivatives” to our unaudited condensed consolidated financial statements included in Part I. Item 1. of this Form 10-Q.</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July 2, 2022, $150.0 million of term loan borrowings were subject to variable interest rates, with a weighted average borrowing rate of 2.9%. An increase to market rates of 1.0% as of July 2, 2022 would not result in a material increase to interest expense. Assuming a decrease to market rates of 1.0% as of July 2, 2022, the resulting increase to interest expense related to the interest rate derivative would be approximately $5 million. For more information about quantitative and qualitative disclosures about market risk, please see Item 7A. “Quantitative and Qualitative Disclosures About Market Risk” in Part II. of the 2021 Annual Report on Form 10-K.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July 2, 2022.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second quarter of fiscal year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information regarding factors that could affect the Company’s results of operations, financial condition and liquidity, see the risk factors discussed in Part I. Item 1A. “Risk Factors” in our 2021 Annual Report on Form 10-K. There have been no material changes to the risk factors described in our 2021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repurchases of the Company’s common stock during the three months ended July 2,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94"/>
              </w:rPr>
              <w:t>Total Number of Shares Purchased</w:t>
            </w:r>
          </w:p>
        </w:tc>
        <w:tc>
          <w:tcPr>
            <w:tcW w:w="2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Approximate Dollar Value of Shares</w:t>
            </w: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23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Total Number of</w:t>
            </w:r>
          </w:p>
        </w:tc>
        <w:tc>
          <w:tcPr>
            <w:tcW w:w="15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Average Price Paid</w:t>
            </w:r>
          </w:p>
        </w:tc>
        <w:tc>
          <w:tcPr>
            <w:tcW w:w="2920" w:type="dxa"/>
            <w:vAlign w:val="bottom"/>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2320" w:type="dxa"/>
            <w:vAlign w:val="bottom"/>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920" w:type="dxa"/>
            <w:vAlign w:val="bottom"/>
          </w:tcPr>
          <w:p>
            <w:pPr>
              <w:ind w:left="60"/>
              <w:spacing w:after="0" w:line="176" w:lineRule="exact"/>
              <w:rPr>
                <w:sz w:val="20"/>
                <w:szCs w:val="20"/>
                <w:color w:val="auto"/>
              </w:rPr>
            </w:pPr>
            <w:r>
              <w:rPr>
                <w:rFonts w:ascii="Arial" w:cs="Arial" w:eastAsia="Arial" w:hAnsi="Arial"/>
                <w:sz w:val="18"/>
                <w:szCs w:val="18"/>
                <w:b w:val="1"/>
                <w:bCs w:val="1"/>
                <w:color w:val="auto"/>
                <w:w w:val="90"/>
              </w:rPr>
              <w:t>as Part of Publicly Announced Plans</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7"/>
              </w:rPr>
              <w:t>that May Yet Be Purchased Under</w:t>
            </w: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2320" w:type="dxa"/>
            <w:vAlign w:val="bottom"/>
            <w:tcBorders>
              <w:bottom w:val="single" w:sz="8" w:color="auto"/>
            </w:tcBorders>
          </w:tcPr>
          <w:p>
            <w:pPr>
              <w:ind w:left="540"/>
              <w:spacing w:after="0" w:line="243" w:lineRule="exact"/>
              <w:rPr>
                <w:sz w:val="20"/>
                <w:szCs w:val="20"/>
                <w:color w:val="auto"/>
              </w:rPr>
            </w:pPr>
            <w:r>
              <w:rPr>
                <w:rFonts w:ascii="Arial" w:cs="Arial" w:eastAsia="Arial" w:hAnsi="Arial"/>
                <w:sz w:val="18"/>
                <w:szCs w:val="18"/>
                <w:b w:val="1"/>
                <w:bCs w:val="1"/>
                <w:color w:val="auto"/>
                <w:w w:val="97"/>
              </w:rPr>
              <w:t xml:space="preserve">Shares Purchased </w:t>
            </w:r>
            <w:r>
              <w:rPr>
                <w:rFonts w:ascii="Arial" w:cs="Arial" w:eastAsia="Arial" w:hAnsi="Arial"/>
                <w:sz w:val="23"/>
                <w:szCs w:val="23"/>
                <w:b w:val="1"/>
                <w:bCs w:val="1"/>
                <w:color w:val="auto"/>
                <w:w w:val="97"/>
                <w:vertAlign w:val="superscript"/>
              </w:rPr>
              <w:t>(1)</w:t>
            </w:r>
          </w:p>
        </w:tc>
        <w:tc>
          <w:tcPr>
            <w:tcW w:w="1000" w:type="dxa"/>
            <w:vAlign w:val="bottom"/>
            <w:tcBorders>
              <w:bottom w:val="single" w:sz="8" w:color="auto"/>
            </w:tcBorders>
          </w:tcPr>
          <w:p>
            <w:pPr>
              <w:spacing w:after="0" w:line="243" w:lineRule="exact"/>
              <w:rPr>
                <w:sz w:val="20"/>
                <w:szCs w:val="20"/>
                <w:color w:val="auto"/>
              </w:rPr>
            </w:pPr>
            <w:r>
              <w:rPr>
                <w:rFonts w:ascii="Arial" w:cs="Arial" w:eastAsia="Arial" w:hAnsi="Arial"/>
                <w:sz w:val="18"/>
                <w:szCs w:val="18"/>
                <w:b w:val="1"/>
                <w:bCs w:val="1"/>
                <w:color w:val="auto"/>
                <w:w w:val="91"/>
              </w:rPr>
              <w:t xml:space="preserve">per Share </w:t>
            </w:r>
            <w:r>
              <w:rPr>
                <w:rFonts w:ascii="Arial" w:cs="Arial" w:eastAsia="Arial" w:hAnsi="Arial"/>
                <w:sz w:val="23"/>
                <w:szCs w:val="23"/>
                <w:b w:val="1"/>
                <w:bCs w:val="1"/>
                <w:color w:val="auto"/>
                <w:w w:val="91"/>
                <w:vertAlign w:val="superscript"/>
              </w:rPr>
              <w:t>(1)</w:t>
            </w:r>
          </w:p>
        </w:tc>
        <w:tc>
          <w:tcPr>
            <w:tcW w:w="5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ind w:left="60"/>
              <w:spacing w:after="0" w:line="243" w:lineRule="exact"/>
              <w:rPr>
                <w:sz w:val="20"/>
                <w:szCs w:val="20"/>
                <w:color w:val="auto"/>
              </w:rPr>
            </w:pPr>
            <w:r>
              <w:rPr>
                <w:rFonts w:ascii="Arial" w:cs="Arial" w:eastAsia="Arial" w:hAnsi="Arial"/>
                <w:sz w:val="18"/>
                <w:szCs w:val="18"/>
                <w:b w:val="1"/>
                <w:bCs w:val="1"/>
                <w:color w:val="auto"/>
              </w:rPr>
              <w:t xml:space="preserve">or Programs </w:t>
            </w:r>
            <w:r>
              <w:rPr>
                <w:rFonts w:ascii="Arial" w:cs="Arial" w:eastAsia="Arial" w:hAnsi="Arial"/>
                <w:sz w:val="23"/>
                <w:szCs w:val="23"/>
                <w:b w:val="1"/>
                <w:bCs w:val="1"/>
                <w:color w:val="auto"/>
                <w:vertAlign w:val="superscript"/>
              </w:rPr>
              <w:t>(1)</w:t>
            </w:r>
          </w:p>
        </w:tc>
        <w:tc>
          <w:tcPr>
            <w:tcW w:w="206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8"/>
                <w:szCs w:val="18"/>
                <w:b w:val="1"/>
                <w:bCs w:val="1"/>
                <w:color w:val="auto"/>
                <w:w w:val="93"/>
              </w:rPr>
              <w:t xml:space="preserve">the Plans or Programs </w:t>
            </w:r>
            <w:r>
              <w:rPr>
                <w:rFonts w:ascii="Arial" w:cs="Arial" w:eastAsia="Arial" w:hAnsi="Arial"/>
                <w:sz w:val="23"/>
                <w:szCs w:val="23"/>
                <w:b w:val="1"/>
                <w:bCs w:val="1"/>
                <w:color w:val="auto"/>
                <w:w w:val="93"/>
                <w:vertAlign w:val="superscript"/>
              </w:rPr>
              <w:t>(1)</w:t>
            </w: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6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April 3, 2022 -</w:t>
            </w:r>
          </w:p>
        </w:tc>
        <w:tc>
          <w:tcPr>
            <w:tcW w:w="2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30, 2022</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60" w:type="dxa"/>
            <w:vAlign w:val="bottom"/>
            <w:shd w:val="clear" w:color="auto" w:fill="CCEEFF"/>
          </w:tcPr>
          <w:p>
            <w:pPr>
              <w:jc w:val="right"/>
              <w:ind w:right="18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115,795</w:t>
            </w: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6" w:lineRule="exact"/>
              <w:rPr>
                <w:sz w:val="20"/>
                <w:szCs w:val="20"/>
                <w:color w:val="auto"/>
              </w:rPr>
            </w:pPr>
            <w:r>
              <w:rPr>
                <w:rFonts w:ascii="Arial" w:cs="Arial" w:eastAsia="Arial" w:hAnsi="Arial"/>
                <w:sz w:val="18"/>
                <w:szCs w:val="18"/>
                <w:color w:val="auto"/>
              </w:rPr>
              <w:t>May 1, 2022 -</w:t>
            </w:r>
          </w:p>
        </w:tc>
        <w:tc>
          <w:tcPr>
            <w:tcW w:w="2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20"/>
              <w:spacing w:after="0"/>
              <w:rPr>
                <w:sz w:val="20"/>
                <w:szCs w:val="20"/>
                <w:color w:val="auto"/>
              </w:rPr>
            </w:pPr>
            <w:r>
              <w:rPr>
                <w:rFonts w:ascii="Arial" w:cs="Arial" w:eastAsia="Arial" w:hAnsi="Arial"/>
                <w:sz w:val="18"/>
                <w:szCs w:val="18"/>
                <w:color w:val="auto"/>
              </w:rPr>
              <w:t>June 4, 2022</w:t>
            </w:r>
          </w:p>
        </w:tc>
        <w:tc>
          <w:tcPr>
            <w:tcW w:w="2320" w:type="dxa"/>
            <w:vAlign w:val="bottom"/>
          </w:tcPr>
          <w:p>
            <w:pPr>
              <w:jc w:val="right"/>
              <w:spacing w:after="0"/>
              <w:rPr>
                <w:sz w:val="20"/>
                <w:szCs w:val="20"/>
                <w:color w:val="auto"/>
              </w:rPr>
            </w:pPr>
            <w:r>
              <w:rPr>
                <w:rFonts w:ascii="Arial" w:cs="Arial" w:eastAsia="Arial" w:hAnsi="Arial"/>
                <w:sz w:val="18"/>
                <w:szCs w:val="18"/>
                <w:color w:val="auto"/>
              </w:rPr>
              <w:t>2,373</w:t>
            </w: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27.71</w:t>
            </w:r>
          </w:p>
        </w:tc>
        <w:tc>
          <w:tcPr>
            <w:tcW w:w="2920" w:type="dxa"/>
            <w:vAlign w:val="bottom"/>
          </w:tcPr>
          <w:p>
            <w:pPr>
              <w:jc w:val="right"/>
              <w:spacing w:after="0"/>
              <w:rPr>
                <w:sz w:val="20"/>
                <w:szCs w:val="20"/>
                <w:color w:val="auto"/>
              </w:rPr>
            </w:pPr>
            <w:r>
              <w:rPr>
                <w:rFonts w:ascii="Arial" w:cs="Arial" w:eastAsia="Arial" w:hAnsi="Arial"/>
                <w:sz w:val="18"/>
                <w:szCs w:val="18"/>
                <w:color w:val="auto"/>
              </w:rPr>
              <w:t>2,373</w:t>
            </w:r>
          </w:p>
        </w:tc>
        <w:tc>
          <w:tcPr>
            <w:tcW w:w="2060" w:type="dxa"/>
            <w:vAlign w:val="bottom"/>
          </w:tcPr>
          <w:p>
            <w:pPr>
              <w:jc w:val="right"/>
              <w:ind w:right="18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50,041</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June 5, 2022 -</w:t>
            </w:r>
          </w:p>
        </w:tc>
        <w:tc>
          <w:tcPr>
            <w:tcW w:w="2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 2022</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980" w:type="dxa"/>
            <w:vAlign w:val="bottom"/>
            <w:tcBorders>
              <w:bottom w:val="single" w:sz="8" w:color="auto"/>
            </w:tcBorders>
            <w:gridSpan w:val="2"/>
            <w:shd w:val="clear" w:color="auto" w:fill="CCEEFF"/>
          </w:tcPr>
          <w:p>
            <w:pPr>
              <w:jc w:val="right"/>
              <w:ind w:right="185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50,041</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206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50,041</w:t>
            </w: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jc w:val="both"/>
        <w:ind w:left="20" w:right="20" w:firstLine="6"/>
        <w:spacing w:after="0" w:line="220" w:lineRule="auto"/>
        <w:tabs>
          <w:tab w:leader="none" w:pos="214"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Information regarding the Company’s share repurchases can be found in Note 1, Description of Business and Basis of Presentation, in the condensed consolidated financial statements included in Part I. Item 1. of this Form 10-Q. Effective November 8, 2021, the Company’s Board of Directors authorized the Company to repurchase up to $50 million aggregate amount of shares of the Company’s common stock. On November 29, 2021 and February 23, 2022, the Board authorized increases of $50 million and $100 million, respectively, to the share repurchase program for a total authorization of $200 million. The share repurchase authorization expires on December 30, 2023. Following repurchases in the second quarter of fiscal year 2022, $50.0 million remains available under the share repurchase authorization. The timing and amounts of any such repurchases will depend on a variety of factors, including the market price of the Company’s shares and general market and economic conditions.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sz w:val="20"/>
                <w:szCs w:val="20"/>
                <w:color w:val="auto"/>
              </w:rPr>
            </w:pPr>
            <w:r>
              <w:rPr>
                <w:rFonts w:ascii="Arial" w:cs="Arial" w:eastAsia="Arial" w:hAnsi="Arial"/>
                <w:sz w:val="18"/>
                <w:szCs w:val="18"/>
                <w:color w:val="0000FF"/>
              </w:rPr>
              <w:t>Table of Contents</w:t>
            </w:r>
          </w:p>
        </w:tc>
        <w:tc>
          <w:tcPr>
            <w:tcW w:w="3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668"/>
        </w:trPr>
        <w:tc>
          <w:tcPr>
            <w:tcW w:w="128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3"/>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83"/>
        </w:trPr>
        <w:tc>
          <w:tcPr>
            <w:tcW w:w="340" w:type="dxa"/>
            <w:vAlign w:val="bottom"/>
            <w:tcBorders>
              <w:top w:val="single" w:sz="8" w:color="auto"/>
            </w:tcBorders>
            <w:gridSpan w:val="3"/>
          </w:tcPr>
          <w:p>
            <w:pPr>
              <w:ind w:left="20"/>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w w:val="96"/>
              </w:rPr>
              <w:t>Third Amended and Restated Certificate of Incorporation of National Vision Holdings, Inc. -incorporated herein by reference to</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Exhibit 3.1 to the Company’s Current Report on Form 8-K filed on June 10, 2021.</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rPr>
            </w:pPr>
            <w:hyperlink r:id="rId62">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8"/>
              </w:rPr>
              <w:t>Third Amended and Restated Bylaws of National Vision Holdings, Inc. -incorporated herein by reference to Exhibit 3.2 to the</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June 10, 2021.</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w w:val="85"/>
              </w:rPr>
            </w:pPr>
            <w:hyperlink r:id="rId6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1"/>
              </w:rPr>
              <w:t>Form of Restricted Stock Unit Agreement under the 2017 Omnibus Incentive Plan, as adopted April 10, 2022 -incorporated herein by</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reference to Exhibit 10.4 to the Company’s Quarterly Report on Form 10-Q filed May 10, 2022.</w:t>
            </w:r>
          </w:p>
        </w:tc>
      </w:tr>
      <w:tr>
        <w:trPr>
          <w:trHeight w:val="190"/>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0" w:lineRule="exact"/>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Form of Restricted Stock Unit Agreement under the 2017 Omnibus Incentive Plan, as adopted June 15, 2022.</w:t>
            </w:r>
          </w:p>
        </w:tc>
      </w:tr>
      <w:tr>
        <w:trPr>
          <w:trHeight w:val="209"/>
        </w:trPr>
        <w:tc>
          <w:tcPr>
            <w:tcW w:w="340" w:type="dxa"/>
            <w:vAlign w:val="bottom"/>
            <w:gridSpan w:val="3"/>
          </w:tcPr>
          <w:p>
            <w:pPr>
              <w:ind w:left="20"/>
              <w:spacing w:after="0"/>
              <w:rPr>
                <w:rFonts w:ascii="Arial" w:cs="Arial" w:eastAsia="Arial" w:hAnsi="Arial"/>
                <w:sz w:val="18"/>
                <w:szCs w:val="18"/>
                <w:color w:val="0000FF"/>
                <w:w w:val="85"/>
              </w:rPr>
            </w:pPr>
            <w:hyperlink r:id="rId6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4"/>
              </w:rPr>
              <w:t>First Amendment to the Direct Lens Letter Agreement, dated July 19, 2022, by and between Essilor of America, Inc. and National</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6"/>
              </w:rPr>
              <w:t>Vision, Inc. -incorporated herein by reference to Exhibit 10.1 to the Company’s Current Report on Form 8-K filed July 25, 2022.</w:t>
            </w:r>
          </w:p>
        </w:tc>
      </w:tr>
      <w:tr>
        <w:trPr>
          <w:trHeight w:val="190"/>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0"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5"/>
              </w:rPr>
              <w:t>Certification of Periodic Report by Chief Executive Officer under Section 302 of the Sarbanes-Oxley Act of 2002 (filed herewith).</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6"/>
              </w:rPr>
              <w:t>Certification of Periodic Report by Chief Financial Officer under Section 302 of the Sarbanes-Oxley Act of 2002 (filed herewith).</w:t>
            </w:r>
          </w:p>
        </w:tc>
      </w:tr>
      <w:tr>
        <w:trPr>
          <w:trHeight w:val="209"/>
        </w:trPr>
        <w:tc>
          <w:tcPr>
            <w:tcW w:w="340" w:type="dxa"/>
            <w:vAlign w:val="bottom"/>
            <w:gridSpan w:val="3"/>
          </w:tcPr>
          <w:p>
            <w:pPr>
              <w:ind w:left="20"/>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190"/>
        </w:trPr>
        <w:tc>
          <w:tcPr>
            <w:tcW w:w="340" w:type="dxa"/>
            <w:vAlign w:val="bottom"/>
            <w:gridSpan w:val="3"/>
          </w:tcPr>
          <w:p>
            <w:pPr>
              <w:ind w:left="20"/>
              <w:spacing w:after="0" w:line="190"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Act of 2002 (furnished herewith).</w:t>
            </w:r>
          </w:p>
        </w:tc>
      </w:tr>
      <w:tr>
        <w:trPr>
          <w:trHeight w:val="176"/>
        </w:trPr>
        <w:tc>
          <w:tcPr>
            <w:tcW w:w="20" w:type="dxa"/>
            <w:vAlign w:val="bottom"/>
          </w:tcPr>
          <w:p>
            <w:pPr>
              <w:spacing w:after="0"/>
              <w:rPr>
                <w:sz w:val="15"/>
                <w:szCs w:val="15"/>
                <w:color w:val="auto"/>
              </w:rPr>
            </w:pPr>
          </w:p>
        </w:tc>
        <w:tc>
          <w:tcPr>
            <w:tcW w:w="1480" w:type="dxa"/>
            <w:vAlign w:val="bottom"/>
            <w:gridSpan w:val="5"/>
          </w:tcPr>
          <w:p>
            <w:pPr>
              <w:spacing w:after="0" w:line="176" w:lineRule="exact"/>
              <w:rPr>
                <w:sz w:val="20"/>
                <w:szCs w:val="20"/>
                <w:color w:val="auto"/>
              </w:rPr>
            </w:pPr>
            <w:r>
              <w:rPr>
                <w:rFonts w:ascii="Arial" w:cs="Arial" w:eastAsia="Arial" w:hAnsi="Arial"/>
                <w:sz w:val="18"/>
                <w:szCs w:val="18"/>
                <w:color w:val="auto"/>
              </w:rPr>
              <w:t>101.INS</w:t>
            </w:r>
          </w:p>
        </w:tc>
        <w:tc>
          <w:tcPr>
            <w:tcW w:w="9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embedded within Inline XBRL document</w:t>
            </w:r>
          </w:p>
        </w:tc>
      </w:tr>
      <w:tr>
        <w:trPr>
          <w:trHeight w:val="241"/>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520" w:right="20" w:hanging="1494"/>
        <w:spacing w:after="0" w:line="234"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July 2, 2022,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25"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NOTICE</w:t>
      </w:r>
    </w:p>
    <w:p>
      <w:pPr>
        <w:jc w:val="center"/>
        <w:spacing w:after="0" w:line="204" w:lineRule="auto"/>
        <w:rPr>
          <w:sz w:val="20"/>
          <w:szCs w:val="20"/>
          <w:color w:val="auto"/>
        </w:rPr>
      </w:pPr>
      <w:r>
        <w:rPr>
          <w:rFonts w:ascii="Arial" w:cs="Arial" w:eastAsia="Arial" w:hAnsi="Arial"/>
          <w:sz w:val="22"/>
          <w:szCs w:val="22"/>
          <w:b w:val="1"/>
          <w:bCs w:val="1"/>
          <w:color w:val="auto"/>
        </w:rPr>
        <w:t>UNDER THE</w:t>
      </w:r>
    </w:p>
    <w:p>
      <w:pPr>
        <w:jc w:val="center"/>
        <w:spacing w:after="0" w:line="205" w:lineRule="auto"/>
        <w:rPr>
          <w:sz w:val="20"/>
          <w:szCs w:val="20"/>
          <w:color w:val="auto"/>
        </w:rPr>
      </w:pPr>
      <w:r>
        <w:rPr>
          <w:rFonts w:ascii="Arial" w:cs="Arial" w:eastAsia="Arial" w:hAnsi="Arial"/>
          <w:sz w:val="22"/>
          <w:szCs w:val="22"/>
          <w:b w:val="1"/>
          <w:bCs w:val="1"/>
          <w:color w:val="auto"/>
        </w:rPr>
        <w:t>NATIONAL VISION HOLDINGS, INC.</w:t>
      </w:r>
    </w:p>
    <w:p>
      <w:pPr>
        <w:jc w:val="center"/>
        <w:spacing w:after="0" w:line="205" w:lineRule="auto"/>
        <w:rPr>
          <w:sz w:val="20"/>
          <w:szCs w:val="20"/>
          <w:color w:val="auto"/>
        </w:rPr>
      </w:pPr>
      <w:r>
        <w:rPr>
          <w:rFonts w:ascii="Arial" w:cs="Arial" w:eastAsia="Arial" w:hAnsi="Arial"/>
          <w:sz w:val="22"/>
          <w:szCs w:val="22"/>
          <w:b w:val="1"/>
          <w:bCs w:val="1"/>
          <w:color w:val="auto"/>
        </w:rPr>
        <w:t>2017 OMNIBUS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Directors)</w:t>
      </w:r>
    </w:p>
    <w:p>
      <w:pPr>
        <w:spacing w:after="0" w:line="18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National Vision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pursuant to its 2017 Omnibus Incentive Plan, as it may be amended and restated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5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Insert Participant Name</w:t>
      </w:r>
      <w:r>
        <w:rPr>
          <w:rFonts w:ascii="Arial" w:cs="Arial" w:eastAsia="Arial" w:hAnsi="Arial"/>
          <w:sz w:val="19"/>
          <w:szCs w:val="19"/>
          <w:color w:val="auto"/>
        </w:rPr>
        <w:t>]</w:t>
      </w:r>
    </w:p>
    <w:p>
      <w:pPr>
        <w:spacing w:after="0" w:line="179"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2022</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Restricted Stock Units</w:t>
      </w:r>
      <w:r>
        <w:rPr>
          <w:rFonts w:ascii="Arial" w:cs="Arial" w:eastAsia="Arial" w:hAnsi="Arial"/>
          <w:sz w:val="22"/>
          <w:szCs w:val="22"/>
          <w:color w:val="auto"/>
        </w:rPr>
        <w:t>: [</w:t>
      </w:r>
      <w:r>
        <w:rPr>
          <w:rFonts w:ascii="Arial" w:cs="Arial" w:eastAsia="Arial" w:hAnsi="Arial"/>
          <w:sz w:val="22"/>
          <w:szCs w:val="22"/>
          <w:i w:val="1"/>
          <w:iCs w:val="1"/>
          <w:color w:val="auto"/>
        </w:rPr>
        <w:t>Quantity Granted</w:t>
      </w:r>
      <w:r>
        <w:rPr>
          <w:rFonts w:ascii="Arial" w:cs="Arial" w:eastAsia="Arial" w:hAnsi="Arial"/>
          <w:sz w:val="22"/>
          <w:szCs w:val="22"/>
          <w:color w:val="auto"/>
        </w:rPr>
        <w:t>]</w:t>
      </w:r>
    </w:p>
    <w:p>
      <w:pPr>
        <w:spacing w:after="0" w:line="179" w:lineRule="exact"/>
        <w:rPr>
          <w:sz w:val="20"/>
          <w:szCs w:val="20"/>
          <w:color w:val="auto"/>
        </w:rPr>
      </w:pPr>
    </w:p>
    <w:p>
      <w:pPr>
        <w:jc w:val="both"/>
        <w:ind w:left="1960" w:hanging="3239"/>
        <w:spacing w:after="0" w:line="204" w:lineRule="auto"/>
        <w:tabs>
          <w:tab w:leader="none" w:pos="194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Provided the Participant has not undergone a Termination at the time of the vesting date (or event) the Restricted Stock Units will vest on the first (1</w:t>
      </w:r>
      <w:r>
        <w:rPr>
          <w:rFonts w:ascii="Arial" w:cs="Arial" w:eastAsia="Arial" w:hAnsi="Arial"/>
          <w:sz w:val="28"/>
          <w:szCs w:val="28"/>
          <w:color w:val="auto"/>
          <w:vertAlign w:val="superscript"/>
        </w:rPr>
        <w:t>st</w:t>
      </w:r>
      <w:r>
        <w:rPr>
          <w:rFonts w:ascii="Arial" w:cs="Arial" w:eastAsia="Arial" w:hAnsi="Arial"/>
          <w:sz w:val="22"/>
          <w:szCs w:val="22"/>
          <w:color w:val="auto"/>
        </w:rPr>
        <w:t>) anniversary of the Date of Grant (the “</w:t>
      </w:r>
      <w:r>
        <w:rPr>
          <w:rFonts w:ascii="Arial" w:cs="Arial" w:eastAsia="Arial" w:hAnsi="Arial"/>
          <w:sz w:val="22"/>
          <w:szCs w:val="22"/>
          <w:u w:val="single" w:color="auto"/>
          <w:color w:val="auto"/>
        </w:rPr>
        <w:t>Vesting Date</w:t>
      </w:r>
      <w:r>
        <w:rPr>
          <w:rFonts w:ascii="Arial" w:cs="Arial" w:eastAsia="Arial" w:hAnsi="Arial"/>
          <w:sz w:val="22"/>
          <w:szCs w:val="22"/>
          <w:color w:val="auto"/>
        </w:rPr>
        <w:t>”).</w:t>
      </w:r>
    </w:p>
    <w:p>
      <w:pPr>
        <w:spacing w:after="0" w:line="166" w:lineRule="exact"/>
        <w:rPr>
          <w:sz w:val="20"/>
          <w:szCs w:val="20"/>
          <w:color w:val="auto"/>
        </w:rPr>
      </w:pPr>
    </w:p>
    <w:p>
      <w:pPr>
        <w:jc w:val="both"/>
        <w:ind w:left="3240"/>
        <w:spacing w:after="0" w:line="218" w:lineRule="auto"/>
        <w:rPr>
          <w:sz w:val="20"/>
          <w:szCs w:val="20"/>
          <w:color w:val="auto"/>
        </w:rPr>
      </w:pPr>
      <w:r>
        <w:rPr>
          <w:rFonts w:ascii="Arial" w:cs="Arial" w:eastAsia="Arial" w:hAnsi="Arial"/>
          <w:sz w:val="22"/>
          <w:szCs w:val="22"/>
          <w:color w:val="auto"/>
        </w:rPr>
        <w:t>In the event that the Participant undergoes a Termination for any reason, (i) all vesting with respect to such Restricted Stock Units shall cease and (ii) all unvested Restricted Stock Units shall be forfeited by the Participant for no consideration as of the date of such Termination.</w:t>
      </w:r>
    </w:p>
    <w:p>
      <w:pPr>
        <w:spacing w:after="0" w:line="161" w:lineRule="exact"/>
        <w:rPr>
          <w:sz w:val="20"/>
          <w:szCs w:val="20"/>
          <w:color w:val="auto"/>
        </w:rPr>
      </w:pPr>
    </w:p>
    <w:p>
      <w:pPr>
        <w:ind w:left="3240" w:right="20"/>
        <w:spacing w:after="0" w:line="298" w:lineRule="auto"/>
        <w:rPr>
          <w:sz w:val="20"/>
          <w:szCs w:val="20"/>
          <w:color w:val="auto"/>
        </w:rPr>
      </w:pPr>
      <w:r>
        <w:rPr>
          <w:rFonts w:ascii="Arial" w:cs="Arial" w:eastAsia="Arial" w:hAnsi="Arial"/>
          <w:sz w:val="19"/>
          <w:szCs w:val="19"/>
          <w:color w:val="auto"/>
        </w:rPr>
        <w:t>In addition, in the event of a Change in Control, the Participant shall fully vest in the Participant’s Restricted Stock Units to the extent not then vested or previously forfeited.</w:t>
      </w:r>
    </w:p>
    <w:p>
      <w:pPr>
        <w:spacing w:after="0" w:line="200" w:lineRule="exact"/>
        <w:rPr>
          <w:sz w:val="20"/>
          <w:szCs w:val="20"/>
          <w:color w:val="auto"/>
        </w:rPr>
      </w:pPr>
    </w:p>
    <w:p>
      <w:pPr>
        <w:spacing w:after="0" w:line="337"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to appear on following page</w:t>
      </w:r>
      <w:r>
        <w:rPr>
          <w:rFonts w:ascii="Arial" w:cs="Arial" w:eastAsia="Arial" w:hAnsi="Arial"/>
          <w:sz w:val="22"/>
          <w:szCs w:val="22"/>
          <w:color w:val="auto"/>
        </w:rPr>
        <w:t>]</w:t>
      </w:r>
    </w:p>
    <w:p>
      <w:pPr>
        <w:sectPr>
          <w:pgSz w:w="11900" w:h="16838" w:orient="portrait"/>
          <w:cols w:equalWidth="0" w:num="1">
            <w:col w:w="11240"/>
          </w:cols>
          <w:pgMar w:left="320" w:top="108" w:right="339" w:bottom="1440" w:gutter="0" w:footer="0" w:header="0"/>
        </w:sectPr>
      </w:pPr>
    </w:p>
    <w:bookmarkStart w:id="43" w:name="page44"/>
    <w:bookmarkEnd w:id="43"/>
    <w:p>
      <w:pPr>
        <w:spacing w:after="0" w:line="198" w:lineRule="exact"/>
        <w:rPr>
          <w:sz w:val="20"/>
          <w:szCs w:val="20"/>
          <w:color w:val="auto"/>
        </w:rPr>
      </w:pPr>
    </w:p>
    <w:p>
      <w:pPr>
        <w:jc w:val="both"/>
        <w:spacing w:after="0" w:line="217" w:lineRule="auto"/>
        <w:rPr>
          <w:sz w:val="20"/>
          <w:szCs w:val="20"/>
          <w:color w:val="auto"/>
        </w:rPr>
      </w:pPr>
      <w:r>
        <w:rPr>
          <w:rFonts w:ascii="Arial" w:cs="Arial" w:eastAsia="Arial" w:hAnsi="Arial"/>
          <w:sz w:val="22"/>
          <w:szCs w:val="22"/>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204" w:lineRule="auto"/>
        <w:rPr>
          <w:sz w:val="20"/>
          <w:szCs w:val="20"/>
          <w:color w:val="auto"/>
        </w:rPr>
      </w:pPr>
      <w:r>
        <w:rPr>
          <w:rFonts w:ascii="Arial" w:cs="Arial" w:eastAsia="Arial" w:hAnsi="Arial"/>
          <w:sz w:val="22"/>
          <w:szCs w:val="22"/>
          <w:color w:val="auto"/>
        </w:rPr>
        <w:t>By: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r>
        <w:rPr>
          <w:rFonts w:ascii="Arial" w:cs="Arial" w:eastAsia="Arial" w:hAnsi="Arial"/>
          <w:sz w:val="28"/>
          <w:szCs w:val="28"/>
          <w:color w:val="auto"/>
          <w:vertAlign w:val="superscript"/>
        </w:rPr>
        <w:t>1</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1130300</wp:posOffset>
            </wp:positionV>
            <wp:extent cx="1714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220" w:hanging="652"/>
        <w:spacing w:after="0" w:line="213" w:lineRule="auto"/>
        <w:tabs>
          <w:tab w:leader="none" w:pos="348" w:val="left"/>
        </w:tabs>
        <w:numPr>
          <w:ilvl w:val="0"/>
          <w:numId w:val="20"/>
        </w:numPr>
        <w:rPr>
          <w:rFonts w:ascii="Arial" w:cs="Arial" w:eastAsia="Arial" w:hAnsi="Arial"/>
          <w:sz w:val="27"/>
          <w:szCs w:val="27"/>
          <w:color w:val="auto"/>
          <w:vertAlign w:val="superscript"/>
        </w:rPr>
      </w:pPr>
      <w:r>
        <w:rPr>
          <w:rFonts w:ascii="Arial" w:cs="Arial" w:eastAsia="Arial" w:hAnsi="Arial"/>
          <w:sz w:val="21"/>
          <w:szCs w:val="21"/>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Non-Employee Director Restricted Stock Unit Award</w:t>
      </w:r>
      <w:r>
        <w:rPr>
          <w:rFonts w:ascii="Arial" w:cs="Arial" w:eastAsia="Arial" w:hAnsi="Arial"/>
          <w:sz w:val="16"/>
          <w:szCs w:val="16"/>
          <w:color w:val="auto"/>
        </w:rPr>
        <w:t>]</w:t>
      </w:r>
    </w:p>
    <w:p>
      <w:pPr>
        <w:sectPr>
          <w:pgSz w:w="11900" w:h="16838" w:orient="portrait"/>
          <w:cols w:equalWidth="0" w:num="1">
            <w:col w:w="11240"/>
          </w:cols>
          <w:pgMar w:left="320" w:top="144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RESTRICTED STOCK UNIT AGREEMENT</w:t>
      </w:r>
    </w:p>
    <w:p>
      <w:pPr>
        <w:jc w:val="center"/>
        <w:spacing w:after="0" w:line="204" w:lineRule="auto"/>
        <w:rPr>
          <w:sz w:val="20"/>
          <w:szCs w:val="20"/>
          <w:color w:val="auto"/>
        </w:rPr>
      </w:pPr>
      <w:r>
        <w:rPr>
          <w:rFonts w:ascii="Arial" w:cs="Arial" w:eastAsia="Arial" w:hAnsi="Arial"/>
          <w:sz w:val="22"/>
          <w:szCs w:val="22"/>
          <w:b w:val="1"/>
          <w:bCs w:val="1"/>
          <w:color w:val="auto"/>
        </w:rPr>
        <w:t>UNDER THE</w:t>
      </w:r>
    </w:p>
    <w:p>
      <w:pPr>
        <w:jc w:val="center"/>
        <w:spacing w:after="0" w:line="205" w:lineRule="auto"/>
        <w:rPr>
          <w:sz w:val="20"/>
          <w:szCs w:val="20"/>
          <w:color w:val="auto"/>
        </w:rPr>
      </w:pPr>
      <w:r>
        <w:rPr>
          <w:rFonts w:ascii="Arial" w:cs="Arial" w:eastAsia="Arial" w:hAnsi="Arial"/>
          <w:sz w:val="22"/>
          <w:szCs w:val="22"/>
          <w:b w:val="1"/>
          <w:bCs w:val="1"/>
          <w:color w:val="auto"/>
        </w:rPr>
        <w:t>NATIONAL VISION HOLDINGS,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OMNIBUS INCENTIVE PLAN</w:t>
      </w:r>
    </w:p>
    <w:p>
      <w:pPr>
        <w:spacing w:after="0" w:line="16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Pursuant to the Restricted Stock Unit Grant Notice (the “</w:t>
      </w:r>
      <w:r>
        <w:rPr>
          <w:rFonts w:ascii="Arial" w:cs="Arial" w:eastAsia="Arial" w:hAnsi="Arial"/>
          <w:sz w:val="21"/>
          <w:szCs w:val="21"/>
          <w:u w:val="single" w:color="auto"/>
          <w:color w:val="auto"/>
        </w:rPr>
        <w:t>Grant Notice</w:t>
      </w:r>
      <w:r>
        <w:rPr>
          <w:rFonts w:ascii="Arial" w:cs="Arial" w:eastAsia="Arial" w:hAnsi="Arial"/>
          <w:sz w:val="21"/>
          <w:szCs w:val="21"/>
          <w:color w:val="auto"/>
        </w:rPr>
        <w:t>”) delivered to the Participant (as defined in the Grant Notice), and subject to the terms of this Restricted Stock Unit Agreement (this “</w:t>
      </w:r>
      <w:r>
        <w:rPr>
          <w:rFonts w:ascii="Arial" w:cs="Arial" w:eastAsia="Arial" w:hAnsi="Arial"/>
          <w:sz w:val="21"/>
          <w:szCs w:val="21"/>
          <w:u w:val="single" w:color="auto"/>
          <w:color w:val="auto"/>
        </w:rPr>
        <w:t>Restricted Stock Unit Agreement</w:t>
      </w:r>
      <w:r>
        <w:rPr>
          <w:rFonts w:ascii="Arial" w:cs="Arial" w:eastAsia="Arial" w:hAnsi="Arial"/>
          <w:sz w:val="21"/>
          <w:szCs w:val="21"/>
          <w:color w:val="auto"/>
        </w:rPr>
        <w:t>”) and the National Vision Holdings, Inc. 2017 Omnibus Incentive Plan, as it may be amended and restated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National Vision Holdings,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agree as follows. Capitalized terms not otherwise defined herein shall have the same meaning as set forth in the Plan.</w:t>
      </w:r>
    </w:p>
    <w:p>
      <w:pPr>
        <w:spacing w:after="0" w:line="153" w:lineRule="exact"/>
        <w:rPr>
          <w:sz w:val="20"/>
          <w:szCs w:val="20"/>
          <w:color w:val="auto"/>
        </w:rPr>
      </w:pPr>
    </w:p>
    <w:p>
      <w:pPr>
        <w:jc w:val="both"/>
        <w:ind w:firstLine="1304"/>
        <w:spacing w:after="0" w:line="212" w:lineRule="auto"/>
        <w:tabs>
          <w:tab w:leader="none" w:pos="1539"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Subject to the terms and conditions set forth herein and in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hereby grants to the Participant the number of Restricted Stock Units provided in the Grant Notice (with each Restricted Stock Unit representing the right to receive one share of Common Stock upon the vesting of such Restricted Stock Unit).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56" w:lineRule="exact"/>
        <w:rPr>
          <w:rFonts w:ascii="Arial" w:cs="Arial" w:eastAsia="Arial" w:hAnsi="Arial"/>
          <w:sz w:val="22"/>
          <w:szCs w:val="22"/>
          <w:color w:val="auto"/>
        </w:rPr>
      </w:pPr>
    </w:p>
    <w:p>
      <w:pPr>
        <w:jc w:val="both"/>
        <w:ind w:firstLine="1304"/>
        <w:spacing w:after="0" w:line="230" w:lineRule="auto"/>
        <w:tabs>
          <w:tab w:leader="none" w:pos="1512"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w:t>
      </w:r>
      <w:r>
        <w:rPr>
          <w:rFonts w:ascii="Arial" w:cs="Arial" w:eastAsia="Arial" w:hAnsi="Arial"/>
          <w:sz w:val="21"/>
          <w:szCs w:val="21"/>
          <w:color w:val="auto"/>
        </w:rPr>
        <w:t>. Subject to the conditions contained herein and in the Plan, the Restricted Stock Units shall vest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restrictions on such Restricted Stock Units shall lapse as provided in the Grant Notice. With respect to any Restricted Stock Unit, the period of time that commences on the Date of Grant and ends on the Vesting Date, or, if earlier, the date of any Termination that results in vesting of such Restricted Stock Unit, shall be its Restricted Period.</w:t>
      </w:r>
    </w:p>
    <w:p>
      <w:pPr>
        <w:spacing w:after="0" w:line="154" w:lineRule="exact"/>
        <w:rPr>
          <w:rFonts w:ascii="Arial" w:cs="Arial" w:eastAsia="Arial" w:hAnsi="Arial"/>
          <w:sz w:val="21"/>
          <w:szCs w:val="21"/>
          <w:color w:val="auto"/>
        </w:rPr>
      </w:pPr>
    </w:p>
    <w:p>
      <w:pPr>
        <w:jc w:val="both"/>
        <w:ind w:firstLine="1304"/>
        <w:spacing w:after="0" w:line="225" w:lineRule="auto"/>
        <w:tabs>
          <w:tab w:leader="none" w:pos="1512"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Settlement of Restricted Stock Units</w:t>
      </w:r>
      <w:r>
        <w:rPr>
          <w:rFonts w:ascii="Arial" w:cs="Arial" w:eastAsia="Arial" w:hAnsi="Arial"/>
          <w:sz w:val="22"/>
          <w:szCs w:val="22"/>
          <w:color w:val="auto"/>
        </w:rPr>
        <w:t>. The provisions of Section 9(d)(ii) of the Plan are incorporated herein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reference and made a part 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no event will settlement of a Restricted Stock Unit occur more than thirty (30) days following the expiration of its Restricted Period.</w:t>
      </w:r>
    </w:p>
    <w:p>
      <w:pPr>
        <w:spacing w:after="0" w:line="152" w:lineRule="exact"/>
        <w:rPr>
          <w:rFonts w:ascii="Arial" w:cs="Arial" w:eastAsia="Arial" w:hAnsi="Arial"/>
          <w:sz w:val="22"/>
          <w:szCs w:val="22"/>
          <w:color w:val="auto"/>
        </w:rPr>
      </w:pPr>
    </w:p>
    <w:p>
      <w:pPr>
        <w:ind w:left="1520" w:hanging="216"/>
        <w:spacing w:after="0"/>
        <w:tabs>
          <w:tab w:leader="none" w:pos="152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185" w:lineRule="exact"/>
        <w:rPr>
          <w:sz w:val="20"/>
          <w:szCs w:val="20"/>
          <w:color w:val="auto"/>
        </w:rPr>
      </w:pPr>
    </w:p>
    <w:p>
      <w:pPr>
        <w:ind w:firstLine="1304"/>
        <w:spacing w:after="0" w:line="232" w:lineRule="auto"/>
        <w:tabs>
          <w:tab w:leader="none" w:pos="1617"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Company</w:t>
      </w:r>
      <w:r>
        <w:rPr>
          <w:rFonts w:ascii="Arial" w:cs="Arial" w:eastAsia="Arial" w:hAnsi="Arial"/>
          <w:sz w:val="22"/>
          <w:szCs w:val="22"/>
          <w:color w:val="auto"/>
        </w:rPr>
        <w:t>” as used in this Restricted Stock Unit Agreement with reference to employment shall include the Company and its Subsidiaries.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636" w:val="left"/>
        </w:tabs>
        <w:numPr>
          <w:ilvl w:val="0"/>
          <w:numId w:val="22"/>
        </w:numPr>
        <w:rPr>
          <w:rFonts w:ascii="Arial" w:cs="Arial" w:eastAsia="Arial" w:hAnsi="Arial"/>
          <w:sz w:val="22"/>
          <w:szCs w:val="22"/>
          <w:color w:val="auto"/>
        </w:rPr>
      </w:pPr>
      <w:r>
        <w:rPr>
          <w:rFonts w:ascii="Arial" w:cs="Arial" w:eastAsia="Arial" w:hAnsi="Arial"/>
          <w:sz w:val="22"/>
          <w:szCs w:val="22"/>
          <w:color w:val="auto"/>
        </w:rPr>
        <w:t>Whenever the word “</w:t>
      </w:r>
      <w:r>
        <w:rPr>
          <w:rFonts w:ascii="Arial" w:cs="Arial" w:eastAsia="Arial" w:hAnsi="Arial"/>
          <w:sz w:val="22"/>
          <w:szCs w:val="22"/>
          <w:u w:val="single" w:color="auto"/>
          <w:color w:val="auto"/>
        </w:rPr>
        <w:t>Participant</w:t>
      </w:r>
      <w:r>
        <w:rPr>
          <w:rFonts w:ascii="Arial" w:cs="Arial" w:eastAsia="Arial" w:hAnsi="Arial"/>
          <w:sz w:val="22"/>
          <w:szCs w:val="22"/>
          <w:color w:val="auto"/>
        </w:rPr>
        <w:t>” is used in any provision of this Restricted Stock Unit Agreement under circumstances where the provision should logically be construed to apply to the executors, the administrators, or the person or persons to whom the Restricted Stock Units may be transferred by will or by the laws of descent and distribution, the word “</w:t>
      </w:r>
      <w:r>
        <w:rPr>
          <w:rFonts w:ascii="Arial" w:cs="Arial" w:eastAsia="Arial" w:hAnsi="Arial"/>
          <w:sz w:val="22"/>
          <w:szCs w:val="22"/>
          <w:u w:val="single" w:color="auto"/>
          <w:color w:val="auto"/>
        </w:rPr>
        <w:t>Participant</w:t>
      </w:r>
      <w:r>
        <w:rPr>
          <w:rFonts w:ascii="Arial" w:cs="Arial" w:eastAsia="Arial" w:hAnsi="Arial"/>
          <w:sz w:val="22"/>
          <w:szCs w:val="22"/>
          <w:color w:val="auto"/>
        </w:rPr>
        <w:t>” shall be deemed to include such person or persons.</w:t>
      </w:r>
    </w:p>
    <w:p>
      <w:pPr>
        <w:spacing w:after="0" w:line="155" w:lineRule="exact"/>
        <w:rPr>
          <w:sz w:val="20"/>
          <w:szCs w:val="20"/>
          <w:color w:val="auto"/>
        </w:rPr>
      </w:pPr>
    </w:p>
    <w:p>
      <w:pPr>
        <w:jc w:val="both"/>
        <w:ind w:firstLine="1304"/>
        <w:spacing w:after="0" w:line="227" w:lineRule="auto"/>
        <w:tabs>
          <w:tab w:leader="none" w:pos="1539" w:val="left"/>
        </w:tabs>
        <w:numPr>
          <w:ilvl w:val="0"/>
          <w:numId w:val="23"/>
        </w:numPr>
        <w:rPr>
          <w:rFonts w:ascii="Arial" w:cs="Arial" w:eastAsia="Arial" w:hAnsi="Arial"/>
          <w:sz w:val="21"/>
          <w:szCs w:val="21"/>
          <w:color w:val="auto"/>
        </w:rPr>
      </w:pPr>
      <w:r>
        <w:rPr>
          <w:rFonts w:ascii="Arial" w:cs="Arial" w:eastAsia="Arial" w:hAnsi="Arial"/>
          <w:sz w:val="21"/>
          <w:szCs w:val="21"/>
          <w:b w:val="1"/>
          <w:bCs w:val="1"/>
          <w:u w:val="single" w:color="auto"/>
          <w:color w:val="auto"/>
        </w:rPr>
        <w:t>Non-Transferability</w:t>
      </w:r>
      <w:r>
        <w:rPr>
          <w:rFonts w:ascii="Arial" w:cs="Arial" w:eastAsia="Arial" w:hAnsi="Arial"/>
          <w:sz w:val="21"/>
          <w:szCs w:val="21"/>
          <w:color w:val="auto"/>
        </w:rPr>
        <w:t>. The Restricted Stock Units are not transferable by the Participant except to Permitted</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ectPr>
          <w:pgSz w:w="11900" w:h="16838" w:orient="portrait"/>
          <w:cols w:equalWidth="0" w:num="1">
            <w:col w:w="11240"/>
          </w:cols>
          <w:pgMar w:left="320" w:top="1382" w:right="339" w:bottom="1440" w:gutter="0" w:footer="0" w:header="0"/>
        </w:sectPr>
      </w:pPr>
    </w:p>
    <w:bookmarkStart w:id="45" w:name="page46"/>
    <w:bookmarkEnd w:id="45"/>
    <w:p>
      <w:pPr>
        <w:jc w:val="both"/>
        <w:ind w:left="-1120" w:firstLine="1304"/>
        <w:spacing w:after="0" w:line="230" w:lineRule="auto"/>
        <w:tabs>
          <w:tab w:leader="none" w:pos="405" w:val="left"/>
        </w:tabs>
        <w:numPr>
          <w:ilvl w:val="0"/>
          <w:numId w:val="24"/>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as Stockholder</w:t>
      </w:r>
      <w:r>
        <w:rPr>
          <w:rFonts w:ascii="Arial" w:cs="Arial" w:eastAsia="Arial" w:hAnsi="Arial"/>
          <w:sz w:val="21"/>
          <w:szCs w:val="21"/>
          <w:color w:val="auto"/>
        </w:rPr>
        <w:t>. The Participant or a Permitted Transferee of the Restricted Stock Units shall have no</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as a stockholder with respect to any share of Common Stock underlying a Restricted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54" w:lineRule="exact"/>
        <w:rPr>
          <w:rFonts w:ascii="Arial" w:cs="Arial" w:eastAsia="Arial" w:hAnsi="Arial"/>
          <w:sz w:val="21"/>
          <w:szCs w:val="21"/>
          <w:color w:val="auto"/>
        </w:rPr>
      </w:pPr>
    </w:p>
    <w:p>
      <w:pPr>
        <w:jc w:val="both"/>
        <w:ind w:left="-1120" w:firstLine="1304"/>
        <w:spacing w:after="0" w:line="221" w:lineRule="auto"/>
        <w:tabs>
          <w:tab w:leader="none" w:pos="419" w:val="left"/>
        </w:tabs>
        <w:numPr>
          <w:ilvl w:val="0"/>
          <w:numId w:val="24"/>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w:t>
      </w:r>
      <w:r>
        <w:rPr>
          <w:rFonts w:ascii="Arial" w:cs="Arial" w:eastAsia="Arial" w:hAnsi="Arial"/>
          <w:sz w:val="21"/>
          <w:szCs w:val="21"/>
          <w:color w:val="auto"/>
        </w:rPr>
        <w:t>. Every notice or other communication relating to this Restricted Stock Unit Agreement between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52" w:lineRule="exact"/>
        <w:rPr>
          <w:rFonts w:ascii="Arial" w:cs="Arial" w:eastAsia="Arial" w:hAnsi="Arial"/>
          <w:sz w:val="21"/>
          <w:szCs w:val="21"/>
          <w:color w:val="auto"/>
        </w:rPr>
      </w:pPr>
    </w:p>
    <w:p>
      <w:pPr>
        <w:ind w:left="-1120" w:firstLine="1304"/>
        <w:spacing w:after="0" w:line="235" w:lineRule="auto"/>
        <w:tabs>
          <w:tab w:leader="none" w:pos="405"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No Right to Continued Service</w:t>
      </w:r>
      <w:r>
        <w:rPr>
          <w:rFonts w:ascii="Arial" w:cs="Arial" w:eastAsia="Arial" w:hAnsi="Arial"/>
          <w:sz w:val="22"/>
          <w:szCs w:val="22"/>
          <w:color w:val="auto"/>
        </w:rPr>
        <w:t>. This Restricted Stock Unit Agreement does not confer upon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 to continue as a Non-Employee Director of the Company.</w:t>
      </w:r>
    </w:p>
    <w:p>
      <w:pPr>
        <w:spacing w:after="0" w:line="152" w:lineRule="exact"/>
        <w:rPr>
          <w:rFonts w:ascii="Arial" w:cs="Arial" w:eastAsia="Arial" w:hAnsi="Arial"/>
          <w:sz w:val="22"/>
          <w:szCs w:val="22"/>
          <w:color w:val="auto"/>
        </w:rPr>
      </w:pPr>
    </w:p>
    <w:p>
      <w:pPr>
        <w:ind w:left="-1120" w:firstLine="1304"/>
        <w:spacing w:after="0" w:line="235" w:lineRule="auto"/>
        <w:tabs>
          <w:tab w:leader="none" w:pos="473"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w:t>
      </w:r>
      <w:r>
        <w:rPr>
          <w:rFonts w:ascii="Arial" w:cs="Arial" w:eastAsia="Arial" w:hAnsi="Arial"/>
          <w:sz w:val="22"/>
          <w:szCs w:val="22"/>
          <w:color w:val="auto"/>
        </w:rPr>
        <w:t>. This Restricted Stock Unit Agreement shall be binding upon the heirs, executors,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administrators and successors of the parties hereto.</w:t>
      </w:r>
    </w:p>
    <w:p>
      <w:pPr>
        <w:spacing w:after="0" w:line="152" w:lineRule="exact"/>
        <w:rPr>
          <w:rFonts w:ascii="Arial" w:cs="Arial" w:eastAsia="Arial" w:hAnsi="Arial"/>
          <w:sz w:val="22"/>
          <w:szCs w:val="22"/>
          <w:color w:val="auto"/>
        </w:rPr>
      </w:pPr>
    </w:p>
    <w:p>
      <w:pPr>
        <w:jc w:val="both"/>
        <w:ind w:left="-1120" w:firstLine="1304"/>
        <w:spacing w:after="0" w:line="225" w:lineRule="auto"/>
        <w:tabs>
          <w:tab w:leader="none" w:pos="513" w:val="left"/>
        </w:tabs>
        <w:numPr>
          <w:ilvl w:val="0"/>
          <w:numId w:val="24"/>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 and Amendments</w:t>
      </w:r>
      <w:r>
        <w:rPr>
          <w:rFonts w:ascii="Arial" w:cs="Arial" w:eastAsia="Arial" w:hAnsi="Arial"/>
          <w:sz w:val="21"/>
          <w:szCs w:val="21"/>
          <w:color w:val="auto"/>
        </w:rPr>
        <w:t>. Except as otherwise set forth in Section 13 of the Plan, any waiver, alteration,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amendment or modification of any of the terms of this Restricted Stock Unit Agreement shall be valid only if made in writing and signed by the parties 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53" w:lineRule="exact"/>
        <w:rPr>
          <w:rFonts w:ascii="Arial" w:cs="Arial" w:eastAsia="Arial" w:hAnsi="Arial"/>
          <w:sz w:val="21"/>
          <w:szCs w:val="21"/>
          <w:color w:val="auto"/>
        </w:rPr>
      </w:pPr>
    </w:p>
    <w:p>
      <w:pPr>
        <w:jc w:val="both"/>
        <w:ind w:left="-1120" w:firstLine="1304"/>
        <w:spacing w:after="0" w:line="254" w:lineRule="auto"/>
        <w:tabs>
          <w:tab w:leader="none" w:pos="492" w:val="left"/>
        </w:tabs>
        <w:numPr>
          <w:ilvl w:val="0"/>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Restricted Stock Unit Agreement shall be construed and interpreted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39" w:lineRule="exact"/>
        <w:rPr>
          <w:rFonts w:ascii="Arial" w:cs="Arial" w:eastAsia="Arial" w:hAnsi="Arial"/>
          <w:sz w:val="19"/>
          <w:szCs w:val="19"/>
          <w:color w:val="auto"/>
        </w:rPr>
      </w:pPr>
    </w:p>
    <w:p>
      <w:pPr>
        <w:jc w:val="both"/>
        <w:ind w:left="-1120" w:firstLine="1304"/>
        <w:spacing w:after="0" w:line="225"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The terms and provisions of the Plan are incorporated herein by reference. In the event of a conflict or</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inconsistency between the terms and provisions of the Plan and the provisions of this Restricted Stock Unit Agreement (including the Grant Notice), the Plan shall govern and control.</w:t>
      </w:r>
    </w:p>
    <w:p>
      <w:pPr>
        <w:spacing w:after="0" w:line="152" w:lineRule="exact"/>
        <w:rPr>
          <w:rFonts w:ascii="Arial" w:cs="Arial" w:eastAsia="Arial" w:hAnsi="Arial"/>
          <w:sz w:val="22"/>
          <w:szCs w:val="22"/>
          <w:color w:val="auto"/>
        </w:rPr>
      </w:pPr>
    </w:p>
    <w:p>
      <w:pPr>
        <w:ind w:left="500" w:hanging="316"/>
        <w:spacing w:after="0"/>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120" w:firstLine="1547"/>
        <w:spacing w:after="0" w:line="232" w:lineRule="auto"/>
        <w:tabs>
          <w:tab w:leader="none" w:pos="821" w:val="left"/>
        </w:tabs>
        <w:numPr>
          <w:ilvl w:val="1"/>
          <w:numId w:val="24"/>
        </w:numPr>
        <w:rPr>
          <w:rFonts w:ascii="Arial" w:cs="Arial" w:eastAsia="Arial" w:hAnsi="Arial"/>
          <w:sz w:val="22"/>
          <w:szCs w:val="22"/>
          <w:color w:val="010000"/>
        </w:rPr>
      </w:pPr>
      <w:r>
        <w:rPr>
          <w:rFonts w:ascii="Arial" w:cs="Arial" w:eastAsia="Arial" w:hAnsi="Arial"/>
          <w:sz w:val="22"/>
          <w:szCs w:val="22"/>
          <w:color w:val="auto"/>
        </w:rPr>
        <w:t>This Restricted Stock Unit Agreement is intended to be exempt from or comply with the provisions of Section 409A of the Code and the regulations promulgated</w:t>
      </w:r>
    </w:p>
    <w:p>
      <w:pPr>
        <w:sectPr>
          <w:pgSz w:w="11900" w:h="16838" w:orient="portrait"/>
          <w:cols w:equalWidth="0" w:num="1">
            <w:col w:w="10120"/>
          </w:cols>
          <w:pgMar w:left="1440" w:top="1395" w:right="339" w:bottom="1440" w:gutter="0" w:footer="0" w:header="0"/>
        </w:sectPr>
      </w:pPr>
    </w:p>
    <w:bookmarkStart w:id="46" w:name="page47"/>
    <w:bookmarkEnd w:id="46"/>
    <w:p>
      <w:pPr>
        <w:jc w:val="both"/>
        <w:spacing w:after="0" w:line="218" w:lineRule="auto"/>
        <w:rPr>
          <w:sz w:val="20"/>
          <w:szCs w:val="20"/>
          <w:color w:val="auto"/>
        </w:rPr>
      </w:pPr>
      <w:r>
        <w:rPr>
          <w:rFonts w:ascii="Arial" w:cs="Arial" w:eastAsia="Arial" w:hAnsi="Arial"/>
          <w:sz w:val="22"/>
          <w:szCs w:val="22"/>
          <w:color w:val="auto"/>
        </w:rPr>
        <w:t>thereunder, and shall be interpreted consistent with such intent. Without limiting the foregoing, the Committee will have the right to amend the terms and conditions of this Restricted Stock Unit Agreement in any respect as may be necessary or appropriate to comply with Section 409A of the Code or any regulations promulgated thereunder, including, without limitation, by delaying the issuance of the shares of Common Stock contemplated hereunder.</w:t>
      </w:r>
    </w:p>
    <w:p>
      <w:pPr>
        <w:spacing w:after="0" w:line="161" w:lineRule="exact"/>
        <w:rPr>
          <w:sz w:val="20"/>
          <w:szCs w:val="20"/>
          <w:color w:val="auto"/>
        </w:rPr>
      </w:pPr>
    </w:p>
    <w:p>
      <w:pPr>
        <w:jc w:val="both"/>
        <w:ind w:firstLine="1547"/>
        <w:spacing w:after="0" w:line="224" w:lineRule="auto"/>
        <w:tabs>
          <w:tab w:leader="none" w:pos="1939" w:val="left"/>
        </w:tabs>
        <w:numPr>
          <w:ilvl w:val="0"/>
          <w:numId w:val="25"/>
        </w:numPr>
        <w:rPr>
          <w:rFonts w:ascii="Arial" w:cs="Arial" w:eastAsia="Arial" w:hAnsi="Arial"/>
          <w:sz w:val="21"/>
          <w:szCs w:val="21"/>
          <w:color w:val="010000"/>
        </w:rPr>
      </w:pPr>
      <w:r>
        <w:rPr>
          <w:rFonts w:ascii="Arial" w:cs="Arial" w:eastAsia="Arial" w:hAnsi="Arial"/>
          <w:sz w:val="21"/>
          <w:szCs w:val="21"/>
          <w:color w:val="auto"/>
        </w:rPr>
        <w:t>The Participant is solely responsible and liable for the satisfaction of all taxes and penalties under Section 409A of the Code that may be imposed on or in respect of the Participant in connection with this Agreement, and the Company will not be liable to any Participant for any payment made under this Plan that is determined to result in an additional tax, penalty or interest under Section 409A of the Code, nor for reporting in good faith any payment made under this Agreement as an amount includible in gross income under Section 409A of the Code. Each payment in a series of payments hereunder will be deemed to be a separate payment for the purposes of Section 409A of the Code.</w:t>
      </w:r>
    </w:p>
    <w:p>
      <w:pPr>
        <w:sectPr>
          <w:pgSz w:w="11900" w:h="16838" w:orient="portrait"/>
          <w:cols w:equalWidth="0" w:num="1">
            <w:col w:w="11240"/>
          </w:cols>
          <w:pgMar w:left="320" w:top="140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July 2, 2022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5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July 2, 2022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National Vision Holdings, Inc. (the “Company”) on Form 10-Q for the quarterly period ended July 2, 2022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9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July 2, 2022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decimal"/>
      <w:start w:val="1"/>
    </w:lvl>
    <w:lvl w:ilvl="1">
      <w:lvlJc w:val="left"/>
      <w:lvlText w:val="(%2)"/>
      <w:numFmt w:val="lowerLetter"/>
      <w:start w:val="1"/>
    </w:lvl>
  </w:abstractNum>
  <w:abstractNum w:abstractNumId="8">
    <w:nsid w:val="7C83E458"/>
    <w:multiLevelType w:val="hybridMultilevel"/>
    <w:lvl w:ilvl="0">
      <w:lvlJc w:val="left"/>
      <w:lvlText w:val="%1."/>
      <w:numFmt w:val="decimal"/>
      <w:start w:val="9"/>
    </w:lvl>
    <w:lvl w:ilvl="1">
      <w:lvlJc w:val="left"/>
      <w:lvlText w:val="%2"/>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4"/>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04"/>
    </w:lvl>
  </w:abstractNum>
  <w:abstractNum w:abstractNumId="19">
    <w:nsid w:val="8EDBDAB"/>
    <w:multiLevelType w:val="hybridMultilevel"/>
    <w:lvl w:ilvl="0">
      <w:lvlJc w:val="left"/>
      <w:lvlText w:val="1"/>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decimal"/>
      <w:start w:val="5"/>
    </w:lvl>
  </w:abstractNum>
  <w:abstractNum w:abstractNumId="23">
    <w:nsid w:val="189A769B"/>
    <w:multiLevelType w:val="hybridMultilevel"/>
    <w:lvl w:ilvl="0">
      <w:lvlJc w:val="left"/>
      <w:lvlText w:val="%1."/>
      <w:numFmt w:val="decimal"/>
      <w:start w:val="6"/>
    </w:lvl>
    <w:lvl w:ilvl="1">
      <w:lvlJc w:val="left"/>
      <w:lvlText w:val="(%2)"/>
      <w:numFmt w:val="low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61" Type="http://schemas.openxmlformats.org/officeDocument/2006/relationships/hyperlink" Target="https://www.sec.gov/Archives/edgar/data/1710155/000171015521000036/nationalvision-thirdamende.htm" TargetMode="External"/><Relationship Id="rId62" Type="http://schemas.openxmlformats.org/officeDocument/2006/relationships/hyperlink" Target="https://www.sec.gov/Archives/edgar/data/0001710155/000171015521000036/nationalvisionholdingsinct.htm" TargetMode="External"/><Relationship Id="rId63" Type="http://schemas.openxmlformats.org/officeDocument/2006/relationships/hyperlink" Target="https://www.sec.gov/Archives/edgar/data/1710155/000171015522000019/exhibit104-q12022.htm" TargetMode="External"/><Relationship Id="rId64" Type="http://schemas.openxmlformats.org/officeDocument/2006/relationships/hyperlink" Target="https://www.sec.gov/Archives/edgar/data/1710155/000171015522000036/nvi-essilorfirst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2022-08-11T05:40:23Z</dcterms:created>
  <dcterms:modified xsi:type="dcterms:W3CDTF">2022-08-11T05:40:23Z</dcterms:modified>
</cp:coreProperties>
</file>