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March 29, 2025</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396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1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29" w:lineRule="exact"/>
        <w:rPr>
          <w:sz w:val="24"/>
          <w:szCs w:val="24"/>
          <w:color w:val="auto"/>
        </w:rPr>
      </w:pPr>
    </w:p>
    <w:tbl>
      <w:tblPr>
        <w:tblLayout w:type="fixed"/>
        <w:tblInd w:w="1740" w:type="dxa"/>
        <w:tblCellMar>
          <w:top w:w="0" w:type="dxa"/>
          <w:left w:w="0" w:type="dxa"/>
          <w:bottom w:w="0" w:type="dxa"/>
          <w:right w:w="0" w:type="dxa"/>
        </w:tblCellMar>
      </w:tblPr>
      <w:tr>
        <w:trPr>
          <w:trHeight w:val="223"/>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74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(State or other jurisdiction of</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(I.R.S. Employer</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incorporation or organization)</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Identification No.)</w:t>
            </w:r>
          </w:p>
        </w:tc>
      </w:tr>
      <w:tr>
        <w:trPr>
          <w:trHeight w:val="271"/>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2435 Commerce Ave</w:t>
            </w:r>
          </w:p>
        </w:tc>
        <w:tc>
          <w:tcPr>
            <w:tcW w:w="2740" w:type="dxa"/>
            <w:vAlign w:val="bottom"/>
          </w:tcPr>
          <w:p>
            <w:pPr>
              <w:spacing w:after="0"/>
              <w:rPr>
                <w:sz w:val="23"/>
                <w:szCs w:val="23"/>
                <w:color w:val="auto"/>
              </w:rPr>
            </w:pP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Building 2200</w:t>
            </w:r>
          </w:p>
        </w:tc>
        <w:tc>
          <w:tcPr>
            <w:tcW w:w="274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Duluth, Georgia</w:t>
            </w:r>
          </w:p>
        </w:tc>
        <w:tc>
          <w:tcPr>
            <w:tcW w:w="2740" w:type="dxa"/>
            <w:vAlign w:val="bottom"/>
          </w:tcPr>
          <w:p>
            <w:pPr>
              <w:jc w:val="center"/>
              <w:ind w:left="1419"/>
              <w:spacing w:after="0"/>
              <w:rPr>
                <w:sz w:val="20"/>
                <w:szCs w:val="20"/>
                <w:color w:val="auto"/>
              </w:rPr>
            </w:pPr>
            <w:r>
              <w:rPr>
                <w:rFonts w:ascii="Arial" w:cs="Arial" w:eastAsia="Arial" w:hAnsi="Arial"/>
                <w:sz w:val="16"/>
                <w:szCs w:val="16"/>
                <w:color w:val="auto"/>
              </w:rPr>
              <w:t>(Zip Code)</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(Address of principal executive offices)</w:t>
            </w:r>
          </w:p>
        </w:tc>
        <w:tc>
          <w:tcPr>
            <w:tcW w:w="2740" w:type="dxa"/>
            <w:vAlign w:val="bottom"/>
          </w:tcPr>
          <w:p>
            <w:pPr>
              <w:spacing w:after="0"/>
              <w:rPr>
                <w:sz w:val="18"/>
                <w:szCs w:val="18"/>
                <w:color w:val="auto"/>
              </w:rPr>
            </w:pPr>
          </w:p>
        </w:tc>
      </w:tr>
    </w:tbl>
    <w:p>
      <w:pPr>
        <w:spacing w:after="0" w:line="4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1080" w:type="dxa"/>
        <w:tblCellMar>
          <w:top w:w="0" w:type="dxa"/>
          <w:left w:w="0" w:type="dxa"/>
          <w:bottom w:w="0" w:type="dxa"/>
          <w:right w:w="0" w:type="dxa"/>
        </w:tblCellMar>
      </w:tblPr>
      <w:tr>
        <w:trPr>
          <w:trHeight w:val="217"/>
        </w:trPr>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 Symbol(s)</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EYE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w:t>
            </w:r>
          </w:p>
        </w:tc>
      </w:tr>
    </w:tbl>
    <w:p>
      <w:pPr>
        <w:spacing w:after="0" w:line="186" w:lineRule="exact"/>
        <w:rPr>
          <w:sz w:val="24"/>
          <w:szCs w:val="24"/>
          <w:color w:val="auto"/>
        </w:rPr>
      </w:pPr>
    </w:p>
    <w:p>
      <w:pPr>
        <w:ind w:right="100"/>
        <w:spacing w:after="0" w:line="19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0" w:lineRule="exact"/>
        <w:rPr>
          <w:sz w:val="24"/>
          <w:szCs w:val="24"/>
          <w:color w:val="auto"/>
        </w:rPr>
      </w:pPr>
    </w:p>
    <w:p>
      <w:pPr>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ind w:right="120"/>
        <w:spacing w:after="0" w:line="26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740" w:type="dxa"/>
        <w:tblCellMar>
          <w:top w:w="0" w:type="dxa"/>
          <w:left w:w="0" w:type="dxa"/>
          <w:bottom w:w="0" w:type="dxa"/>
          <w:right w:w="0" w:type="dxa"/>
        </w:tblCellMar>
      </w:tblPr>
      <w:tr>
        <w:trPr>
          <w:trHeight w:val="239"/>
        </w:trPr>
        <w:tc>
          <w:tcPr>
            <w:tcW w:w="1780" w:type="dxa"/>
            <w:vAlign w:val="bottom"/>
          </w:tcPr>
          <w:p>
            <w:pPr>
              <w:jc w:val="center"/>
              <w:ind w:right="99"/>
              <w:spacing w:after="0"/>
              <w:rPr>
                <w:sz w:val="20"/>
                <w:szCs w:val="20"/>
                <w:color w:val="auto"/>
              </w:rPr>
            </w:pPr>
            <w:r>
              <w:rPr>
                <w:rFonts w:ascii="Arial" w:cs="Arial" w:eastAsia="Arial" w:hAnsi="Arial"/>
                <w:sz w:val="16"/>
                <w:szCs w:val="16"/>
                <w:color w:val="auto"/>
              </w:rPr>
              <w:t>Large accelerated filer</w:t>
            </w:r>
          </w:p>
        </w:tc>
        <w:tc>
          <w:tcPr>
            <w:tcW w:w="11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jc w:val="center"/>
              <w:ind w:left="559"/>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80" w:type="dxa"/>
            <w:vAlign w:val="bottom"/>
          </w:tcPr>
          <w:p>
            <w:pPr>
              <w:jc w:val="center"/>
              <w:ind w:right="119"/>
              <w:spacing w:after="0"/>
              <w:rPr>
                <w:sz w:val="20"/>
                <w:szCs w:val="20"/>
                <w:color w:val="auto"/>
              </w:rPr>
            </w:pPr>
            <w:r>
              <w:rPr>
                <w:rFonts w:ascii="Arial" w:cs="Arial" w:eastAsia="Arial" w:hAnsi="Arial"/>
                <w:sz w:val="16"/>
                <w:szCs w:val="16"/>
                <w:color w:val="auto"/>
              </w:rPr>
              <w:t>Non-accelerated filer</w:t>
            </w:r>
          </w:p>
        </w:tc>
        <w:tc>
          <w:tcPr>
            <w:tcW w:w="11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800" w:type="dxa"/>
            <w:vAlign w:val="bottom"/>
          </w:tcPr>
          <w:p>
            <w:pPr>
              <w:jc w:val="center"/>
              <w:ind w:left="579"/>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0" w:type="dxa"/>
            <w:vAlign w:val="bottom"/>
          </w:tcPr>
          <w:p>
            <w:pPr>
              <w:jc w:val="center"/>
              <w:ind w:left="559"/>
              <w:spacing w:after="0"/>
              <w:rPr>
                <w:sz w:val="20"/>
                <w:szCs w:val="20"/>
                <w:color w:val="auto"/>
              </w:rPr>
            </w:pPr>
            <w:r>
              <w:rPr>
                <w:rFonts w:ascii="Arial" w:cs="Arial" w:eastAsia="Arial" w:hAnsi="Arial"/>
                <w:sz w:val="16"/>
                <w:szCs w:val="16"/>
                <w:color w:val="auto"/>
              </w:rPr>
              <w:t>Emerging growth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ind w:right="22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580"/>
        <w:spacing w:after="0" w:line="23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628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w:t>
            </w:r>
          </w:p>
        </w:tc>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Outstanding at April 25, 2025</w:t>
            </w:r>
          </w:p>
        </w:tc>
      </w:tr>
      <w:tr>
        <w:trPr>
          <w:trHeight w:val="208"/>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w:t>
            </w:r>
          </w:p>
        </w:tc>
        <w:tc>
          <w:tcPr>
            <w:tcW w:w="138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79,053,659</w:t>
            </w:r>
          </w:p>
        </w:tc>
        <w:tc>
          <w:tcPr>
            <w:tcW w:w="40" w:type="dxa"/>
            <w:vAlign w:val="bottom"/>
          </w:tcPr>
          <w:p>
            <w:pPr>
              <w:spacing w:after="0"/>
              <w:rPr>
                <w:sz w:val="18"/>
                <w:szCs w:val="18"/>
                <w:color w:val="auto"/>
              </w:rPr>
            </w:pPr>
          </w:p>
        </w:tc>
      </w:tr>
      <w:tr>
        <w:trPr>
          <w:trHeight w:val="123"/>
        </w:trPr>
        <w:tc>
          <w:tcPr>
            <w:tcW w:w="49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844"/>
        </w:trPr>
        <w:tc>
          <w:tcPr>
            <w:tcW w:w="4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198"/>
        </w:trPr>
        <w:tc>
          <w:tcPr>
            <w:tcW w:w="260" w:type="dxa"/>
            <w:vAlign w:val="bottom"/>
          </w:tcPr>
          <w:p>
            <w:pPr>
              <w:spacing w:after="0"/>
              <w:rPr>
                <w:sz w:val="17"/>
                <w:szCs w:val="17"/>
                <w:color w:val="auto"/>
              </w:rPr>
            </w:pPr>
          </w:p>
        </w:tc>
        <w:tc>
          <w:tcPr>
            <w:tcW w:w="10080" w:type="dxa"/>
            <w:vAlign w:val="bottom"/>
            <w:gridSpan w:val="25"/>
          </w:tcPr>
          <w:p>
            <w:pPr>
              <w:spacing w:after="0" w:line="199" w:lineRule="exact"/>
              <w:rPr>
                <w:sz w:val="20"/>
                <w:szCs w:val="20"/>
                <w:color w:val="auto"/>
              </w:rPr>
            </w:pPr>
            <w:r>
              <w:rPr>
                <w:rFonts w:ascii="Arial" w:cs="Arial" w:eastAsia="Arial" w:hAnsi="Arial"/>
                <w:sz w:val="18"/>
                <w:szCs w:val="18"/>
                <w:color w:val="0000FF"/>
              </w:rPr>
              <w:t>SPECIAL NOTE REGARDING FORWARD-LOOKING STATEMENTS</w:t>
            </w:r>
          </w:p>
        </w:tc>
        <w:tc>
          <w:tcPr>
            <w:tcW w:w="200" w:type="dxa"/>
            <w:vAlign w:val="bottom"/>
            <w:gridSpan w:val="2"/>
          </w:tcPr>
          <w:p>
            <w:pPr>
              <w:spacing w:after="0" w:line="199" w:lineRule="exact"/>
              <w:rPr>
                <w:sz w:val="20"/>
                <w:szCs w:val="20"/>
                <w:color w:val="auto"/>
              </w:rPr>
            </w:pPr>
            <w:r>
              <w:rPr>
                <w:rFonts w:ascii="Arial" w:cs="Arial" w:eastAsia="Arial" w:hAnsi="Arial"/>
                <w:sz w:val="18"/>
                <w:szCs w:val="18"/>
                <w:color w:val="0000FF"/>
              </w:rPr>
              <w:t>3</w:t>
            </w:r>
          </w:p>
        </w:tc>
        <w:tc>
          <w:tcPr>
            <w:tcW w:w="700" w:type="dxa"/>
            <w:vAlign w:val="bottom"/>
          </w:tcPr>
          <w:p>
            <w:pPr>
              <w:spacing w:after="0"/>
              <w:rPr>
                <w:sz w:val="17"/>
                <w:szCs w:val="17"/>
                <w:color w:val="auto"/>
              </w:rPr>
            </w:pPr>
          </w:p>
        </w:tc>
      </w:tr>
      <w:tr>
        <w:trPr>
          <w:trHeight w:val="250"/>
        </w:trPr>
        <w:tc>
          <w:tcPr>
            <w:tcW w:w="260" w:type="dxa"/>
            <w:vAlign w:val="bottom"/>
          </w:tcPr>
          <w:p>
            <w:pPr>
              <w:spacing w:after="0"/>
              <w:rPr>
                <w:sz w:val="21"/>
                <w:szCs w:val="21"/>
                <w:color w:val="auto"/>
              </w:rPr>
            </w:pPr>
          </w:p>
        </w:tc>
        <w:tc>
          <w:tcPr>
            <w:tcW w:w="300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8"/>
              </w:rPr>
              <w:t>PART I – FINANCIAL INFORMATION</w:t>
            </w:r>
          </w:p>
        </w:tc>
        <w:tc>
          <w:tcPr>
            <w:tcW w:w="2520" w:type="dxa"/>
            <w:vAlign w:val="bottom"/>
            <w:tcBorders>
              <w:top w:val="single" w:sz="8" w:color="0000FF"/>
            </w:tcBorders>
            <w:gridSpan w:val="6"/>
          </w:tcPr>
          <w:p>
            <w:pPr>
              <w:spacing w:after="0"/>
              <w:rPr>
                <w:sz w:val="21"/>
                <w:szCs w:val="21"/>
                <w:color w:val="auto"/>
              </w:rPr>
            </w:pPr>
          </w:p>
        </w:tc>
        <w:tc>
          <w:tcPr>
            <w:tcW w:w="4560" w:type="dxa"/>
            <w:vAlign w:val="bottom"/>
            <w:gridSpan w:val="7"/>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200" w:type="dxa"/>
            <w:vAlign w:val="bottom"/>
            <w:gridSpan w:val="2"/>
          </w:tcPr>
          <w:p>
            <w:pPr>
              <w:spacing w:after="0"/>
              <w:rPr>
                <w:sz w:val="20"/>
                <w:szCs w:val="20"/>
                <w:color w:val="auto"/>
              </w:rPr>
            </w:pPr>
            <w:r>
              <w:rPr>
                <w:rFonts w:ascii="Arial" w:cs="Arial" w:eastAsia="Arial" w:hAnsi="Arial"/>
                <w:sz w:val="18"/>
                <w:szCs w:val="18"/>
                <w:color w:val="0000FF"/>
              </w:rPr>
              <w:t>5</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200" w:type="dxa"/>
            <w:vAlign w:val="bottom"/>
            <w:gridSpan w:val="2"/>
          </w:tcPr>
          <w:p>
            <w:pPr>
              <w:spacing w:after="0"/>
              <w:rPr>
                <w:sz w:val="20"/>
                <w:szCs w:val="20"/>
                <w:color w:val="auto"/>
              </w:rPr>
            </w:pPr>
            <w:r>
              <w:rPr>
                <w:rFonts w:ascii="Arial" w:cs="Arial" w:eastAsia="Arial" w:hAnsi="Arial"/>
                <w:sz w:val="18"/>
                <w:szCs w:val="18"/>
                <w:color w:val="0000FF"/>
              </w:rPr>
              <w:t>5</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and Comprehensive Income</w:t>
            </w:r>
          </w:p>
        </w:tc>
        <w:tc>
          <w:tcPr>
            <w:tcW w:w="200" w:type="dxa"/>
            <w:vAlign w:val="bottom"/>
            <w:gridSpan w:val="2"/>
          </w:tcPr>
          <w:p>
            <w:pPr>
              <w:spacing w:after="0"/>
              <w:rPr>
                <w:sz w:val="20"/>
                <w:szCs w:val="20"/>
                <w:color w:val="auto"/>
              </w:rPr>
            </w:pPr>
            <w:r>
              <w:rPr>
                <w:rFonts w:ascii="Arial" w:cs="Arial" w:eastAsia="Arial" w:hAnsi="Arial"/>
                <w:sz w:val="18"/>
                <w:szCs w:val="18"/>
                <w:color w:val="0000FF"/>
              </w:rPr>
              <w:t>6</w:t>
            </w: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1540" w:type="dxa"/>
            <w:vAlign w:val="bottom"/>
            <w:tcBorders>
              <w:top w:val="single" w:sz="8" w:color="0000FF"/>
            </w:tcBorders>
          </w:tcPr>
          <w:p>
            <w:pPr>
              <w:spacing w:after="0"/>
              <w:rPr>
                <w:sz w:val="21"/>
                <w:szCs w:val="21"/>
                <w:color w:val="auto"/>
              </w:rPr>
            </w:pPr>
          </w:p>
        </w:tc>
        <w:tc>
          <w:tcPr>
            <w:tcW w:w="238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w:t>
            </w:r>
          </w:p>
        </w:tc>
        <w:tc>
          <w:tcPr>
            <w:tcW w:w="200" w:type="dxa"/>
            <w:vAlign w:val="bottom"/>
            <w:gridSpan w:val="2"/>
          </w:tcPr>
          <w:p>
            <w:pPr>
              <w:spacing w:after="0"/>
              <w:rPr>
                <w:sz w:val="20"/>
                <w:szCs w:val="20"/>
                <w:color w:val="auto"/>
              </w:rPr>
            </w:pPr>
            <w:r>
              <w:rPr>
                <w:rFonts w:ascii="Arial" w:cs="Arial" w:eastAsia="Arial" w:hAnsi="Arial"/>
                <w:sz w:val="18"/>
                <w:szCs w:val="18"/>
                <w:color w:val="0000FF"/>
              </w:rPr>
              <w:t>8</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200" w:type="dxa"/>
            <w:vAlign w:val="bottom"/>
            <w:gridSpan w:val="2"/>
          </w:tcPr>
          <w:p>
            <w:pPr>
              <w:spacing w:after="0"/>
              <w:rPr>
                <w:sz w:val="20"/>
                <w:szCs w:val="20"/>
                <w:color w:val="auto"/>
              </w:rPr>
            </w:pPr>
            <w:r>
              <w:rPr>
                <w:rFonts w:ascii="Arial" w:cs="Arial" w:eastAsia="Arial" w:hAnsi="Arial"/>
                <w:sz w:val="18"/>
                <w:szCs w:val="18"/>
                <w:color w:val="0000FF"/>
              </w:rPr>
              <w:t>9</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gridSpan w:val="3"/>
          </w:tcPr>
          <w:p>
            <w:pPr>
              <w:spacing w:after="0"/>
              <w:rPr>
                <w:sz w:val="20"/>
                <w:szCs w:val="20"/>
                <w:color w:val="auto"/>
              </w:rPr>
            </w:pPr>
            <w:r>
              <w:rPr>
                <w:rFonts w:ascii="Arial" w:cs="Arial" w:eastAsia="Arial" w:hAnsi="Arial"/>
                <w:sz w:val="18"/>
                <w:szCs w:val="18"/>
                <w:color w:val="0000FF"/>
              </w:rPr>
              <w:t>21</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gridSpan w:val="3"/>
          </w:tcPr>
          <w:p>
            <w:pPr>
              <w:spacing w:after="0"/>
              <w:rPr>
                <w:sz w:val="20"/>
                <w:szCs w:val="20"/>
                <w:color w:val="auto"/>
              </w:rPr>
            </w:pPr>
            <w:r>
              <w:rPr>
                <w:rFonts w:ascii="Arial" w:cs="Arial" w:eastAsia="Arial" w:hAnsi="Arial"/>
                <w:sz w:val="18"/>
                <w:szCs w:val="18"/>
                <w:color w:val="0000FF"/>
              </w:rPr>
              <w:t>32</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32</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27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PART II – OTHER INFORMATION</w:t>
            </w:r>
          </w:p>
        </w:tc>
        <w:tc>
          <w:tcPr>
            <w:tcW w:w="7340" w:type="dxa"/>
            <w:vAlign w:val="bottom"/>
            <w:gridSpan w:val="15"/>
          </w:tcPr>
          <w:p>
            <w:pPr>
              <w:spacing w:after="0"/>
              <w:rPr>
                <w:sz w:val="21"/>
                <w:szCs w:val="21"/>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32</w:t>
            </w: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gridSpan w:val="3"/>
          </w:tcPr>
          <w:p>
            <w:pPr>
              <w:spacing w:after="0"/>
              <w:rPr>
                <w:sz w:val="20"/>
                <w:szCs w:val="20"/>
                <w:color w:val="auto"/>
              </w:rPr>
            </w:pPr>
            <w:r>
              <w:rPr>
                <w:rFonts w:ascii="Arial" w:cs="Arial" w:eastAsia="Arial" w:hAnsi="Arial"/>
                <w:sz w:val="18"/>
                <w:szCs w:val="18"/>
                <w:color w:val="0000FF"/>
              </w:rPr>
              <w:t>33</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900" w:type="dxa"/>
            <w:vAlign w:val="bottom"/>
            <w:gridSpan w:val="3"/>
          </w:tcPr>
          <w:p>
            <w:pPr>
              <w:spacing w:after="0"/>
              <w:rPr>
                <w:sz w:val="20"/>
                <w:szCs w:val="20"/>
                <w:color w:val="auto"/>
              </w:rPr>
            </w:pPr>
            <w:r>
              <w:rPr>
                <w:rFonts w:ascii="Arial" w:cs="Arial" w:eastAsia="Arial" w:hAnsi="Arial"/>
                <w:sz w:val="18"/>
                <w:szCs w:val="18"/>
                <w:color w:val="0000FF"/>
              </w:rPr>
              <w:t>33</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00" w:type="dxa"/>
            <w:vAlign w:val="bottom"/>
            <w:gridSpan w:val="3"/>
          </w:tcPr>
          <w:p>
            <w:pPr>
              <w:spacing w:after="0"/>
              <w:rPr>
                <w:sz w:val="20"/>
                <w:szCs w:val="20"/>
                <w:color w:val="auto"/>
              </w:rPr>
            </w:pPr>
            <w:r>
              <w:rPr>
                <w:rFonts w:ascii="Arial" w:cs="Arial" w:eastAsia="Arial" w:hAnsi="Arial"/>
                <w:sz w:val="18"/>
                <w:szCs w:val="18"/>
                <w:color w:val="0000FF"/>
              </w:rPr>
              <w:t>33</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878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33</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33</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gridSpan w:val="3"/>
          </w:tcPr>
          <w:p>
            <w:pPr>
              <w:spacing w:after="0"/>
              <w:rPr>
                <w:sz w:val="20"/>
                <w:szCs w:val="20"/>
                <w:color w:val="auto"/>
              </w:rPr>
            </w:pPr>
            <w:r>
              <w:rPr>
                <w:rFonts w:ascii="Arial" w:cs="Arial" w:eastAsia="Arial" w:hAnsi="Arial"/>
                <w:sz w:val="18"/>
                <w:szCs w:val="18"/>
                <w:color w:val="0000FF"/>
              </w:rPr>
              <w:t>33</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900" w:type="dxa"/>
            <w:vAlign w:val="bottom"/>
            <w:gridSpan w:val="3"/>
          </w:tcPr>
          <w:p>
            <w:pPr>
              <w:spacing w:after="0"/>
              <w:rPr>
                <w:sz w:val="20"/>
                <w:szCs w:val="20"/>
                <w:color w:val="auto"/>
              </w:rPr>
            </w:pPr>
            <w:r>
              <w:rPr>
                <w:rFonts w:ascii="Arial" w:cs="Arial" w:eastAsia="Arial" w:hAnsi="Arial"/>
                <w:sz w:val="18"/>
                <w:szCs w:val="18"/>
                <w:color w:val="0000FF"/>
              </w:rPr>
              <w:t>34</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35</w:t>
            </w:r>
          </w:p>
        </w:tc>
      </w:tr>
      <w:tr>
        <w:trPr>
          <w:trHeight w:val="1134"/>
        </w:trPr>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Words such as “believes,” “expects,” “may,” “will,” “should,” “could,” “seeks,” “intends,” “plans,” “estimates,” “anticipates,” or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28, 2024 (the “2024 Annual Report on Form 10-K”), as filed with the Securities and Exchange Commission (the “SEC”), as such risk factors may be updated from time to time in our periodic filings with the SEC, which are accessible on the SEC’s website at www.sec.gov, and also include, but are not limited to, market volatility, an overall decline in the health of the economy, global macroeconomic conditions and other factors that may affect consumer spending or behavior; our ability to successfully implement our transformation initiatives, or anticipate the impact of important strategic initiatives; our ability to recruit and retain vision care professionals for in-store roles or to provide remote care offerings; our ability to compete in the highly competitive optical retail industry; the success of our marketing, advertising and promotional efforts; our ability to maintain, protect, and enhance the value of our owned brands;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strategy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or attract qualified new personnel; seasonal fluctuations in our operating results and inventory levels fluctuate;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impacts resulting from the termination of our partnership with Walmart; our investments in technological innovators in the optical retail industry, including artificial intelligence; sustainability issues, including those related to climate change; our ability to develop, maintain and extend relationships with managed vision care companies, vision insurance providers and other third-party payors; risks associated with vendors from whom our products are sourced and our dependence on a limited number of suppliers; the impact of any significant failure, inadequacy, interruption or security breach affecting our information technology systems, or those of our vendors; our reliance on third-party coverage and reimbursement, including government programs, for an increasing portion of our revenues;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 of our intellectual property; risks related to our indebtedness; changes in interest rates; restrictions in our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ind w:right="500"/>
        <w:spacing w:after="0" w:line="287" w:lineRule="auto"/>
        <w:rPr>
          <w:sz w:val="20"/>
          <w:szCs w:val="20"/>
          <w:color w:val="auto"/>
        </w:rPr>
      </w:pPr>
      <w:r>
        <w:rPr>
          <w:rFonts w:ascii="Arial" w:cs="Arial" w:eastAsia="Arial" w:hAnsi="Arial"/>
          <w:sz w:val="18"/>
          <w:szCs w:val="18"/>
          <w:color w:val="auto"/>
        </w:rPr>
        <w:t>that limit our flexibility in operating our business; risks related to conversion of the 2025 Notes; and risks related to owning our common stock.</w:t>
      </w:r>
    </w:p>
    <w:p>
      <w:pPr>
        <w:spacing w:after="0" w:line="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9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176"/>
        </w:trPr>
        <w:tc>
          <w:tcPr>
            <w:tcW w:w="83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par value</w:t>
            </w:r>
          </w:p>
        </w:tc>
        <w:tc>
          <w:tcPr>
            <w:tcW w:w="3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9"/>
              </w:rPr>
              <w:t>December 28,</w:t>
            </w:r>
          </w:p>
        </w:tc>
        <w:tc>
          <w:tcPr>
            <w:tcW w:w="0" w:type="dxa"/>
            <w:vAlign w:val="bottom"/>
          </w:tcPr>
          <w:p>
            <w:pPr>
              <w:spacing w:after="0"/>
              <w:rPr>
                <w:sz w:val="1"/>
                <w:szCs w:val="1"/>
                <w:color w:val="auto"/>
              </w:rPr>
            </w:pPr>
          </w:p>
        </w:tc>
      </w:tr>
      <w:tr>
        <w:trPr>
          <w:trHeight w:val="243"/>
        </w:trPr>
        <w:tc>
          <w:tcPr>
            <w:tcW w:w="8300" w:type="dxa"/>
            <w:vAlign w:val="bottom"/>
            <w:gridSpan w:val="2"/>
            <w:vMerge w:val="continue"/>
          </w:tcPr>
          <w:p>
            <w:pPr>
              <w:spacing w:after="0"/>
              <w:rPr>
                <w:sz w:val="21"/>
                <w:szCs w:val="21"/>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color w:val="auto"/>
              </w:rPr>
              <w:t>March 29, 2025</w:t>
            </w:r>
          </w:p>
        </w:tc>
        <w:tc>
          <w:tcPr>
            <w:tcW w:w="140" w:type="dxa"/>
            <w:vAlign w:val="bottom"/>
          </w:tcPr>
          <w:p>
            <w:pPr>
              <w:spacing w:after="0"/>
              <w:rPr>
                <w:sz w:val="21"/>
                <w:szCs w:val="21"/>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49,938</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249,828</w:t>
            </w:r>
          </w:p>
        </w:tc>
        <w:tc>
          <w:tcPr>
            <w:tcW w:w="0" w:type="dxa"/>
            <w:vAlign w:val="bottom"/>
          </w:tcPr>
          <w:p>
            <w:pPr>
              <w:spacing w:after="0"/>
              <w:rPr>
                <w:sz w:val="1"/>
                <w:szCs w:val="1"/>
                <w:color w:val="auto"/>
              </w:rPr>
            </w:pPr>
          </w:p>
        </w:tc>
      </w:tr>
      <w:tr>
        <w:trPr>
          <w:trHeight w:val="108"/>
        </w:trPr>
        <w:tc>
          <w:tcPr>
            <w:tcW w:w="83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362,175</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Trademarks and trade names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408,589</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40,058</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assets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1,756,228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1,757,943</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4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53,643</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109,036</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42,002</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101,392</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operating lease obligations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468,274</w:t>
            </w:r>
          </w:p>
        </w:tc>
        <w:tc>
          <w:tcPr>
            <w:tcW w:w="0" w:type="dxa"/>
            <w:vAlign w:val="bottom"/>
          </w:tcPr>
          <w:p>
            <w:pPr>
              <w:spacing w:after="0"/>
              <w:rPr>
                <w:sz w:val="1"/>
                <w:szCs w:val="1"/>
                <w:color w:val="auto"/>
              </w:rPr>
            </w:pPr>
          </w:p>
        </w:tc>
      </w:tr>
      <w:tr>
        <w:trPr>
          <w:trHeight w:val="108"/>
        </w:trPr>
        <w:tc>
          <w:tcPr>
            <w:tcW w:w="83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366,335</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77,909</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723,164</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(See Note 8)</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200,000 shares authorized; 85,847 and 85,444 shares issued as of</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March 29, 2025 and December 28, 2024, respectively; 79,050 and 78,775 shares outstanding as of</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March 29, 2025 and December 28, 2024, respectively</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226,117</w:t>
            </w:r>
          </w:p>
        </w:tc>
        <w:tc>
          <w:tcPr>
            <w:tcW w:w="0" w:type="dxa"/>
            <w:vAlign w:val="bottom"/>
          </w:tcPr>
          <w:p>
            <w:pPr>
              <w:spacing w:after="0"/>
              <w:rPr>
                <w:sz w:val="1"/>
                <w:szCs w:val="1"/>
                <w:color w:val="auto"/>
              </w:rPr>
            </w:pPr>
          </w:p>
        </w:tc>
      </w:tr>
      <w:tr>
        <w:trPr>
          <w:trHeight w:val="175"/>
        </w:trPr>
        <w:tc>
          <w:tcPr>
            <w:tcW w:w="8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Treasury stock, at cost; 6,797 and 6,669 shares as of March 29, 2025 and December 28, 2024,</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0" w:type="dxa"/>
            <w:vAlign w:val="bottom"/>
          </w:tcPr>
          <w:p>
            <w:pPr>
              <w:spacing w:after="0"/>
              <w:rPr>
                <w:sz w:val="1"/>
                <w:szCs w:val="1"/>
                <w:color w:val="auto"/>
              </w:rPr>
            </w:pPr>
          </w:p>
        </w:tc>
      </w:tr>
      <w:tr>
        <w:trPr>
          <w:trHeight w:val="243"/>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1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676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7"/>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 (Unaudited)</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2"/>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Three Months Ended</w:t>
            </w:r>
          </w:p>
        </w:tc>
      </w:tr>
      <w:tr>
        <w:trPr>
          <w:trHeight w:val="229"/>
        </w:trPr>
        <w:tc>
          <w:tcPr>
            <w:tcW w:w="4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March 29, 2025</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March 30, 2024</w:t>
            </w:r>
          </w:p>
        </w:tc>
      </w:tr>
      <w:tr>
        <w:trPr>
          <w:trHeight w:val="209"/>
        </w:trPr>
        <w:tc>
          <w:tcPr>
            <w:tcW w:w="40" w:type="dxa"/>
            <w:vAlign w:val="bottom"/>
          </w:tcPr>
          <w:p>
            <w:pPr>
              <w:spacing w:after="0"/>
              <w:rPr>
                <w:sz w:val="18"/>
                <w:szCs w:val="18"/>
                <w:color w:val="auto"/>
              </w:rPr>
            </w:pPr>
          </w:p>
        </w:tc>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412,765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388,083</w:t>
            </w:r>
          </w:p>
        </w:tc>
      </w:tr>
      <w:tr>
        <w:trPr>
          <w:trHeight w:val="229"/>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94,711</w:t>
            </w:r>
          </w:p>
        </w:tc>
      </w:tr>
      <w:tr>
        <w:trPr>
          <w:trHeight w:val="223"/>
        </w:trPr>
        <w:tc>
          <w:tcPr>
            <w:tcW w:w="4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Arial" w:cs="Arial" w:eastAsia="Arial" w:hAnsi="Arial"/>
                <w:sz w:val="18"/>
                <w:szCs w:val="18"/>
                <w:color w:val="auto"/>
              </w:rPr>
              <w:t>Total net revenue</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510,324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482,794</w:t>
            </w:r>
          </w:p>
        </w:tc>
      </w:tr>
      <w:tr>
        <w:trPr>
          <w:trHeight w:val="229"/>
        </w:trPr>
        <w:tc>
          <w:tcPr>
            <w:tcW w:w="4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116,914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113,204</w:t>
            </w:r>
          </w:p>
        </w:tc>
      </w:tr>
      <w:tr>
        <w:trPr>
          <w:trHeight w:val="230"/>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82,342</w:t>
            </w:r>
          </w:p>
        </w:tc>
      </w:tr>
      <w:tr>
        <w:trPr>
          <w:trHeight w:val="223"/>
        </w:trPr>
        <w:tc>
          <w:tcPr>
            <w:tcW w:w="4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Arial" w:cs="Arial" w:eastAsia="Arial" w:hAnsi="Arial"/>
                <w:sz w:val="18"/>
                <w:szCs w:val="18"/>
                <w:color w:val="auto"/>
              </w:rPr>
              <w:t>Total costs applicable to revenue</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195,546</w:t>
            </w:r>
          </w:p>
        </w:tc>
      </w:tr>
      <w:tr>
        <w:trPr>
          <w:trHeight w:val="230"/>
        </w:trPr>
        <w:tc>
          <w:tcPr>
            <w:tcW w:w="4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255,532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240,128</w:t>
            </w:r>
          </w:p>
        </w:tc>
      </w:tr>
      <w:tr>
        <w:trPr>
          <w:trHeight w:val="229"/>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23,221</w:t>
            </w: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29"/>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40" w:type="dxa"/>
            <w:vAlign w:val="bottom"/>
          </w:tcPr>
          <w:p>
            <w:pPr>
              <w:spacing w:after="0"/>
              <w:rPr>
                <w:sz w:val="19"/>
                <w:szCs w:val="19"/>
                <w:color w:val="auto"/>
              </w:rPr>
            </w:pPr>
          </w:p>
        </w:tc>
        <w:tc>
          <w:tcPr>
            <w:tcW w:w="8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278,997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263,806</w:t>
            </w:r>
          </w:p>
        </w:tc>
      </w:tr>
      <w:tr>
        <w:trPr>
          <w:trHeight w:val="223"/>
        </w:trPr>
        <w:tc>
          <w:tcPr>
            <w:tcW w:w="4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23,442</w:t>
            </w:r>
          </w:p>
        </w:tc>
      </w:tr>
      <w:tr>
        <w:trPr>
          <w:trHeight w:val="230"/>
        </w:trPr>
        <w:tc>
          <w:tcPr>
            <w:tcW w:w="40" w:type="dxa"/>
            <w:vAlign w:val="bottom"/>
          </w:tcPr>
          <w:p>
            <w:pPr>
              <w:spacing w:after="0"/>
              <w:rPr>
                <w:sz w:val="19"/>
                <w:szCs w:val="19"/>
                <w:color w:val="auto"/>
              </w:rPr>
            </w:pPr>
          </w:p>
        </w:tc>
        <w:tc>
          <w:tcPr>
            <w:tcW w:w="8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4,256</w:t>
            </w:r>
          </w:p>
        </w:tc>
      </w:tr>
      <w:tr>
        <w:trPr>
          <w:trHeight w:val="223"/>
        </w:trPr>
        <w:tc>
          <w:tcPr>
            <w:tcW w:w="4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before income taxes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19,186</w:t>
            </w:r>
          </w:p>
        </w:tc>
      </w:tr>
      <w:tr>
        <w:trPr>
          <w:trHeight w:val="230"/>
        </w:trPr>
        <w:tc>
          <w:tcPr>
            <w:tcW w:w="40" w:type="dxa"/>
            <w:vAlign w:val="bottom"/>
          </w:tcPr>
          <w:p>
            <w:pPr>
              <w:spacing w:after="0"/>
              <w:rPr>
                <w:sz w:val="19"/>
                <w:szCs w:val="19"/>
                <w:color w:val="auto"/>
              </w:rPr>
            </w:pPr>
          </w:p>
        </w:tc>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7,433</w:t>
            </w:r>
          </w:p>
        </w:tc>
      </w:tr>
      <w:tr>
        <w:trPr>
          <w:trHeight w:val="223"/>
        </w:trPr>
        <w:tc>
          <w:tcPr>
            <w:tcW w:w="4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11,753</w:t>
            </w:r>
          </w:p>
        </w:tc>
      </w:tr>
      <w:tr>
        <w:trPr>
          <w:trHeight w:val="223"/>
        </w:trPr>
        <w:tc>
          <w:tcPr>
            <w:tcW w:w="40" w:type="dxa"/>
            <w:vAlign w:val="bottom"/>
          </w:tcPr>
          <w:p>
            <w:pPr>
              <w:spacing w:after="0"/>
              <w:rPr>
                <w:sz w:val="19"/>
                <w:szCs w:val="19"/>
                <w:color w:val="auto"/>
              </w:rPr>
            </w:pPr>
          </w:p>
        </w:tc>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4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11,685</w:t>
            </w:r>
          </w:p>
        </w:tc>
      </w:tr>
      <w:tr>
        <w:trPr>
          <w:trHeight w:val="20"/>
        </w:trPr>
        <w:tc>
          <w:tcPr>
            <w:tcW w:w="40" w:type="dxa"/>
            <w:vAlign w:val="bottom"/>
          </w:tcPr>
          <w:p>
            <w:pPr>
              <w:spacing w:after="0" w:line="20" w:lineRule="exact"/>
              <w:rPr>
                <w:sz w:val="1"/>
                <w:szCs w:val="1"/>
                <w:color w:val="auto"/>
              </w:rPr>
            </w:pPr>
          </w:p>
        </w:tc>
        <w:tc>
          <w:tcPr>
            <w:tcW w:w="81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0"/>
        </w:trPr>
        <w:tc>
          <w:tcPr>
            <w:tcW w:w="4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29"/>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30"/>
        </w:trPr>
        <w:tc>
          <w:tcPr>
            <w:tcW w:w="4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29"/>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16"/>
        </w:trPr>
        <w:tc>
          <w:tcPr>
            <w:tcW w:w="40" w:type="dxa"/>
            <w:vAlign w:val="bottom"/>
          </w:tcPr>
          <w:p>
            <w:pPr>
              <w:spacing w:after="0"/>
              <w:rPr>
                <w:sz w:val="18"/>
                <w:szCs w:val="18"/>
                <w:color w:val="auto"/>
              </w:rPr>
            </w:pPr>
          </w:p>
        </w:tc>
        <w:tc>
          <w:tcPr>
            <w:tcW w:w="81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78,384</w:t>
            </w: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78,826</w:t>
            </w:r>
          </w:p>
        </w:tc>
      </w:tr>
      <w:tr>
        <w:trPr>
          <w:trHeight w:val="203"/>
        </w:trPr>
        <w:tc>
          <w:tcPr>
            <w:tcW w:w="40" w:type="dxa"/>
            <w:vAlign w:val="bottom"/>
          </w:tcPr>
          <w:p>
            <w:pPr>
              <w:spacing w:after="0"/>
              <w:rPr>
                <w:sz w:val="17"/>
                <w:szCs w:val="17"/>
                <w:color w:val="auto"/>
              </w:rPr>
            </w:pPr>
          </w:p>
        </w:tc>
        <w:tc>
          <w:tcPr>
            <w:tcW w:w="8120" w:type="dxa"/>
            <w:vAlign w:val="bottom"/>
            <w:gridSpan w:val="2"/>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11,685</w:t>
            </w:r>
          </w:p>
        </w:tc>
      </w:tr>
      <w:tr>
        <w:trPr>
          <w:trHeight w:val="230"/>
        </w:trPr>
        <w:tc>
          <w:tcPr>
            <w:tcW w:w="40" w:type="dxa"/>
            <w:vAlign w:val="bottom"/>
          </w:tcPr>
          <w:p>
            <w:pPr>
              <w:spacing w:after="0"/>
              <w:rPr>
                <w:sz w:val="19"/>
                <w:szCs w:val="19"/>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Unrealized gain on hedge instruments</w:t>
            </w:r>
          </w:p>
        </w:tc>
        <w:tc>
          <w:tcPr>
            <w:tcW w:w="4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30"/>
        </w:trPr>
        <w:tc>
          <w:tcPr>
            <w:tcW w:w="40" w:type="dxa"/>
            <w:vAlign w:val="bottom"/>
          </w:tcPr>
          <w:p>
            <w:pPr>
              <w:spacing w:after="0"/>
              <w:rPr>
                <w:sz w:val="19"/>
                <w:szCs w:val="19"/>
                <w:color w:val="auto"/>
              </w:rPr>
            </w:pPr>
          </w:p>
        </w:tc>
        <w:tc>
          <w:tcPr>
            <w:tcW w:w="8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23"/>
        </w:trPr>
        <w:tc>
          <w:tcPr>
            <w:tcW w:w="4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11,875</w:t>
            </w:r>
          </w:p>
        </w:tc>
      </w:tr>
      <w:tr>
        <w:trPr>
          <w:trHeight w:val="20"/>
        </w:trPr>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45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0" w:type="dxa"/>
            <w:vAlign w:val="bottom"/>
            <w:gridSpan w:val="10"/>
          </w:tcPr>
          <w:p>
            <w:pPr>
              <w:jc w:val="center"/>
              <w:ind w:left="970"/>
              <w:spacing w:after="0"/>
              <w:rPr>
                <w:sz w:val="20"/>
                <w:szCs w:val="20"/>
                <w:color w:val="auto"/>
              </w:rPr>
            </w:pPr>
            <w:r>
              <w:rPr>
                <w:rFonts w:ascii="Arial" w:cs="Arial" w:eastAsia="Arial" w:hAnsi="Arial"/>
                <w:sz w:val="18"/>
                <w:szCs w:val="18"/>
                <w:b w:val="1"/>
                <w:bCs w:val="1"/>
                <w:color w:val="auto"/>
                <w:w w:val="99"/>
              </w:rPr>
              <w:t>Condensed Consolidated Statements of Stockholders’ Equity (Unaudited)</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rPr>
              <w:t>Three Months Ended March 29, 2025</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gridSpan w:val="3"/>
          </w:tcPr>
          <w:p>
            <w:pPr>
              <w:jc w:val="right"/>
              <w:ind w:right="150"/>
              <w:spacing w:after="0" w:line="196" w:lineRule="exact"/>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191"/>
              <w:spacing w:after="0" w:line="196" w:lineRule="exact"/>
              <w:rPr>
                <w:sz w:val="20"/>
                <w:szCs w:val="20"/>
                <w:color w:val="auto"/>
              </w:rPr>
            </w:pPr>
            <w:r>
              <w:rPr>
                <w:rFonts w:ascii="Arial" w:cs="Arial" w:eastAsia="Arial" w:hAnsi="Arial"/>
                <w:sz w:val="18"/>
                <w:szCs w:val="18"/>
                <w:color w:val="auto"/>
                <w:w w:val="99"/>
              </w:rPr>
              <w:t>Accumulated</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ind w:right="51"/>
              <w:spacing w:after="0" w:line="149" w:lineRule="exact"/>
              <w:rPr>
                <w:sz w:val="20"/>
                <w:szCs w:val="20"/>
                <w:color w:val="auto"/>
              </w:rPr>
            </w:pPr>
            <w:r>
              <w:rPr>
                <w:rFonts w:ascii="Arial" w:cs="Arial" w:eastAsia="Arial" w:hAnsi="Arial"/>
                <w:sz w:val="17"/>
                <w:szCs w:val="17"/>
                <w:color w:val="auto"/>
              </w:rPr>
              <w:t>Additional</w:t>
            </w:r>
          </w:p>
        </w:tc>
        <w:tc>
          <w:tcPr>
            <w:tcW w:w="160" w:type="dxa"/>
            <w:vAlign w:val="bottom"/>
          </w:tcPr>
          <w:p>
            <w:pPr>
              <w:spacing w:after="0"/>
              <w:rPr>
                <w:sz w:val="4"/>
                <w:szCs w:val="4"/>
                <w:color w:val="auto"/>
              </w:rPr>
            </w:pPr>
          </w:p>
        </w:tc>
        <w:tc>
          <w:tcPr>
            <w:tcW w:w="1640" w:type="dxa"/>
            <w:vAlign w:val="bottom"/>
            <w:vMerge w:val="restart"/>
          </w:tcPr>
          <w:p>
            <w:pPr>
              <w:jc w:val="center"/>
              <w:ind w:right="191"/>
              <w:spacing w:after="0" w:line="149" w:lineRule="exact"/>
              <w:rPr>
                <w:sz w:val="20"/>
                <w:szCs w:val="20"/>
                <w:color w:val="auto"/>
              </w:rPr>
            </w:pPr>
            <w:r>
              <w:rPr>
                <w:rFonts w:ascii="Arial" w:cs="Arial" w:eastAsia="Arial" w:hAnsi="Arial"/>
                <w:sz w:val="17"/>
                <w:szCs w:val="17"/>
                <w:color w:val="auto"/>
              </w:rPr>
              <w:t>Other</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Retained</w:t>
            </w:r>
          </w:p>
        </w:tc>
        <w:tc>
          <w:tcPr>
            <w:tcW w:w="260" w:type="dxa"/>
            <w:vAlign w:val="bottom"/>
          </w:tcPr>
          <w:p>
            <w:pPr>
              <w:spacing w:after="0"/>
              <w:rPr>
                <w:sz w:val="4"/>
                <w:szCs w:val="4"/>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Treasury</w:t>
            </w:r>
          </w:p>
        </w:tc>
        <w:tc>
          <w:tcPr>
            <w:tcW w:w="120" w:type="dxa"/>
            <w:vAlign w:val="bottom"/>
          </w:tcPr>
          <w:p>
            <w:pPr>
              <w:spacing w:after="0"/>
              <w:rPr>
                <w:sz w:val="4"/>
                <w:szCs w:val="4"/>
                <w:color w:val="auto"/>
              </w:rPr>
            </w:pPr>
          </w:p>
        </w:tc>
        <w:tc>
          <w:tcPr>
            <w:tcW w:w="1280" w:type="dxa"/>
            <w:vAlign w:val="bottom"/>
            <w:vMerge w:val="restart"/>
          </w:tcPr>
          <w:p>
            <w:pPr>
              <w:jc w:val="center"/>
              <w:ind w:right="91"/>
              <w:spacing w:after="0" w:line="149"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Shares</w:t>
            </w:r>
          </w:p>
        </w:tc>
        <w:tc>
          <w:tcPr>
            <w:tcW w:w="8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5"/>
                <w:szCs w:val="15"/>
                <w:color w:val="auto"/>
              </w:rPr>
            </w:pPr>
          </w:p>
        </w:tc>
        <w:tc>
          <w:tcPr>
            <w:tcW w:w="960" w:type="dxa"/>
            <w:vAlign w:val="bottom"/>
          </w:tcPr>
          <w:p>
            <w:pPr>
              <w:jc w:val="center"/>
              <w:ind w:right="51"/>
              <w:spacing w:after="0" w:line="176" w:lineRule="exact"/>
              <w:rPr>
                <w:sz w:val="20"/>
                <w:szCs w:val="20"/>
                <w:color w:val="auto"/>
              </w:rPr>
            </w:pPr>
            <w:r>
              <w:rPr>
                <w:rFonts w:ascii="Arial" w:cs="Arial" w:eastAsia="Arial" w:hAnsi="Arial"/>
                <w:sz w:val="18"/>
                <w:szCs w:val="18"/>
                <w:color w:val="auto"/>
              </w:rPr>
              <w:t>Paid-In</w:t>
            </w:r>
          </w:p>
        </w:tc>
        <w:tc>
          <w:tcPr>
            <w:tcW w:w="160" w:type="dxa"/>
            <w:vAlign w:val="bottom"/>
          </w:tcPr>
          <w:p>
            <w:pPr>
              <w:spacing w:after="0"/>
              <w:rPr>
                <w:sz w:val="15"/>
                <w:szCs w:val="15"/>
                <w:color w:val="auto"/>
              </w:rPr>
            </w:pPr>
          </w:p>
        </w:tc>
        <w:tc>
          <w:tcPr>
            <w:tcW w:w="1640" w:type="dxa"/>
            <w:vAlign w:val="bottom"/>
          </w:tcPr>
          <w:p>
            <w:pPr>
              <w:jc w:val="center"/>
              <w:ind w:right="251"/>
              <w:spacing w:after="0" w:line="176" w:lineRule="exact"/>
              <w:rPr>
                <w:sz w:val="20"/>
                <w:szCs w:val="20"/>
                <w:color w:val="auto"/>
              </w:rPr>
            </w:pPr>
            <w:r>
              <w:rPr>
                <w:rFonts w:ascii="Arial" w:cs="Arial" w:eastAsia="Arial" w:hAnsi="Arial"/>
                <w:sz w:val="18"/>
                <w:szCs w:val="18"/>
                <w:color w:val="auto"/>
                <w:w w:val="99"/>
              </w:rPr>
              <w:t>Comprehensive</w:t>
            </w:r>
          </w:p>
        </w:tc>
        <w:tc>
          <w:tcPr>
            <w:tcW w:w="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1"/>
              <w:spacing w:after="0" w:line="17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tcBorders>
              <w:bottom w:val="single" w:sz="8" w:color="CCEEFF"/>
            </w:tcBorders>
            <w:gridSpan w:val="2"/>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Capital</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color w:val="auto"/>
                <w:w w:val="99"/>
              </w:rPr>
              <w:t>Loss</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Earnings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28, 2024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on hedge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March 29, 2025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836,160</w:t>
            </w:r>
          </w:p>
        </w:tc>
        <w:tc>
          <w:tcPr>
            <w:tcW w:w="0" w:type="dxa"/>
            <w:vAlign w:val="bottom"/>
          </w:tcPr>
          <w:p>
            <w:pPr>
              <w:spacing w:after="0"/>
              <w:rPr>
                <w:sz w:val="1"/>
                <w:szCs w:val="1"/>
                <w:color w:val="auto"/>
              </w:rPr>
            </w:pPr>
          </w:p>
        </w:tc>
      </w:tr>
    </w:tbl>
    <w:p>
      <w:pPr>
        <w:ind w:left="60" w:right="300" w:hanging="7"/>
        <w:spacing w:after="0" w:line="208" w:lineRule="auto"/>
        <w:tabs>
          <w:tab w:leader="none" w:pos="253"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Consists primarily of the vesting of awards issued under the Company’s stock incentive plans and shares issued under the Company’s Associate Share Purchase Plan.</w:t>
      </w: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0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Three Months Ended March 30, 2024</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680" w:type="dxa"/>
            <w:vAlign w:val="bottom"/>
            <w:gridSpan w:val="3"/>
          </w:tcPr>
          <w:p>
            <w:pPr>
              <w:jc w:val="right"/>
              <w:ind w:right="13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7"/>
                <w:szCs w:val="17"/>
                <w:color w:val="auto"/>
              </w:rPr>
            </w:pPr>
          </w:p>
        </w:tc>
        <w:tc>
          <w:tcPr>
            <w:tcW w:w="14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9"/>
              </w:rPr>
              <w:t>Accumulated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vMerge w:val="restart"/>
          </w:tcPr>
          <w:p>
            <w:pPr>
              <w:jc w:val="center"/>
              <w:ind w:right="30"/>
              <w:spacing w:after="0" w:line="16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4"/>
                <w:szCs w:val="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Retained</w:t>
            </w:r>
          </w:p>
        </w:tc>
        <w:tc>
          <w:tcPr>
            <w:tcW w:w="200" w:type="dxa"/>
            <w:vAlign w:val="bottom"/>
          </w:tcPr>
          <w:p>
            <w:pPr>
              <w:spacing w:after="0"/>
              <w:rPr>
                <w:sz w:val="4"/>
                <w:szCs w:val="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auto"/>
              </w:rPr>
              <w:t>Treasury</w:t>
            </w:r>
          </w:p>
        </w:tc>
        <w:tc>
          <w:tcPr>
            <w:tcW w:w="1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0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Shares</w:t>
            </w:r>
          </w:p>
        </w:tc>
        <w:tc>
          <w:tcPr>
            <w:tcW w:w="8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rPr>
              <w:t>Paid-In</w:t>
            </w: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Comprehensive</w:t>
            </w: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Capital</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30, 2023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829,418</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Unrealized gain on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82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Balances at March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841,319</w:t>
            </w:r>
          </w:p>
        </w:tc>
        <w:tc>
          <w:tcPr>
            <w:tcW w:w="0" w:type="dxa"/>
            <w:vAlign w:val="bottom"/>
          </w:tcPr>
          <w:p>
            <w:pPr>
              <w:spacing w:after="0"/>
              <w:rPr>
                <w:sz w:val="1"/>
                <w:szCs w:val="1"/>
                <w:color w:val="auto"/>
              </w:rPr>
            </w:pPr>
          </w:p>
        </w:tc>
      </w:tr>
    </w:tbl>
    <w:p>
      <w:pPr>
        <w:ind w:left="40" w:right="320" w:firstLine="6"/>
        <w:spacing w:after="0" w:line="251" w:lineRule="auto"/>
        <w:tabs>
          <w:tab w:leader="none" w:pos="215" w:val="left"/>
        </w:tabs>
        <w:numPr>
          <w:ilvl w:val="0"/>
          <w:numId w:val="4"/>
        </w:numPr>
        <w:rPr>
          <w:rFonts w:ascii="Arial" w:cs="Arial" w:eastAsia="Arial" w:hAnsi="Arial"/>
          <w:sz w:val="20"/>
          <w:szCs w:val="20"/>
          <w:i w:val="1"/>
          <w:iCs w:val="1"/>
          <w:color w:val="auto"/>
          <w:vertAlign w:val="superscript"/>
        </w:rPr>
      </w:pPr>
      <w:r>
        <w:rPr>
          <w:rFonts w:ascii="Arial" w:cs="Arial" w:eastAsia="Arial" w:hAnsi="Arial"/>
          <w:sz w:val="16"/>
          <w:szCs w:val="16"/>
          <w:i w:val="1"/>
          <w:iCs w:val="1"/>
          <w:color w:val="auto"/>
        </w:rPr>
        <w:t>Consists primarily of the vesting of awards issued under the Company’s stock incentive plans and shares issued under the Company’s Associate Share Purchase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March 29, 2025</w:t>
            </w: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97"/>
              </w:rPr>
              <w:t>March 30, 2024</w:t>
            </w: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11,685</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24,181</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Amortization of cloud computing implementation costs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(7,952)</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(Gains) on change in fair value of derivatives</w:t>
            </w:r>
          </w:p>
        </w:tc>
        <w:tc>
          <w:tcPr>
            <w:tcW w:w="4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adjustments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12,287</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(6,759)</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and unearned revenue</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(14,696)</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23,987</w:t>
            </w: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(20,014)</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(18,209)</w:t>
            </w:r>
          </w:p>
        </w:tc>
      </w:tr>
      <w:tr>
        <w:trPr>
          <w:trHeight w:val="21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long-term debt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3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Payments on finance lease obligations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151,027</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 (See Note 4)</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151,632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 information:</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Cash paid (received) for taxes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accrued at the end of the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27,700</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27,346</w:t>
            </w:r>
          </w:p>
        </w:tc>
      </w:tr>
    </w:tbl>
    <w:p>
      <w:pPr>
        <w:spacing w:after="0" w:line="17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Notes to Condensed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Page</w:t>
            </w:r>
          </w:p>
        </w:tc>
      </w:tr>
      <w:tr>
        <w:trPr>
          <w:trHeight w:val="455"/>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1.</w:t>
            </w:r>
          </w:p>
        </w:tc>
        <w:tc>
          <w:tcPr>
            <w:tcW w:w="4700" w:type="dxa"/>
            <w:vAlign w:val="bottom"/>
            <w:gridSpan w:val="9"/>
          </w:tcPr>
          <w:p>
            <w:pPr>
              <w:ind w:left="20"/>
              <w:spacing w:after="0"/>
              <w:rPr>
                <w:sz w:val="20"/>
                <w:szCs w:val="20"/>
                <w:color w:val="auto"/>
              </w:rPr>
            </w:pPr>
            <w:r>
              <w:rPr>
                <w:rFonts w:ascii="Arial" w:cs="Arial" w:eastAsia="Arial" w:hAnsi="Arial"/>
                <w:sz w:val="18"/>
                <w:szCs w:val="18"/>
                <w:color w:val="0000FF"/>
              </w:rPr>
              <w:t>Description of Business and Basis of Presentation</w:t>
            </w: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2.</w:t>
            </w:r>
          </w:p>
        </w:tc>
        <w:tc>
          <w:tcPr>
            <w:tcW w:w="1980" w:type="dxa"/>
            <w:vAlign w:val="bottom"/>
            <w:gridSpan w:val="3"/>
          </w:tcPr>
          <w:p>
            <w:pPr>
              <w:ind w:left="20"/>
              <w:spacing w:after="0"/>
              <w:rPr>
                <w:sz w:val="20"/>
                <w:szCs w:val="20"/>
                <w:color w:val="auto"/>
              </w:rPr>
            </w:pPr>
            <w:r>
              <w:rPr>
                <w:rFonts w:ascii="Arial" w:cs="Arial" w:eastAsia="Arial" w:hAnsi="Arial"/>
                <w:sz w:val="18"/>
                <w:szCs w:val="18"/>
                <w:color w:val="0000FF"/>
                <w:w w:val="97"/>
              </w:rPr>
              <w:t>Discontinued Operations</w:t>
            </w:r>
          </w:p>
        </w:tc>
        <w:tc>
          <w:tcPr>
            <w:tcW w:w="202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12</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3.</w:t>
            </w:r>
          </w:p>
        </w:tc>
        <w:tc>
          <w:tcPr>
            <w:tcW w:w="1980" w:type="dxa"/>
            <w:vAlign w:val="bottom"/>
            <w:gridSpan w:val="3"/>
          </w:tcPr>
          <w:p>
            <w:pPr>
              <w:ind w:left="20"/>
              <w:spacing w:after="0"/>
              <w:rPr>
                <w:sz w:val="20"/>
                <w:szCs w:val="20"/>
                <w:color w:val="auto"/>
              </w:rPr>
            </w:pPr>
            <w:r>
              <w:rPr>
                <w:rFonts w:ascii="Arial" w:cs="Arial" w:eastAsia="Arial" w:hAnsi="Arial"/>
                <w:sz w:val="18"/>
                <w:szCs w:val="18"/>
                <w:color w:val="0000FF"/>
              </w:rPr>
              <w:t>Severance Benefits</w:t>
            </w:r>
          </w:p>
        </w:tc>
        <w:tc>
          <w:tcPr>
            <w:tcW w:w="2720" w:type="dxa"/>
            <w:vAlign w:val="bottom"/>
            <w:gridSpan w:val="6"/>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13</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4.</w:t>
            </w:r>
          </w:p>
        </w:tc>
        <w:tc>
          <w:tcPr>
            <w:tcW w:w="3420" w:type="dxa"/>
            <w:vAlign w:val="bottom"/>
            <w:gridSpan w:val="7"/>
          </w:tcPr>
          <w:p>
            <w:pPr>
              <w:ind w:left="20"/>
              <w:spacing w:after="0"/>
              <w:rPr>
                <w:sz w:val="20"/>
                <w:szCs w:val="20"/>
                <w:color w:val="auto"/>
              </w:rPr>
            </w:pPr>
            <w:r>
              <w:rPr>
                <w:rFonts w:ascii="Arial" w:cs="Arial" w:eastAsia="Arial" w:hAnsi="Arial"/>
                <w:sz w:val="18"/>
                <w:szCs w:val="18"/>
                <w:color w:val="0000FF"/>
                <w:w w:val="99"/>
              </w:rPr>
              <w:t>Details of Certain Balance Sheet Accounts</w:t>
            </w:r>
          </w:p>
        </w:tc>
        <w:tc>
          <w:tcPr>
            <w:tcW w:w="1280" w:type="dxa"/>
            <w:vAlign w:val="bottom"/>
            <w:gridSpan w:val="2"/>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13</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5.</w:t>
            </w:r>
          </w:p>
        </w:tc>
        <w:tc>
          <w:tcPr>
            <w:tcW w:w="3420" w:type="dxa"/>
            <w:vAlign w:val="bottom"/>
            <w:gridSpan w:val="7"/>
          </w:tcPr>
          <w:p>
            <w:pPr>
              <w:ind w:left="20"/>
              <w:spacing w:after="0"/>
              <w:rPr>
                <w:sz w:val="20"/>
                <w:szCs w:val="20"/>
                <w:color w:val="auto"/>
              </w:rPr>
            </w:pPr>
            <w:r>
              <w:rPr>
                <w:rFonts w:ascii="Arial" w:cs="Arial" w:eastAsia="Arial" w:hAnsi="Arial"/>
                <w:sz w:val="18"/>
                <w:szCs w:val="18"/>
                <w:color w:val="0000FF"/>
              </w:rPr>
              <w:t>Fair Value Measurement</w:t>
            </w:r>
          </w:p>
        </w:tc>
        <w:tc>
          <w:tcPr>
            <w:tcW w:w="1280" w:type="dxa"/>
            <w:vAlign w:val="bottom"/>
            <w:gridSpan w:val="2"/>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14</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6.</w:t>
            </w:r>
          </w:p>
        </w:tc>
        <w:tc>
          <w:tcPr>
            <w:tcW w:w="1980" w:type="dxa"/>
            <w:vAlign w:val="bottom"/>
            <w:gridSpan w:val="3"/>
          </w:tcPr>
          <w:p>
            <w:pPr>
              <w:ind w:left="20"/>
              <w:spacing w:after="0"/>
              <w:rPr>
                <w:sz w:val="20"/>
                <w:szCs w:val="20"/>
                <w:color w:val="auto"/>
              </w:rPr>
            </w:pPr>
            <w:r>
              <w:rPr>
                <w:rFonts w:ascii="Arial" w:cs="Arial" w:eastAsia="Arial" w:hAnsi="Arial"/>
                <w:sz w:val="18"/>
                <w:szCs w:val="18"/>
                <w:color w:val="0000FF"/>
              </w:rPr>
              <w:t>Debt</w:t>
            </w:r>
          </w:p>
        </w:tc>
        <w:tc>
          <w:tcPr>
            <w:tcW w:w="2720" w:type="dxa"/>
            <w:vAlign w:val="bottom"/>
            <w:gridSpan w:val="6"/>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7.</w:t>
            </w:r>
          </w:p>
        </w:tc>
        <w:tc>
          <w:tcPr>
            <w:tcW w:w="4700" w:type="dxa"/>
            <w:vAlign w:val="bottom"/>
            <w:gridSpan w:val="9"/>
          </w:tcPr>
          <w:p>
            <w:pPr>
              <w:ind w:left="20"/>
              <w:spacing w:after="0"/>
              <w:rPr>
                <w:sz w:val="20"/>
                <w:szCs w:val="20"/>
                <w:color w:val="auto"/>
              </w:rPr>
            </w:pPr>
            <w:r>
              <w:rPr>
                <w:rFonts w:ascii="Arial" w:cs="Arial" w:eastAsia="Arial" w:hAnsi="Arial"/>
                <w:sz w:val="18"/>
                <w:szCs w:val="18"/>
                <w:color w:val="0000FF"/>
              </w:rPr>
              <w:t>Revenue from Contracts with Customers</w:t>
            </w: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8.</w:t>
            </w:r>
          </w:p>
        </w:tc>
        <w:tc>
          <w:tcPr>
            <w:tcW w:w="2680" w:type="dxa"/>
            <w:vAlign w:val="bottom"/>
            <w:gridSpan w:val="5"/>
          </w:tcPr>
          <w:p>
            <w:pPr>
              <w:ind w:left="20"/>
              <w:spacing w:after="0"/>
              <w:rPr>
                <w:sz w:val="20"/>
                <w:szCs w:val="20"/>
                <w:color w:val="auto"/>
              </w:rPr>
            </w:pPr>
            <w:r>
              <w:rPr>
                <w:rFonts w:ascii="Arial" w:cs="Arial" w:eastAsia="Arial" w:hAnsi="Arial"/>
                <w:sz w:val="18"/>
                <w:szCs w:val="18"/>
                <w:color w:val="0000FF"/>
                <w:w w:val="99"/>
              </w:rPr>
              <w:t>Commitments and Contingencies</w:t>
            </w:r>
          </w:p>
        </w:tc>
        <w:tc>
          <w:tcPr>
            <w:tcW w:w="58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9.</w:t>
            </w:r>
          </w:p>
        </w:tc>
        <w:tc>
          <w:tcPr>
            <w:tcW w:w="1580" w:type="dxa"/>
            <w:vAlign w:val="bottom"/>
            <w:gridSpan w:val="2"/>
          </w:tcPr>
          <w:p>
            <w:pPr>
              <w:ind w:left="20"/>
              <w:spacing w:after="0"/>
              <w:rPr>
                <w:sz w:val="20"/>
                <w:szCs w:val="20"/>
                <w:color w:val="auto"/>
              </w:rPr>
            </w:pPr>
            <w:r>
              <w:rPr>
                <w:rFonts w:ascii="Arial" w:cs="Arial" w:eastAsia="Arial" w:hAnsi="Arial"/>
                <w:sz w:val="18"/>
                <w:szCs w:val="18"/>
                <w:color w:val="0000FF"/>
                <w:w w:val="99"/>
              </w:rPr>
              <w:t>Segment Reporting</w:t>
            </w:r>
          </w:p>
        </w:tc>
        <w:tc>
          <w:tcPr>
            <w:tcW w:w="1100" w:type="dxa"/>
            <w:vAlign w:val="bottom"/>
            <w:gridSpan w:val="3"/>
          </w:tcPr>
          <w:p>
            <w:pPr>
              <w:spacing w:after="0"/>
              <w:rPr>
                <w:sz w:val="18"/>
                <w:szCs w:val="18"/>
                <w:color w:val="auto"/>
              </w:rPr>
            </w:pPr>
          </w:p>
        </w:tc>
        <w:tc>
          <w:tcPr>
            <w:tcW w:w="2020" w:type="dxa"/>
            <w:vAlign w:val="bottom"/>
            <w:gridSpan w:val="4"/>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18</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10"/>
          </w:tcPr>
          <w:p>
            <w:pPr>
              <w:spacing w:after="0"/>
              <w:rPr>
                <w:sz w:val="20"/>
                <w:szCs w:val="20"/>
                <w:color w:val="auto"/>
              </w:rPr>
            </w:pPr>
            <w:r>
              <w:rPr>
                <w:rFonts w:ascii="Arial" w:cs="Arial" w:eastAsia="Arial" w:hAnsi="Arial"/>
                <w:sz w:val="18"/>
                <w:szCs w:val="18"/>
                <w:color w:val="0000FF"/>
              </w:rPr>
              <w:t>10. Earnings (Loss) Per Share</w:t>
            </w: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20</w:t>
            </w:r>
          </w:p>
        </w:tc>
      </w:tr>
      <w:tr>
        <w:trPr>
          <w:trHeight w:val="767"/>
        </w:trPr>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8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5" w:lineRule="exact"/>
        <w:rPr>
          <w:sz w:val="20"/>
          <w:szCs w:val="20"/>
          <w:color w:val="auto"/>
        </w:rPr>
      </w:pPr>
    </w:p>
    <w:p>
      <w:pPr>
        <w:ind w:right="662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i w:val="1"/>
          <w:iCs w:val="1"/>
          <w:color w:val="auto"/>
        </w:rPr>
        <w:t>Nature of Operations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1,237 and 1,240 retail optical locations in the U.S. and its territories as of March 29, 2025 and December 28, 2024, respectively, through our four store brands, including America’s Best Contacts and Eyeglasses (“America’s Best”), Eyeglass World, Vista Optical locations on select U.S. Army/Air Force military bases (“Military”) and within select Fred Meyer stores.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28, 2024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28, 2024 included in the Company’s Annual Report on Form 10-K filed with the Securities and Exchange Commission on February 26, 2025 (the “2024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March 29, 2025.</w:t>
      </w:r>
    </w:p>
    <w:p>
      <w:pPr>
        <w:spacing w:after="0" w:line="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condensed consolidated financial statements include our accounts and those of our wholly-owned subsidiaries. All intercompany balances and transactions have been eliminated in consolidation. Retrospective reclassifications have been made to prior period financial statements and disclosures to present the discontinued operations. Refer to Part II. Item 8. Note 2. “Discontinued Operations” of the 2024 Annual Report on Form 10-K for more information on discontinued operations.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March 29, 2025, the variable interest entities include 29 professional corporations. The total assets of the consolidated VIEs included in the accompanying Condensed Consolidated Balance Sheets as of March 29, 2025 and December 28, 2024, were $4.6 million and $7.0 million, respectively, and the total liabilities of the consolidated VIEs were $6.2 million and $8.4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2025 contains 53 weeks and will end on January 3, 2026. All three month periods presented herein contain 13 weeks. All references to years and quarters relate to fiscal periods rather than calendar periods.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results of operations for the three months ended March 29, 2025 and March 30, 2024,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Accounts receivable, net on the Condensed Consolidated Balance Sheets as of March 29, 2025 and December 28, 2024 includes $9.0 million receivable under the Coronavirus Aid, Relief, and Economic Security (“CARES”) Act.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 was $(0.2) million and $(0.2) million as of March 29, 2025 and December 28, 2024,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income</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Rental income primarily from sub-leasing store space to independent optometrists, which is presented in selling, general and administrative “SG&amp;A” expenses in the Company’s Condensed Consolidated Statements of Operations, was $0.4 million and $0.3 million for the three months ended March 29, 2025 and March 30, 2024,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quarter ended March 29, 2025, we granted performance stock units to certain employees. The number of shares issued at the end of the three-year performance period will be determined by the level of achievement of predefined performance goals, including adjusted operating income, return on invested capital and relative total shareholder return versus a peer group. We recognize compensation expense on performance stock units ratably over the requisite performance period of the award to the extent management views the performance goals as probable of attainment. We recognize compensation expense for the fair value of the relative total shareholder return versus the peer group component over the requisite service period of such awards using a Monte Carlo simulation.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Non-cash impairment charges of $0.5 million were recorded for the three months ended March 29, 2025 related to our tangible long-lived store assets and Right of Use (“ROU”) assets, compared to $0.5 million related to tangible long-lived store assets and ROU assets for the three months ended March 30, 2024. The impairments were recognized in Corporate and other, and are reflected in Asset impairment in the Condensed Consolidated Statements of Operations and Comprehensive Income. Refer to Note 5. “Fair Value Measurement” for additional information on impairment charges.</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Impairments of tangible long-lived store assets and ROU assets were primarily driven by lower than projected customer sales volume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effective tax rate for the three months ended March 29, 2025 was 34.2%, reflecting our statutory federal and state rate of 25.2%, discrete effects of permanent adjustments related to equity compensation and other effects of permanent items. Our effective tax rate for the three months ended March 30, 2024 was 38.7%, reflecting our statutory federal and state rate of 25.2%, tax impacts from non-deductible compensation expenses and other permanent items.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w:t>
      </w:r>
    </w:p>
    <w:p>
      <w:pPr>
        <w:spacing w:after="0" w:line="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operations related to Walmart, including our former Legacy reportable segment, as well as the majority of our AC Lens operations, are classified as discontinued operations. Accordingly, we classified the results of these operations as discontinued operations in the Condensed Consolidated Statements of Operations for all periods presented. The results of all discontinued operations, less applicable income taxes, are reported as components of net income separate from the net income of continuing operations for the periods presented. Additionally, the cash flows and other comprehensive income of discontinued operations have not been segregated and are included in the interim Condensed Consolidated Statements of Cash Flows and Condensed Consolidated Statements of Operations and Comprehensive Income,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respectively, for all periods presented. All amounts included in the notes to the unaudited condensed consolidated financial statements relate to continuing operations unless otherwise noted. For additional information, see Note 2. “Discontinued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2023, the FASB issued ASU 2023-09, Income Taxes (Topic 740): Improvements to Income Tax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Expense Disaggregation Disclosures</w:t>
      </w:r>
      <w:r>
        <w:rPr>
          <w:rFonts w:ascii="Arial" w:cs="Arial" w:eastAsia="Arial" w:hAnsi="Arial"/>
          <w:sz w:val="18"/>
          <w:szCs w:val="18"/>
          <w:color w:val="auto"/>
        </w:rPr>
        <w:t>. In November 2024, the FASB issued ASU 2024-03, Income Statement – Reporting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(Topic 220-40): Expense Disaggregation Disclosures (“ASU 2024-03”). This update requires, among other things, more detailed disclosure about types of 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Induced Conversions of Convertible Debt Instruments. </w:t>
      </w:r>
      <w:r>
        <w:rPr>
          <w:rFonts w:ascii="Arial" w:cs="Arial" w:eastAsia="Arial" w:hAnsi="Arial"/>
          <w:sz w:val="18"/>
          <w:szCs w:val="18"/>
          <w:color w:val="auto"/>
        </w:rPr>
        <w:t>In November 2024, FASB issued ASU 2024-04, Debt-Debt with Conversion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(Subtopic 470-20): Induced Conversions of Convertible Debt Instruments, which clarifies the requirements for determining whether certain settlements of convertible debt instruments should be accounted for as an induced conversion or extinguishment of convertible debt. This guidance is effective for fiscal years beginning after December 15, 2025, and interim periods within those annual reporting periods, with early and retrospective adoption permitted. The Company is currently evaluating the impact of the guidance on the consolidated financial statements and disclosures.</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financial statements, and therefore, is not described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previously recorded a net expense of $2.8 million during the three months ended March 30, 2024 associated with our discontinued operations, which consisted of severance benefits, early termination fees, and other exit-related costs. These charges were recorded in both Selling, general, and administrative expenses and Costs applicable to revenue for discontinued operations. The plan has been substantially completed and we do not anticipate additional material costs related to this plan.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340" w:type="dxa"/>
            <w:vAlign w:val="bottom"/>
            <w:gridSpan w:val="2"/>
          </w:tcPr>
          <w:p>
            <w:pPr>
              <w:spacing w:after="0"/>
              <w:rPr>
                <w:sz w:val="20"/>
                <w:szCs w:val="20"/>
                <w:color w:val="auto"/>
              </w:rPr>
            </w:pPr>
            <w:r>
              <w:rPr>
                <w:rFonts w:ascii="Arial" w:cs="Arial" w:eastAsia="Arial" w:hAnsi="Arial"/>
                <w:sz w:val="18"/>
                <w:szCs w:val="18"/>
                <w:color w:val="auto"/>
              </w:rPr>
              <w:t>The following table presents loss from discontinued operations, net of tax:</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March 30, 2024</w:t>
            </w:r>
          </w:p>
        </w:tc>
        <w:tc>
          <w:tcPr>
            <w:tcW w:w="0" w:type="dxa"/>
            <w:vAlign w:val="bottom"/>
          </w:tcPr>
          <w:p>
            <w:pPr>
              <w:spacing w:after="0"/>
              <w:rPr>
                <w:sz w:val="1"/>
                <w:szCs w:val="1"/>
                <w:color w:val="auto"/>
              </w:rPr>
            </w:pPr>
          </w:p>
        </w:tc>
      </w:tr>
      <w:tr>
        <w:trPr>
          <w:trHeight w:val="209"/>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ind w:left="24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73,599</w:t>
            </w:r>
          </w:p>
        </w:tc>
        <w:tc>
          <w:tcPr>
            <w:tcW w:w="0" w:type="dxa"/>
            <w:vAlign w:val="bottom"/>
          </w:tcPr>
          <w:p>
            <w:pPr>
              <w:spacing w:after="0"/>
              <w:rPr>
                <w:sz w:val="1"/>
                <w:szCs w:val="1"/>
                <w:color w:val="auto"/>
              </w:rPr>
            </w:pPr>
          </w:p>
        </w:tc>
      </w:tr>
      <w:tr>
        <w:trPr>
          <w:trHeight w:val="230"/>
        </w:trPr>
        <w:tc>
          <w:tcPr>
            <w:tcW w:w="9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sales of 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23"/>
        </w:trPr>
        <w:tc>
          <w:tcPr>
            <w:tcW w:w="9340" w:type="dxa"/>
            <w:vAlign w:val="bottom"/>
            <w:gridSpan w:val="2"/>
          </w:tcPr>
          <w:p>
            <w:pPr>
              <w:ind w:left="440"/>
              <w:spacing w:after="0"/>
              <w:rPr>
                <w:sz w:val="20"/>
                <w:szCs w:val="20"/>
                <w:color w:val="auto"/>
              </w:rPr>
            </w:pPr>
            <w:r>
              <w:rPr>
                <w:rFonts w:ascii="Arial" w:cs="Arial" w:eastAsia="Arial" w:hAnsi="Arial"/>
                <w:sz w:val="18"/>
                <w:szCs w:val="18"/>
                <w:color w:val="auto"/>
              </w:rPr>
              <w:t>Total net revenue</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78,113</w:t>
            </w:r>
          </w:p>
        </w:tc>
        <w:tc>
          <w:tcPr>
            <w:tcW w:w="0" w:type="dxa"/>
            <w:vAlign w:val="bottom"/>
          </w:tcPr>
          <w:p>
            <w:pPr>
              <w:spacing w:after="0"/>
              <w:rPr>
                <w:sz w:val="1"/>
                <w:szCs w:val="1"/>
                <w:color w:val="auto"/>
              </w:rPr>
            </w:pPr>
          </w:p>
        </w:tc>
      </w:tr>
      <w:tr>
        <w:trPr>
          <w:trHeight w:val="230"/>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ind w:left="24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59,627</w:t>
            </w:r>
          </w:p>
        </w:tc>
        <w:tc>
          <w:tcPr>
            <w:tcW w:w="0" w:type="dxa"/>
            <w:vAlign w:val="bottom"/>
          </w:tcPr>
          <w:p>
            <w:pPr>
              <w:spacing w:after="0"/>
              <w:rPr>
                <w:sz w:val="1"/>
                <w:szCs w:val="1"/>
                <w:color w:val="auto"/>
              </w:rPr>
            </w:pPr>
          </w:p>
        </w:tc>
      </w:tr>
      <w:tr>
        <w:trPr>
          <w:trHeight w:val="229"/>
        </w:trPr>
        <w:tc>
          <w:tcPr>
            <w:tcW w:w="9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3"/>
        </w:trPr>
        <w:tc>
          <w:tcPr>
            <w:tcW w:w="9340" w:type="dxa"/>
            <w:vAlign w:val="bottom"/>
            <w:gridSpan w:val="2"/>
          </w:tcPr>
          <w:p>
            <w:pPr>
              <w:ind w:left="36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62,382</w:t>
            </w:r>
          </w:p>
        </w:tc>
        <w:tc>
          <w:tcPr>
            <w:tcW w:w="0" w:type="dxa"/>
            <w:vAlign w:val="bottom"/>
          </w:tcPr>
          <w:p>
            <w:pPr>
              <w:spacing w:after="0"/>
              <w:rPr>
                <w:sz w:val="1"/>
                <w:szCs w:val="1"/>
                <w:color w:val="auto"/>
              </w:rPr>
            </w:pPr>
          </w:p>
        </w:tc>
      </w:tr>
      <w:tr>
        <w:trPr>
          <w:trHeight w:val="230"/>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16,624</w:t>
            </w:r>
          </w:p>
        </w:tc>
        <w:tc>
          <w:tcPr>
            <w:tcW w:w="0" w:type="dxa"/>
            <w:vAlign w:val="bottom"/>
          </w:tcPr>
          <w:p>
            <w:pPr>
              <w:spacing w:after="0"/>
              <w:rPr>
                <w:sz w:val="1"/>
                <w:szCs w:val="1"/>
                <w:color w:val="auto"/>
              </w:rPr>
            </w:pPr>
          </w:p>
        </w:tc>
      </w:tr>
      <w:tr>
        <w:trPr>
          <w:trHeight w:val="230"/>
        </w:trPr>
        <w:tc>
          <w:tcPr>
            <w:tcW w:w="9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9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9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0" w:type="dxa"/>
            <w:vAlign w:val="bottom"/>
          </w:tcPr>
          <w:p>
            <w:pPr>
              <w:spacing w:after="0"/>
              <w:rPr>
                <w:sz w:val="1"/>
                <w:szCs w:val="1"/>
                <w:color w:val="auto"/>
              </w:rPr>
            </w:pPr>
          </w:p>
        </w:tc>
      </w:tr>
      <w:tr>
        <w:trPr>
          <w:trHeight w:val="223"/>
        </w:trPr>
        <w:tc>
          <w:tcPr>
            <w:tcW w:w="9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23"/>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9220" w:type="dxa"/>
            <w:vAlign w:val="bottom"/>
            <w:vMerge w:val="restart"/>
          </w:tcPr>
          <w:p>
            <w:pPr>
              <w:ind w:left="55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9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non-cash items and cash flows from investing activities related to discontinued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20" w:type="dxa"/>
            <w:vAlign w:val="bottom"/>
          </w:tcPr>
          <w:p>
            <w:pPr>
              <w:spacing w:after="0"/>
              <w:rPr>
                <w:sz w:val="20"/>
                <w:szCs w:val="20"/>
                <w:color w:val="auto"/>
              </w:rPr>
            </w:pPr>
          </w:p>
        </w:tc>
        <w:tc>
          <w:tcPr>
            <w:tcW w:w="2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Three Months Ended</w:t>
            </w:r>
          </w:p>
        </w:tc>
      </w:tr>
      <w:tr>
        <w:trPr>
          <w:trHeight w:val="22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March 30, 2024</w:t>
            </w:r>
          </w:p>
        </w:tc>
      </w:tr>
      <w:tr>
        <w:trPr>
          <w:trHeight w:val="20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020" w:type="dxa"/>
            <w:vAlign w:val="bottom"/>
            <w:shd w:val="clear" w:color="auto" w:fill="CCEEFF"/>
          </w:tcPr>
          <w:p>
            <w:pPr>
              <w:spacing w:after="0"/>
              <w:rPr>
                <w:sz w:val="18"/>
                <w:szCs w:val="18"/>
                <w:color w:val="auto"/>
              </w:rPr>
            </w:pPr>
          </w:p>
        </w:tc>
      </w:tr>
      <w:tr>
        <w:trPr>
          <w:trHeight w:val="229"/>
        </w:trPr>
        <w:tc>
          <w:tcPr>
            <w:tcW w:w="9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9220" w:type="dxa"/>
            <w:vAlign w:val="bottom"/>
          </w:tcPr>
          <w:p>
            <w:pPr>
              <w:ind w:left="220"/>
              <w:spacing w:after="0"/>
              <w:rPr>
                <w:sz w:val="20"/>
                <w:szCs w:val="20"/>
                <w:color w:val="auto"/>
              </w:rPr>
            </w:pPr>
            <w:r>
              <w:rPr>
                <w:rFonts w:ascii="Arial" w:cs="Arial" w:eastAsia="Arial" w:hAnsi="Arial"/>
                <w:sz w:val="18"/>
                <w:szCs w:val="18"/>
                <w:color w:val="auto"/>
              </w:rPr>
              <w:t>Inventory adjustments</w:t>
            </w:r>
          </w:p>
        </w:tc>
        <w:tc>
          <w:tcPr>
            <w:tcW w:w="202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tcPr>
          <w:p>
            <w:pPr>
              <w:spacing w:after="0"/>
              <w:rPr>
                <w:sz w:val="19"/>
                <w:szCs w:val="19"/>
                <w:color w:val="auto"/>
              </w:rPr>
            </w:pPr>
          </w:p>
        </w:tc>
      </w:tr>
      <w:tr>
        <w:trPr>
          <w:trHeight w:val="229"/>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Severance Benefits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months ended March 29, 2025, we recognized $2.1 million related to severance benefits for certain associates in the Corporate and other category within Selling, general and administrative expenses in the Condensed Consolidated Statements of Operations and Comprehensive Income. These charges were recognized in accordance with FASB guidance on employers’ accounting for postemployment benefits and guidance on accounting for costs associated with exit or disposal activities, as appropriate. As of March 29, 2025, we had $1.5 million remaining liability in Other payables and accrued expenses in the Condensed Consolidated Balance Sheets for benefits remaining to be paid to affected associates.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Details of Certain Balance Sheet Accounts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color w:val="auto"/>
              </w:rPr>
              <w:t>Three Months Ended</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9"/>
                <w:szCs w:val="19"/>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March 29, 2025</w:t>
            </w:r>
          </w:p>
        </w:tc>
        <w:tc>
          <w:tcPr>
            <w:tcW w:w="280" w:type="dxa"/>
            <w:vAlign w:val="bottom"/>
          </w:tcPr>
          <w:p>
            <w:pPr>
              <w:spacing w:after="0"/>
              <w:rPr>
                <w:sz w:val="19"/>
                <w:szCs w:val="19"/>
                <w:color w:val="auto"/>
              </w:rPr>
            </w:pP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March 30, 2024</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2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80,024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150,050</w:t>
            </w:r>
          </w:p>
        </w:tc>
      </w:tr>
      <w:tr>
        <w:trPr>
          <w:trHeight w:val="230"/>
        </w:trPr>
        <w:tc>
          <w:tcPr>
            <w:tcW w:w="6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Restricted cash included in other assets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r>
      <w:tr>
        <w:trPr>
          <w:trHeight w:val="232"/>
        </w:trPr>
        <w:tc>
          <w:tcPr>
            <w:tcW w:w="69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81,847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151,632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(1) Restricted cash relates to regulatory requirements associated with our FirstSight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-107315</wp:posOffset>
            </wp:positionV>
            <wp:extent cx="27260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Inventories, net as of the dates shown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color w:val="auto"/>
              </w:rPr>
              <w:t>As of</w:t>
            </w:r>
          </w:p>
        </w:tc>
        <w:tc>
          <w:tcPr>
            <w:tcW w:w="200" w:type="dxa"/>
            <w:vAlign w:val="bottom"/>
          </w:tcPr>
          <w:p>
            <w:pPr>
              <w:spacing w:after="0"/>
              <w:rPr>
                <w:sz w:val="18"/>
                <w:szCs w:val="18"/>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69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color w:val="auto"/>
              </w:rPr>
              <w:t>March 29, 2025</w:t>
            </w:r>
          </w:p>
        </w:tc>
        <w:tc>
          <w:tcPr>
            <w:tcW w:w="200" w:type="dxa"/>
            <w:vAlign w:val="bottom"/>
          </w:tcPr>
          <w:p>
            <w:pPr>
              <w:spacing w:after="0"/>
              <w:rPr>
                <w:sz w:val="21"/>
                <w:szCs w:val="21"/>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 net:</w:t>
            </w:r>
          </w:p>
        </w:tc>
        <w:tc>
          <w:tcPr>
            <w:tcW w:w="2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58,226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66,056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32"/>
        </w:trPr>
        <w:tc>
          <w:tcPr>
            <w:tcW w:w="69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88,571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260" w:right="20" w:hanging="234"/>
        <w:spacing w:after="0" w:line="25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-234950</wp:posOffset>
            </wp:positionV>
            <wp:extent cx="27260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8440" w:firstLine="8"/>
        <w:spacing w:after="0" w:line="397" w:lineRule="auto"/>
        <w:tabs>
          <w:tab w:leader="none" w:pos="2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w:t>
      </w:r>
      <w:r>
        <w:rPr>
          <w:rFonts w:ascii="Arial" w:cs="Arial" w:eastAsia="Arial" w:hAnsi="Arial"/>
          <w:sz w:val="17"/>
          <w:szCs w:val="17"/>
          <w:i w:val="1"/>
          <w:iCs w:val="1"/>
          <w:color w:val="auto"/>
        </w:rPr>
        <w:t xml:space="preserve">Recurring fair value measurements </w:t>
      </w:r>
      <w:r>
        <w:rPr>
          <w:rFonts w:ascii="Arial" w:cs="Arial" w:eastAsia="Arial" w:hAnsi="Arial"/>
          <w:sz w:val="17"/>
          <w:szCs w:val="17"/>
          <w:u w:val="single" w:color="auto"/>
          <w:color w:val="auto"/>
        </w:rPr>
        <w:t>Convertible Promissory Note</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17, 2024, the Company purchased $1.3 million principal amount of a convertible promissory note issued by a private company. As of March 29, 2025, given the short time from the execution of the note until the end of our fiscal period and lack of material underlying changes we determined the fair value of the convertible promissory note approximated its carrying value of 1.3 million; this investment is included in Other assets on the Condensed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recognized impairments of $0.5 million and $0.5 million during the three months ended March 29, 2025 and March 30, 2024, respectively, primarily related to our long-lived tangible store assets and ROU assets. A decrease in the estimated cash flows would lead to a lower fair value measurement, as would an increase in the discount rate. These non-recurring fair value measurements are classified as Level 3 measurements in the fair value hierarchy.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Store and ROU Store Assets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cash flows used in estimating fair value were discounted using a market rate of 10.5%. The estimated remaining fair value of the store assets impaired during the three months ended March 29, 2025 and March 30, 2024 was $0.5 million and $0.4 million, respectively. Substantially all of the remaining fair value of the impaired store assets represents the fair value of ROU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A and Revolving Loans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Since the borrowings under the $250.9 million outstanding principal first lien term loan (“Term Loan A”) and revolving credit loans in an aggregate principal amount of $300.0 million (the “Revolving Loans”) utilize variable interest rate setting mechanisms such as Term SOFR, the fair values of these borrowings are deemed to approximate the carrying values. We also considered the effect of our own credit risk on the fair values of Term Loan A and Revolving Loans. Refer to Note 6. “Debt” for more information on these borrowings.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Notes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$84.8 million in aggregate principal amount of 2.50% convertible senior notes due on May 15, 2025 (the “2025 Notes”) issued and outstanding as of March 29, 2025. The estimated fair value of the 2025 Notes was approximately $84.4 million and $83.3 million as of March 29, 2025 and December 28, 2024,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6. “Debt” for more information on the 2025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8"/>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6. Debt</w:t>
            </w: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360" w:type="dxa"/>
            <w:vAlign w:val="bottom"/>
            <w:gridSpan w:val="2"/>
          </w:tcPr>
          <w:p>
            <w:pPr>
              <w:spacing w:after="0"/>
              <w:rPr>
                <w:sz w:val="20"/>
                <w:szCs w:val="20"/>
                <w:color w:val="auto"/>
              </w:rPr>
            </w:pPr>
            <w:r>
              <w:rPr>
                <w:rFonts w:ascii="Arial" w:cs="Arial" w:eastAsia="Arial" w:hAnsi="Arial"/>
                <w:sz w:val="18"/>
                <w:szCs w:val="18"/>
                <w:color w:val="auto"/>
              </w:rPr>
              <w:t>Our debt consists of the following:</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As of</w:t>
            </w:r>
          </w:p>
        </w:tc>
        <w:tc>
          <w:tcPr>
            <w:tcW w:w="14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7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March 29, 2025</w:t>
            </w:r>
          </w:p>
        </w:tc>
        <w:tc>
          <w:tcPr>
            <w:tcW w:w="1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Term Loan A, due June 13, 2028</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250,875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254,188</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Loans, due June 13, 2028</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Debt before unamortized discount and issuance costs</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335,649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338,962</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issuance costs - Term Loan A</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less debt discount and issuance costs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337,169</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(98,024)</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239,145</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155"/>
        </w:trPr>
        <w:tc>
          <w:tcPr>
            <w:tcW w:w="736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Long-term debt and finance lease obligations, less current portion, discount, and issuance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244,652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21"/>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2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Scheduled annual maturities of debt are as follows:</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7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Period</w:t>
            </w: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2025 - remainder of fiscal year</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98,024</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2026</w:t>
            </w:r>
          </w:p>
        </w:tc>
        <w:tc>
          <w:tcPr>
            <w:tcW w:w="6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2028</w:t>
            </w:r>
          </w:p>
        </w:tc>
        <w:tc>
          <w:tcPr>
            <w:tcW w:w="6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211,125</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related to our debt as of March 29,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2025 Notes were initially convertible at a conversion rate of 32.0783 shares of common stock per $1,000 principal amount of 2025 Notes, which is equivalent to an initial conversion price of approximately $31.17 per share of common stock. From and after February 15, 2025, the 2025 Notes are convertible into cash up to the amount of $1,000, with any excess amount convertible into shares, based on the applicable conversion rate at such time. The conversion rate will be subject to adjustment upon the occurrence of certain specified events including, but not limited to: issuance of stock dividends, splits and combinations; distribution of rights, options and warrants; spin-offs and other distributed property; cash dividends or distributions; tender offers or exchange offers; and certain other corporate transactions. Our effective interest rate was 3.2% as of March 29, 2025. The holders of our term loan would have preference over the holders of the 2025 Notes in the event of a liquidation.</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2025 Notes mature on May 15, 2025, and due to the upcoming maturity, the outstanding principal balance of $84.8 million is reflected as a current liability in the accompanying Condensed Consolidated Balance Sheets as of March 29, 2025. As of March 29, 2025, the Company has $293.6 million of availability under its revolving credit facility, in addition to $80.0 million of cash on hand, which provides the Company with sufficient liquidity to repay the remaining balance of the 2025 Notes as they become due.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781"/>
        </w:trPr>
        <w:tc>
          <w:tcPr>
            <w:tcW w:w="8220" w:type="dxa"/>
            <w:vAlign w:val="bottom"/>
            <w:gridSpan w:val="2"/>
          </w:tcPr>
          <w:p>
            <w:pPr>
              <w:spacing w:after="0"/>
              <w:rPr>
                <w:sz w:val="20"/>
                <w:szCs w:val="20"/>
                <w:color w:val="auto"/>
              </w:rPr>
            </w:pPr>
            <w:r>
              <w:rPr>
                <w:rFonts w:ascii="Arial" w:cs="Arial" w:eastAsia="Arial" w:hAnsi="Arial"/>
                <w:sz w:val="18"/>
                <w:szCs w:val="18"/>
                <w:color w:val="auto"/>
              </w:rPr>
              <w:t>We recognized the following in Interest expense, net related to the 2025 Notes: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0"/>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600" w:type="dxa"/>
            <w:vAlign w:val="bottom"/>
            <w:tcBorders>
              <w:bottom w:val="single" w:sz="8" w:color="auto"/>
            </w:tcBorders>
          </w:tcPr>
          <w:p>
            <w:pPr>
              <w:spacing w:after="0"/>
              <w:rPr>
                <w:sz w:val="24"/>
                <w:szCs w:val="24"/>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March 29, 2025</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March 30, 2024</w:t>
            </w:r>
          </w:p>
        </w:tc>
      </w:tr>
      <w:tr>
        <w:trPr>
          <w:trHeight w:val="223"/>
        </w:trPr>
        <w:tc>
          <w:tcPr>
            <w:tcW w:w="8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r>
      <w:tr>
        <w:trPr>
          <w:trHeight w:val="23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Amortization of issuance costs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442</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11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majority of our revenues are recognized either at the point of sale or upon delivery and customer acceptance. We obtain consideration from our customers at the time of sale in cash, credit card, or on account with managed care payors having terms generally</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March 29, 2025</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March 30, 2024</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478,528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450,815</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31,979</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Refer to Note 9. “Segment Reporting” for the Company’s disaggregation of net revenue among the Owned &amp; Host reportable segment. As our operating segments are aligned by similar economic factors, trends and customers, the reportable segment view best depicts how the nature, amount and uncertainty of revenue and cash flows are affected by economic factors.</w:t>
      </w:r>
    </w:p>
    <w:p>
      <w:pPr>
        <w:spacing w:after="0" w:line="63"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$3.2 million and $3.9 million during the three months ended March 29, 2025 and March 30, 2024,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 (Contract Liabilities)</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During the three months ended March 29, 2025 and March 30, 2024, we recognized $22.8 million and $23.1 million, respectively, of deferred revenues outstanding at the beginning of each respective period.</w:t>
      </w:r>
    </w:p>
    <w:p>
      <w:pPr>
        <w:spacing w:after="0" w:line="4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deferred revenue balance as of March 29, 2025 and December 28, 2024 was $86.9 million and $84.6 million, respectively. We expect future revenue recognition of the March 29, 2025 balance of $55.3 million, $23.0 million, $8.2 million and $0.4 million in fiscal years 2025, 2026, 2027 and 2028, respectively.</w:t>
      </w:r>
    </w:p>
    <w:p>
      <w:pPr>
        <w:spacing w:after="0" w:line="200" w:lineRule="exact"/>
        <w:rPr>
          <w:sz w:val="20"/>
          <w:szCs w:val="20"/>
          <w:color w:val="auto"/>
        </w:rPr>
      </w:pPr>
    </w:p>
    <w:p>
      <w:pPr>
        <w:spacing w:after="0" w:line="214" w:lineRule="exact"/>
        <w:rPr>
          <w:sz w:val="20"/>
          <w:szCs w:val="20"/>
          <w:color w:val="auto"/>
        </w:rPr>
      </w:pPr>
    </w:p>
    <w:p>
      <w:pPr>
        <w:ind w:right="8180" w:firstLine="8"/>
        <w:spacing w:after="0" w:line="375"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Proceedings</w:t>
      </w:r>
    </w:p>
    <w:p>
      <w:pPr>
        <w:spacing w:after="0" w:line="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are currently and may in the future become subject to various claims and pending or threatened lawsuits in the ordinary course of our business.</w:t>
      </w:r>
    </w:p>
    <w:p>
      <w:pPr>
        <w:spacing w:after="0" w:line="4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Company will pay $4.5 million for the gross settlement fund in connection with the settlement. The settlement is subject to approval by the court following a fairness hearing. The parties agreed to move the federal and state court actions to state court for review of the settlement terms agreed to by the parties. The Sacramento County state court entered preliminary approval of the settlement on March 21, 2025, and scheduled a hearing for final approval on July 25, 2025. Absent any appeals of the court’s final approval or other legal challenges, the settlement agreement will become effective when the court enters final approval.</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 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On January 22, 2024, the plaintiff filed a demand for arbitration of the claims set forth in the Complaint previously filed in state court in June 2023. The Company filed its response to the arbitration demand, the arbitrator conducted a scheduling conference on April 4, 2025, and the parties commenced the formal discovery process. On April 17, 2025, the Company served a Section 998 offer of compromise in the amount of $60,000, which was accepted by the plaintiff.</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Securities Exchange Act of 1934, as amended (the “Exchange Act”), and Rule 10b-5 thereunder,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court entered an order denying the motion for reconsideration on March 24, 2025, and no appeal was filed by the plaintiff.</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former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plaintiff filed an opposition to the motion to dismiss on December 16, 2024, and the defendants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filed a reply brief on January 15, 2025. The court scheduled oral argument on the motion to dismiss for June 20, 2025. The defendants dispute the allegations made by the plaintiff and intend to vigorously defend the litigation.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117"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The Company’s operating segments were determined on the same basis as used by the Chief Operating Decision Maker (“CODM”) to evaluate performance internally. Our CODM is our chief executive officer. Our operations consist primarily of one reportable segment:</w:t>
      </w:r>
    </w:p>
    <w:p>
      <w:pPr>
        <w:spacing w:after="0" w:line="45" w:lineRule="exact"/>
        <w:rPr>
          <w:sz w:val="20"/>
          <w:szCs w:val="20"/>
          <w:color w:val="auto"/>
        </w:rPr>
      </w:pPr>
    </w:p>
    <w:p>
      <w:pPr>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offer eye exams, primarily provided by independent optometrists, and have on-site laboratories.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single reportable segment identified above, we have two other operating segments: our dedicated e-commerce website and FirstSight. Our dedicated e-commerce website was previously managed by AC Lens and was transitioned to NVI in fiscal year 2024; the continuing operations for all periods presented reflect the results of this website. FirstSight sells single-service health plans in connection with the operations of America’s Best operations in California. The results of these two segments are presented separately from our reportable segment and do not meet the quantitative thresholds to be reportable segments.</w:t>
      </w:r>
    </w:p>
    <w:p>
      <w:pPr>
        <w:spacing w:after="0" w:line="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“corporate and other” category represents corporate overhead support expenses as well certain non-cash charges, including asset impairment, stock-based compensation expense, and the impact of certain events, gains, or losses excluded from the assessment of segment performance.</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Other adjustments to reportable segment results represent adjustments necessary for the presentation of consolidated financial results in accordance with U.S. GAAP, specifically effects of the change in unearned and deferred revenue during the period.</w:t>
      </w:r>
    </w:p>
    <w:p>
      <w:pPr>
        <w:spacing w:after="0" w:line="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former Legacy reportable segment and the majority of our former AC Lens operations as well as related effects of unearned and deferred revenue are classified as discontinued operations. Refer to Part II. Item 8. Note 2. “Discontinued Operations” of the 2024 Annual Report on Form 10-K for information related to our discontinued operations.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 (income), net are excluded from segment EBITDA.</w:t>
      </w:r>
    </w:p>
    <w:p>
      <w:pPr>
        <w:spacing w:after="0" w:line="71" w:lineRule="exact"/>
        <w:rPr>
          <w:sz w:val="20"/>
          <w:szCs w:val="20"/>
          <w:color w:val="auto"/>
        </w:rPr>
      </w:pPr>
    </w:p>
    <w:p>
      <w:pPr>
        <w:jc w:val="both"/>
        <w:ind w:right="600"/>
        <w:spacing w:after="0" w:line="268" w:lineRule="auto"/>
        <w:rPr>
          <w:sz w:val="20"/>
          <w:szCs w:val="20"/>
          <w:color w:val="auto"/>
        </w:rPr>
      </w:pPr>
      <w:r>
        <w:rPr>
          <w:rFonts w:ascii="Arial" w:cs="Arial" w:eastAsia="Arial" w:hAnsi="Arial"/>
          <w:sz w:val="18"/>
          <w:szCs w:val="18"/>
          <w:color w:val="auto"/>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is a summary of certain financial data for our Owned &amp; Host reportable segment, and other categories, and includes a reconciliation to the Company’s consolidated earnings (loss) from continuing operations before income taxes.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400" w:type="dxa"/>
            <w:vAlign w:val="bottom"/>
            <w:tcBorders>
              <w:top w:val="single" w:sz="8" w:color="0000FF"/>
            </w:tcBorders>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84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March 29, 2025</w:t>
            </w: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March 30, 2024</w:t>
            </w:r>
          </w:p>
        </w:tc>
        <w:tc>
          <w:tcPr>
            <w:tcW w:w="0" w:type="dxa"/>
            <w:vAlign w:val="bottom"/>
          </w:tcPr>
          <w:p>
            <w:pPr>
              <w:spacing w:after="0"/>
              <w:rPr>
                <w:sz w:val="1"/>
                <w:szCs w:val="1"/>
                <w:color w:val="auto"/>
              </w:rPr>
            </w:pPr>
          </w:p>
        </w:tc>
      </w:tr>
      <w:tr>
        <w:trPr>
          <w:trHeight w:val="209"/>
        </w:trPr>
        <w:tc>
          <w:tcPr>
            <w:tcW w:w="84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 &amp; Host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Net product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415,114</w:t>
            </w:r>
          </w:p>
        </w:tc>
        <w:tc>
          <w:tcPr>
            <w:tcW w:w="1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380,596</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sales of services and plans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96,255</w:t>
            </w:r>
          </w:p>
        </w:tc>
        <w:tc>
          <w:tcPr>
            <w:tcW w:w="0" w:type="dxa"/>
            <w:vAlign w:val="bottom"/>
          </w:tcPr>
          <w:p>
            <w:pPr>
              <w:spacing w:after="0"/>
              <w:rPr>
                <w:sz w:val="1"/>
                <w:szCs w:val="1"/>
                <w:color w:val="auto"/>
              </w:rPr>
            </w:pPr>
          </w:p>
        </w:tc>
      </w:tr>
      <w:tr>
        <w:trPr>
          <w:trHeight w:val="22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Total Owned &amp; Host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514,981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476,851</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Owned &amp; Host costs applicable to revenue (exclusive of depreciation and amortization)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Cost of products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107,343</w:t>
            </w:r>
          </w:p>
        </w:tc>
        <w:tc>
          <w:tcPr>
            <w:tcW w:w="0" w:type="dxa"/>
            <w:vAlign w:val="bottom"/>
          </w:tcPr>
          <w:p>
            <w:pPr>
              <w:spacing w:after="0"/>
              <w:rPr>
                <w:sz w:val="1"/>
                <w:szCs w:val="1"/>
                <w:color w:val="auto"/>
              </w:rPr>
            </w:pPr>
          </w:p>
        </w:tc>
      </w:tr>
      <w:tr>
        <w:trPr>
          <w:trHeight w:val="229"/>
        </w:trPr>
        <w:tc>
          <w:tcPr>
            <w:tcW w:w="8480" w:type="dxa"/>
            <w:vAlign w:val="bottom"/>
            <w:gridSpan w:val="2"/>
          </w:tcPr>
          <w:p>
            <w:pPr>
              <w:ind w:left="240"/>
              <w:spacing w:after="0"/>
              <w:rPr>
                <w:sz w:val="20"/>
                <w:szCs w:val="20"/>
                <w:color w:val="auto"/>
              </w:rPr>
            </w:pPr>
            <w:r>
              <w:rPr>
                <w:rFonts w:ascii="Arial" w:cs="Arial" w:eastAsia="Arial" w:hAnsi="Arial"/>
                <w:sz w:val="18"/>
                <w:szCs w:val="18"/>
                <w:color w:val="auto"/>
              </w:rPr>
              <w:t>Cost of services and plans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82,342</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Owned &amp; Host SG&amp;A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179,623</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Owned &amp; Host segment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124,679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107,543</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segments EBITDA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(58,648)</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(23,221)</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860" w:firstLine="8"/>
        <w:spacing w:after="0" w:line="399"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results related to our dedicated e-commerce website and FirstSight. The following table presents a reconciliation of revenue:</w:t>
      </w:r>
    </w:p>
    <w:tbl>
      <w:tblPr>
        <w:tblLayout w:type="fixed"/>
        <w:tblInd w:w="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74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March 29, 2025</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March 30, 2024</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7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Owned &amp; Host</w:t>
            </w:r>
          </w:p>
        </w:tc>
        <w:tc>
          <w:tcPr>
            <w:tcW w:w="3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514,981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476,851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segments revenue</w:t>
            </w:r>
          </w:p>
        </w:tc>
        <w:tc>
          <w:tcPr>
            <w:tcW w:w="3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3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revenue</w:t>
            </w:r>
          </w:p>
        </w:tc>
        <w:tc>
          <w:tcPr>
            <w:tcW w:w="3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482,794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4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4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the basic and diluted earnings / (loss) per share (“EPS”) calculations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March 29, 2025</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March 30, 2024</w:t>
            </w:r>
          </w:p>
        </w:tc>
        <w:tc>
          <w:tcPr>
            <w:tcW w:w="0" w:type="dxa"/>
            <w:vAlign w:val="bottom"/>
          </w:tcPr>
          <w:p>
            <w:pPr>
              <w:spacing w:after="0"/>
              <w:rPr>
                <w:sz w:val="1"/>
                <w:szCs w:val="1"/>
                <w:color w:val="auto"/>
              </w:rPr>
            </w:pPr>
          </w:p>
        </w:tc>
      </w:tr>
      <w:tr>
        <w:trPr>
          <w:trHeight w:val="20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78,384</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stock units</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securities excluded from diluted weighted average common shares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1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751"/>
        </w:trPr>
        <w:tc>
          <w:tcPr>
            <w:tcW w:w="8180" w:type="dxa"/>
            <w:vAlign w:val="bottom"/>
          </w:tcPr>
          <w:p>
            <w:pPr>
              <w:ind w:left="552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26, 2025 (the “2024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2024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one of the largest optical retailers in the U.S. and a leader in the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value-seeking consumers. We deliver exceptional value and convenience to our customers, with attractive price points that provide value for a range of consumers. We reach our customers through a diverse portfolio of 1,237 retail stores across four brands and associated omni-channel consumer websites as of March 29,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March 29, 2025, our operations consisted of one reportable segment. During fiscal year 2024, our Walmart store operations, including our former Legacy reportable segment and components of our AC Lens operating segment met the requirements to be classified as discontinued operations. Refer to Part II. Item 8. Note 2. “Discontinued Operations” of the 2024 Annual Report on Form 10-K for more information on discontinued operations.</w:t>
      </w:r>
    </w:p>
    <w:p>
      <w:pPr>
        <w:spacing w:after="0" w:line="2" w:lineRule="exact"/>
        <w:rPr>
          <w:sz w:val="20"/>
          <w:szCs w:val="20"/>
          <w:color w:val="auto"/>
        </w:rPr>
      </w:pPr>
    </w:p>
    <w:p>
      <w:pPr>
        <w:ind w:left="660" w:right="200" w:hanging="328"/>
        <w:spacing w:after="0" w:line="27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Owned &amp; Host - As of March 29, 2025, our owned brands consisted of 1,042 America’s Best Contacts and Eyeglasses (“America’s Best”) retail stores and 122 Eyeglass World retail stores. Our Host brands consisted of 53 Vista Optical locations on select military bases and 20 Vista Optical locations within select Fred Meyer stores as of March 29, 2025. All brands utilize our centralized laboratories. This segment also includes sales from our America’s Best, Eyeglass World, and Military omni-channel websites.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w:t>
      </w:r>
    </w:p>
    <w:p>
      <w:pPr>
        <w:spacing w:after="0" w:line="117" w:lineRule="exact"/>
        <w:rPr>
          <w:sz w:val="20"/>
          <w:szCs w:val="20"/>
          <w:color w:val="auto"/>
        </w:rPr>
      </w:pPr>
    </w:p>
    <w:p>
      <w:pPr>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other operating segments — Our dedicated e-commerce website, which was previously managed by AC Lens and was transitioned to NVI. Our e-commerce website sells contact lenses and optical accessory products to retail customers, and recognizes revenue when products have been delivered to the customer. Managed care business conducted by FirstSight, our wholly-owned subsidiary that is licensed as a single-service health plan under California law, which issues individual vision plans in connection with our America’s Best operations in California.</w:t>
      </w:r>
    </w:p>
    <w:p>
      <w:pPr>
        <w:spacing w:after="0" w:line="71" w:lineRule="exact"/>
        <w:rPr>
          <w:rFonts w:ascii="Arial" w:cs="Arial" w:eastAsia="Arial" w:hAnsi="Arial"/>
          <w:sz w:val="18"/>
          <w:szCs w:val="18"/>
          <w:color w:val="auto"/>
        </w:rPr>
      </w:pPr>
    </w:p>
    <w:p>
      <w:pPr>
        <w:ind w:left="660" w:right="180" w:hanging="328"/>
        <w:spacing w:after="0" w:line="27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Corporate and other — Our corporate and other category represents 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spacing w:after="0" w:line="55" w:lineRule="exact"/>
        <w:rPr>
          <w:rFonts w:ascii="Arial" w:cs="Arial" w:eastAsia="Arial" w:hAnsi="Arial"/>
          <w:sz w:val="17"/>
          <w:szCs w:val="17"/>
          <w:color w:val="auto"/>
        </w:rPr>
      </w:pPr>
    </w:p>
    <w:p>
      <w:pPr>
        <w:ind w:left="660" w:right="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of unearned and deferred revenue — 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We present the effects of unearned and deferred revenues separately from our reportable segment information. See Note 9. “Segment Reporting” in our condensed consolidated financial statements. 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660" w:right="40"/>
        <w:spacing w:after="0" w:line="287" w:lineRule="auto"/>
        <w:rPr>
          <w:sz w:val="20"/>
          <w:szCs w:val="20"/>
          <w:color w:val="auto"/>
        </w:rPr>
      </w:pPr>
      <w:r>
        <w:rPr>
          <w:rFonts w:ascii="Arial" w:cs="Arial" w:eastAsia="Arial" w:hAnsi="Arial"/>
          <w:sz w:val="18"/>
          <w:szCs w:val="18"/>
          <w:color w:val="auto"/>
        </w:rPr>
        <w:t>represents the timing difference of when we collect cash from the customer and delivery/customer acceptance, and includes sales of prescription eyewear during approximately the last seven to ten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continue to focus on expanding our target demographic, implementing new pricing architecture, enhancing the customer and patient experience, and optimizing cost structure, which are initiatives designed to strengthen our core business, improve our results of operations, and drive long-term shareholder value.</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overall economic environment continues to be uncertain and macroeconomic factors that may affect customer spending patterns, and thereby our results of operations, include trade restrictions such as sanctions, tariffs, reciprocal and retaliatory tariffs, and other tariff-related measures;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United States has recently announced changes to U.S. trade policy, including increasing tariffs on imports, in some cases significantly, and potentially negotiating, or terminating existing, trade agreements. For example, on April 2, 2025, the United States announced a new universal baseline tariff of 10%, plus an additional country-specific tariff for select trading partners, on all U.S. imports. These actions, and retaliatory tariffs imposed by other countries on U.S. exports, have led to significant volatility and uncertainty in global markets, which is continuing. Less than 10% of our costs applicable to revenue are directly subject to tariffs from China. In Mexico, where our exposure relates to our outsourcing relationship with our third-party laboratory, we have mitigation plans in place and we estimate that less than one percent of our costs applicable to revenue are subject to tariffs in Mexico. We are continuing to evaluate these developments, including resulting impacts on our supply chain, commodity costs, and consumer spending, and our ability to offset a portion of these costs to mitigate the impact on our business, consolidated results of operations, and financial condition.</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Inflation has resulted in increased costs and greater profitability pressure. We have experienced wage rate pressure and increases in raw materials prices, which we expect to continue. Inflationary pressures, including elevated wages, consumer confidence and preferences and increased raw material costs could impact our profitability and lead us to attempt to offset such increases through various pricing actions. We have historically employed a simple low price/high value strategy and seek to balance our pricing and growth in a way that consistently delivers savings to our customers. From time to time, and increasingly in connection with our new transformation initiatives, we may take pricing actions and introduce limited-time promotions or new offers designed to increase traffic, awareness and sales. Several factors may impact the level of success of such actions and promotions, including consumer sentiment, macroeconomic conditions and marketing effectiveness, and as a result, if they do not meet our expectations, they could negatively impact our margins and profitability.</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our ability to continue to attract and retain qualified vision care professionals impacts exam capacity and our operations. We believe factors such as an increasingly challenging recruiting market (in particular for new graduates), preferences for adjusted work schedules, and the demand for optometrists exceeding supply in certain areas have caused constraints in vision care professional availability, and therefore exam capacity, which are continuing. As a result, recruiting and retaining optometrists has become more challenging and the costs to employ or retain optometrists have increased and may increase further, potentially materially. Further, a limited number of professional corporations or similar entities provide for the vision care services at a number of our retail locations, exposing us to some concentration risk. 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w:t>
      </w:r>
    </w:p>
    <w:p>
      <w:pPr>
        <w:spacing w:after="0" w:line="74"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Historically, our business has experienced seasonality in the first half of the year that we believe is primarily attributable to the timing of customers’ income tax refunds and health insurance start/reset periods. We believe that many customers in our target market of value-seeking consumers may rely on tax refunds to pay for eyewear and eye care. A delay in the issuance of tax refunds or changes in the amount of tax refunds can, accordingly, have a negative impact on our quarterly financial results in the first half of the year. Consumer behavior with respect to the utilization of tax refund proceeds is also subject to change.</w:t>
      </w:r>
    </w:p>
    <w:p>
      <w:pPr>
        <w:spacing w:after="0" w:line="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 to Part I, Item 1A. “Risk Factors” in the Company’s 2024 Annual Report on Form 10-K for a more complete discussion of the risk factors we face.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1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SG&amp;A expenses generally fluctuate consistently with revenue due to the variable store, field office and corporate support costs; however, some fixed costs may decrease as a percentage of net revenue as our net revenues grow over time.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total number of new stores per year and the timing of store openings has had an impact, and we expect will continue to have an impact, on our results. We plan to open a total of 30-35 new stores in fiscal year 2025 to allow us to invest capital in existing operations to enhance the overall store experience. We are continuing to monitor and determine our plans for future new store openings at a level appropriate for incremental free cash flow generation.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6"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 (collectively, the “Company Non-GAAP Measures”)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Three Months Ended</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March 29, 2025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March 30, 2024</w:t>
            </w:r>
          </w:p>
        </w:tc>
      </w:tr>
      <w:tr>
        <w:trPr>
          <w:trHeight w:val="21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412,765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388,083</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97,559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94,711</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510,324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482,794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Products</w:t>
            </w: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116,914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113,204</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88,276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82,342</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205,190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195,546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255,532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240,128</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23,221</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456</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278,997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263,806</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23,442</w:t>
            </w:r>
          </w:p>
        </w:tc>
      </w:tr>
      <w:tr>
        <w:trPr>
          <w:trHeight w:val="22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4,256</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before income taxes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19,186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7,433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11,753</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11,685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operating data:</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1,201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 opened during the period</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Adjusted Operating 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41,275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33,894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Adjusted Diluted EPS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from continuing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56,734</w:t>
            </w:r>
          </w:p>
        </w:tc>
      </w:tr>
      <w:tr>
        <w:trPr>
          <w:trHeight w:val="270"/>
        </w:trPr>
        <w:tc>
          <w:tcPr>
            <w:tcW w:w="8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40.5 %</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49.7 %</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54.6 %</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Adjusted Operating Income from continuing operations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from continuing operations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746"/>
        </w:trPr>
        <w:tc>
          <w:tcPr>
            <w:tcW w:w="8260" w:type="dxa"/>
            <w:vAlign w:val="bottom"/>
          </w:tcPr>
          <w:p>
            <w:pPr>
              <w:ind w:left="552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1"/>
        </w:trPr>
        <w:tc>
          <w:tcPr>
            <w:tcW w:w="8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29, 2025 compared to Three Months Ended March 30, 2024</w:t>
      </w:r>
    </w:p>
    <w:p>
      <w:pPr>
        <w:spacing w:after="0" w:line="117"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Certain components of our operations met the requirements to be classified as discontinued operations. Refer to Note 2. “Discontinued Operations” in Part II. of the 2024 Annual Report on Form 10-K for information related to our discontinued operations. Unless otherwise noted, the discussion of U.S. GAAP results below is based on results from continuing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from continuing operations for the three months ended March 29, 2025 compared to the three months ended March 30,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Comparable store sales</w:t>
            </w:r>
          </w:p>
        </w:tc>
        <w:tc>
          <w:tcPr>
            <w:tcW w:w="188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Stores open at end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4"/>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growth from continuing</w:t>
            </w:r>
          </w:p>
        </w:tc>
        <w:tc>
          <w:tcPr>
            <w:tcW w:w="18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4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Net revenue</w:t>
            </w:r>
            <w:r>
              <w:rPr>
                <w:rFonts w:ascii="Arial" w:cs="Arial" w:eastAsia="Arial" w:hAnsi="Arial"/>
                <w:sz w:val="23"/>
                <w:szCs w:val="23"/>
                <w:b w:val="1"/>
                <w:bCs w:val="1"/>
                <w:color w:val="auto"/>
                <w:vertAlign w:val="superscript"/>
              </w:rPr>
              <w:t>(1)(2)</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gridSpan w:val="4"/>
          </w:tcPr>
          <w:p>
            <w:pPr>
              <w:jc w:val="center"/>
              <w:ind w:right="120"/>
              <w:spacing w:after="0" w:line="243" w:lineRule="exact"/>
              <w:rPr>
                <w:sz w:val="20"/>
                <w:szCs w:val="20"/>
                <w:color w:val="auto"/>
              </w:rPr>
            </w:pPr>
            <w:r>
              <w:rPr>
                <w:rFonts w:ascii="Arial" w:cs="Arial" w:eastAsia="Arial" w:hAnsi="Arial"/>
                <w:sz w:val="18"/>
                <w:szCs w:val="18"/>
                <w:b w:val="1"/>
                <w:bCs w:val="1"/>
                <w:color w:val="auto"/>
                <w:w w:val="95"/>
              </w:rPr>
              <w:t>operations</w:t>
            </w:r>
            <w:r>
              <w:rPr>
                <w:rFonts w:ascii="Arial" w:cs="Arial" w:eastAsia="Arial" w:hAnsi="Arial"/>
                <w:sz w:val="23"/>
                <w:szCs w:val="23"/>
                <w:b w:val="1"/>
                <w:bCs w:val="1"/>
                <w:color w:val="auto"/>
                <w:w w:val="95"/>
                <w:vertAlign w:val="superscript"/>
              </w:rPr>
              <w:t>(1)</w:t>
            </w:r>
          </w:p>
        </w:tc>
        <w:tc>
          <w:tcPr>
            <w:tcW w:w="18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of period</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40" w:type="dxa"/>
            <w:vAlign w:val="bottom"/>
            <w:gridSpan w:val="4"/>
            <w:vMerge w:val="continue"/>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rPr>
              <w:t>Three</w:t>
            </w:r>
          </w:p>
        </w:tc>
        <w:tc>
          <w:tcPr>
            <w:tcW w:w="10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7"/>
              </w:rPr>
              <w:t>Three</w:t>
            </w: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Months</w:t>
            </w:r>
          </w:p>
        </w:tc>
        <w:tc>
          <w:tcPr>
            <w:tcW w:w="116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Months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percentage and</w:t>
            </w:r>
          </w:p>
        </w:tc>
        <w:tc>
          <w:tcPr>
            <w:tcW w:w="114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8"/>
              </w:rPr>
              <w:t>Ended</w:t>
            </w:r>
          </w:p>
        </w:tc>
        <w:tc>
          <w:tcPr>
            <w:tcW w:w="116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rPr>
              <w:t>Ended</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March</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March</w:t>
            </w:r>
          </w:p>
        </w:tc>
        <w:tc>
          <w:tcPr>
            <w:tcW w:w="19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8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76"/>
        </w:trPr>
        <w:tc>
          <w:tcPr>
            <w:tcW w:w="3260" w:type="dxa"/>
            <w:vAlign w:val="bottom"/>
            <w:gridSpan w:val="2"/>
            <w:vMerge w:val="continue"/>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8"/>
              </w:rPr>
              <w:t>March 29,</w:t>
            </w:r>
          </w:p>
        </w:tc>
        <w:tc>
          <w:tcPr>
            <w:tcW w:w="11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rPr>
              <w:t>March 30,</w:t>
            </w: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940" w:type="dxa"/>
            <w:vAlign w:val="bottom"/>
            <w:gridSpan w:val="4"/>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i w:val="1"/>
                <w:iCs w:val="1"/>
                <w:color w:val="auto"/>
              </w:rPr>
              <w:t>store data</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29, 2025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30, 2024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ind w:left="120"/>
              <w:spacing w:after="0"/>
              <w:rPr>
                <w:sz w:val="20"/>
                <w:szCs w:val="20"/>
                <w:color w:val="auto"/>
              </w:rPr>
            </w:pPr>
            <w:r>
              <w:rPr>
                <w:rFonts w:ascii="Arial" w:cs="Arial" w:eastAsia="Arial" w:hAnsi="Arial"/>
                <w:sz w:val="18"/>
                <w:szCs w:val="18"/>
                <w:b w:val="1"/>
                <w:bCs w:val="1"/>
                <w:color w:val="auto"/>
              </w:rPr>
              <w:t>March 29, 2025</w:t>
            </w:r>
          </w:p>
        </w:tc>
        <w:tc>
          <w:tcPr>
            <w:tcW w:w="160" w:type="dxa"/>
            <w:vAlign w:val="bottom"/>
          </w:tcPr>
          <w:p>
            <w:pPr>
              <w:spacing w:after="0"/>
              <w:rPr>
                <w:sz w:val="21"/>
                <w:szCs w:val="21"/>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March 30, 2024</w:t>
            </w:r>
          </w:p>
        </w:tc>
        <w:tc>
          <w:tcPr>
            <w:tcW w:w="0" w:type="dxa"/>
            <w:vAlign w:val="bottom"/>
          </w:tcPr>
          <w:p>
            <w:pPr>
              <w:spacing w:after="0"/>
              <w:rPr>
                <w:sz w:val="1"/>
                <w:szCs w:val="1"/>
                <w:color w:val="auto"/>
              </w:rPr>
            </w:pPr>
          </w:p>
        </w:tc>
      </w:tr>
      <w:tr>
        <w:trPr>
          <w:trHeight w:val="223"/>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1060" w:type="dxa"/>
            <w:vAlign w:val="bottom"/>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453,731</w:t>
            </w:r>
          </w:p>
        </w:tc>
        <w:tc>
          <w:tcPr>
            <w:tcW w:w="820" w:type="dxa"/>
            <w:vAlign w:val="bottom"/>
          </w:tcPr>
          <w:p>
            <w:pPr>
              <w:jc w:val="right"/>
              <w:spacing w:after="0"/>
              <w:rPr>
                <w:sz w:val="20"/>
                <w:szCs w:val="20"/>
                <w:color w:val="auto"/>
              </w:rPr>
            </w:pPr>
            <w:r>
              <w:rPr>
                <w:rFonts w:ascii="Arial" w:cs="Arial" w:eastAsia="Arial" w:hAnsi="Arial"/>
                <w:sz w:val="18"/>
                <w:szCs w:val="18"/>
                <w:color w:val="auto"/>
              </w:rPr>
              <w:t>88.9 %</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411,144</w:t>
            </w:r>
          </w:p>
        </w:tc>
        <w:tc>
          <w:tcPr>
            <w:tcW w:w="820" w:type="dxa"/>
            <w:vAlign w:val="bottom"/>
          </w:tcPr>
          <w:p>
            <w:pPr>
              <w:jc w:val="right"/>
              <w:spacing w:after="0"/>
              <w:rPr>
                <w:sz w:val="20"/>
                <w:szCs w:val="20"/>
                <w:color w:val="auto"/>
              </w:rPr>
            </w:pPr>
            <w:r>
              <w:rPr>
                <w:rFonts w:ascii="Arial" w:cs="Arial" w:eastAsia="Arial" w:hAnsi="Arial"/>
                <w:sz w:val="18"/>
                <w:szCs w:val="18"/>
                <w:color w:val="auto"/>
              </w:rPr>
              <w:t>85.2 %</w:t>
            </w: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52,486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56,960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6,166</w:t>
            </w:r>
          </w:p>
        </w:tc>
        <w:tc>
          <w:tcPr>
            <w:tcW w:w="82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6,089</w:t>
            </w:r>
          </w:p>
        </w:tc>
        <w:tc>
          <w:tcPr>
            <w:tcW w:w="8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2,598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2,658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514,981</w:t>
            </w:r>
          </w:p>
        </w:tc>
        <w:tc>
          <w:tcPr>
            <w:tcW w:w="820" w:type="dxa"/>
            <w:vAlign w:val="bottom"/>
          </w:tcPr>
          <w:p>
            <w:pPr>
              <w:jc w:val="right"/>
              <w:spacing w:after="0"/>
              <w:rPr>
                <w:sz w:val="20"/>
                <w:szCs w:val="20"/>
                <w:color w:val="auto"/>
              </w:rPr>
            </w:pPr>
            <w:r>
              <w:rPr>
                <w:rFonts w:ascii="Arial" w:cs="Arial" w:eastAsia="Arial" w:hAnsi="Arial"/>
                <w:sz w:val="18"/>
                <w:szCs w:val="18"/>
                <w:color w:val="auto"/>
              </w:rPr>
              <w:t>100.9 %</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476,851</w:t>
            </w:r>
          </w:p>
        </w:tc>
        <w:tc>
          <w:tcPr>
            <w:tcW w:w="820" w:type="dxa"/>
            <w:vAlign w:val="bottom"/>
          </w:tcPr>
          <w:p>
            <w:pPr>
              <w:jc w:val="right"/>
              <w:spacing w:after="0"/>
              <w:rPr>
                <w:sz w:val="20"/>
                <w:szCs w:val="20"/>
                <w:color w:val="auto"/>
              </w:rPr>
            </w:pPr>
            <w:r>
              <w:rPr>
                <w:rFonts w:ascii="Arial" w:cs="Arial" w:eastAsia="Arial" w:hAnsi="Arial"/>
                <w:sz w:val="18"/>
                <w:szCs w:val="18"/>
                <w:color w:val="auto"/>
              </w:rPr>
              <w:t>98.8 %</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segments revenue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6"/>
        </w:trPr>
        <w:tc>
          <w:tcPr>
            <w:tcW w:w="32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Effects of unearned and deferred</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(10,291)</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(2,302)</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114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510,324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482,794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Adjusted Comparable Store Sales</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5.5 %</w:t>
            </w: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6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Growth from continuing operations</w:t>
            </w:r>
            <w:r>
              <w:rPr>
                <w:rFonts w:ascii="Arial" w:cs="Arial" w:eastAsia="Arial" w:hAnsi="Arial"/>
                <w:sz w:val="23"/>
                <w:szCs w:val="23"/>
                <w:color w:val="auto"/>
                <w:vertAlign w:val="superscript"/>
              </w:rPr>
              <w:t>(3)</w:t>
            </w: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calculate total comparable store sales from continuing operations based on consolidated net revenue from continuing operations excluding the impact of</w:t>
      </w:r>
    </w:p>
    <w:p>
      <w:pPr>
        <w:spacing w:after="0" w:line="15" w:lineRule="exact"/>
        <w:rPr>
          <w:rFonts w:ascii="Arial" w:cs="Arial" w:eastAsia="Arial" w:hAnsi="Arial"/>
          <w:sz w:val="14"/>
          <w:szCs w:val="14"/>
          <w:color w:val="auto"/>
        </w:rPr>
      </w:pPr>
    </w:p>
    <w:p>
      <w:pPr>
        <w:ind w:left="820" w:hanging="164"/>
        <w:spacing w:after="0"/>
        <w:tabs>
          <w:tab w:leader="none" w:pos="820" w:val="left"/>
        </w:tabs>
        <w:numPr>
          <w:ilvl w:val="1"/>
          <w:numId w:val="13"/>
        </w:numPr>
        <w:rPr>
          <w:rFonts w:ascii="Arial" w:cs="Arial" w:eastAsia="Arial" w:hAnsi="Arial"/>
          <w:sz w:val="14"/>
          <w:szCs w:val="14"/>
          <w:color w:val="auto"/>
        </w:rPr>
      </w:pPr>
      <w:r>
        <w:rPr>
          <w:rFonts w:ascii="Arial" w:cs="Arial" w:eastAsia="Arial" w:hAnsi="Arial"/>
          <w:sz w:val="14"/>
          <w:szCs w:val="14"/>
          <w:color w:val="auto"/>
        </w:rPr>
        <w:t>other segments revenue, (ii) sales from stores opened less than 13 months, (iii) stores closed in the periods presented, (iv) sales from partial months of</w:t>
      </w:r>
    </w:p>
    <w:p>
      <w:pPr>
        <w:spacing w:after="0" w:line="15" w:lineRule="exact"/>
        <w:rPr>
          <w:sz w:val="20"/>
          <w:szCs w:val="20"/>
          <w:color w:val="auto"/>
        </w:rPr>
      </w:pPr>
    </w:p>
    <w:p>
      <w:pPr>
        <w:ind w:left="660" w:right="740"/>
        <w:spacing w:after="0" w:line="256" w:lineRule="auto"/>
        <w:rPr>
          <w:sz w:val="20"/>
          <w:szCs w:val="20"/>
          <w:color w:val="auto"/>
        </w:rPr>
      </w:pPr>
      <w:r>
        <w:rPr>
          <w:rFonts w:ascii="Arial" w:cs="Arial" w:eastAsia="Arial" w:hAnsi="Arial"/>
          <w:sz w:val="14"/>
          <w:szCs w:val="14"/>
          <w:color w:val="auto"/>
        </w:rPr>
        <w:t>operation when stores do not open or close on the first day of the month and (v) if applicable, the impact of a 53rd week in a fiscal year. Brand-level comparable store sales growth and net revenue are calculated based on cash basis revenues consistent with what the CODM reviews, and consistent with reportable segment revenues presented in Note 9. “Segment Reporting” in our unaudited condensed consolidated financial statements included in Part I. Item 1. of this Form 10-Q.</w:t>
      </w:r>
    </w:p>
    <w:p>
      <w:pPr>
        <w:spacing w:after="0" w:line="2"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4" w:lineRule="exact"/>
        <w:rPr>
          <w:rFonts w:ascii="Arial" w:cs="Arial" w:eastAsia="Arial" w:hAnsi="Arial"/>
          <w:sz w:val="14"/>
          <w:szCs w:val="14"/>
          <w:color w:val="auto"/>
        </w:rPr>
      </w:pPr>
    </w:p>
    <w:p>
      <w:pPr>
        <w:ind w:left="660" w:right="900" w:hanging="328"/>
        <w:spacing w:after="0" w:line="272"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Comparable Store Sales Growth from continuing operations includes the effect of deferred and unearned revenue as if such revenues were earned at the point of sale, resulting in an increase of 1.4% and a decrease of 1.0% from total comparable store sales growth from continuing operations based on consolidated net revenue from continuing operations for the three months ended March 29, 2025 and March 30, 2024, respectively.</w:t>
      </w:r>
    </w:p>
    <w:p>
      <w:pPr>
        <w:spacing w:after="0" w:line="6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Total net revenue of $510.3 million for the three months ended March 29, 2025 increased $27.5 million, or 5.7%, from $482.8 million for the three months ended March 30, 2024. Of the $27.5 million increase, approximately 90% was driven by Adjusted Comparable Store Sales Growth from continuing operations and approximately 60% of the increase was driven by growth from new store sales, partially offset by approximately 30% by effects of unearned revenue for the period and approximately 10% from closed stores. Net revenue includes a negative (1.5)% impact from the timing of unearned revenue for the three months ended March 29, 2025 as compared to three months ended March 30, 2024.</w:t>
      </w:r>
    </w:p>
    <w:p>
      <w:pPr>
        <w:spacing w:after="0" w:line="7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Comparable store sales growth from continuing operations and Adjusted Comparable Store Sales Growth from continuing operations for the three months ended March 29, 2025 were 4.1% and 5.5%, respectively, both reflecting a higher average ticket, a slight increase in customer traffic and continued strength in the Company’s managed care cohort.</w:t>
      </w:r>
    </w:p>
    <w:p>
      <w:pPr>
        <w:spacing w:after="0" w:line="63"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In the three months ended March 29, 2025, we opened nine new America’s Best stores, closed nine Fred Meyer stores and three America’s Best stores. We also converted four Eyeglass World stores to America’s Best stores from March 30, 2024 to March 29, 2025. Overall, store count grew 3.0% from March 30, 2024 to March 29, 2025 (exclusive of the aforementioned conversions, we had 48 net new America’s Best stores, nine net closures of Fred Meyer stores, two net closures of Eyeglass World stores, and one Military store closed).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Net product sales comprised 80.9% and 80.4% of total net revenue for the three months ended March 29, 2025 and March 30, 2024, respectively. Net product sales increased $24.7 million, or 6.4%, in the three months ended March 29, 2025 compared to the three months ended March 30, 2024, primarily due to a $21.6 million, or 7.0%, increase in eyeglass sales and a $2.0 million, or 2.5%, increase in contact lens sales and net growth from other add-on sales.</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Net sales of services and plans for the three months ended March 29, 2025 increased $2.8 million, or 3.0%, compared to the three months ended March 30, 2024, driven primarily by higher exam revenues of $3.5 million, or 5.6%.</w:t>
      </w:r>
    </w:p>
    <w:p>
      <w:pPr>
        <w:spacing w:after="0" w:line="45" w:lineRule="exact"/>
        <w:rPr>
          <w:sz w:val="20"/>
          <w:szCs w:val="20"/>
          <w:color w:val="auto"/>
        </w:rPr>
      </w:pPr>
    </w:p>
    <w:p>
      <w:pPr>
        <w:ind w:left="340" w:right="260"/>
        <w:spacing w:after="0" w:line="28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$38.1 million, or 8.0%, driven primarily by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store openings, partially offset by closed stores.</w:t>
      </w:r>
    </w:p>
    <w:p>
      <w:pPr>
        <w:spacing w:after="0" w:line="45" w:lineRule="exact"/>
        <w:rPr>
          <w:sz w:val="20"/>
          <w:szCs w:val="20"/>
          <w:color w:val="auto"/>
        </w:rPr>
      </w:pPr>
    </w:p>
    <w:p>
      <w:pPr>
        <w:jc w:val="both"/>
        <w:ind w:left="340" w:right="60"/>
        <w:spacing w:after="0" w:line="268" w:lineRule="auto"/>
        <w:rPr>
          <w:sz w:val="20"/>
          <w:szCs w:val="20"/>
          <w:color w:val="auto"/>
        </w:rPr>
      </w:pPr>
      <w:r>
        <w:rPr>
          <w:rFonts w:ascii="Arial" w:cs="Arial" w:eastAsia="Arial" w:hAnsi="Arial"/>
          <w:sz w:val="18"/>
          <w:szCs w:val="18"/>
          <w:i w:val="1"/>
          <w:iCs w:val="1"/>
          <w:color w:val="auto"/>
        </w:rPr>
        <w:t xml:space="preserve">Effects of unearned and deferred revenue. </w:t>
      </w:r>
      <w:r>
        <w:rPr>
          <w:rFonts w:ascii="Arial" w:cs="Arial" w:eastAsia="Arial" w:hAnsi="Arial"/>
          <w:sz w:val="18"/>
          <w:szCs w:val="18"/>
          <w:color w:val="auto"/>
        </w:rPr>
        <w:t>Unearned and deferred revenue negatively impacted net revenue by $8.0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29, 2025 compared to the three months ended March 30, 2024, primarily driven by $7.2 million due to the timing of unearned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Costs applicable to revenue of $205.2 million for the three months ended March 29, 2025 increased $9.6 million, or 4.9%, from $195.5 million for the three months ended March 30, 2024. As a percentage of net revenue, costs applicable to revenue decreased from 40.5% for the three months ended March 30, 2024 to 40.2% for the three months ended March 29, 2025. This decrease of 30 basis points as a percentage of net revenue was primarily driven by a margin improvement of 50 basis points for eyeglass frames and lenses and a favorable shift in product and services mix related to average customer ticket including other add-on sales of 20 basis points, partially offset by a 20 basis-point decrease in margins of contact lenses and a 20 basis-point effect from higher optometrist-related costs related to revenue growth.</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Costs of products as a percentage of net product sales decreased from 29.2% for the three months ended March 30, 2024 to 28.3% for the three months ended March 29, 2025 primarily driven by margin improvement of eyeglass frames and lenses and a favorable product mix shift related to average customer ticket, partially offset by a decrease in margins of contact lenses.</w:t>
      </w:r>
    </w:p>
    <w:p>
      <w:pPr>
        <w:spacing w:after="0" w:line="63" w:lineRule="exact"/>
        <w:rPr>
          <w:sz w:val="20"/>
          <w:szCs w:val="20"/>
          <w:color w:val="auto"/>
        </w:rPr>
      </w:pPr>
    </w:p>
    <w:p>
      <w:pPr>
        <w:ind w:left="340" w:right="260"/>
        <w:spacing w:after="0" w:line="268"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28.2%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30, 2024 to 27.4% for the three months ended March 29, 2025, primarily driven by margin improvement of eyeglass frames and lenses, partially offset by a decrease in margins of contact lenses.</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Costs of services and plans as a percentage of net sales of services and plans increased from 86.9% for the three months ended March 30, 2024 to 90.5% for the three months ended March 29, 2025. The increase was primarily driven by growth in optometrist-related costs, partially offset by higher exam revenue.</w:t>
      </w:r>
    </w:p>
    <w:p>
      <w:pPr>
        <w:spacing w:after="0" w:line="63" w:lineRule="exact"/>
        <w:rPr>
          <w:sz w:val="20"/>
          <w:szCs w:val="20"/>
          <w:color w:val="auto"/>
        </w:rPr>
      </w:pPr>
    </w:p>
    <w:p>
      <w:pPr>
        <w:ind w:left="340" w:right="240"/>
        <w:spacing w:after="0" w:line="291"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from 85.5% for the three months ended March 30, 2024 to 88.4% for the three months ended March 29, 2025. The increase was primarily driven by growth in optometrist-related costs related to revenue growth, partially offset by higher exam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SG&amp;A of $255.5 million for the three months ended March 29, 2025 increased $15.4 million, or 6.4%, from the three months ended March 30, 2024. As a percentage of net revenue, SG&amp;A increased from 49.7% for the three months ended March 30, 2024 to 50.1% for the three months ended March 29, 2025. SG&amp;A as a percentage of net revenue was impacted by increases in stock-based and cash compensation expenses of 210 basis points primarily related to revenue and profitability growth, partially offset by non-recurring litigation settlement from prior year of 90 basis points and lower advertising investments of 60 basis points and other expenses.</w:t>
      </w:r>
    </w:p>
    <w:p>
      <w:pPr>
        <w:spacing w:after="0" w:line="71" w:lineRule="exact"/>
        <w:rPr>
          <w:sz w:val="20"/>
          <w:szCs w:val="20"/>
          <w:color w:val="auto"/>
        </w:rPr>
      </w:pPr>
    </w:p>
    <w:p>
      <w:pPr>
        <w:ind w:left="340" w:right="480"/>
        <w:spacing w:after="0" w:line="28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37.7% for the three months ended March 30, 2024 to</w:t>
      </w:r>
      <w:r>
        <w:rPr>
          <w:rFonts w:ascii="Arial" w:cs="Arial" w:eastAsia="Arial" w:hAnsi="Arial"/>
          <w:sz w:val="18"/>
          <w:szCs w:val="18"/>
          <w:i w:val="1"/>
          <w:iCs w:val="1"/>
          <w:color w:val="auto"/>
        </w:rPr>
        <w:t xml:space="preserve"> </w:t>
      </w:r>
      <w:r>
        <w:rPr>
          <w:rFonts w:ascii="Arial" w:cs="Arial" w:eastAsia="Arial" w:hAnsi="Arial"/>
          <w:sz w:val="18"/>
          <w:szCs w:val="18"/>
          <w:color w:val="auto"/>
        </w:rPr>
        <w:t>36.5% for the three months ended March 29, 2025, driven primarily by lower advertising investments.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Depreciation and amortization expense of $23.0 million for the three months ended March 29, 2025 decreased $0.3 million, or 1.1%, from $23.2 million for the three months ended March 30, 2024 primarily driven by lower depreciation of information technology assets, partially offset by higher depreciation of store remodeling costs.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recognized $0.5 million primarily for impairment related to tangible long-lived assets and ROU assets associated with our retail stores during the three months ended March 29, 2025, compared to $0.5 million impairment recognized during the three months ended March 30, 2024 for tangible long-lived assets and ROU assets associated with our retail stores.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store asset impairment charge is related to our Owned &amp; Host segment and is driven by lower than projected customer sales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 and other.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Interest expense, net was $4.6 million for the three months ended March 29, 2025, compared to $4.3 million for the three months ended March 30, 2024. The change was primarily a result of lower income on cash balances of $0.4 million, partially offset by lower interest expense on our debt of $0.3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effective tax rates for the three months ended March 29, 2025 and March 30, 2024 were 34.2% and 38.7%, respectively. The change in effective tax rates reflects tax impacts of consolidated VIEs, non-deductible compensation and discrete effects of permanent adjustments related to equity compensation and other effects of permanent items.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Loss from discontinued operations, net of tax, of $0.1 million for the three months ended March 30, 2024 represents loss prior to the termination of our partnership with Walmart and the wind-down of the AC Lens operations. There were no discontinued operations results for the three months ended March 29,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refer to these measures as the “Company Non-GAAP Measures.” 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costs, severance and employee-related costs associated with organizational restructuring and certain other expenses. We define Adjusted Operating Margin as Adjusted Operating Income as a percentage of net revenue. We define EBITDA as net income (loss), plus interest expense (income), net, income tax provision (benefit) and depreciation and amortization. 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severance and employee-related costs associated with restructuring and certain other expenses. We define Adjusted EBITDA Margin as Adjusted EBITDA as a percentage of net revenue. 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shareholder activism, severance and employee-related costs associated with restructuring, and certain other expenses, less the tax effect of these adjustments, including tax expense (benefit) from stock-based compensation.</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Company Non-GAAP Measures can vary substantially in size from one period to the next, and certain types of expenses are non-recurring in nature and consequently may not have been incurred in any of the periods presented below.</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0"/>
        <w:spacing w:after="0" w:line="272" w:lineRule="auto"/>
        <w:rPr>
          <w:sz w:val="20"/>
          <w:szCs w:val="20"/>
          <w:color w:val="auto"/>
        </w:rPr>
      </w:pPr>
      <w:r>
        <w:rPr>
          <w:rFonts w:ascii="Arial" w:cs="Arial" w:eastAsia="Arial" w:hAnsi="Arial"/>
          <w:sz w:val="17"/>
          <w:szCs w:val="17"/>
          <w:color w:val="auto"/>
        </w:rPr>
        <w:t>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 believes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The Company Non-GAAP Measures, we may incur expenses in the future that are the same as or similar to some of the adjustments in this presentation. Our presentation of The Company Non-GAAP Measures should not be construed to imply that our future results will be unaffected by any such adjustments. Management compensates for these limitations by primarily relying on our U.S. GAAP results in addition to using The Company Non-GAAP Measures.</w:t>
      </w:r>
    </w:p>
    <w:p>
      <w:pPr>
        <w:spacing w:after="0" w:line="7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4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9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net, or the cash requirements necessary to service interest or principal payments, on our debt;</w:t>
      </w: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ind w:left="660" w:right="8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w:t>
      </w:r>
    </w:p>
    <w:p>
      <w:pPr>
        <w:ind w:left="660" w:right="4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right="540" w:hanging="328"/>
        <w:spacing w:after="0" w:line="26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Because of these limitations, The Company Non-GAAP Measures should not be considered as measures of discretionary cash available to invest in business growth or to reduce indebtedness.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reconciles our Adjusted Operating Income from continuing operations, Adjusted Operating Margin from continuing operations, EBITDA from continuing operations, Adjusted EBITDA from continuing operations, and Adjusted EBITDA Margin from continuing operations to net income (loss) from continuing operations; and Adjusted Diluted EPS from continuing operations to diluted EPS from continuing operations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color w:val="auto"/>
              </w:rPr>
              <w:t>Three Months Ended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5"/>
          </w:tcPr>
          <w:p>
            <w:pPr>
              <w:ind w:left="140"/>
              <w:spacing w:after="0"/>
              <w:rPr>
                <w:sz w:val="20"/>
                <w:szCs w:val="20"/>
                <w:color w:val="auto"/>
              </w:rPr>
            </w:pPr>
            <w:r>
              <w:rPr>
                <w:rFonts w:ascii="Arial" w:cs="Arial" w:eastAsia="Arial" w:hAnsi="Arial"/>
                <w:sz w:val="18"/>
                <w:szCs w:val="18"/>
                <w:color w:val="auto"/>
              </w:rPr>
              <w:t>March 29, 2025</w:t>
            </w:r>
          </w:p>
        </w:tc>
        <w:tc>
          <w:tcPr>
            <w:tcW w:w="260" w:type="dxa"/>
            <w:vAlign w:val="bottom"/>
          </w:tcPr>
          <w:p>
            <w:pPr>
              <w:spacing w:after="0"/>
              <w:rPr>
                <w:sz w:val="19"/>
                <w:szCs w:val="19"/>
                <w:color w:val="auto"/>
              </w:rPr>
            </w:pPr>
          </w:p>
        </w:tc>
        <w:tc>
          <w:tcPr>
            <w:tcW w:w="1800" w:type="dxa"/>
            <w:vAlign w:val="bottom"/>
            <w:gridSpan w:val="2"/>
          </w:tcPr>
          <w:p>
            <w:pPr>
              <w:jc w:val="right"/>
              <w:ind w:right="310"/>
              <w:spacing w:after="0"/>
              <w:rPr>
                <w:sz w:val="20"/>
                <w:szCs w:val="20"/>
                <w:color w:val="auto"/>
              </w:rPr>
            </w:pPr>
            <w:r>
              <w:rPr>
                <w:rFonts w:ascii="Arial" w:cs="Arial" w:eastAsia="Arial" w:hAnsi="Arial"/>
                <w:sz w:val="18"/>
                <w:szCs w:val="18"/>
                <w:color w:val="auto"/>
              </w:rPr>
              <w:t>March 30, 2024</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4,256</w:t>
            </w: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7,029</w:t>
            </w:r>
          </w:p>
        </w:tc>
        <w:tc>
          <w:tcPr>
            <w:tcW w:w="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2,414</w:t>
            </w:r>
          </w:p>
        </w:tc>
        <w:tc>
          <w:tcPr>
            <w:tcW w:w="102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4,450</w:t>
            </w: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56"/>
        </w:trPr>
        <w:tc>
          <w:tcPr>
            <w:tcW w:w="700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Operating Income from continuing operations / Adjusted Operating</w:t>
            </w:r>
          </w:p>
        </w:tc>
        <w:tc>
          <w:tcPr>
            <w:tcW w:w="3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41,275</w:t>
            </w:r>
          </w:p>
        </w:tc>
        <w:tc>
          <w:tcPr>
            <w:tcW w:w="20" w:type="dxa"/>
            <w:vAlign w:val="bottom"/>
          </w:tcPr>
          <w:p>
            <w:pPr>
              <w:spacing w:after="0"/>
              <w:rPr>
                <w:sz w:val="13"/>
                <w:szCs w:val="13"/>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8.1 %</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33,894</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b w:val="1"/>
                <w:bCs w:val="1"/>
                <w:color w:val="auto"/>
              </w:rPr>
              <w:t>Margin from continuing operations</w:t>
            </w:r>
          </w:p>
        </w:tc>
        <w:tc>
          <w:tcPr>
            <w:tcW w:w="3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80"/>
              <w:spacing w:after="0" w:line="182" w:lineRule="exact"/>
              <w:rPr>
                <w:sz w:val="20"/>
                <w:szCs w:val="20"/>
                <w:color w:val="auto"/>
              </w:rPr>
            </w:pPr>
            <w:r>
              <w:rPr>
                <w:rFonts w:ascii="Arial" w:cs="Arial" w:eastAsia="Arial" w:hAnsi="Arial"/>
                <w:sz w:val="18"/>
                <w:szCs w:val="18"/>
                <w:i w:val="1"/>
                <w:iCs w:val="1"/>
                <w:color w:val="auto"/>
                <w:w w:val="96"/>
              </w:rPr>
              <w:t>Note: Percentages reflect line item as a percentage of net revenue, adjusted for rounding.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300" w:type="dxa"/>
            <w:vAlign w:val="bottom"/>
            <w:gridSpan w:val="3"/>
          </w:tcPr>
          <w:p>
            <w:pPr>
              <w:ind w:left="80"/>
              <w:spacing w:after="0"/>
              <w:rPr>
                <w:sz w:val="20"/>
                <w:szCs w:val="20"/>
                <w:color w:val="auto"/>
              </w:rPr>
            </w:pPr>
            <w:r>
              <w:rPr>
                <w:rFonts w:ascii="Arial" w:cs="Arial" w:eastAsia="Arial" w:hAnsi="Arial"/>
                <w:sz w:val="18"/>
                <w:szCs w:val="18"/>
                <w:i w:val="1"/>
                <w:iCs w:val="1"/>
                <w:color w:val="auto"/>
              </w:rPr>
              <w:t>Some of the percentage totals in the table above do not foot due to rounding differences.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7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color w:val="auto"/>
              </w:rPr>
              <w:t>Three Months Ended</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color w:val="auto"/>
              </w:rPr>
              <w:t>March 29, 2025</w:t>
            </w:r>
          </w:p>
        </w:tc>
        <w:tc>
          <w:tcPr>
            <w:tcW w:w="260" w:type="dxa"/>
            <w:vAlign w:val="bottom"/>
          </w:tcPr>
          <w:p>
            <w:pPr>
              <w:spacing w:after="0"/>
              <w:rPr>
                <w:sz w:val="19"/>
                <w:szCs w:val="19"/>
                <w:color w:val="auto"/>
              </w:rPr>
            </w:pPr>
          </w:p>
        </w:tc>
        <w:tc>
          <w:tcPr>
            <w:tcW w:w="1800" w:type="dxa"/>
            <w:vAlign w:val="bottom"/>
            <w:gridSpan w:val="2"/>
          </w:tcPr>
          <w:p>
            <w:pPr>
              <w:jc w:val="right"/>
              <w:ind w:right="310"/>
              <w:spacing w:after="0"/>
              <w:rPr>
                <w:sz w:val="20"/>
                <w:szCs w:val="20"/>
                <w:color w:val="auto"/>
              </w:rPr>
            </w:pPr>
            <w:r>
              <w:rPr>
                <w:rFonts w:ascii="Arial" w:cs="Arial" w:eastAsia="Arial" w:hAnsi="Arial"/>
                <w:sz w:val="18"/>
                <w:szCs w:val="18"/>
                <w:color w:val="auto"/>
              </w:rPr>
              <w:t>March 30, 2024</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4,256</w:t>
            </w: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22,963</w:t>
            </w: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23,221</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 from continuing operations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57"/>
        </w:trPr>
        <w:tc>
          <w:tcPr>
            <w:tcW w:w="7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w:t>
            </w: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56"/>
        </w:trPr>
        <w:tc>
          <w:tcPr>
            <w:tcW w:w="700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EBITDA from continuing operations / Adjusted EBITDA Margin from</w:t>
            </w:r>
          </w:p>
        </w:tc>
        <w:tc>
          <w:tcPr>
            <w:tcW w:w="3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64,069</w:t>
            </w:r>
          </w:p>
        </w:tc>
        <w:tc>
          <w:tcPr>
            <w:tcW w:w="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12.6 %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56,734</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1"/>
        </w:trPr>
        <w:tc>
          <w:tcPr>
            <w:tcW w:w="7000" w:type="dxa"/>
            <w:vAlign w:val="bottom"/>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300" w:type="dxa"/>
            <w:vAlign w:val="bottom"/>
            <w:tcBorders>
              <w:bottom w:val="single" w:sz="8" w:color="auto"/>
            </w:tcBorders>
            <w:gridSpan w:val="2"/>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140"/>
        <w:spacing w:after="0" w:line="233" w:lineRule="auto"/>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-109855</wp:posOffset>
            </wp:positionV>
            <wp:extent cx="668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-109855</wp:posOffset>
            </wp:positionV>
            <wp:extent cx="668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i w:val="1"/>
          <w:iCs w:val="1"/>
          <w:color w:val="auto"/>
        </w:rPr>
        <w:t>Some of the percentage totals in the table above may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6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83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60" w:type="dxa"/>
            <w:vAlign w:val="bottom"/>
          </w:tcPr>
          <w:p>
            <w:pPr>
              <w:spacing w:after="0"/>
              <w:rPr>
                <w:sz w:val="14"/>
                <w:szCs w:val="14"/>
                <w:color w:val="auto"/>
              </w:rPr>
            </w:pPr>
          </w:p>
        </w:tc>
        <w:tc>
          <w:tcPr>
            <w:tcW w:w="1200" w:type="dxa"/>
            <w:vAlign w:val="bottom"/>
            <w:gridSpan w:val="2"/>
          </w:tcPr>
          <w:p>
            <w:pPr>
              <w:ind w:left="60"/>
              <w:spacing w:after="0" w:line="169" w:lineRule="exact"/>
              <w:rPr>
                <w:sz w:val="20"/>
                <w:szCs w:val="20"/>
                <w:color w:val="auto"/>
              </w:rPr>
            </w:pPr>
            <w:r>
              <w:rPr>
                <w:rFonts w:ascii="Arial" w:cs="Arial" w:eastAsia="Arial" w:hAnsi="Arial"/>
                <w:sz w:val="18"/>
                <w:szCs w:val="18"/>
                <w:color w:val="auto"/>
              </w:rPr>
              <w:t>March 29,</w:t>
            </w:r>
          </w:p>
        </w:tc>
        <w:tc>
          <w:tcPr>
            <w:tcW w:w="160" w:type="dxa"/>
            <w:vAlign w:val="bottom"/>
          </w:tcPr>
          <w:p>
            <w:pPr>
              <w:spacing w:after="0"/>
              <w:rPr>
                <w:sz w:val="14"/>
                <w:szCs w:val="14"/>
                <w:color w:val="auto"/>
              </w:rPr>
            </w:pPr>
          </w:p>
        </w:tc>
        <w:tc>
          <w:tcPr>
            <w:tcW w:w="110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30,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320" w:type="dxa"/>
            <w:vAlign w:val="bottom"/>
            <w:tcBorders>
              <w:bottom w:val="single" w:sz="8" w:color="CCEEFF"/>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from continuing operations</w:t>
            </w: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8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8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Derivative fair value adjustments </w:t>
            </w:r>
            <w:r>
              <w:rPr>
                <w:rFonts w:ascii="Arial" w:cs="Arial" w:eastAsia="Arial" w:hAnsi="Arial"/>
                <w:sz w:val="23"/>
                <w:szCs w:val="23"/>
                <w:color w:val="auto"/>
                <w:vertAlign w:val="superscript"/>
              </w:rPr>
              <w:t>(f)</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8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83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Tax effects </w:t>
            </w:r>
            <w:r>
              <w:rPr>
                <w:rFonts w:ascii="Arial" w:cs="Arial" w:eastAsia="Arial" w:hAnsi="Arial"/>
                <w:sz w:val="23"/>
                <w:szCs w:val="23"/>
                <w:color w:val="auto"/>
                <w:vertAlign w:val="superscript"/>
              </w:rPr>
              <w:t>(i)</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60" w:type="dxa"/>
            <w:vAlign w:val="bottom"/>
          </w:tcPr>
          <w:p>
            <w:pPr>
              <w:spacing w:after="0"/>
              <w:rPr>
                <w:sz w:val="24"/>
                <w:szCs w:val="24"/>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60" w:right="820" w:hanging="328"/>
        <w:spacing w:after="0" w:line="26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 w:lineRule="exact"/>
        <w:rPr>
          <w:rFonts w:ascii="Arial" w:cs="Arial" w:eastAsia="Arial" w:hAnsi="Arial"/>
          <w:sz w:val="14"/>
          <w:szCs w:val="14"/>
          <w:color w:val="auto"/>
        </w:rPr>
      </w:pPr>
    </w:p>
    <w:p>
      <w:pPr>
        <w:ind w:left="660" w:right="960" w:hanging="328"/>
        <w:spacing w:after="0" w:line="26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write-off related to non-cash impairment charges of long-lived assets, primarily impairment of property, equipment and lease-related assets on closed or underperforming stores.</w:t>
      </w: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4" w:lineRule="exact"/>
        <w:rPr>
          <w:rFonts w:ascii="Arial" w:cs="Arial" w:eastAsia="Arial" w:hAnsi="Arial"/>
          <w:sz w:val="14"/>
          <w:szCs w:val="14"/>
          <w:color w:val="auto"/>
        </w:rPr>
      </w:pPr>
    </w:p>
    <w:p>
      <w:pPr>
        <w:ind w:left="660" w:right="640" w:hanging="328"/>
        <w:spacing w:after="0" w:line="25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00" w:hanging="328"/>
        <w:spacing w:after="0" w:line="26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ind w:left="660" w:right="840" w:hanging="328"/>
        <w:spacing w:after="0" w:line="254"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related to the Company’s ERP and CRM implementation.</w:t>
      </w:r>
    </w:p>
    <w:p>
      <w:pPr>
        <w:spacing w:after="0" w:line="14" w:lineRule="exact"/>
        <w:rPr>
          <w:rFonts w:ascii="Arial" w:cs="Arial" w:eastAsia="Arial" w:hAnsi="Arial"/>
          <w:sz w:val="14"/>
          <w:szCs w:val="14"/>
          <w:color w:val="auto"/>
        </w:rPr>
      </w:pPr>
    </w:p>
    <w:p>
      <w:pPr>
        <w:ind w:left="660" w:right="820" w:hanging="328"/>
        <w:spacing w:after="0" w:line="257"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shareholder activism costs of $2.1 million and severance and employee-related costs associated with organizational restructuring of $2.1 million for the three months ended March 29, 2025, costs associated with the digitization of paper-based records of $1.8 million for the three months ended March 30, 2024, and other expenses and adjustments. Adjusted Diluted EPS is also adjusted to include debt issuance costs.</w:t>
      </w:r>
    </w:p>
    <w:p>
      <w:pPr>
        <w:spacing w:after="0" w:line="2" w:lineRule="exact"/>
        <w:rPr>
          <w:rFonts w:ascii="Arial" w:cs="Arial" w:eastAsia="Arial" w:hAnsi="Arial"/>
          <w:sz w:val="14"/>
          <w:szCs w:val="14"/>
          <w:color w:val="auto"/>
        </w:rPr>
      </w:pPr>
    </w:p>
    <w:p>
      <w:pPr>
        <w:ind w:left="660" w:right="660" w:hanging="328"/>
        <w:spacing w:after="0" w:line="284" w:lineRule="auto"/>
        <w:tabs>
          <w:tab w:leader="none" w:pos="653"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 including tax expense (benefit) from stock-based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loans in an aggregate principal amount of $300.0 million (the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operations, as well as modifications to our $250.9 million outstanding principal first lien term loan (“Term Loan A”) where possible.</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plan to repay the $84.8 million outstanding principal balance of the 2025 Notes using a combination of cash on hand and liquidity from our Revolving Loans.</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of March 29, 2025, we had $80.0 million in cash and cash equivalents and $293.6 million of availability under our Revolving Loans, which includes $6.4 million in outstanding letters of credit.</w:t>
      </w:r>
    </w:p>
    <w:p>
      <w:pPr>
        <w:spacing w:after="0" w:line="4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March 29, 2025, we had $250.9 million of Term Loan A outstanding under our credit agreement. We were in compliance with all covenants related to our debt as of March 29, 2025.</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 summarizes cash flows provided by (used for) operating activities, investing activities and financing activities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Three Months Ended</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March 29, 2025</w:t>
            </w:r>
          </w:p>
        </w:tc>
        <w:tc>
          <w:tcPr>
            <w:tcW w:w="200" w:type="dxa"/>
            <w:vAlign w:val="bottom"/>
          </w:tcPr>
          <w:p>
            <w:pPr>
              <w:spacing w:after="0"/>
              <w:rPr>
                <w:sz w:val="19"/>
                <w:szCs w:val="19"/>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March 30, 2024</w:t>
            </w:r>
          </w:p>
        </w:tc>
      </w:tr>
      <w:tr>
        <w:trPr>
          <w:trHeight w:val="20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32,239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23,987</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(18,209)</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flows provided by operating activities increased by $8.3 million to $32.2 million, during the three months ended March 29, 2025 from $24.0 million for the three months ended March 30, 2024 as a result of an increase in non-cash reconciling items of $6.5 million and an increase in net income of $2.5 million compared to the three months ended March 30, 2024. These increases were partially offset by changes in net working capital and other assets and liabilities of $0.7 million. The increase in non-cash adjustments was primarily driven by the changes in stock-based compensation and deferred income taxes.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Working capital was impacted by year-over-year changes in trade receivables, other assets and other liabilities. Increases in trade receivables used $15.6 million in year-over-year cash, primarily driven by year-over-year changes in sales and the termination of the Walmart partnership in the first quarter of 2024 that did not recur in 2025. Increases in other assets used $ 12.3 million in year-over-year cash, primarily due to increased cloud-based software investments related to CRM and ERP during the three months ended March 29, 2025 compared to the three months ended March 30, 2024. These were partially offset by increases in other liabilities which contributed $21.8 million in year-over-year cash, primarily due to increases in compensation-related accruals.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Net cash used for investing activities increased by $2.0 million, to $20.2 million, during the three months ended March 29, 2025 from $18.2 million during the three months ended March 30, 2024. The year-over-year increase was primarily due to higher investments in information technology assets, doctor and store lab equipment, partially offset by lower investments in existing and new stores.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used for financing activities was $5.4 million during the three months ended March 29, 2025 as compared to $5.2 million during the three months ended March 30, 2024. The $0.2 million year-over-year increase in cash used for financing activities was primarily due to an increase in principal payments of debt, offset in part by a decrease in purchases of treasury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were no material changes outside the ordinary course of business in our material cash requirements and commercial commitments from those reported in the 2024 Annual Report on Form 10-K.</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term purchase, marketing and promotional commitments, or commitments to philanthropic endeavors. We have disclosed the amount of future commitments associated with these items in the 2024 Annual Report on Form 10-K. We are not a party to any other material off-balance sheet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2024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2024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There have been no material changes due to recently issued or adopted accounting standards since those disclosed in our 2024 Annual Report on Form 10-K.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significant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March 29, 2025, $250.9 million of term loan borrowings were subject to variable interest rates. Our variable interest rate term loan borrowings are exposed to changes in market rates. A 1.0% increase in market rates would result in a $2.5 million increase in annual interest expense. For more information about quantitative and qualitative disclosures about market risk, please see Item 7A. “Quantitative and Qualitative Disclosures About Market Risk” in Part II. of the 2024 Annual Report on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March 29, 2025.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first quarter of fiscal year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See Note 8.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2024 Annual Report on Form 10-K. There have been no material changes to the risk factors described in our 2024 Annual Report on Form 10-K.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firstLine="8"/>
        <w:spacing w:after="0" w:line="268"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three months ended March 29, 2025, none of the Company’s directors or officers (as defined in Rule 16a-1(f) of the Exchange Act) adopted, terminated or modified a “Rule 10b5-1 trading arrangement” or “non-Rule 10b5-1 trading arrangement” (as such terms are defined in Item 408(a) of Regulation S-K).</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Table of Contents</w:t>
            </w:r>
          </w:p>
        </w:tc>
        <w:tc>
          <w:tcPr>
            <w:tcW w:w="3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80"/>
        </w:trPr>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3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c>
          <w:tcPr>
            <w:tcW w:w="112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176"/>
        </w:trPr>
        <w:tc>
          <w:tcPr>
            <w:tcW w:w="380" w:type="dxa"/>
            <w:vAlign w:val="bottom"/>
            <w:tcBorders>
              <w:top w:val="single" w:sz="8" w:color="auto"/>
            </w:tcBorders>
            <w:gridSpan w:val="3"/>
          </w:tcPr>
          <w:p>
            <w:pPr>
              <w:ind w:left="20"/>
              <w:spacing w:after="0" w:line="169" w:lineRule="exact"/>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8"/>
                <w:szCs w:val="18"/>
                <w:color w:val="auto"/>
              </w:rPr>
              <w:t>Third Amended and Restated Certificate of Incorporation of National Vision Holdings, Inc. - incorporated herein by</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reference to Exhibit 3.1 to the Company’s Current Report on Form 8-K filed on June 10, 2021.</w:t>
            </w:r>
          </w:p>
        </w:tc>
      </w:tr>
      <w:tr>
        <w:trPr>
          <w:trHeight w:val="188"/>
        </w:trPr>
        <w:tc>
          <w:tcPr>
            <w:tcW w:w="380" w:type="dxa"/>
            <w:vAlign w:val="bottom"/>
            <w:gridSpan w:val="3"/>
          </w:tcPr>
          <w:p>
            <w:pPr>
              <w:ind w:left="20"/>
              <w:spacing w:after="0" w:line="181" w:lineRule="exact"/>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Fourth Amended and Restated Bylaws of National Vision Holdings, Inc. - incorporated herein by reference to Exhibit 3.1 to</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the Company’s Current Report on Form 8-K filed on December 12, 2023.</w:t>
            </w:r>
          </w:p>
        </w:tc>
      </w:tr>
      <w:tr>
        <w:trPr>
          <w:trHeight w:val="188"/>
        </w:trPr>
        <w:tc>
          <w:tcPr>
            <w:tcW w:w="380" w:type="dxa"/>
            <w:vAlign w:val="bottom"/>
            <w:gridSpan w:val="3"/>
          </w:tcPr>
          <w:p>
            <w:pPr>
              <w:ind w:left="20"/>
              <w:spacing w:after="0" w:line="181"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Cooperation Agreement, dated March 17, 2025, by and between National Vision Holdings, Inc. and Engine Capital, L.P. -</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incorporated herein by reference to Exhibit 10.1 to the Company’s Current Report on Form 8-K filed on March 17, 2025.</w:t>
            </w:r>
          </w:p>
        </w:tc>
      </w:tr>
      <w:tr>
        <w:trPr>
          <w:trHeight w:val="188"/>
        </w:trPr>
        <w:tc>
          <w:tcPr>
            <w:tcW w:w="380" w:type="dxa"/>
            <w:vAlign w:val="bottom"/>
            <w:gridSpan w:val="3"/>
          </w:tcPr>
          <w:p>
            <w:pPr>
              <w:ind w:left="20"/>
              <w:spacing w:after="0" w:line="181" w:lineRule="exact"/>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Transition and Separation Agreement, dated February 25, 2025, by and between National Vision, Inc. and Melissa</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Rasmussen.</w:t>
            </w:r>
          </w:p>
        </w:tc>
      </w:tr>
      <w:tr>
        <w:trPr>
          <w:trHeight w:val="194"/>
        </w:trPr>
        <w:tc>
          <w:tcPr>
            <w:tcW w:w="20" w:type="dxa"/>
            <w:vAlign w:val="bottom"/>
          </w:tcPr>
          <w:p>
            <w:pPr>
              <w:spacing w:after="0"/>
              <w:rPr>
                <w:sz w:val="16"/>
                <w:szCs w:val="16"/>
                <w:color w:val="auto"/>
              </w:rPr>
            </w:pPr>
          </w:p>
        </w:tc>
        <w:tc>
          <w:tcPr>
            <w:tcW w:w="36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95" w:lineRule="exact"/>
              <w:rPr>
                <w:sz w:val="20"/>
                <w:szCs w:val="20"/>
                <w:color w:val="auto"/>
              </w:rPr>
            </w:pPr>
            <w:r>
              <w:rPr>
                <w:rFonts w:ascii="Arial" w:cs="Arial" w:eastAsia="Arial" w:hAnsi="Arial"/>
                <w:sz w:val="18"/>
                <w:szCs w:val="18"/>
                <w:color w:val="auto"/>
              </w:rPr>
              <w:t>Form of Performance Stock Unit Agreement under the 2017 Omnibus Incentive Plan, as adopted March 5, 2025.</w:t>
            </w:r>
          </w:p>
        </w:tc>
      </w:tr>
      <w:tr>
        <w:trPr>
          <w:trHeight w:val="203"/>
        </w:trPr>
        <w:tc>
          <w:tcPr>
            <w:tcW w:w="380" w:type="dxa"/>
            <w:vAlign w:val="bottom"/>
            <w:gridSpan w:val="3"/>
          </w:tcPr>
          <w:p>
            <w:pPr>
              <w:ind w:left="20"/>
              <w:spacing w:after="0" w:line="196" w:lineRule="exact"/>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3"/>
          </w:tcPr>
          <w:p>
            <w:pPr>
              <w:spacing w:after="0" w:line="196" w:lineRule="exact"/>
              <w:rPr>
                <w:sz w:val="20"/>
                <w:szCs w:val="20"/>
                <w:color w:val="auto"/>
              </w:rPr>
            </w:pPr>
            <w:r>
              <w:rPr>
                <w:rFonts w:ascii="Arial" w:cs="Arial" w:eastAsia="Arial" w:hAnsi="Arial"/>
                <w:sz w:val="18"/>
                <w:szCs w:val="18"/>
                <w:color w:val="auto"/>
              </w:rPr>
              <w:t>Certification of Periodic Report by Chief Executive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380" w:type="dxa"/>
            <w:vAlign w:val="bottom"/>
            <w:gridSpan w:val="3"/>
          </w:tcPr>
          <w:p>
            <w:pPr>
              <w:ind w:left="20"/>
              <w:spacing w:after="0" w:line="181" w:lineRule="exact"/>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Periodic Report by Chief Financial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380" w:type="dxa"/>
            <w:vAlign w:val="bottom"/>
            <w:gridSpan w:val="3"/>
          </w:tcPr>
          <w:p>
            <w:pPr>
              <w:ind w:left="20"/>
              <w:spacing w:after="0" w:line="181" w:lineRule="exact"/>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8"/>
        </w:trPr>
        <w:tc>
          <w:tcPr>
            <w:tcW w:w="380" w:type="dxa"/>
            <w:vAlign w:val="bottom"/>
            <w:gridSpan w:val="3"/>
          </w:tcPr>
          <w:p>
            <w:pPr>
              <w:ind w:left="20"/>
              <w:spacing w:after="0" w:line="181" w:lineRule="exact"/>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1"/>
        </w:trPr>
        <w:tc>
          <w:tcPr>
            <w:tcW w:w="20" w:type="dxa"/>
            <w:vAlign w:val="bottom"/>
          </w:tcPr>
          <w:p>
            <w:pPr>
              <w:spacing w:after="0"/>
              <w:rPr>
                <w:sz w:val="15"/>
                <w:szCs w:val="15"/>
                <w:color w:val="auto"/>
              </w:rPr>
            </w:pPr>
          </w:p>
        </w:tc>
        <w:tc>
          <w:tcPr>
            <w:tcW w:w="1400" w:type="dxa"/>
            <w:vAlign w:val="bottom"/>
            <w:gridSpan w:val="5"/>
          </w:tcPr>
          <w:p>
            <w:pPr>
              <w:spacing w:after="0" w:line="181" w:lineRule="exact"/>
              <w:rPr>
                <w:sz w:val="20"/>
                <w:szCs w:val="20"/>
                <w:color w:val="auto"/>
              </w:rPr>
            </w:pPr>
            <w:r>
              <w:rPr>
                <w:rFonts w:ascii="Arial" w:cs="Arial" w:eastAsia="Arial" w:hAnsi="Arial"/>
                <w:sz w:val="18"/>
                <w:szCs w:val="18"/>
                <w:color w:val="auto"/>
              </w:rPr>
              <w:t>101.INS</w:t>
            </w: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tags are embedded within Inline XBRL document.</w:t>
            </w:r>
          </w:p>
        </w:tc>
      </w:tr>
      <w:tr>
        <w:trPr>
          <w:trHeight w:val="230"/>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9"/>
        </w:trPr>
        <w:tc>
          <w:tcPr>
            <w:tcW w:w="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420" w:right="20" w:hanging="1394"/>
        <w:spacing w:after="0" w:line="234"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March 29, 2025,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May 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L. Reade Fahs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35"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May 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121" w:right="459" w:bottom="1440" w:gutter="0" w:footer="0" w:header="0"/>
        </w:sectPr>
      </w:pPr>
    </w:p>
    <w:bookmarkStart w:id="35" w:name="page36"/>
    <w:bookmarkEnd w:id="35"/>
    <w:p>
      <w:pPr>
        <w:ind w:left="1008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Transition and Separation Agreement</w:t>
      </w:r>
    </w:p>
    <w:p>
      <w:pPr>
        <w:spacing w:after="0" w:line="2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2"/>
          <w:szCs w:val="22"/>
          <w:color w:val="auto"/>
        </w:rPr>
        <w:t>This Transition and Separation Agreement (the “Agreement”) confirms the following understandings and agreements between National Vision, Inc., along with its parent, subsidiaries, affiliates, predecessors, successors, or assigns (the “Company”) and Melissa Rasmussen (“Rasmussen”) concerning her transition and separation from employment with the Company. This Agreement constitutes the entire understanding regarding the terms of Rasmussen’s transition and separation. The Company and Rasmussen may be referred to collectively herein as the “Parties.”</w:t>
      </w:r>
    </w:p>
    <w:p>
      <w:pPr>
        <w:spacing w:after="0" w:line="161" w:lineRule="exact"/>
        <w:rPr>
          <w:sz w:val="20"/>
          <w:szCs w:val="20"/>
          <w:color w:val="auto"/>
        </w:rPr>
      </w:pPr>
    </w:p>
    <w:p>
      <w:pPr>
        <w:jc w:val="both"/>
        <w:ind w:left="340" w:hanging="332"/>
        <w:spacing w:after="0" w:line="295" w:lineRule="auto"/>
        <w:tabs>
          <w:tab w:leader="none" w:pos="333"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Rasmussen’s employment with the Company will continue through the close of business on March 3,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such other date as the Parties mutually agree (the “Separation Date”). Effective as of the Separation Date, Rasmussen’s employment with the Company will terminate, and no period of time thereafter shall be counted as service for any purpose, including but not limited to eligibility for or accrual of paid leave, bonus, or other benefits of employment contingent upon active employment.</w:t>
      </w:r>
    </w:p>
    <w:p>
      <w:pPr>
        <w:spacing w:after="0" w:line="159" w:lineRule="exact"/>
        <w:rPr>
          <w:rFonts w:ascii="Times New Roman" w:cs="Times New Roman" w:eastAsia="Times New Roman" w:hAnsi="Times New Roman"/>
          <w:sz w:val="22"/>
          <w:szCs w:val="22"/>
          <w:b w:val="1"/>
          <w:bCs w:val="1"/>
          <w:color w:val="auto"/>
        </w:rPr>
      </w:pPr>
    </w:p>
    <w:p>
      <w:pPr>
        <w:jc w:val="both"/>
        <w:ind w:left="340" w:hanging="332"/>
        <w:spacing w:after="0" w:line="287" w:lineRule="auto"/>
        <w:tabs>
          <w:tab w:leader="none" w:pos="333"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Transition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date of this Agreement until the Separation Date (the “Transition Period”), Rasmussen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continue to serve in her current role as Chief Financial Officer of the Company and to faithfully carry out the duties of such role, including but not limited to, participating in the Company’s fourth quarter and year-end 2024 earnings call and any follow-up calls, as needed, and assisting with the preparation and filing of the Company’s annual report on Form 10-K for the 2024 fiscal year, including signing such report. Notwithstanding the foregoing, in order to provide for an orderly transition of Rasmussen’s duties and responsibilities, the Company may, in its discretion, transition some or all of Rasmussen’s duties and responsibilities to other persons during the Transition Period and/or appoint a new Chief Financial Officer. Rasmussen agrees to actively transfer such duties and responsibilities to such persons as the Board of Directors or Chief Executive Officer of the Company may designate, including Rasmussen’s successor, and to provide such assistance in accordance therewith as may be requested by the Board of Directors or Chief Executive Officer. At all times during the Transition Period, Rasmussen will remain an employee of the Company, will continue to receive her base salary as in effect on the date hereof, and will continue to be eligible to participate in the Company’s employee benefit plans in which she is currently enrolled (pursuant to the terms and conditions of such benefit plans).</w:t>
      </w:r>
    </w:p>
    <w:p>
      <w:pPr>
        <w:spacing w:after="0" w:line="200" w:lineRule="exact"/>
        <w:rPr>
          <w:rFonts w:ascii="Times New Roman" w:cs="Times New Roman" w:eastAsia="Times New Roman" w:hAnsi="Times New Roman"/>
          <w:sz w:val="22"/>
          <w:szCs w:val="22"/>
          <w:b w:val="1"/>
          <w:bCs w:val="1"/>
          <w:color w:val="auto"/>
        </w:rPr>
      </w:pPr>
    </w:p>
    <w:p>
      <w:pPr>
        <w:spacing w:after="0" w:line="268" w:lineRule="exact"/>
        <w:rPr>
          <w:rFonts w:ascii="Times New Roman" w:cs="Times New Roman" w:eastAsia="Times New Roman" w:hAnsi="Times New Roman"/>
          <w:sz w:val="22"/>
          <w:szCs w:val="22"/>
          <w:b w:val="1"/>
          <w:bCs w:val="1"/>
          <w:color w:val="auto"/>
        </w:rPr>
      </w:pPr>
    </w:p>
    <w:p>
      <w:pPr>
        <w:ind w:left="340" w:hanging="332"/>
        <w:spacing w:after="0" w:line="324" w:lineRule="auto"/>
        <w:tabs>
          <w:tab w:leader="none" w:pos="333"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the end of the Transition Period, Rasmussen’s employment will be terminated as a Covered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pursuant to the Company’s Executive Severance</w:t>
      </w:r>
    </w:p>
    <w:p>
      <w:pPr>
        <w:sectPr>
          <w:pgSz w:w="11900" w:h="16838" w:orient="portrait"/>
          <w:cols w:equalWidth="0" w:num="1">
            <w:col w:w="11240"/>
          </w:cols>
          <w:pgMar w:left="320" w:top="112" w:right="339" w:bottom="1440" w:gutter="0" w:footer="0" w:header="0"/>
        </w:sectPr>
      </w:pPr>
    </w:p>
    <w:bookmarkStart w:id="36" w:name="page37"/>
    <w:bookmarkEnd w:id="36"/>
    <w:p>
      <w:pPr>
        <w:spacing w:after="0" w:line="2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2"/>
          <w:szCs w:val="22"/>
          <w:color w:val="auto"/>
        </w:rPr>
        <w:t>Plan (the “Severance Plan”), as such term is defined therein. Following such termination, in consideration of all Rasmussen’s promises and obligations under this Agreement, and provided that (i) she signs the General Release and Waiver of Claims attached hereto as Exhibit A (the “Release”), (ii) the seven (7) day revocation period provided therein has expired, and (iii) she continues to comply with the Confidentiality, Non-Interference, and Invention Assignment Agreement, the Company will provide Rasmussen the following Severance Benefits in accordance with the Severance Plan, subject to the terms and conditions thereof.</w:t>
      </w:r>
    </w:p>
    <w:p>
      <w:pPr>
        <w:spacing w:after="0" w:line="161" w:lineRule="exact"/>
        <w:rPr>
          <w:sz w:val="20"/>
          <w:szCs w:val="20"/>
          <w:color w:val="auto"/>
        </w:rPr>
      </w:pPr>
    </w:p>
    <w:p>
      <w:pPr>
        <w:jc w:val="both"/>
        <w:ind w:left="640" w:hanging="324"/>
        <w:spacing w:after="0" w:line="289" w:lineRule="auto"/>
        <w:tabs>
          <w:tab w:leader="none" w:pos="63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Pro-Rata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pay Rasmussen a one-time lump sum payment equal to the bonus she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received under the Annual Bonus Program for 2025, based on actual performance for 2025, had she remained in her position as Chief Financial Officer, pro-rated for two (2) months and three (3) days of service up to and including March 3, 2025. The Pro-Rata Bonus payment will be paid to Rasmussen concurrently with the cash bonus payments to other similarly-situated employees under the Annual Bonus Program (but in all events prior to March 15, 2026 and in all cases in the 2026 calendar year). This payment is subject to all required withholdings and deductions, in accordance with normal payroll practices, and will be reflected on an IRS Form W-2, issued by National Vision, Inc. to Rasmussen for the applicable tax year.</w:t>
      </w:r>
    </w:p>
    <w:p>
      <w:pPr>
        <w:spacing w:after="0" w:line="168" w:lineRule="exact"/>
        <w:rPr>
          <w:rFonts w:ascii="Times New Roman" w:cs="Times New Roman" w:eastAsia="Times New Roman" w:hAnsi="Times New Roman"/>
          <w:sz w:val="22"/>
          <w:szCs w:val="22"/>
          <w:color w:val="auto"/>
        </w:rPr>
      </w:pPr>
    </w:p>
    <w:p>
      <w:pPr>
        <w:jc w:val="both"/>
        <w:ind w:left="640" w:hanging="324"/>
        <w:spacing w:after="0" w:line="292" w:lineRule="auto"/>
        <w:tabs>
          <w:tab w:leader="none" w:pos="63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Cash Severance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pay Rasmussen a one-time payment equal to 1.5 times the sum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 current (i) Base Salary and (ii) Target Bonus for 2025. This payment will be paid to Rasmussen, subject to all required withholdings and deductions and in accordance with normal payroll practices, over an eighteen (18) month period commencing the first regularly scheduled payroll date following the expiration of the revocation period set forth in Paragraph 4 of the Release. This payment will be reflected on an IRS Form W-2, issued by National Vision, Inc. to Rasmussen for the applicable tax year(s).</w:t>
      </w:r>
    </w:p>
    <w:p>
      <w:pPr>
        <w:spacing w:after="0" w:line="164" w:lineRule="exact"/>
        <w:rPr>
          <w:rFonts w:ascii="Times New Roman" w:cs="Times New Roman" w:eastAsia="Times New Roman" w:hAnsi="Times New Roman"/>
          <w:sz w:val="22"/>
          <w:szCs w:val="22"/>
          <w:color w:val="auto"/>
        </w:rPr>
      </w:pPr>
    </w:p>
    <w:p>
      <w:pPr>
        <w:jc w:val="both"/>
        <w:ind w:left="640" w:hanging="324"/>
        <w:spacing w:after="0" w:line="292" w:lineRule="auto"/>
        <w:tabs>
          <w:tab w:leader="none" w:pos="63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Welfare Continuation.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Rasmussen take all steps necessary to enroll in COBRA continuation coverage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medical or dental insurance in which she is enrolled as of the Separation Date, the Company will pay the COBRA premium for such continued coverage each month for eighteen (18) consecutive months beginning the month following the Separation Date. Such payments will be made by the Company directly to the COBRA administrator on Rasmussen’s behalf. Rasmussen will receive the COBRA enrollment forms and information at her home address on file with the Company following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0"/>
          </w:cols>
          <w:pgMar w:left="660" w:top="1440" w:right="339" w:bottom="1440" w:gutter="0" w:footer="0" w:header="0"/>
        </w:sectPr>
      </w:pPr>
    </w:p>
    <w:bookmarkStart w:id="37" w:name="page38"/>
    <w:bookmarkEnd w:id="37"/>
    <w:p>
      <w:pPr>
        <w:spacing w:after="0" w:line="238" w:lineRule="exact"/>
        <w:rPr>
          <w:sz w:val="20"/>
          <w:szCs w:val="20"/>
          <w:color w:val="auto"/>
        </w:rPr>
      </w:pPr>
    </w:p>
    <w:p>
      <w:pPr>
        <w:jc w:val="both"/>
        <w:ind w:left="340" w:hanging="332"/>
        <w:spacing w:after="0" w:line="300" w:lineRule="auto"/>
        <w:tabs>
          <w:tab w:leader="none" w:pos="333"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the Severance Benefits described in Section 2, Rasmussen’s termination will constitute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Qualifying Termination for purposes of the Company’s 2017 Omnibus Incentive Plan, as amended and restated (the “Omnibus Plan”), and Ms. Rasmussen’s outstanding awards under the Omnibus Plan shall be governed accordingly by the terms and conditions of the Omnibus Plan and the award agreements relating to such outstanding awards.</w:t>
      </w:r>
    </w:p>
    <w:p>
      <w:pPr>
        <w:spacing w:after="0" w:line="152" w:lineRule="exact"/>
        <w:rPr>
          <w:rFonts w:ascii="Times New Roman" w:cs="Times New Roman" w:eastAsia="Times New Roman" w:hAnsi="Times New Roman"/>
          <w:sz w:val="22"/>
          <w:szCs w:val="22"/>
          <w:b w:val="1"/>
          <w:bCs w:val="1"/>
          <w:color w:val="auto"/>
        </w:rPr>
      </w:pPr>
    </w:p>
    <w:p>
      <w:pPr>
        <w:jc w:val="both"/>
        <w:ind w:left="340" w:hanging="332"/>
        <w:spacing w:after="0" w:line="287" w:lineRule="auto"/>
        <w:tabs>
          <w:tab w:leader="none" w:pos="333"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Indemnity and Forfeiture</w:t>
      </w:r>
      <w:r>
        <w:rPr>
          <w:rFonts w:ascii="Times New Roman" w:cs="Times New Roman" w:eastAsia="Times New Roman" w:hAnsi="Times New Roman"/>
          <w:sz w:val="22"/>
          <w:szCs w:val="22"/>
          <w:color w:val="auto"/>
        </w:rPr>
        <w:t>. Rasmussen agrees that she will indemnify and hold the Company harmless from any loss,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cost, damage, or expense (including attorneys' fees) incurred arising out of Rasmussen’s breach of any portion of this Agreement, including the Release. Rasmussen also understands that her entitlement to and retention of the Severance Benefits the Company has agreed to provide are expressly conditioned upon Rasmussen’s fulfillment of her promises in this Agreement, including the Release, and if she fails to fulfill those promises or otherwise breaches this Agreement, the Company may at its option immediately terminate her eligibility for any further Severance Benefits and initiate appropriate action to recover the benefits and monies previously paid to her. Rasmussen also understands that the Company shall be entitled to recover any actual damages caused by her actions in violation of this Agreement, and she agrees to reimburse the Company or any Releasee, as defined in the Release, for any costs, including attorneys’ fees, incurred by them as a result of Rasmussen’s breach. Rasmussen understands and agrees that for purposes of this paragraph on indemnity and forfeiture only, the filing of an Age Discrimination in Employment Act (ADEA) charge or lawsuit, challenging the validity of the Release shall not be considered a breach of this Agreement or otherwise constitute grounds for invoking the provisions of this paragraph on indemnity and forfeiture.</w:t>
      </w:r>
    </w:p>
    <w:p>
      <w:pPr>
        <w:spacing w:after="0" w:line="171" w:lineRule="exact"/>
        <w:rPr>
          <w:rFonts w:ascii="Times New Roman" w:cs="Times New Roman" w:eastAsia="Times New Roman" w:hAnsi="Times New Roman"/>
          <w:sz w:val="22"/>
          <w:szCs w:val="22"/>
          <w:b w:val="1"/>
          <w:bCs w:val="1"/>
          <w:color w:val="auto"/>
        </w:rPr>
      </w:pPr>
    </w:p>
    <w:p>
      <w:pPr>
        <w:jc w:val="both"/>
        <w:ind w:left="340" w:hanging="332"/>
        <w:spacing w:after="0" w:line="290" w:lineRule="auto"/>
        <w:tabs>
          <w:tab w:leader="none" w:pos="333"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Rasmussen agrees to be available following the Separation Date to respond to future inquiries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requests for assistance from the Company related to matters arising during her employment. In addition, Rasmussen agrees to make herself reasonably available following the Separation Date to cooperate with the Company in the investigation or defense of any legal matter or proceeding involving any issue or matter that arose during her employment with or service to the Company, provided that such cooperation does not materially interfere with her then-current professional activities or violate any court order or governmental requirements. The Company will reimburse Rasmussen for any reasonable travel and other out of pocket expenses incurred by Rasmussen in providing such cooperation and pre-approved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38" w:lineRule="exact"/>
        <w:rPr>
          <w:sz w:val="20"/>
          <w:szCs w:val="20"/>
          <w:color w:val="auto"/>
        </w:rPr>
      </w:pPr>
    </w:p>
    <w:p>
      <w:pPr>
        <w:jc w:val="both"/>
        <w:ind w:left="340" w:hanging="332"/>
        <w:spacing w:after="0" w:line="288" w:lineRule="auto"/>
        <w:tabs>
          <w:tab w:leader="none" w:pos="333"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Rasmussen agrees that she will make no disparaging or defamatory comments regarding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 of the Company or its current or former directors, officers, or employees in any respect or make any statement that disrupts or impairs the Company’s normal, ongoing business operations, or that harms the Company’s reputation with its employees, suppliers, or the public. The Company agrees to instruct its executive officers and directors not to make any disparaging or defamatory comments regarding Rasmussen in any respect, including but not limited to statements that cause reputational harm to Rasmussen. This nondisparagement provision does not apply (i) on occasions where Rasmussen or the Company is subpoenaed or ordered by a court or other governmental authority to testify or give evidence or to conduct otherwise protected by federal or state laws or regulations, or (ii) with respect to truthful statements made by Rasmussen or the Company in a legal proceeding between the Parties.</w:t>
      </w:r>
    </w:p>
    <w:p>
      <w:pPr>
        <w:spacing w:after="0" w:line="187" w:lineRule="exact"/>
        <w:rPr>
          <w:rFonts w:ascii="Times New Roman" w:cs="Times New Roman" w:eastAsia="Times New Roman" w:hAnsi="Times New Roman"/>
          <w:sz w:val="22"/>
          <w:szCs w:val="22"/>
          <w:b w:val="1"/>
          <w:bCs w:val="1"/>
          <w:color w:val="auto"/>
        </w:rPr>
      </w:pPr>
    </w:p>
    <w:p>
      <w:pPr>
        <w:jc w:val="both"/>
        <w:ind w:left="340"/>
        <w:spacing w:after="0" w:line="28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Agreement shall prohibit or impede Rasmussen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regulations, provided that in each case such communications and disclosures are consistent with applicable law. Rasmussen does not need prior authorization of (or to give notice to) the Company regarding any such communication or disclosure. Rasmussen hereby confirms that she understands and acknowledges that an individual shall not be held criminally liable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Rasmussen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will Rasmussen be authorized to disclose any information covered by attorney-client privilege or attorney work product of the Company, or the Company’s trade secrets, without prior written consent of the Company’s General Counsel or another officer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38" w:lineRule="exact"/>
        <w:rPr>
          <w:sz w:val="20"/>
          <w:szCs w:val="20"/>
          <w:color w:val="auto"/>
        </w:rPr>
      </w:pPr>
    </w:p>
    <w:p>
      <w:pPr>
        <w:ind w:left="340" w:right="20" w:hanging="332"/>
        <w:spacing w:after="0" w:line="324" w:lineRule="auto"/>
        <w:tabs>
          <w:tab w:leader="none" w:pos="333"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Non-Admission</w:t>
      </w:r>
      <w:r>
        <w:rPr>
          <w:rFonts w:ascii="Times New Roman" w:cs="Times New Roman" w:eastAsia="Times New Roman" w:hAnsi="Times New Roman"/>
          <w:sz w:val="22"/>
          <w:szCs w:val="22"/>
          <w:color w:val="auto"/>
        </w:rPr>
        <w:t>. This Agreement shall not in any way be construed as an admission or indication that Rasmussen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has engaged in any wrongful or unlawful conduct of any kind.</w:t>
      </w:r>
    </w:p>
    <w:p>
      <w:pPr>
        <w:spacing w:after="0" w:line="140" w:lineRule="exact"/>
        <w:rPr>
          <w:rFonts w:ascii="Times New Roman" w:cs="Times New Roman" w:eastAsia="Times New Roman" w:hAnsi="Times New Roman"/>
          <w:sz w:val="22"/>
          <w:szCs w:val="22"/>
          <w:b w:val="1"/>
          <w:bCs w:val="1"/>
          <w:color w:val="auto"/>
        </w:rPr>
      </w:pPr>
    </w:p>
    <w:p>
      <w:pPr>
        <w:jc w:val="both"/>
        <w:ind w:left="340" w:hanging="332"/>
        <w:spacing w:after="0" w:line="288" w:lineRule="auto"/>
        <w:tabs>
          <w:tab w:leader="none" w:pos="333"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Return of Company Property</w:t>
      </w:r>
      <w:r>
        <w:rPr>
          <w:rFonts w:ascii="Times New Roman" w:cs="Times New Roman" w:eastAsia="Times New Roman" w:hAnsi="Times New Roman"/>
          <w:sz w:val="22"/>
          <w:szCs w:val="22"/>
          <w:color w:val="auto"/>
        </w:rPr>
        <w:t>. Rasmussen agrees that on her Separation Date she will promptly return all Company-owned property that is in her possession or under her control, including, but not limited to all proprietary and/or confidential information and documents (including any copies thereof) in any form, computers and any other equipment or property belonging to the Company, credit cards, identification and access cards, data storage devices, and any user names, passwords and access codes. In addition, Rasmussen acknowledges she has and may continue to have legal obligations to retain and preserve certain information and documents as identified in legal holds issued to her in connection with her employment with the company.</w:t>
      </w:r>
    </w:p>
    <w:p>
      <w:pPr>
        <w:spacing w:after="0" w:line="183" w:lineRule="exact"/>
        <w:rPr>
          <w:rFonts w:ascii="Times New Roman" w:cs="Times New Roman" w:eastAsia="Times New Roman" w:hAnsi="Times New Roman"/>
          <w:sz w:val="22"/>
          <w:szCs w:val="22"/>
          <w:b w:val="1"/>
          <w:bCs w:val="1"/>
          <w:color w:val="auto"/>
        </w:rPr>
      </w:pPr>
    </w:p>
    <w:p>
      <w:pPr>
        <w:jc w:val="both"/>
        <w:ind w:left="340" w:hanging="332"/>
        <w:spacing w:after="0" w:line="291" w:lineRule="auto"/>
        <w:tabs>
          <w:tab w:leader="none" w:pos="337"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Responsibility</w:t>
      </w:r>
      <w:r>
        <w:rPr>
          <w:rFonts w:ascii="Times New Roman" w:cs="Times New Roman" w:eastAsia="Times New Roman" w:hAnsi="Times New Roman"/>
          <w:sz w:val="22"/>
          <w:szCs w:val="22"/>
          <w:color w:val="auto"/>
        </w:rPr>
        <w:t>. Rasmussen acknowledges that she is solely responsible for tax responsibilities and consequences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may result from her receipt of Severance Benefits and/or her exercise of her rights under this Agreement and agree that no representation has been made to her by the Company or any of the Releasees regarding the tax status of the above-described severance benefits and she is not relying in any way on the Company or any of the Releasees in this regard. Rasmussen further agrees that the Company shall not be required to pay any further sum to her, or to any other person or entity, if for any reason the tax liability and consequences to her are assessed in a fashion which she does not presently anticipate.</w:t>
      </w:r>
    </w:p>
    <w:p>
      <w:pPr>
        <w:spacing w:after="0" w:line="161" w:lineRule="exact"/>
        <w:rPr>
          <w:rFonts w:ascii="Times New Roman" w:cs="Times New Roman" w:eastAsia="Times New Roman" w:hAnsi="Times New Roman"/>
          <w:sz w:val="22"/>
          <w:szCs w:val="22"/>
          <w:b w:val="1"/>
          <w:bCs w:val="1"/>
          <w:color w:val="auto"/>
        </w:rPr>
      </w:pPr>
    </w:p>
    <w:p>
      <w:pPr>
        <w:jc w:val="both"/>
        <w:ind w:left="340" w:hanging="332"/>
        <w:spacing w:after="0" w:line="287" w:lineRule="auto"/>
        <w:tabs>
          <w:tab w:leader="none" w:pos="325"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Code Section 409A</w:t>
      </w:r>
      <w:r>
        <w:rPr>
          <w:rFonts w:ascii="Times New Roman" w:cs="Times New Roman" w:eastAsia="Times New Roman" w:hAnsi="Times New Roman"/>
          <w:sz w:val="22"/>
          <w:szCs w:val="22"/>
          <w:color w:val="auto"/>
        </w:rPr>
        <w:t>. The terms of this Agreement and the severance benefits payable under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construed and paid in such a manner as necessary to fall within the applicable exemptions of Section 409A of the Internal Revenue Service Code of 1986, as amended and as provided under Treasury Regulation Section 1.409A-1,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seq. </w:t>
      </w:r>
      <w:r>
        <w:rPr>
          <w:rFonts w:ascii="Times New Roman" w:cs="Times New Roman" w:eastAsia="Times New Roman" w:hAnsi="Times New Roman"/>
          <w:sz w:val="22"/>
          <w:szCs w:val="22"/>
          <w:color w:val="auto"/>
        </w:rPr>
        <w:t>To the extent any amounts payable under this Agreement become subject to Code Section 409A and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guidance issued thereunder, this Agreement shall be construed, and benefits paid hereunder, as necessary to comply with such Code Section and such guidance; provided, however, that in no event shall the Company or any of its parent companies, subsidiaries, or affiliates (or any of their predecessors or successors) be liable for any additional tax, interest, or penalty that may be imposed on Rasmussen pursuant to Section 409A. Further, notwithstanding anything in this Agreement to the contrary, if, at the time of Rasmussen’s termination of employment with the Company, she is a “specified employee” as defined in Section 409A, and one or more of the payments or benefits received or to be received by her pursuant to this Agreement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42" w:lineRule="exact"/>
        <w:rPr>
          <w:sz w:val="20"/>
          <w:szCs w:val="20"/>
          <w:color w:val="auto"/>
        </w:rPr>
      </w:pPr>
    </w:p>
    <w:p>
      <w:pPr>
        <w:jc w:val="both"/>
        <w:ind w:left="340"/>
        <w:spacing w:after="0" w:line="294" w:lineRule="auto"/>
        <w:rPr>
          <w:sz w:val="20"/>
          <w:szCs w:val="20"/>
          <w:color w:val="auto"/>
        </w:rPr>
      </w:pPr>
      <w:r>
        <w:rPr>
          <w:rFonts w:ascii="Times New Roman" w:cs="Times New Roman" w:eastAsia="Times New Roman" w:hAnsi="Times New Roman"/>
          <w:sz w:val="22"/>
          <w:szCs w:val="22"/>
          <w:color w:val="auto"/>
        </w:rPr>
        <w:t>constitute deferred compensation subject to Section 409A, then to the extent required in order to comply with Section 409A, amounts that would otherwise be payable and benefits that would otherwise be provided during the six (6) month period immediately following the termination of her employment with the Company shall instead be paid on the first business day after the date that is six (6) months following the Separation Date (or upon death, if earlier). For purposes of Section 409A, each installment payment provided under this Agreement shall be treated as a separate payment.</w:t>
      </w:r>
    </w:p>
    <w:p>
      <w:pPr>
        <w:spacing w:after="0" w:line="161" w:lineRule="exact"/>
        <w:rPr>
          <w:sz w:val="20"/>
          <w:szCs w:val="20"/>
          <w:color w:val="auto"/>
        </w:rPr>
      </w:pPr>
    </w:p>
    <w:p>
      <w:pPr>
        <w:jc w:val="both"/>
        <w:ind w:left="340" w:hanging="332"/>
        <w:spacing w:after="0" w:line="292" w:lineRule="auto"/>
        <w:tabs>
          <w:tab w:leader="none" w:pos="337"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sets forth the entire agreement between the parties and, except as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paragraph, fully supersedes any and all prior agreements and understandings between the parties pertaining to the subject matter of this Agreement; provided however that any stock option or shareholder agreement and/or plan and the Confidentiality, Non-Interference, and Invention Assignment Agreement shall continue to apply to Rasmussen in accordance to their terms and she agrees that she will continue to be bound by them as well as any confidentiality agreement she has previously entered into with the Company.</w:t>
      </w:r>
    </w:p>
    <w:p>
      <w:pPr>
        <w:spacing w:after="0" w:line="164" w:lineRule="exact"/>
        <w:rPr>
          <w:rFonts w:ascii="Times New Roman" w:cs="Times New Roman" w:eastAsia="Times New Roman" w:hAnsi="Times New Roman"/>
          <w:sz w:val="22"/>
          <w:szCs w:val="22"/>
          <w:b w:val="1"/>
          <w:bCs w:val="1"/>
          <w:color w:val="auto"/>
        </w:rPr>
      </w:pPr>
    </w:p>
    <w:p>
      <w:pPr>
        <w:jc w:val="both"/>
        <w:ind w:left="340" w:hanging="332"/>
        <w:spacing w:after="0" w:line="296" w:lineRule="auto"/>
        <w:tabs>
          <w:tab w:leader="none" w:pos="337"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Construction and Severability</w:t>
      </w:r>
      <w:r>
        <w:rPr>
          <w:rFonts w:ascii="Times New Roman" w:cs="Times New Roman" w:eastAsia="Times New Roman" w:hAnsi="Times New Roman"/>
          <w:sz w:val="22"/>
          <w:szCs w:val="22"/>
          <w:color w:val="auto"/>
        </w:rPr>
        <w:t>. This Agreement is made and entered into in the State of Georgia and shall in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respects be interpreted, enforced, and governed under the laws of Georgia. The Agreement shall be construed as a whole, according to its fair meaning, and not strictly for or against any of the parties. The provisions of this Agreement are severable, and the invalidity of any provision does not affect the validity of other provisions.</w:t>
      </w:r>
    </w:p>
    <w:p>
      <w:pPr>
        <w:spacing w:after="0" w:line="169" w:lineRule="exact"/>
        <w:rPr>
          <w:rFonts w:ascii="Times New Roman" w:cs="Times New Roman" w:eastAsia="Times New Roman" w:hAnsi="Times New Roman"/>
          <w:sz w:val="22"/>
          <w:szCs w:val="22"/>
          <w:b w:val="1"/>
          <w:bCs w:val="1"/>
          <w:color w:val="auto"/>
        </w:rPr>
      </w:pPr>
    </w:p>
    <w:p>
      <w:pPr>
        <w:jc w:val="both"/>
        <w:ind w:left="340" w:hanging="332"/>
        <w:spacing w:after="0" w:line="290" w:lineRule="auto"/>
        <w:tabs>
          <w:tab w:leader="none" w:pos="337"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Acknowledgments</w:t>
      </w:r>
      <w:r>
        <w:rPr>
          <w:rFonts w:ascii="Times New Roman" w:cs="Times New Roman" w:eastAsia="Times New Roman" w:hAnsi="Times New Roman"/>
          <w:sz w:val="22"/>
          <w:szCs w:val="22"/>
          <w:color w:val="auto"/>
        </w:rPr>
        <w:t>. Rasmussen’s signature will be an acknowledgment that no other promise or agreement of any kind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been made to her by the Company to cause her to execute this Agreement, that she had a reasonable period of at least twenty-one (21) days to review the Agreement, including the Release, and to consult with an attorney, tax professional, or other person of her choosing about its terms before signing it, that the only consideration for her signature is as indicated above, that she fully understands and accepts this Agreement, that she is not coerced into signing it, and that she signs it knowingly and voluntarily because it is satisfactory to her.</w:t>
      </w:r>
    </w:p>
    <w:p>
      <w:pPr>
        <w:spacing w:after="0" w:line="163" w:lineRule="exact"/>
        <w:rPr>
          <w:rFonts w:ascii="Times New Roman" w:cs="Times New Roman" w:eastAsia="Times New Roman" w:hAnsi="Times New Roman"/>
          <w:sz w:val="22"/>
          <w:szCs w:val="22"/>
          <w:b w:val="1"/>
          <w:bCs w:val="1"/>
          <w:color w:val="auto"/>
        </w:rPr>
      </w:pPr>
    </w:p>
    <w:p>
      <w:pPr>
        <w:ind w:left="340" w:hanging="332"/>
        <w:spacing w:after="0" w:line="337" w:lineRule="auto"/>
        <w:tabs>
          <w:tab w:leader="none" w:pos="337"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multiple original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all of which together shall constitute but one and the same document.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duly execute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Melissa Rasmussen</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22"/>
                <w:szCs w:val="22"/>
                <w:color w:val="auto"/>
                <w:w w:val="99"/>
              </w:rPr>
              <w:t>02/25/2025</w:t>
            </w:r>
          </w:p>
        </w:tc>
        <w:tc>
          <w:tcPr>
            <w:tcW w:w="420" w:type="dxa"/>
            <w:vAlign w:val="bottom"/>
            <w:tcBorders>
              <w:bottom w:val="single" w:sz="8" w:color="auto"/>
            </w:tcBorders>
          </w:tcPr>
          <w:p>
            <w:pPr>
              <w:spacing w:after="0"/>
              <w:rPr>
                <w:sz w:val="22"/>
                <w:szCs w:val="22"/>
                <w:color w:val="auto"/>
              </w:rPr>
            </w:pPr>
          </w:p>
        </w:tc>
      </w:tr>
      <w:tr>
        <w:trPr>
          <w:trHeight w:val="305"/>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Melissa Rasmussen</w:t>
            </w:r>
          </w:p>
        </w:tc>
        <w:tc>
          <w:tcPr>
            <w:tcW w:w="212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Date</w:t>
            </w:r>
          </w:p>
        </w:tc>
      </w:tr>
      <w:tr>
        <w:trPr>
          <w:trHeight w:val="999"/>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NATIONAL VISION, INC.</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02"/>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Bill Clark</w:t>
            </w:r>
          </w:p>
        </w:tc>
        <w:tc>
          <w:tcPr>
            <w:tcW w:w="680" w:type="dxa"/>
            <w:vAlign w:val="bottom"/>
            <w:gridSpan w:val="2"/>
          </w:tcPr>
          <w:p>
            <w:pPr>
              <w:spacing w:after="0"/>
              <w:rPr>
                <w:sz w:val="24"/>
                <w:szCs w:val="24"/>
                <w:color w:val="auto"/>
              </w:rPr>
            </w:pPr>
          </w:p>
        </w:tc>
        <w:tc>
          <w:tcPr>
            <w:tcW w:w="170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22"/>
                <w:szCs w:val="22"/>
                <w:color w:val="auto"/>
                <w:w w:val="99"/>
              </w:rPr>
              <w:t>02/25/2025</w:t>
            </w:r>
          </w:p>
        </w:tc>
        <w:tc>
          <w:tcPr>
            <w:tcW w:w="420" w:type="dxa"/>
            <w:vAlign w:val="bottom"/>
          </w:tcPr>
          <w:p>
            <w:pPr>
              <w:spacing w:after="0"/>
              <w:rPr>
                <w:sz w:val="24"/>
                <w:szCs w:val="24"/>
                <w:color w:val="auto"/>
              </w:rPr>
            </w:pPr>
          </w:p>
        </w:tc>
      </w:tr>
      <w:tr>
        <w:trPr>
          <w:trHeight w:val="280"/>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Bill Clark</w:t>
            </w:r>
          </w:p>
        </w:tc>
        <w:tc>
          <w:tcPr>
            <w:tcW w:w="21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Date</w:t>
            </w:r>
          </w:p>
        </w:tc>
      </w:tr>
      <w:tr>
        <w:trPr>
          <w:trHeight w:val="294"/>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Its: Chief People Officer</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39"/>
          </w:cols>
          <w:pgMar w:left="320" w:top="1440" w:right="1440" w:bottom="1440" w:gutter="0" w:footer="0" w:header="0"/>
        </w:sectPr>
      </w:pPr>
    </w:p>
    <w:bookmarkStart w:id="42" w:name="page43"/>
    <w:bookmarkEnd w:id="42"/>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and Waiver of Claims</w:t>
      </w:r>
    </w:p>
    <w:p>
      <w:pPr>
        <w:spacing w:after="0" w:line="249" w:lineRule="exact"/>
        <w:rPr>
          <w:sz w:val="20"/>
          <w:szCs w:val="20"/>
          <w:color w:val="auto"/>
        </w:rPr>
      </w:pPr>
    </w:p>
    <w:p>
      <w:pPr>
        <w:jc w:val="both"/>
        <w:ind w:right="20" w:firstLine="648"/>
        <w:spacing w:after="0" w:line="321" w:lineRule="auto"/>
        <w:rPr>
          <w:sz w:val="20"/>
          <w:szCs w:val="20"/>
          <w:color w:val="auto"/>
        </w:rPr>
      </w:pPr>
      <w:r>
        <w:rPr>
          <w:rFonts w:ascii="Times New Roman" w:cs="Times New Roman" w:eastAsia="Times New Roman" w:hAnsi="Times New Roman"/>
          <w:sz w:val="22"/>
          <w:szCs w:val="22"/>
          <w:color w:val="auto"/>
        </w:rPr>
        <w:t>This General Release and Waiver of Claims (this “Release”) is entered into effective as of the Separation Date (March 3, 2025) by Melissa Rasmussen (“Rasmussen”) and National Vision, Inc. (the “Company”).</w:t>
      </w:r>
    </w:p>
    <w:p>
      <w:pPr>
        <w:spacing w:after="0" w:line="10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2"/>
          <w:szCs w:val="22"/>
          <w:color w:val="auto"/>
        </w:rPr>
        <w:t>WHEREAS, Rasmussen and the Company are party to that certain TRANSITION AND SEPARATION AGREEMENT (the “Agreement”) dated February 25, 2025 concerning the terms of Rasmussen’s transition from the role of Chief Financial Officer and separation from employment with the Company;</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Rasmussen agrees that her employment with the Company has now ended; and</w:t>
      </w:r>
    </w:p>
    <w:p>
      <w:pPr>
        <w:spacing w:after="0" w:line="220" w:lineRule="exact"/>
        <w:rPr>
          <w:sz w:val="20"/>
          <w:szCs w:val="20"/>
          <w:color w:val="auto"/>
        </w:rPr>
      </w:pPr>
    </w:p>
    <w:p>
      <w:pPr>
        <w:jc w:val="both"/>
        <w:ind w:firstLine="358"/>
        <w:spacing w:after="0" w:line="321" w:lineRule="auto"/>
        <w:rPr>
          <w:sz w:val="20"/>
          <w:szCs w:val="20"/>
          <w:color w:val="auto"/>
        </w:rPr>
      </w:pPr>
      <w:r>
        <w:rPr>
          <w:rFonts w:ascii="Times New Roman" w:cs="Times New Roman" w:eastAsia="Times New Roman" w:hAnsi="Times New Roman"/>
          <w:sz w:val="22"/>
          <w:szCs w:val="22"/>
          <w:color w:val="auto"/>
        </w:rPr>
        <w:t>WHEREAS, Rasmussen has fully complied with the terms of the Agreement as of the Separation Date, which is a condition precedent to this Release and any consideration payable herein; and</w:t>
      </w:r>
    </w:p>
    <w:p>
      <w:pPr>
        <w:spacing w:after="0" w:line="106" w:lineRule="exact"/>
        <w:rPr>
          <w:sz w:val="20"/>
          <w:szCs w:val="20"/>
          <w:color w:val="auto"/>
        </w:rPr>
      </w:pPr>
    </w:p>
    <w:p>
      <w:pPr>
        <w:jc w:val="both"/>
        <w:ind w:firstLine="230"/>
        <w:spacing w:after="0" w:line="301" w:lineRule="auto"/>
        <w:rPr>
          <w:sz w:val="20"/>
          <w:szCs w:val="20"/>
          <w:color w:val="auto"/>
        </w:rPr>
      </w:pPr>
      <w:r>
        <w:rPr>
          <w:rFonts w:ascii="Times New Roman" w:cs="Times New Roman" w:eastAsia="Times New Roman" w:hAnsi="Times New Roman"/>
          <w:sz w:val="22"/>
          <w:szCs w:val="22"/>
          <w:color w:val="auto"/>
        </w:rPr>
        <w:t>NOW THEREFORE, in satisfaction of the conditions precedent set forth above, and in consideration of the foregoing and other good and valuable consideration, the receipt and sufficiency of which hereby is acknowledged, Rasmussen and Company hereby agree as follows:</w:t>
      </w:r>
    </w:p>
    <w:p>
      <w:pPr>
        <w:spacing w:after="0" w:line="124" w:lineRule="exact"/>
        <w:rPr>
          <w:sz w:val="20"/>
          <w:szCs w:val="20"/>
          <w:color w:val="auto"/>
        </w:rPr>
      </w:pPr>
    </w:p>
    <w:p>
      <w:pPr>
        <w:jc w:val="both"/>
        <w:ind w:left="340" w:hanging="332"/>
        <w:spacing w:after="0" w:line="303" w:lineRule="auto"/>
        <w:tabs>
          <w:tab w:leader="none" w:pos="3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provide to Rasmussen the Severance Benefits as described in paragraph 2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provided that this Release has been executed and the revocation period provided herein has expired without Rasmussen revoking her acceptance.</w:t>
      </w:r>
    </w:p>
    <w:p>
      <w:pPr>
        <w:spacing w:after="0" w:line="179" w:lineRule="exact"/>
        <w:rPr>
          <w:rFonts w:ascii="Times New Roman" w:cs="Times New Roman" w:eastAsia="Times New Roman" w:hAnsi="Times New Roman"/>
          <w:sz w:val="22"/>
          <w:szCs w:val="22"/>
          <w:color w:val="auto"/>
        </w:rPr>
      </w:pPr>
    </w:p>
    <w:p>
      <w:pPr>
        <w:jc w:val="both"/>
        <w:ind w:left="340"/>
        <w:spacing w:after="0" w:line="29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payments set forth in the Agreement, Rasmussen agree that the Company owes her no additional amounts for wages, back pay, severance pay, bonuses, damages, accrued vacation, benefits, insurance, sick leave, other leave, or otherwise. Rasmussen hereby agrees that she has been paid all outstanding wages through and including the date of her most recent paycheck. On or before March 15, 2025, the Company will pay Rasmussen for any outstanding wages relating to services between the date covered by her most recent paycheck and the Separation Date, subject to all applicable withholdings.</w:t>
      </w:r>
    </w:p>
    <w:p>
      <w:pPr>
        <w:spacing w:after="0" w:line="187" w:lineRule="exact"/>
        <w:rPr>
          <w:rFonts w:ascii="Times New Roman" w:cs="Times New Roman" w:eastAsia="Times New Roman" w:hAnsi="Times New Roman"/>
          <w:sz w:val="22"/>
          <w:szCs w:val="22"/>
          <w:color w:val="auto"/>
        </w:rPr>
      </w:pPr>
    </w:p>
    <w:p>
      <w:pPr>
        <w:jc w:val="both"/>
        <w:ind w:left="340" w:hanging="332"/>
        <w:spacing w:after="0" w:line="303" w:lineRule="auto"/>
        <w:tabs>
          <w:tab w:leader="none" w:pos="3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Covenant Not to Sue and Release of Claims</w:t>
      </w:r>
      <w:r>
        <w:rPr>
          <w:rFonts w:ascii="Times New Roman" w:cs="Times New Roman" w:eastAsia="Times New Roman" w:hAnsi="Times New Roman"/>
          <w:sz w:val="22"/>
          <w:szCs w:val="22"/>
          <w:color w:val="auto"/>
        </w:rPr>
        <w:t>. Rasmussen represents that she has not, and agrees that she will not, file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claims, complaints, charges, or lawsuits against the Company or any of its parent companies, divisions, subsidiaries, affiliates, predecessors, successors, or assigns, or any of their present or former officers, directors, employees,</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2"/>
          <w:szCs w:val="22"/>
          <w:color w:val="auto"/>
        </w:rPr>
        <w:t>owners, or agents, or any of their benefit plans or trustees (hereinafter collectively referred to as the “Releasees”) about anything that has occurred up to the time she executes this Release. In addition, in further consideration of the Severance Benefits, Rasmussen on behalf of herself and her heirs, administrators, executors, assigns, attorneys, and agents hereby irrevocably and unconditionally release, acquit, and forever discharge the Releasees from any and all complaints, claims, liabilities, obligations, promises, agreements, controversies, damages, actions, causes of action, lawsuits, rights, demands, costs, losses, debts, fees, and expenses of any nature whatsoever, known or unknown, suspected or unsuspected, arising on or before the date on which Rasmussen enters into this Release, including but not limited to any claim of discrimination or harassment on the basis of disability, medical condition, race, color, sex, pregnancy, age, religion, marital status, sexual orientation, gender identity or expression, transgender status, national origin, veteran status, uniformed service, ancestry or citizenship status, retaliation, or any other category protected by local, state, or federal law; any claim of retaliation or whistleblowing; any other claim based on a statutory prohibition or requirement, including but not limited to federal or state family and medical leave acts; any claim arising out of or related to an express or implied employment contract or any other contract affecting terms and conditions of employment; any claim for unpaid compensation or benefits of any kind; any claim under a covenant of good faith and fair dealing; any claim for wrongful discharge, any claim for fraud, all tort claims, including claims for invasion of privacy, infliction of emotional distress, and defamation; any claim under the False Claims Act, 31 U.S.C. 3730, including any personal gain with respect to any claim arising under the qui tam provisions of the False Claims Act, 31 U.S.C. 3730; and any claims to attorneys’ fees or expenses. Examples of claims released under this Paragraph include, but are not limited to, claims under Title VII of the Civil Rights Act of 1964, the Americans with Disabilities Act (ADA), 42 U.S.C. Section 1981, the federal Family and Medical Leave Act (FMLA), the Pregnant Workers Fairness Act (PWFA), the Age Discrimination in Employment Act (ADEA), the Employee Retirement Income Security Act (ERISA), the Equal Pay Act, the Fair Labor Standards Act, the Uniformed Services Employment and Reemployment Rights Act of 1994; the Georgia Fair Employment Practices Act; the Georgia Equal Pay Act; the Georgia Prohibition of Age Discrimination Act, the Georgia Equal Employment for People with Disabilities Code, the Georgia Discriminatory Wage Practices Based on Sex Act, and all other federal, state, and local law claims, including any amendments and their respective implementing regulations, that may be legally waived and released; however, the identification of specific statutes is for purposes of example only, and the omission of any specific statute or law shall not limit the scope of this general release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900"/>
          </w:cols>
          <w:pgMar w:left="660" w:top="1440" w:right="339" w:bottom="1440" w:gutter="0" w:footer="0" w:header="0"/>
        </w:sectPr>
      </w:pPr>
    </w:p>
    <w:bookmarkStart w:id="44" w:name="page45"/>
    <w:bookmarkEnd w:id="44"/>
    <w:p>
      <w:pPr>
        <w:spacing w:after="0" w:line="184" w:lineRule="exact"/>
        <w:rPr>
          <w:sz w:val="20"/>
          <w:szCs w:val="20"/>
          <w:color w:val="auto"/>
        </w:rPr>
      </w:pPr>
    </w:p>
    <w:p>
      <w:pPr>
        <w:jc w:val="both"/>
        <w:ind w:left="340"/>
        <w:spacing w:after="0" w:line="300" w:lineRule="auto"/>
        <w:rPr>
          <w:sz w:val="20"/>
          <w:szCs w:val="20"/>
          <w:color w:val="auto"/>
        </w:rPr>
      </w:pPr>
      <w:r>
        <w:rPr>
          <w:rFonts w:ascii="Times New Roman" w:cs="Times New Roman" w:eastAsia="Times New Roman" w:hAnsi="Times New Roman"/>
          <w:sz w:val="22"/>
          <w:szCs w:val="22"/>
          <w:b w:val="1"/>
          <w:bCs w:val="1"/>
          <w:color w:val="auto"/>
        </w:rPr>
        <w:t>Notwithstanding the foregoing, nothing in this Agreement prevents Rasmussen from filing, cooperating with, or participating in any proceeding before the U.S. Equal Employment Opportunity Commission, the National Labor Relations Board, the Securities and Exchange Commission or any other federal, state or local governmental agency or commission.</w:t>
      </w:r>
    </w:p>
    <w:p>
      <w:pPr>
        <w:spacing w:after="0" w:line="116" w:lineRule="exact"/>
        <w:rPr>
          <w:sz w:val="20"/>
          <w:szCs w:val="20"/>
          <w:color w:val="auto"/>
        </w:rPr>
      </w:pPr>
    </w:p>
    <w:p>
      <w:pPr>
        <w:jc w:val="both"/>
        <w:ind w:left="340"/>
        <w:spacing w:after="0" w:line="298" w:lineRule="auto"/>
        <w:rPr>
          <w:sz w:val="20"/>
          <w:szCs w:val="20"/>
          <w:color w:val="auto"/>
        </w:rPr>
      </w:pPr>
      <w:r>
        <w:rPr>
          <w:rFonts w:ascii="Times New Roman" w:cs="Times New Roman" w:eastAsia="Times New Roman" w:hAnsi="Times New Roman"/>
          <w:sz w:val="22"/>
          <w:szCs w:val="22"/>
          <w:color w:val="auto"/>
        </w:rPr>
        <w:t>Rasmussen agrees that she will not hereafter be entitled to any individual recovery or relief as a result of an action filed against the Releasees in any municipal, state, or federal court or agency including, but not limited to, the Equal Employment Opportunity Commission or the Department of Labor for or on account of anything that has occurred up to the present time including, but not limited to, anything that has transpired as a result of her employment with the Company.</w:t>
      </w:r>
    </w:p>
    <w:p>
      <w:pPr>
        <w:spacing w:after="0" w:line="200" w:lineRule="exact"/>
        <w:rPr>
          <w:sz w:val="20"/>
          <w:szCs w:val="20"/>
          <w:color w:val="auto"/>
        </w:rPr>
      </w:pPr>
    </w:p>
    <w:p>
      <w:pPr>
        <w:spacing w:after="0" w:line="218" w:lineRule="exact"/>
        <w:rPr>
          <w:sz w:val="20"/>
          <w:szCs w:val="20"/>
          <w:color w:val="auto"/>
        </w:rPr>
      </w:pPr>
    </w:p>
    <w:p>
      <w:pPr>
        <w:jc w:val="both"/>
        <w:ind w:left="340"/>
        <w:spacing w:after="0" w:line="299" w:lineRule="auto"/>
        <w:rPr>
          <w:sz w:val="20"/>
          <w:szCs w:val="20"/>
          <w:color w:val="auto"/>
        </w:rPr>
      </w:pPr>
      <w:r>
        <w:rPr>
          <w:rFonts w:ascii="Times New Roman" w:cs="Times New Roman" w:eastAsia="Times New Roman" w:hAnsi="Times New Roman"/>
          <w:sz w:val="22"/>
          <w:szCs w:val="22"/>
          <w:color w:val="auto"/>
        </w:rPr>
        <w:t>For the purpose of implementing a full and complete release and discharge of the Releasees, Rasmussen expressly acknowledge that this Agreement is intended to include in its effect, without limitation, all Claims that she does not know or suspect to exist in her favor at the time she signs this Agreement, and that this Agreement contemplates the extinguishment of any such Claim or Claims.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Notwithstanding the general release set forth above, nothing herein shall constitute a release or waiver by Rasmussen of</w:t>
      </w:r>
    </w:p>
    <w:p>
      <w:pPr>
        <w:spacing w:after="0" w:line="58" w:lineRule="exact"/>
        <w:rPr>
          <w:sz w:val="20"/>
          <w:szCs w:val="20"/>
          <w:color w:val="auto"/>
        </w:rPr>
      </w:pPr>
    </w:p>
    <w:p>
      <w:pPr>
        <w:jc w:val="both"/>
        <w:ind w:left="340" w:hanging="8"/>
        <w:spacing w:after="0" w:line="281" w:lineRule="auto"/>
        <w:tabs>
          <w:tab w:leader="none" w:pos="65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or right that cannot be waived by law, such as claims for workers’ compensation or unemployment compensation benefits, (ii) any claim or right Rasmussen may have for benefit rights that have vested as of the date of execution of this Release, which shall be governed by the terms of the applicable plan documents and award agreements,</w:t>
      </w:r>
    </w:p>
    <w:p>
      <w:pPr>
        <w:spacing w:after="0" w:line="2" w:lineRule="exact"/>
        <w:rPr>
          <w:rFonts w:ascii="Times New Roman" w:cs="Times New Roman" w:eastAsia="Times New Roman" w:hAnsi="Times New Roman"/>
          <w:sz w:val="22"/>
          <w:szCs w:val="22"/>
          <w:color w:val="auto"/>
        </w:rPr>
      </w:pPr>
    </w:p>
    <w:p>
      <w:pPr>
        <w:jc w:val="both"/>
        <w:ind w:left="340" w:hanging="8"/>
        <w:spacing w:after="0" w:line="294" w:lineRule="auto"/>
        <w:tabs>
          <w:tab w:leader="none" w:pos="78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or claims for indemnification Rasmussen may under the Company’s certificate of incorporation or bylaws, under applicable law, under Section 4(e) of the Company’s Amended and Restated 2017 Omnibus Incentive Plan, or under Section 10(e) of the Company’s Executive Severance Plan, or (iv) any claims or rights Rasmussen may have under the Agreement.</w:t>
      </w:r>
    </w:p>
    <w:p>
      <w:pPr>
        <w:spacing w:after="0" w:line="133" w:lineRule="exact"/>
        <w:rPr>
          <w:rFonts w:ascii="Times New Roman" w:cs="Times New Roman" w:eastAsia="Times New Roman" w:hAnsi="Times New Roman"/>
          <w:sz w:val="22"/>
          <w:szCs w:val="22"/>
          <w:color w:val="auto"/>
        </w:rPr>
      </w:pPr>
    </w:p>
    <w:p>
      <w:pPr>
        <w:jc w:val="both"/>
        <w:ind w:left="340" w:hanging="332"/>
        <w:spacing w:after="0" w:line="292" w:lineRule="auto"/>
        <w:tabs>
          <w:tab w:leader="none" w:pos="33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 Period</w:t>
      </w:r>
      <w:r>
        <w:rPr>
          <w:rFonts w:ascii="Times New Roman" w:cs="Times New Roman" w:eastAsia="Times New Roman" w:hAnsi="Times New Roman"/>
          <w:sz w:val="22"/>
          <w:szCs w:val="22"/>
          <w:color w:val="auto"/>
        </w:rPr>
        <w:t>. Because the arrangements discussed in this Agreement affect important rights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Rasmussen is advised to consult with an attorney and/or tax professional before agreeing to the terms set forth herein. Rasmussen has twenty-one (21) days from the date she receives this Release within which to consider it, and she may take as much of that time as she wishes before signing. If Rasmussen decides to accept the benefits offered herein, she must sign this Agreement on or before the expiration of the 21-day period and return it to the Company (Attention: Chief People Officer at National Vision, Inc., 2435 Commerce Ave., Bldg. 2200, Duluth, Georgia 30096, or by email 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8" w:lineRule="exact"/>
        <w:rPr>
          <w:sz w:val="20"/>
          <w:szCs w:val="20"/>
          <w:color w:val="auto"/>
        </w:rPr>
      </w:pPr>
    </w:p>
    <w:p>
      <w:pPr>
        <w:jc w:val="both"/>
        <w:ind w:left="340"/>
        <w:spacing w:after="0" w:line="299" w:lineRule="auto"/>
        <w:rPr>
          <w:sz w:val="20"/>
          <w:szCs w:val="20"/>
          <w:color w:val="auto"/>
        </w:rPr>
      </w:pPr>
      <w:r>
        <w:rPr>
          <w:rFonts w:ascii="Times New Roman" w:cs="Times New Roman" w:eastAsia="Times New Roman" w:hAnsi="Times New Roman"/>
          <w:sz w:val="22"/>
          <w:szCs w:val="22"/>
          <w:color w:val="auto"/>
        </w:rPr>
        <w:t>Rasmussen acknowledge that the Company has made no representations to her concerning the term or effects of this Agreement other than those contained herein. She also acknowledges that, pursuant to C.F.R. Section 1625.22, any modifications to this proposed Release as originally presented to her, whether considered or deemed to be material or nonmaterial, shall not restart the twenty-one (21) day consideration period.</w:t>
      </w:r>
    </w:p>
    <w:p>
      <w:pPr>
        <w:spacing w:after="0" w:line="112" w:lineRule="exact"/>
        <w:rPr>
          <w:sz w:val="20"/>
          <w:szCs w:val="20"/>
          <w:color w:val="auto"/>
        </w:rPr>
      </w:pPr>
    </w:p>
    <w:p>
      <w:pPr>
        <w:jc w:val="both"/>
        <w:ind w:left="340" w:hanging="332"/>
        <w:spacing w:after="0" w:line="291" w:lineRule="auto"/>
        <w:tabs>
          <w:tab w:leader="none" w:pos="3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Revocation Rights</w:t>
      </w:r>
      <w:r>
        <w:rPr>
          <w:rFonts w:ascii="Times New Roman" w:cs="Times New Roman" w:eastAsia="Times New Roman" w:hAnsi="Times New Roman"/>
          <w:sz w:val="22"/>
          <w:szCs w:val="22"/>
          <w:color w:val="auto"/>
        </w:rPr>
        <w:t>. For a period of seven (7) days after Rasmussen signs this Release, she may revoke it entirely.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or obligations contained in this Release shall become enforceable before the expiration of the seven-day revocation period. If Rasmussen decides to revoke the Release, she must deliver to the Company (Attention: Chief People Officer at National Vision, Inc., 2435 Commerce Ave., Bldg. 2200, Duluth, Georgia 30096, or by email at [*****]) a signed notice of revocation on or before the last day of this seven-day period. Upon delivery of a timely notice of revocation, this Agreement shall be cancelled and void, and neither Rasmussen nor the Company shall have any rights or obligations under it.</w:t>
      </w:r>
    </w:p>
    <w:p>
      <w:pPr>
        <w:spacing w:after="0" w:line="188" w:lineRule="exact"/>
        <w:rPr>
          <w:rFonts w:ascii="Times New Roman" w:cs="Times New Roman" w:eastAsia="Times New Roman" w:hAnsi="Times New Roman"/>
          <w:sz w:val="22"/>
          <w:szCs w:val="22"/>
          <w:color w:val="auto"/>
        </w:rPr>
      </w:pPr>
    </w:p>
    <w:p>
      <w:pPr>
        <w:jc w:val="both"/>
        <w:ind w:left="340" w:hanging="332"/>
        <w:spacing w:after="0" w:line="295" w:lineRule="auto"/>
        <w:tabs>
          <w:tab w:leader="none" w:pos="3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Information</w:t>
      </w:r>
      <w:r>
        <w:rPr>
          <w:rFonts w:ascii="Times New Roman" w:cs="Times New Roman" w:eastAsia="Times New Roman" w:hAnsi="Times New Roman"/>
          <w:sz w:val="22"/>
          <w:szCs w:val="22"/>
          <w:color w:val="auto"/>
        </w:rPr>
        <w:t>. Without limiting the scope of this Release in any way, this Release constitutes a knowing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voluntary waiver of any and all rights or claims that exist or that Rasmussen has or may claim to have under the Age Discrimination in Employment Act (“ADEA”), as amended by the Older Workers’ Benefit Protection Act of 1990 (“OWBPA’) (29 U.S.C. §§ 621, et seq.). This release does not govern any rights or claims that might arise under the ADEA after the date this Agreement is signed by Rasmussen.</w:t>
      </w:r>
    </w:p>
    <w:p>
      <w:pPr>
        <w:spacing w:after="0" w:line="186" w:lineRule="exact"/>
        <w:rPr>
          <w:rFonts w:ascii="Times New Roman" w:cs="Times New Roman" w:eastAsia="Times New Roman" w:hAnsi="Times New Roman"/>
          <w:sz w:val="22"/>
          <w:szCs w:val="22"/>
          <w:color w:val="auto"/>
        </w:rPr>
      </w:pPr>
    </w:p>
    <w:p>
      <w:pPr>
        <w:jc w:val="both"/>
        <w:ind w:left="340" w:hanging="332"/>
        <w:spacing w:after="0" w:line="309"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Reaffirmation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of her execution of this Release, and except as otherwise modified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Rasmussen reaffirms, re-agrees, re-promises, and again covenants to abide by the provisions of the Agreement (including all subparts and subparagraphs).</w:t>
      </w:r>
    </w:p>
    <w:p>
      <w:pPr>
        <w:spacing w:after="0" w:line="170" w:lineRule="exact"/>
        <w:rPr>
          <w:rFonts w:ascii="Times New Roman" w:cs="Times New Roman" w:eastAsia="Times New Roman" w:hAnsi="Times New Roman"/>
          <w:sz w:val="20"/>
          <w:szCs w:val="20"/>
          <w:color w:val="auto"/>
        </w:rPr>
      </w:pPr>
    </w:p>
    <w:p>
      <w:pPr>
        <w:ind w:left="340" w:hanging="332"/>
        <w:spacing w:after="0" w:line="324" w:lineRule="auto"/>
        <w:tabs>
          <w:tab w:leader="none" w:pos="3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Release may be executed in multiple original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all of which together shall constitute but one and the same document.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duly execute this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_____________________________ Melissa Rasmussen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568" w:lineRule="exact"/>
        <w:rPr>
          <w:sz w:val="20"/>
          <w:szCs w:val="20"/>
          <w:color w:val="auto"/>
        </w:rPr>
      </w:pPr>
    </w:p>
    <w:p>
      <w:pPr>
        <w:sectPr>
          <w:pgSz w:w="11900" w:h="16838" w:orient="portrait"/>
          <w:cols w:equalWidth="0" w:num="2">
            <w:col w:w="3320" w:space="620"/>
            <w:col w:w="73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INC.</w:t>
      </w:r>
    </w:p>
    <w:p>
      <w:pPr>
        <w:sectPr>
          <w:pgSz w:w="11900" w:h="16838" w:orient="portrait"/>
          <w:cols w:equalWidth="0" w:num="1">
            <w:col w:w="10139"/>
          </w:cols>
          <w:pgMar w:left="320" w:top="1440" w:right="1440" w:bottom="1440" w:gutter="0" w:footer="0" w:header="0"/>
        </w:sectPr>
      </w:pPr>
    </w:p>
    <w:p>
      <w:pPr>
        <w:spacing w:after="0" w:line="2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_______________________________ By: Bill Clark Date Its: Chief People Officer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816" w:lineRule="exact"/>
        <w:rPr>
          <w:sz w:val="20"/>
          <w:szCs w:val="20"/>
          <w:color w:val="auto"/>
        </w:rPr>
      </w:pPr>
    </w:p>
    <w:p>
      <w:pPr>
        <w:sectPr>
          <w:pgSz w:w="11900" w:h="16838" w:orient="portrait"/>
          <w:cols w:equalWidth="0" w:num="2">
            <w:col w:w="3500" w:space="440"/>
            <w:col w:w="6199"/>
          </w:cols>
          <w:pgMar w:left="320" w:top="1440" w:right="1440"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39"/>
          </w:cols>
          <w:pgMar w:left="320" w:top="1440"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UNDER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National Vision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2017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set forth below the number of Performance Stock Units set forth below, which are Restricted Stock Units that are subject to the performance-vesting conditions described herein (the “</w:t>
      </w:r>
      <w:r>
        <w:rPr>
          <w:rFonts w:ascii="Times New Roman" w:cs="Times New Roman" w:eastAsia="Times New Roman" w:hAnsi="Times New Roman"/>
          <w:sz w:val="20"/>
          <w:szCs w:val="20"/>
          <w:u w:val="single" w:color="auto"/>
          <w:color w:val="auto"/>
        </w:rPr>
        <w:t>Performance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The Performance Stock Units are subject to all of the terms and conditions as set forth herein, in the Performance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8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Participant Name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Grant Date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 Number of Performance</w:t>
      </w:r>
    </w:p>
    <w:p>
      <w:pPr>
        <w:spacing w:after="0" w:line="3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Stock Units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Quantity Granted</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u w:val="single" w:color="auto"/>
          <w:color w:val="auto"/>
        </w:rPr>
        <w:t>Target PSUs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3240"/>
        <w:spacing w:after="0" w:line="258" w:lineRule="auto"/>
        <w:rPr>
          <w:sz w:val="20"/>
          <w:szCs w:val="20"/>
          <w:color w:val="auto"/>
        </w:rPr>
      </w:pPr>
      <w:r>
        <w:rPr>
          <w:rFonts w:ascii="Times New Roman" w:cs="Times New Roman" w:eastAsia="Times New Roman" w:hAnsi="Times New Roman"/>
          <w:sz w:val="20"/>
          <w:szCs w:val="20"/>
          <w:color w:val="auto"/>
        </w:rPr>
        <w:t>50% of the Target PSUs shall be subject to performance goals relating to Adjusted Operating Income (the “</w:t>
      </w:r>
      <w:r>
        <w:rPr>
          <w:rFonts w:ascii="Times New Roman" w:cs="Times New Roman" w:eastAsia="Times New Roman" w:hAnsi="Times New Roman"/>
          <w:sz w:val="20"/>
          <w:szCs w:val="20"/>
          <w:u w:val="single" w:color="auto"/>
          <w:color w:val="auto"/>
        </w:rPr>
        <w:t>AOI PSUs</w:t>
      </w:r>
      <w:r>
        <w:rPr>
          <w:rFonts w:ascii="Times New Roman" w:cs="Times New Roman" w:eastAsia="Times New Roman" w:hAnsi="Times New Roman"/>
          <w:sz w:val="20"/>
          <w:szCs w:val="20"/>
          <w:color w:val="auto"/>
        </w:rPr>
        <w:t>”), 25% of the Target PSUs shall be subject to performance goals relating to ROIC (the “</w:t>
      </w:r>
      <w:r>
        <w:rPr>
          <w:rFonts w:ascii="Times New Roman" w:cs="Times New Roman" w:eastAsia="Times New Roman" w:hAnsi="Times New Roman"/>
          <w:sz w:val="20"/>
          <w:szCs w:val="20"/>
          <w:u w:val="single" w:color="auto"/>
          <w:color w:val="auto"/>
        </w:rPr>
        <w:t>ROIC PSUs</w:t>
      </w:r>
      <w:r>
        <w:rPr>
          <w:rFonts w:ascii="Times New Roman" w:cs="Times New Roman" w:eastAsia="Times New Roman" w:hAnsi="Times New Roman"/>
          <w:sz w:val="20"/>
          <w:szCs w:val="20"/>
          <w:color w:val="auto"/>
        </w:rPr>
        <w:t>”), and 25% of the Target PSUs shall be subject to performance goals relating to relative total stockholder return (the “</w:t>
      </w:r>
      <w:r>
        <w:rPr>
          <w:rFonts w:ascii="Times New Roman" w:cs="Times New Roman" w:eastAsia="Times New Roman" w:hAnsi="Times New Roman"/>
          <w:sz w:val="20"/>
          <w:szCs w:val="20"/>
          <w:u w:val="single" w:color="auto"/>
          <w:color w:val="auto"/>
        </w:rPr>
        <w:t>rTSR PSUs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1900" w:hanging="3239"/>
        <w:spacing w:after="0" w:line="261" w:lineRule="auto"/>
        <w:tabs>
          <w:tab w:leader="none" w:pos="188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Participant will have the right to earn between 0% and 200% of the AOI PSUs based on the Company’s achievement of performance goals relating to Adjusted Operating Income,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over the Performance Period.</w:t>
      </w:r>
    </w:p>
    <w:p>
      <w:pPr>
        <w:spacing w:after="0" w:line="172" w:lineRule="exact"/>
        <w:rPr>
          <w:sz w:val="20"/>
          <w:szCs w:val="20"/>
          <w:color w:val="auto"/>
        </w:rPr>
      </w:pPr>
    </w:p>
    <w:p>
      <w:pPr>
        <w:jc w:val="both"/>
        <w:ind w:left="3240"/>
        <w:spacing w:after="0" w:line="268" w:lineRule="auto"/>
        <w:rPr>
          <w:sz w:val="20"/>
          <w:szCs w:val="20"/>
          <w:color w:val="auto"/>
        </w:rPr>
      </w:pPr>
      <w:r>
        <w:rPr>
          <w:rFonts w:ascii="Times New Roman" w:cs="Times New Roman" w:eastAsia="Times New Roman" w:hAnsi="Times New Roman"/>
          <w:sz w:val="20"/>
          <w:szCs w:val="20"/>
          <w:color w:val="auto"/>
        </w:rPr>
        <w:t xml:space="preserve">Similarly, the Participant will have the right to earn between 0% and 200% of the ROIC PSUs based on the Company’s achievement of performance goals relating to ROIC,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over the Performance Period.</w:t>
      </w:r>
    </w:p>
    <w:p>
      <w:pPr>
        <w:spacing w:after="0" w:line="161" w:lineRule="exact"/>
        <w:rPr>
          <w:sz w:val="20"/>
          <w:szCs w:val="20"/>
          <w:color w:val="auto"/>
        </w:rPr>
      </w:pPr>
    </w:p>
    <w:p>
      <w:pPr>
        <w:jc w:val="both"/>
        <w:ind w:left="3240"/>
        <w:spacing w:after="0" w:line="261" w:lineRule="auto"/>
        <w:rPr>
          <w:sz w:val="20"/>
          <w:szCs w:val="20"/>
          <w:color w:val="auto"/>
        </w:rPr>
      </w:pPr>
      <w:r>
        <w:rPr>
          <w:rFonts w:ascii="Times New Roman" w:cs="Times New Roman" w:eastAsia="Times New Roman" w:hAnsi="Times New Roman"/>
          <w:sz w:val="20"/>
          <w:szCs w:val="20"/>
          <w:color w:val="auto"/>
        </w:rPr>
        <w:t xml:space="preserve">Similarly, the Participant will have the right to earn between 0% and 200% of the rTSR PSUs based on the Company’s achievement of performance goals relating to rTSR, as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over the Performance Period.</w:t>
      </w:r>
    </w:p>
    <w:p>
      <w:pPr>
        <w:spacing w:after="0" w:line="17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Performance Period:</w:t>
      </w:r>
      <w:r>
        <w:rPr>
          <w:sz w:val="20"/>
          <w:szCs w:val="20"/>
          <w:color w:val="auto"/>
        </w:rPr>
        <w:tab/>
      </w:r>
      <w:r>
        <w:rPr>
          <w:rFonts w:ascii="Times New Roman" w:cs="Times New Roman" w:eastAsia="Times New Roman" w:hAnsi="Times New Roman"/>
          <w:sz w:val="19"/>
          <w:szCs w:val="19"/>
          <w:color w:val="auto"/>
        </w:rPr>
        <w:t>Fiscal year 2025 through fiscal year 2027.</w:t>
      </w:r>
    </w:p>
    <w:p>
      <w:pPr>
        <w:spacing w:after="0" w:line="229"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Performance Conditions:   </w:t>
      </w:r>
      <w:r>
        <w:rPr>
          <w:rFonts w:ascii="Times New Roman" w:cs="Times New Roman" w:eastAsia="Times New Roman" w:hAnsi="Times New Roman"/>
          <w:sz w:val="20"/>
          <w:szCs w:val="20"/>
          <w:color w:val="auto"/>
        </w:rPr>
        <w:t>The number of PSUs that become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 shall be based on the achievement of the “</w:t>
      </w: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Exhibit A, Exhibit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2" w:right="339" w:bottom="1440" w:gutter="0" w:footer="0" w:header="0"/>
        </w:sectPr>
      </w:pPr>
    </w:p>
    <w:bookmarkStart w:id="48" w:name="page49"/>
    <w:bookmarkEnd w:id="48"/>
    <w:p>
      <w:pPr>
        <w:spacing w:after="0" w:line="135" w:lineRule="exact"/>
        <w:rPr>
          <w:sz w:val="20"/>
          <w:szCs w:val="20"/>
          <w:color w:val="auto"/>
        </w:rPr>
      </w:pPr>
    </w:p>
    <w:p>
      <w:pPr>
        <w:ind w:left="2120" w:right="20"/>
        <w:spacing w:after="0" w:line="283" w:lineRule="auto"/>
        <w:rPr>
          <w:sz w:val="20"/>
          <w:szCs w:val="20"/>
          <w:color w:val="auto"/>
        </w:rPr>
      </w:pPr>
      <w:r>
        <w:rPr>
          <w:rFonts w:ascii="Times New Roman" w:cs="Times New Roman" w:eastAsia="Times New Roman" w:hAnsi="Times New Roman"/>
          <w:sz w:val="20"/>
          <w:szCs w:val="20"/>
          <w:color w:val="auto"/>
        </w:rPr>
        <w:t>In fiscal years with 53 weeks, the Committee will adjust the Performance Conditions to a 52-week equivalent.</w:t>
      </w:r>
    </w:p>
    <w:p>
      <w:pPr>
        <w:spacing w:after="0" w:line="142" w:lineRule="exact"/>
        <w:rPr>
          <w:sz w:val="20"/>
          <w:szCs w:val="20"/>
          <w:color w:val="auto"/>
        </w:rPr>
      </w:pPr>
    </w:p>
    <w:p>
      <w:pPr>
        <w:jc w:val="both"/>
        <w:ind w:left="1620" w:hanging="3239"/>
        <w:spacing w:after="0" w:line="257" w:lineRule="auto"/>
        <w:tabs>
          <w:tab w:leader="none" w:pos="1600" w:val="left"/>
        </w:tabs>
        <w:rPr>
          <w:sz w:val="20"/>
          <w:szCs w:val="20"/>
          <w:color w:val="auto"/>
        </w:rPr>
      </w:pPr>
      <w:r>
        <w:rPr>
          <w:rFonts w:ascii="Times New Roman" w:cs="Times New Roman" w:eastAsia="Times New Roman" w:hAnsi="Times New Roman"/>
          <w:sz w:val="20"/>
          <w:szCs w:val="20"/>
          <w:b w:val="1"/>
          <w:bCs w:val="1"/>
          <w:color w:val="auto"/>
        </w:rPr>
        <w:t>Calculation of Earned PSUs:</w:t>
      </w:r>
      <w:r>
        <w:rPr>
          <w:sz w:val="20"/>
          <w:szCs w:val="20"/>
          <w:color w:val="auto"/>
        </w:rPr>
        <w:tab/>
      </w:r>
      <w:r>
        <w:rPr>
          <w:rFonts w:ascii="Times New Roman" w:cs="Times New Roman" w:eastAsia="Times New Roman" w:hAnsi="Times New Roman"/>
          <w:sz w:val="20"/>
          <w:szCs w:val="20"/>
          <w:color w:val="auto"/>
        </w:rPr>
        <w:t>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the Committee certifies in writing the extent to which such Performance Conditions have been met (such date,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left="2120" w:right="20"/>
        <w:spacing w:after="0" w:line="261" w:lineRule="auto"/>
        <w:rPr>
          <w:sz w:val="20"/>
          <w:szCs w:val="20"/>
          <w:color w:val="auto"/>
        </w:rPr>
      </w:pPr>
      <w:r>
        <w:rPr>
          <w:rFonts w:ascii="Times New Roman" w:cs="Times New Roman" w:eastAsia="Times New Roman" w:hAnsi="Times New Roman"/>
          <w:sz w:val="20"/>
          <w:szCs w:val="20"/>
          <w:color w:val="auto"/>
        </w:rPr>
        <w:t xml:space="preserve">Following the last day of the Performance Period, the Committee shall determine the number of Earned AOI PSUs the number of Earned ROIC PSUs, and the number of Earned rTSR PSUs, as provided in </w:t>
      </w:r>
      <w:r>
        <w:rPr>
          <w:rFonts w:ascii="Times New Roman" w:cs="Times New Roman" w:eastAsia="Times New Roman" w:hAnsi="Times New Roman"/>
          <w:sz w:val="20"/>
          <w:szCs w:val="20"/>
          <w:u w:val="single" w:color="auto"/>
          <w:color w:val="auto"/>
        </w:rPr>
        <w:t>Exhibit A, Exhibit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respectively.</w:t>
      </w:r>
    </w:p>
    <w:p>
      <w:pPr>
        <w:spacing w:after="0" w:line="181" w:lineRule="exact"/>
        <w:rPr>
          <w:sz w:val="20"/>
          <w:szCs w:val="20"/>
          <w:color w:val="auto"/>
        </w:rPr>
      </w:pPr>
    </w:p>
    <w:p>
      <w:pPr>
        <w:ind w:left="2120" w:right="20"/>
        <w:spacing w:after="0" w:line="283" w:lineRule="auto"/>
        <w:rPr>
          <w:sz w:val="20"/>
          <w:szCs w:val="20"/>
          <w:color w:val="auto"/>
        </w:rPr>
      </w:pPr>
      <w:r>
        <w:rPr>
          <w:rFonts w:ascii="Times New Roman" w:cs="Times New Roman" w:eastAsia="Times New Roman" w:hAnsi="Times New Roman"/>
          <w:sz w:val="20"/>
          <w:szCs w:val="20"/>
          <w:color w:val="auto"/>
        </w:rPr>
        <w:t>Any PSUs which do not become Earned PSUs based on actual performance during the Performance Period shall be forfeited as of the last day of the Performance Period.</w:t>
      </w:r>
    </w:p>
    <w:p>
      <w:pPr>
        <w:spacing w:after="0" w:line="142" w:lineRule="exact"/>
        <w:rPr>
          <w:sz w:val="20"/>
          <w:szCs w:val="20"/>
          <w:color w:val="auto"/>
        </w:rPr>
      </w:pPr>
    </w:p>
    <w:p>
      <w:pPr>
        <w:jc w:val="both"/>
        <w:ind w:left="1280" w:hanging="3239"/>
        <w:spacing w:after="0" w:line="261" w:lineRule="auto"/>
        <w:tabs>
          <w:tab w:leader="none" w:pos="1260" w:val="left"/>
        </w:tabs>
        <w:rPr>
          <w:sz w:val="20"/>
          <w:szCs w:val="20"/>
          <w:color w:val="auto"/>
        </w:rPr>
      </w:pPr>
      <w:r>
        <w:rPr>
          <w:rFonts w:ascii="Times New Roman" w:cs="Times New Roman" w:eastAsia="Times New Roman" w:hAnsi="Times New Roman"/>
          <w:sz w:val="20"/>
          <w:szCs w:val="20"/>
          <w:b w:val="1"/>
          <w:bCs w:val="1"/>
          <w:color w:val="auto"/>
        </w:rPr>
        <w:t>Vesting of Earned PSUs:</w:t>
      </w:r>
      <w:r>
        <w:rPr>
          <w:sz w:val="20"/>
          <w:szCs w:val="20"/>
          <w:color w:val="auto"/>
        </w:rPr>
        <w:tab/>
      </w:r>
      <w:r>
        <w:rPr>
          <w:rFonts w:ascii="Times New Roman" w:cs="Times New Roman" w:eastAsia="Times New Roman" w:hAnsi="Times New Roman"/>
          <w:sz w:val="20"/>
          <w:szCs w:val="20"/>
          <w:color w:val="auto"/>
        </w:rPr>
        <w:t>Any PSUs that become Earned PSUs shall become vested on the later of (i) the Determination Date for the applicable Performance Period and (ii) the third anniversary of the Date of Grant, provided the Participant has not undergone a Termination at the time of such vesting date.</w:t>
      </w:r>
    </w:p>
    <w:p>
      <w:pPr>
        <w:spacing w:after="0" w:line="185" w:lineRule="exact"/>
        <w:rPr>
          <w:sz w:val="20"/>
          <w:szCs w:val="20"/>
          <w:color w:val="auto"/>
        </w:rPr>
      </w:pPr>
    </w:p>
    <w:p>
      <w:pPr>
        <w:ind w:left="2120"/>
        <w:spacing w:after="0" w:line="283" w:lineRule="auto"/>
        <w:rPr>
          <w:sz w:val="20"/>
          <w:szCs w:val="20"/>
          <w:color w:val="auto"/>
        </w:rPr>
      </w:pPr>
      <w:r>
        <w:rPr>
          <w:rFonts w:ascii="Times New Roman" w:cs="Times New Roman" w:eastAsia="Times New Roman" w:hAnsi="Times New Roman"/>
          <w:sz w:val="20"/>
          <w:szCs w:val="20"/>
          <w:color w:val="auto"/>
        </w:rPr>
        <w:t>In the event that the Participant undergoes a Termination for any reason, all unvested PSUs shall be forfeited by the Participant for no consideration as of the date of such Termination.</w:t>
      </w:r>
    </w:p>
    <w:p>
      <w:pPr>
        <w:spacing w:after="0" w:line="14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Notwithstanding the foregoing:</w:t>
      </w:r>
    </w:p>
    <w:p>
      <w:pPr>
        <w:spacing w:after="0" w:line="229" w:lineRule="exact"/>
        <w:rPr>
          <w:sz w:val="20"/>
          <w:szCs w:val="20"/>
          <w:color w:val="auto"/>
        </w:rPr>
      </w:pPr>
    </w:p>
    <w:p>
      <w:pPr>
        <w:jc w:val="right"/>
        <w:ind w:left="2040"/>
        <w:spacing w:after="0" w:line="254" w:lineRule="auto"/>
        <w:rPr>
          <w:sz w:val="20"/>
          <w:szCs w:val="20"/>
          <w:color w:val="auto"/>
        </w:rPr>
      </w:pPr>
      <w:r>
        <w:rPr>
          <w:rFonts w:ascii="Times New Roman" w:cs="Times New Roman" w:eastAsia="Times New Roman" w:hAnsi="Times New Roman"/>
          <w:sz w:val="20"/>
          <w:szCs w:val="20"/>
          <w:color w:val="auto"/>
        </w:rPr>
        <w:t>In the event that the Participant undergoes a Termination as a result of such Participant’s death or Disability, the PSUs shall become vested assuming achievement of a 100% payout (“</w:t>
      </w:r>
      <w:r>
        <w:rPr>
          <w:rFonts w:ascii="Times New Roman" w:cs="Times New Roman" w:eastAsia="Times New Roman" w:hAnsi="Times New Roman"/>
          <w:sz w:val="20"/>
          <w:szCs w:val="20"/>
          <w:u w:val="single" w:color="auto"/>
          <w:color w:val="auto"/>
        </w:rPr>
        <w:t>Target</w:t>
      </w:r>
    </w:p>
    <w:p>
      <w:pPr>
        <w:spacing w:after="0" w:line="1" w:lineRule="exact"/>
        <w:rPr>
          <w:sz w:val="20"/>
          <w:szCs w:val="20"/>
          <w:color w:val="auto"/>
        </w:rPr>
      </w:pPr>
    </w:p>
    <w:p>
      <w:pPr>
        <w:ind w:left="2120"/>
        <w:spacing w:after="0" w:line="253" w:lineRule="auto"/>
        <w:rPr>
          <w:sz w:val="20"/>
          <w:szCs w:val="20"/>
          <w:color w:val="auto"/>
        </w:rPr>
      </w:pP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 and settled in accordance with the Agreement within sixty (60) days following such Termination.</w:t>
      </w:r>
    </w:p>
    <w:p>
      <w:pPr>
        <w:spacing w:after="0" w:line="188" w:lineRule="exact"/>
        <w:rPr>
          <w:sz w:val="20"/>
          <w:szCs w:val="20"/>
          <w:color w:val="auto"/>
        </w:rPr>
      </w:pPr>
    </w:p>
    <w:p>
      <w:pPr>
        <w:jc w:val="both"/>
        <w:ind w:left="2120" w:hanging="94"/>
        <w:spacing w:after="0" w:line="253" w:lineRule="auto"/>
        <w:rPr>
          <w:sz w:val="20"/>
          <w:szCs w:val="20"/>
          <w:color w:val="auto"/>
        </w:rPr>
      </w:pPr>
      <w:r>
        <w:rPr>
          <w:rFonts w:ascii="Times New Roman" w:cs="Times New Roman" w:eastAsia="Times New Roman" w:hAnsi="Times New Roman"/>
          <w:sz w:val="20"/>
          <w:szCs w:val="20"/>
          <w:color w:val="auto"/>
        </w:rPr>
        <w:t>In the event of a Change in Control, PSUs shall be converted into time-based vesting shares of Restricted Stock (the “</w:t>
      </w:r>
      <w:r>
        <w:rPr>
          <w:rFonts w:ascii="Times New Roman" w:cs="Times New Roman" w:eastAsia="Times New Roman" w:hAnsi="Times New Roman"/>
          <w:sz w:val="20"/>
          <w:szCs w:val="20"/>
          <w:u w:val="single" w:color="auto"/>
          <w:color w:val="auto"/>
        </w:rPr>
        <w:t>Converted PSUs</w:t>
      </w:r>
      <w:r>
        <w:rPr>
          <w:rFonts w:ascii="Times New Roman" w:cs="Times New Roman" w:eastAsia="Times New Roman" w:hAnsi="Times New Roman"/>
          <w:sz w:val="20"/>
          <w:szCs w:val="20"/>
          <w:color w:val="auto"/>
        </w:rPr>
        <w:t>”) determined based on the greater of (x) Target Performance and (y) actual performance on the date of the Change in Control. If (i) a successor entity does not assume, convert, or replace the Converted PSUs in connection with the Change in Control or (ii) on or within the twenty-four (24) months following the Change in Control the Participant undergoes a Termination by the Service Recipient without Cause</w:t>
      </w:r>
    </w:p>
    <w:p>
      <w:pPr>
        <w:sectPr>
          <w:pgSz w:w="11900" w:h="16838" w:orient="portrait"/>
          <w:cols w:equalWidth="0" w:num="1">
            <w:col w:w="10120"/>
          </w:cols>
          <w:pgMar w:left="1440" w:top="1440" w:right="339" w:bottom="1440" w:gutter="0" w:footer="0" w:header="0"/>
        </w:sectPr>
      </w:pPr>
    </w:p>
    <w:bookmarkStart w:id="49" w:name="page50"/>
    <w:bookmarkEnd w:id="49"/>
    <w:p>
      <w:pPr>
        <w:ind w:left="2120"/>
        <w:spacing w:after="0" w:line="283" w:lineRule="auto"/>
        <w:rPr>
          <w:sz w:val="20"/>
          <w:szCs w:val="20"/>
          <w:color w:val="auto"/>
        </w:rPr>
      </w:pPr>
      <w:r>
        <w:rPr>
          <w:rFonts w:ascii="Times New Roman" w:cs="Times New Roman" w:eastAsia="Times New Roman" w:hAnsi="Times New Roman"/>
          <w:sz w:val="20"/>
          <w:szCs w:val="20"/>
          <w:color w:val="auto"/>
        </w:rPr>
        <w:t>or by such Participant for Good Reason, in each case, such Participant shall fully vest in such Converted PSUs.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to appear on following page</w:t>
      </w:r>
      <w:r>
        <w:rPr>
          <w:rFonts w:ascii="Times New Roman" w:cs="Times New Roman" w:eastAsia="Times New Roman" w:hAnsi="Times New Roman"/>
          <w:sz w:val="20"/>
          <w:szCs w:val="20"/>
          <w:color w:val="auto"/>
        </w:rPr>
        <w:t>]</w:t>
      </w:r>
    </w:p>
    <w:p>
      <w:pPr>
        <w:sectPr>
          <w:pgSz w:w="11900" w:h="16838" w:orient="portrait"/>
          <w:cols w:equalWidth="0" w:num="1">
            <w:col w:w="10100"/>
          </w:cols>
          <w:pgMar w:left="1440" w:top="1413" w:right="359" w:bottom="1440" w:gutter="0" w:footer="0" w:header="0"/>
        </w:sectPr>
      </w:pPr>
    </w:p>
    <w:bookmarkStart w:id="50" w:name="page51"/>
    <w:bookmarkEnd w:id="50"/>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1205865</wp:posOffset>
            </wp:positionV>
            <wp:extent cx="1714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line="212" w:lineRule="auto"/>
        <w:tabs>
          <w:tab w:leader="none" w:pos="393" w:val="left"/>
        </w:tabs>
        <w:numPr>
          <w:ilvl w:val="0"/>
          <w:numId w:val="3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Performance Stock Unit Award</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44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(ADJUSTED OPERATING INCOME)</w:t>
      </w: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Participant may earn a percentage of the AOI PSUs based on the average of the Company’s performance percentage scores against Performance Conditions relating to Adjusted Operating Income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purposes of the AOI PSUs, “</w:t>
      </w:r>
      <w:r>
        <w:rPr>
          <w:rFonts w:ascii="Times New Roman" w:cs="Times New Roman" w:eastAsia="Times New Roman" w:hAnsi="Times New Roman"/>
          <w:sz w:val="20"/>
          <w:szCs w:val="20"/>
          <w:u w:val="single" w:color="auto"/>
          <w:color w:val="auto"/>
        </w:rPr>
        <w:t>Adjusted Operating Income</w:t>
      </w:r>
      <w:r>
        <w:rPr>
          <w:rFonts w:ascii="Times New Roman" w:cs="Times New Roman" w:eastAsia="Times New Roman" w:hAnsi="Times New Roman"/>
          <w:sz w:val="20"/>
          <w:szCs w:val="20"/>
          <w:color w:val="auto"/>
        </w:rPr>
        <w:t>” means net income (loss), plus interest expense (income), net, and income tax provision (benefit), further adjusted to exclude (i) stock-based compensation expense, (gain) loss on extinguishment of debt, asset impairment, litigation settlement, secondary offering expenses, management realignment expenses, long-term incentive plan expenses, Enterprise Resource Planning and Customer Relationship Management implementation expenses and certain other expenses, and (ii) margin on unearned revenue.</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Performance Conditions for the first fiscal year in the Performance Period shall be based on achievement of specified annual Adjusted Operating Income goals, as provided in the following table: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 2025</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80" w:type="dxa"/>
            <w:vAlign w:val="bottom"/>
            <w:tcBorders>
              <w:top w:val="single" w:sz="8" w:color="auto"/>
              <w:left w:val="single" w:sz="8" w:color="auto"/>
              <w:right w:val="single" w:sz="8" w:color="auto"/>
            </w:tcBorders>
            <w:shd w:val="clear" w:color="auto" w:fill="F2F2F2"/>
          </w:tcPr>
          <w:p>
            <w:pPr>
              <w:spacing w:after="0"/>
              <w:rPr>
                <w:sz w:val="20"/>
                <w:szCs w:val="20"/>
                <w:color w:val="auto"/>
              </w:rPr>
            </w:pPr>
          </w:p>
        </w:tc>
        <w:tc>
          <w:tcPr>
            <w:tcW w:w="32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2025 Adjusted Operating Income</w:t>
            </w:r>
          </w:p>
        </w:tc>
        <w:tc>
          <w:tcPr>
            <w:tcW w:w="3160" w:type="dxa"/>
            <w:vAlign w:val="bottom"/>
            <w:tcBorders>
              <w:top w:val="single" w:sz="8" w:color="auto"/>
              <w:right w:val="single" w:sz="8" w:color="auto"/>
            </w:tcBorders>
            <w:gridSpan w:val="3"/>
            <w:shd w:val="clear" w:color="auto" w:fill="F2F2F2"/>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c>
          <w:tcPr>
            <w:tcW w:w="0" w:type="dxa"/>
            <w:vAlign w:val="bottom"/>
          </w:tcPr>
          <w:p>
            <w:pPr>
              <w:spacing w:after="0"/>
              <w:rPr>
                <w:sz w:val="1"/>
                <w:szCs w:val="1"/>
                <w:color w:val="auto"/>
              </w:rPr>
            </w:pPr>
          </w:p>
        </w:tc>
      </w:tr>
      <w:tr>
        <w:trPr>
          <w:trHeight w:val="214"/>
        </w:trPr>
        <w:tc>
          <w:tcPr>
            <w:tcW w:w="3380" w:type="dxa"/>
            <w:vAlign w:val="bottom"/>
            <w:tcBorders>
              <w:left w:val="single" w:sz="8" w:color="auto"/>
              <w:right w:val="single" w:sz="8" w:color="auto"/>
            </w:tcBorders>
            <w:shd w:val="clear" w:color="auto" w:fill="F2F2F2"/>
          </w:tcPr>
          <w:p>
            <w:pPr>
              <w:spacing w:after="0"/>
              <w:rPr>
                <w:sz w:val="18"/>
                <w:szCs w:val="18"/>
                <w:color w:val="auto"/>
              </w:rPr>
            </w:pPr>
          </w:p>
        </w:tc>
        <w:tc>
          <w:tcPr>
            <w:tcW w:w="3220" w:type="dxa"/>
            <w:vAlign w:val="bottom"/>
            <w:tcBorders>
              <w:right w:val="single" w:sz="8" w:color="auto"/>
            </w:tcBorders>
            <w:vMerge w:val="continue"/>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880" w:type="dxa"/>
            <w:vAlign w:val="bottom"/>
            <w:tcBorders>
              <w:right w:val="single" w:sz="8" w:color="auto"/>
            </w:tcBorders>
            <w:gridSpan w:val="2"/>
            <w:shd w:val="clear" w:color="auto" w:fill="F2F2F2"/>
          </w:tcPr>
          <w:p>
            <w:pPr>
              <w:jc w:val="center"/>
              <w:ind w:right="1300"/>
              <w:spacing w:after="0" w:line="214" w:lineRule="exact"/>
              <w:rPr>
                <w:sz w:val="20"/>
                <w:szCs w:val="20"/>
                <w:color w:val="auto"/>
              </w:rPr>
            </w:pPr>
            <w:r>
              <w:rPr>
                <w:rFonts w:ascii="Times New Roman" w:cs="Times New Roman" w:eastAsia="Times New Roman" w:hAnsi="Times New Roman"/>
                <w:sz w:val="19"/>
                <w:szCs w:val="19"/>
                <w:b w:val="1"/>
                <w:bCs w:val="1"/>
                <w:color w:val="auto"/>
              </w:rPr>
              <w:t>Score</w:t>
            </w:r>
          </w:p>
        </w:tc>
        <w:tc>
          <w:tcPr>
            <w:tcW w:w="0" w:type="dxa"/>
            <w:vAlign w:val="bottom"/>
          </w:tcPr>
          <w:p>
            <w:pPr>
              <w:spacing w:after="0"/>
              <w:rPr>
                <w:sz w:val="1"/>
                <w:szCs w:val="1"/>
                <w:color w:val="auto"/>
              </w:rPr>
            </w:pPr>
          </w:p>
        </w:tc>
      </w:tr>
      <w:tr>
        <w:trPr>
          <w:trHeight w:val="289"/>
        </w:trPr>
        <w:tc>
          <w:tcPr>
            <w:tcW w:w="3380" w:type="dxa"/>
            <w:vAlign w:val="bottom"/>
            <w:tcBorders>
              <w:left w:val="single" w:sz="8" w:color="auto"/>
              <w:bottom w:val="single" w:sz="8" w:color="auto"/>
              <w:right w:val="single" w:sz="8" w:color="auto"/>
            </w:tcBorders>
            <w:shd w:val="clear" w:color="auto" w:fill="F2F2F2"/>
          </w:tcPr>
          <w:p>
            <w:pPr>
              <w:jc w:val="center"/>
              <w:spacing w:after="0" w:line="202" w:lineRule="exact"/>
              <w:rPr>
                <w:sz w:val="20"/>
                <w:szCs w:val="20"/>
                <w:color w:val="auto"/>
              </w:rPr>
            </w:pPr>
            <w:r>
              <w:rPr>
                <w:rFonts w:ascii="Times New Roman" w:cs="Times New Roman" w:eastAsia="Times New Roman" w:hAnsi="Times New Roman"/>
                <w:sz w:val="19"/>
                <w:szCs w:val="19"/>
                <w:b w:val="1"/>
                <w:bCs w:val="1"/>
                <w:color w:val="auto"/>
                <w:w w:val="98"/>
              </w:rPr>
              <w:t>Degree of Performance Attainment</w:t>
            </w:r>
          </w:p>
        </w:tc>
        <w:tc>
          <w:tcPr>
            <w:tcW w:w="3220" w:type="dxa"/>
            <w:vAlign w:val="bottom"/>
            <w:tcBorders>
              <w:bottom w:val="single" w:sz="8" w:color="auto"/>
              <w:right w:val="single" w:sz="8" w:color="auto"/>
            </w:tcBorders>
            <w:shd w:val="clear" w:color="auto" w:fill="F2F2F2"/>
          </w:tcPr>
          <w:p>
            <w:pPr>
              <w:jc w:val="center"/>
              <w:spacing w:after="0" w:line="202" w:lineRule="exact"/>
              <w:rPr>
                <w:sz w:val="20"/>
                <w:szCs w:val="20"/>
                <w:color w:val="auto"/>
              </w:rPr>
            </w:pPr>
            <w:r>
              <w:rPr>
                <w:rFonts w:ascii="Times New Roman" w:cs="Times New Roman" w:eastAsia="Times New Roman" w:hAnsi="Times New Roman"/>
                <w:sz w:val="19"/>
                <w:szCs w:val="19"/>
                <w:b w:val="1"/>
                <w:bCs w:val="1"/>
                <w:i w:val="1"/>
                <w:iCs w:val="1"/>
                <w:color w:val="auto"/>
                <w:w w:val="99"/>
              </w:rPr>
              <w:t>(in millions)</w:t>
            </w:r>
          </w:p>
        </w:tc>
        <w:tc>
          <w:tcPr>
            <w:tcW w:w="3160" w:type="dxa"/>
            <w:vAlign w:val="bottom"/>
            <w:tcBorders>
              <w:bottom w:val="single" w:sz="8" w:color="auto"/>
              <w:right w:val="single" w:sz="8" w:color="auto"/>
            </w:tcBorders>
            <w:gridSpan w:val="3"/>
            <w:shd w:val="clear" w:color="auto" w:fill="F2F2F2"/>
          </w:tcPr>
          <w:p>
            <w:pPr>
              <w:jc w:val="center"/>
              <w:ind w:right="40"/>
              <w:spacing w:after="0" w:line="202" w:lineRule="exact"/>
              <w:rPr>
                <w:sz w:val="20"/>
                <w:szCs w:val="20"/>
                <w:color w:val="auto"/>
              </w:rPr>
            </w:pPr>
            <w:r>
              <w:rPr>
                <w:rFonts w:ascii="Times New Roman" w:cs="Times New Roman" w:eastAsia="Times New Roman" w:hAnsi="Times New Roman"/>
                <w:sz w:val="19"/>
                <w:szCs w:val="19"/>
                <w:b w:val="1"/>
                <w:bCs w:val="1"/>
                <w:color w:val="auto"/>
                <w:w w:val="99"/>
              </w:rPr>
              <w:t>(“Payout”)</w:t>
            </w: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200%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2"/>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100%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w w:val="97"/>
              </w:rPr>
              <w:t>50%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rPr>
              <w:t>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Based on 53-week financial plan.</w:t>
      </w:r>
    </w:p>
    <w:p>
      <w:pPr>
        <w:spacing w:after="0" w:line="23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Performance Conditions for the second and third fiscal years in the Performance Period shall be based on achievement of goals related to growth in annual Adjusted Operating Income, as provided in the following table: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Years 2026 and 2027</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38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3220" w:type="dxa"/>
            <w:vAlign w:val="bottom"/>
            <w:tcBorders>
              <w:top w:val="single" w:sz="8" w:color="auto"/>
              <w:right w:val="single" w:sz="8" w:color="auto"/>
            </w:tcBorders>
            <w:shd w:val="clear" w:color="auto" w:fill="F2F2F2"/>
          </w:tcPr>
          <w:p>
            <w:pPr>
              <w:spacing w:after="0"/>
              <w:rPr>
                <w:sz w:val="19"/>
                <w:szCs w:val="19"/>
                <w:color w:val="auto"/>
              </w:rPr>
            </w:pPr>
          </w:p>
        </w:tc>
        <w:tc>
          <w:tcPr>
            <w:tcW w:w="3160" w:type="dxa"/>
            <w:vAlign w:val="bottom"/>
            <w:tcBorders>
              <w:top w:val="single" w:sz="8" w:color="auto"/>
              <w:right w:val="single" w:sz="8" w:color="auto"/>
            </w:tcBorders>
            <w:gridSpan w:val="3"/>
            <w:shd w:val="clear" w:color="auto" w:fill="F2F2F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c>
          <w:tcPr>
            <w:tcW w:w="0" w:type="dxa"/>
            <w:vAlign w:val="bottom"/>
          </w:tcPr>
          <w:p>
            <w:pPr>
              <w:spacing w:after="0"/>
              <w:rPr>
                <w:sz w:val="1"/>
                <w:szCs w:val="1"/>
                <w:color w:val="auto"/>
              </w:rPr>
            </w:pPr>
          </w:p>
        </w:tc>
      </w:tr>
      <w:tr>
        <w:trPr>
          <w:trHeight w:val="230"/>
        </w:trPr>
        <w:tc>
          <w:tcPr>
            <w:tcW w:w="3380" w:type="dxa"/>
            <w:vAlign w:val="bottom"/>
            <w:tcBorders>
              <w:left w:val="single" w:sz="8" w:color="auto"/>
              <w:right w:val="single" w:sz="8" w:color="auto"/>
            </w:tcBorders>
            <w:shd w:val="clear" w:color="auto" w:fill="F2F2F2"/>
          </w:tcPr>
          <w:p>
            <w:pPr>
              <w:spacing w:after="0"/>
              <w:rPr>
                <w:sz w:val="19"/>
                <w:szCs w:val="19"/>
                <w:color w:val="auto"/>
              </w:rPr>
            </w:pPr>
          </w:p>
        </w:tc>
        <w:tc>
          <w:tcPr>
            <w:tcW w:w="32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Growth in Adjusted Operating</w:t>
            </w:r>
          </w:p>
        </w:tc>
        <w:tc>
          <w:tcPr>
            <w:tcW w:w="1280" w:type="dxa"/>
            <w:vAlign w:val="bottom"/>
            <w:shd w:val="clear" w:color="auto" w:fill="F2F2F2"/>
          </w:tcPr>
          <w:p>
            <w:pPr>
              <w:spacing w:after="0"/>
              <w:rPr>
                <w:sz w:val="19"/>
                <w:szCs w:val="19"/>
                <w:color w:val="auto"/>
              </w:rPr>
            </w:pPr>
          </w:p>
        </w:tc>
        <w:tc>
          <w:tcPr>
            <w:tcW w:w="1880" w:type="dxa"/>
            <w:vAlign w:val="bottom"/>
            <w:tcBorders>
              <w:right w:val="single" w:sz="8" w:color="auto"/>
            </w:tcBorders>
            <w:gridSpan w:val="2"/>
            <w:shd w:val="clear" w:color="auto" w:fill="F2F2F2"/>
          </w:tcPr>
          <w:p>
            <w:pPr>
              <w:jc w:val="center"/>
              <w:ind w:right="1206"/>
              <w:spacing w:after="0"/>
              <w:rPr>
                <w:sz w:val="20"/>
                <w:szCs w:val="20"/>
                <w:color w:val="auto"/>
              </w:rPr>
            </w:pPr>
            <w:r>
              <w:rPr>
                <w:rFonts w:ascii="Times New Roman" w:cs="Times New Roman" w:eastAsia="Times New Roman" w:hAnsi="Times New Roman"/>
                <w:sz w:val="19"/>
                <w:szCs w:val="19"/>
                <w:b w:val="1"/>
                <w:bCs w:val="1"/>
                <w:color w:val="auto"/>
              </w:rPr>
              <w:t>Score</w:t>
            </w:r>
          </w:p>
        </w:tc>
        <w:tc>
          <w:tcPr>
            <w:tcW w:w="0" w:type="dxa"/>
            <w:vAlign w:val="bottom"/>
          </w:tcPr>
          <w:p>
            <w:pPr>
              <w:spacing w:after="0"/>
              <w:rPr>
                <w:sz w:val="1"/>
                <w:szCs w:val="1"/>
                <w:color w:val="auto"/>
              </w:rPr>
            </w:pPr>
          </w:p>
        </w:tc>
      </w:tr>
      <w:tr>
        <w:trPr>
          <w:trHeight w:val="30"/>
        </w:trPr>
        <w:tc>
          <w:tcPr>
            <w:tcW w:w="3380" w:type="dxa"/>
            <w:vAlign w:val="bottom"/>
            <w:tcBorders>
              <w:left w:val="single" w:sz="8" w:color="auto"/>
              <w:right w:val="single" w:sz="8" w:color="auto"/>
            </w:tcBorders>
            <w:shd w:val="clear" w:color="auto" w:fill="F2F2F2"/>
          </w:tcPr>
          <w:p>
            <w:pPr>
              <w:spacing w:after="0"/>
              <w:rPr>
                <w:sz w:val="2"/>
                <w:szCs w:val="2"/>
                <w:color w:val="auto"/>
              </w:rPr>
            </w:pPr>
          </w:p>
        </w:tc>
        <w:tc>
          <w:tcPr>
            <w:tcW w:w="3220" w:type="dxa"/>
            <w:vAlign w:val="bottom"/>
            <w:tcBorders>
              <w:right w:val="single" w:sz="8" w:color="auto"/>
            </w:tcBorders>
            <w:vMerge w:val="continue"/>
            <w:shd w:val="clear" w:color="auto" w:fill="F2F2F2"/>
          </w:tcPr>
          <w:p>
            <w:pPr>
              <w:spacing w:after="0"/>
              <w:rPr>
                <w:sz w:val="2"/>
                <w:szCs w:val="2"/>
                <w:color w:val="auto"/>
              </w:rPr>
            </w:pPr>
          </w:p>
        </w:tc>
        <w:tc>
          <w:tcPr>
            <w:tcW w:w="1280" w:type="dxa"/>
            <w:vAlign w:val="bottom"/>
            <w:vMerge w:val="restart"/>
            <w:shd w:val="clear" w:color="auto" w:fill="F2F2F2"/>
          </w:tcPr>
          <w:p>
            <w:pPr>
              <w:ind w:left="1120"/>
              <w:spacing w:after="0" w:line="200" w:lineRule="exact"/>
              <w:rPr>
                <w:sz w:val="20"/>
                <w:szCs w:val="20"/>
                <w:color w:val="auto"/>
              </w:rPr>
            </w:pPr>
            <w:r>
              <w:rPr>
                <w:rFonts w:ascii="Times New Roman" w:cs="Times New Roman" w:eastAsia="Times New Roman" w:hAnsi="Times New Roman"/>
                <w:sz w:val="19"/>
                <w:szCs w:val="19"/>
                <w:b w:val="1"/>
                <w:bCs w:val="1"/>
                <w:color w:val="auto"/>
                <w:w w:val="88"/>
              </w:rPr>
              <w:t>(“</w:t>
            </w:r>
          </w:p>
        </w:tc>
        <w:tc>
          <w:tcPr>
            <w:tcW w:w="580" w:type="dxa"/>
            <w:vAlign w:val="bottom"/>
            <w:vMerge w:val="restart"/>
            <w:shd w:val="clear" w:color="auto" w:fill="F2F2F2"/>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Payout</w:t>
            </w:r>
          </w:p>
        </w:tc>
        <w:tc>
          <w:tcPr>
            <w:tcW w:w="1300" w:type="dxa"/>
            <w:vAlign w:val="bottom"/>
            <w:tcBorders>
              <w:right w:val="single" w:sz="8" w:color="auto"/>
            </w:tcBorders>
            <w:vMerge w:val="restart"/>
            <w:shd w:val="clear" w:color="auto" w:fill="F2F2F2"/>
          </w:tcPr>
          <w:p>
            <w:pPr>
              <w:spacing w:after="0" w:line="200" w:lineRule="exact"/>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line="20" w:lineRule="exact"/>
              <w:rPr>
                <w:sz w:val="1"/>
                <w:szCs w:val="1"/>
                <w:color w:val="auto"/>
              </w:rPr>
            </w:pPr>
          </w:p>
        </w:tc>
      </w:tr>
      <w:tr>
        <w:trPr>
          <w:trHeight w:val="175"/>
        </w:trPr>
        <w:tc>
          <w:tcPr>
            <w:tcW w:w="3380" w:type="dxa"/>
            <w:vAlign w:val="bottom"/>
            <w:tcBorders>
              <w:left w:val="single" w:sz="8" w:color="auto"/>
              <w:bottom w:val="single" w:sz="8" w:color="F2F2F2"/>
              <w:right w:val="single" w:sz="8" w:color="auto"/>
            </w:tcBorders>
            <w:shd w:val="clear" w:color="auto" w:fill="F2F2F2"/>
          </w:tcPr>
          <w:p>
            <w:pPr>
              <w:jc w:val="center"/>
              <w:spacing w:after="0" w:line="169" w:lineRule="exact"/>
              <w:rPr>
                <w:sz w:val="20"/>
                <w:szCs w:val="20"/>
                <w:color w:val="auto"/>
              </w:rPr>
            </w:pPr>
            <w:r>
              <w:rPr>
                <w:rFonts w:ascii="Times New Roman" w:cs="Times New Roman" w:eastAsia="Times New Roman" w:hAnsi="Times New Roman"/>
                <w:sz w:val="19"/>
                <w:szCs w:val="19"/>
                <w:b w:val="1"/>
                <w:bCs w:val="1"/>
                <w:color w:val="auto"/>
                <w:w w:val="98"/>
              </w:rPr>
              <w:t>Degree of Performance Attainment</w:t>
            </w:r>
          </w:p>
        </w:tc>
        <w:tc>
          <w:tcPr>
            <w:tcW w:w="3220" w:type="dxa"/>
            <w:vAlign w:val="bottom"/>
            <w:tcBorders>
              <w:bottom w:val="single" w:sz="8" w:color="F2F2F2"/>
              <w:right w:val="single" w:sz="8" w:color="auto"/>
            </w:tcBorders>
            <w:shd w:val="clear" w:color="auto" w:fill="F2F2F2"/>
          </w:tcPr>
          <w:p>
            <w:pPr>
              <w:jc w:val="center"/>
              <w:spacing w:after="0" w:line="169" w:lineRule="exact"/>
              <w:rPr>
                <w:sz w:val="20"/>
                <w:szCs w:val="20"/>
                <w:color w:val="auto"/>
              </w:rPr>
            </w:pPr>
            <w:r>
              <w:rPr>
                <w:rFonts w:ascii="Times New Roman" w:cs="Times New Roman" w:eastAsia="Times New Roman" w:hAnsi="Times New Roman"/>
                <w:sz w:val="19"/>
                <w:szCs w:val="19"/>
                <w:b w:val="1"/>
                <w:bCs w:val="1"/>
                <w:color w:val="auto"/>
                <w:w w:val="99"/>
              </w:rPr>
              <w:t>Income</w:t>
            </w:r>
          </w:p>
        </w:tc>
        <w:tc>
          <w:tcPr>
            <w:tcW w:w="1280" w:type="dxa"/>
            <w:vAlign w:val="bottom"/>
            <w:tcBorders>
              <w:bottom w:val="single" w:sz="8" w:color="F2F2F2"/>
            </w:tcBorders>
            <w:vMerge w:val="continue"/>
            <w:shd w:val="clear" w:color="auto" w:fill="F2F2F2"/>
          </w:tcPr>
          <w:p>
            <w:pPr>
              <w:spacing w:after="0"/>
              <w:rPr>
                <w:sz w:val="15"/>
                <w:szCs w:val="15"/>
                <w:color w:val="auto"/>
              </w:rPr>
            </w:pPr>
          </w:p>
        </w:tc>
        <w:tc>
          <w:tcPr>
            <w:tcW w:w="580" w:type="dxa"/>
            <w:vAlign w:val="bottom"/>
            <w:tcBorders>
              <w:bottom w:val="single" w:sz="8" w:color="auto"/>
            </w:tcBorders>
            <w:vMerge w:val="continue"/>
            <w:shd w:val="clear" w:color="auto" w:fill="F2F2F2"/>
          </w:tcPr>
          <w:p>
            <w:pPr>
              <w:spacing w:after="0"/>
              <w:rPr>
                <w:sz w:val="15"/>
                <w:szCs w:val="15"/>
                <w:color w:val="auto"/>
              </w:rPr>
            </w:pPr>
          </w:p>
        </w:tc>
        <w:tc>
          <w:tcPr>
            <w:tcW w:w="1300" w:type="dxa"/>
            <w:vAlign w:val="bottom"/>
            <w:tcBorders>
              <w:bottom w:val="single" w:sz="8" w:color="F2F2F2"/>
              <w:right w:val="single" w:sz="8" w:color="auto"/>
            </w:tcBorders>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380" w:type="dxa"/>
            <w:vAlign w:val="bottom"/>
            <w:tcBorders>
              <w:left w:val="single" w:sz="8" w:color="auto"/>
              <w:bottom w:val="single" w:sz="8" w:color="auto"/>
              <w:right w:val="single" w:sz="8" w:color="auto"/>
            </w:tcBorders>
            <w:shd w:val="clear" w:color="auto" w:fill="F2F2F2"/>
          </w:tcPr>
          <w:p>
            <w:pPr>
              <w:spacing w:after="0"/>
              <w:rPr>
                <w:sz w:val="5"/>
                <w:szCs w:val="5"/>
                <w:color w:val="auto"/>
              </w:rPr>
            </w:pPr>
          </w:p>
        </w:tc>
        <w:tc>
          <w:tcPr>
            <w:tcW w:w="3220" w:type="dxa"/>
            <w:vAlign w:val="bottom"/>
            <w:tcBorders>
              <w:bottom w:val="single" w:sz="8" w:color="auto"/>
              <w:right w:val="single" w:sz="8" w:color="auto"/>
            </w:tcBorders>
            <w:shd w:val="clear" w:color="auto" w:fill="F2F2F2"/>
          </w:tcPr>
          <w:p>
            <w:pPr>
              <w:spacing w:after="0"/>
              <w:rPr>
                <w:sz w:val="5"/>
                <w:szCs w:val="5"/>
                <w:color w:val="auto"/>
              </w:rPr>
            </w:pPr>
          </w:p>
        </w:tc>
        <w:tc>
          <w:tcPr>
            <w:tcW w:w="1280" w:type="dxa"/>
            <w:vAlign w:val="bottom"/>
            <w:tcBorders>
              <w:bottom w:val="single" w:sz="8" w:color="auto"/>
            </w:tcBorders>
            <w:shd w:val="clear" w:color="auto" w:fill="F2F2F2"/>
          </w:tcPr>
          <w:p>
            <w:pPr>
              <w:spacing w:after="0"/>
              <w:rPr>
                <w:sz w:val="5"/>
                <w:szCs w:val="5"/>
                <w:color w:val="auto"/>
              </w:rPr>
            </w:pPr>
          </w:p>
        </w:tc>
        <w:tc>
          <w:tcPr>
            <w:tcW w:w="580" w:type="dxa"/>
            <w:vAlign w:val="bottom"/>
            <w:tcBorders>
              <w:bottom w:val="single" w:sz="8" w:color="auto"/>
            </w:tcBorders>
            <w:shd w:val="clear" w:color="auto" w:fill="F2F2F2"/>
          </w:tcPr>
          <w:p>
            <w:pPr>
              <w:spacing w:after="0"/>
              <w:rPr>
                <w:sz w:val="5"/>
                <w:szCs w:val="5"/>
                <w:color w:val="auto"/>
              </w:rPr>
            </w:pPr>
          </w:p>
        </w:tc>
        <w:tc>
          <w:tcPr>
            <w:tcW w:w="1300" w:type="dxa"/>
            <w:vAlign w:val="bottom"/>
            <w:tcBorders>
              <w:bottom w:val="single" w:sz="8" w:color="auto"/>
              <w:right w:val="single" w:sz="8" w:color="auto"/>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200%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2"/>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100%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w w:val="97"/>
              </w:rPr>
              <w:t>50%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rPr>
              <w:t>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9"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20"/>
          <w:szCs w:val="20"/>
          <w:color w:val="auto"/>
        </w:rPr>
        <w:t>As soon as practicable following the end of the first fiscal year, the Committee (or its designee) shall determine the Company’s performance percentage score for such fiscal year and shall determine the actual AOI (the “</w:t>
      </w:r>
      <w:r>
        <w:rPr>
          <w:rFonts w:ascii="Times New Roman" w:cs="Times New Roman" w:eastAsia="Times New Roman" w:hAnsi="Times New Roman"/>
          <w:sz w:val="20"/>
          <w:szCs w:val="20"/>
          <w:u w:val="single" w:color="auto"/>
          <w:color w:val="auto"/>
        </w:rPr>
        <w:t>Baseline AOI</w:t>
      </w:r>
      <w:r>
        <w:rPr>
          <w:rFonts w:ascii="Times New Roman" w:cs="Times New Roman" w:eastAsia="Times New Roman" w:hAnsi="Times New Roman"/>
          <w:sz w:val="20"/>
          <w:szCs w:val="20"/>
          <w:color w:val="auto"/>
        </w:rPr>
        <w:t>”) as of the end of the first fiscal year. At the end of the second fiscal year in the Performance Period, the Committee shall determine (i) the actual AOI as of the end of the second fiscal year in the Performance Period (the “</w:t>
      </w:r>
      <w:r>
        <w:rPr>
          <w:rFonts w:ascii="Times New Roman" w:cs="Times New Roman" w:eastAsia="Times New Roman" w:hAnsi="Times New Roman"/>
          <w:sz w:val="20"/>
          <w:szCs w:val="20"/>
          <w:u w:val="single" w:color="auto"/>
          <w:color w:val="auto"/>
        </w:rPr>
        <w:t>Actual AOI</w:t>
      </w:r>
      <w:r>
        <w:rPr>
          <w:rFonts w:ascii="Times New Roman" w:cs="Times New Roman" w:eastAsia="Times New Roman" w:hAnsi="Times New Roman"/>
          <w:sz w:val="20"/>
          <w:szCs w:val="20"/>
          <w:color w:val="auto"/>
        </w:rPr>
        <w:t>”) and (ii) the percentage growth between the Baseline AOI and the Actual AOI for the second fiscal year as follows: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((Actual AOI for the second year – Baseline AOI) / (Baseline AOI))</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soon as practicable following the end of the second fiscal year, the Committee (or its designee) shall determine the Company’s performance percentage score for such fiscal year.</w:t>
      </w:r>
    </w:p>
    <w:p>
      <w:pPr>
        <w:spacing w:after="0" w:line="187"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20"/>
          <w:szCs w:val="20"/>
          <w:color w:val="auto"/>
        </w:rPr>
        <w:t>For the third fiscal year in the Performance Period, the Committee shall make the same determination with respect to Actual AOI and percentage growth as set forth above; provided, however, that the percentage growth shall be determined between the Actual AOI as of the end of the second fiscal year in the Performance Period and the Actual AOI as of the end of the third fiscal year in the Performance Period.</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Notwithstanding the foregoing, in the event that the Company’s overall percentage growth for the Performance Period is a negative number, then degree of performance attainment will be deemed to be less than threshold for the AOI portion of the PSU, regardless of the Company’s Actual AOI or percentage growth for any particular year.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the case of any individual merger, acquisition, or divestiture for which the net assets acquired or disposed, on an annualized basis, generate an annual run rate AOI in excess of 2% of the Baseline AOI in the fiscal year such transaction closes (each, an “</w:t>
      </w:r>
      <w:r>
        <w:rPr>
          <w:rFonts w:ascii="Times New Roman" w:cs="Times New Roman" w:eastAsia="Times New Roman" w:hAnsi="Times New Roman"/>
          <w:sz w:val="20"/>
          <w:szCs w:val="20"/>
          <w:u w:val="single" w:color="auto"/>
          <w:color w:val="auto"/>
        </w:rPr>
        <w:t>Excluded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the AOI results attributable to such Excluded Transaction shall be excluded from the AOI results for the fiscal year in which such Excluded Transaction closes for purposes of calculating the annual AOI growth for such fiscal year. Notwithstanding the foregoing, for purposes of calculating the annual AOI growth for any fiscal year in the Performance Period after such Excluded Transaction closes, the AOI results attributable to such Excluded Transaction shall be included in the prior fiscal year AOI results, on an annualized basis.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Following the last day of the Performance Period, the Committee shall average the percentage performance scores achieved with respect to each fiscal year in the Performance Period to determine the actual Payout percentage for the AOI PSUs. The number of AOI PSUs that become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 for the Performance Period shall be equal to (x) the number of Target AOI PSUs multiplied by (y) the applicable Payout percentage earned (calculated as set forth above), rounded up to the nearest whole unit.</w:t>
      </w:r>
    </w:p>
    <w:p>
      <w:pPr>
        <w:sectPr>
          <w:pgSz w:w="11900" w:h="16838" w:orient="portrait"/>
          <w:cols w:equalWidth="0" w:num="1">
            <w:col w:w="11240"/>
          </w:cols>
          <w:pgMar w:left="320" w:top="1440"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(ROIC)</w:t>
      </w: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Participant may earn a percentage of the ROIC PSUs based on the average of the Company’s performance percentage scores against Performance Conditions relating to ROIC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purposes of the ROIC PSUs, “</w:t>
      </w:r>
      <w:r>
        <w:rPr>
          <w:rFonts w:ascii="Times New Roman" w:cs="Times New Roman" w:eastAsia="Times New Roman" w:hAnsi="Times New Roman"/>
          <w:sz w:val="20"/>
          <w:szCs w:val="20"/>
          <w:u w:val="single" w:color="auto"/>
          <w:color w:val="auto"/>
        </w:rPr>
        <w:t>ROIC</w:t>
      </w:r>
      <w:r>
        <w:rPr>
          <w:rFonts w:ascii="Times New Roman" w:cs="Times New Roman" w:eastAsia="Times New Roman" w:hAnsi="Times New Roman"/>
          <w:sz w:val="20"/>
          <w:szCs w:val="20"/>
          <w:color w:val="auto"/>
        </w:rPr>
        <w:t>” means annual Adjusted Operating Income, as defined in Exhibit A, plus annual rent expenses, including capital lease depreciation, less taxes, divided by (trailing 13 month average net property, plant and equipment, excluding capital lease assets, plus trailing 13 month average net working capital plus annual rent expense including capital lease depreciation and interest).</w:t>
      </w: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Performance Conditions for the first fiscal year in the Performance Period shall be based on achievement of specified annual ROIC goals, as provided in the following table: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 2025</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80" w:type="dxa"/>
            <w:vAlign w:val="bottom"/>
            <w:tcBorders>
              <w:top w:val="single" w:sz="8" w:color="auto"/>
              <w:left w:val="single" w:sz="8" w:color="auto"/>
              <w:right w:val="single" w:sz="8" w:color="auto"/>
            </w:tcBorders>
          </w:tcPr>
          <w:p>
            <w:pPr>
              <w:spacing w:after="0"/>
              <w:rPr>
                <w:sz w:val="20"/>
                <w:szCs w:val="20"/>
                <w:color w:val="auto"/>
              </w:rPr>
            </w:pPr>
          </w:p>
        </w:tc>
        <w:tc>
          <w:tcPr>
            <w:tcW w:w="3220" w:type="dxa"/>
            <w:vAlign w:val="bottom"/>
            <w:tcBorders>
              <w:top w:val="single" w:sz="8" w:color="auto"/>
              <w:right w:val="single" w:sz="8" w:color="auto"/>
            </w:tcBorders>
          </w:tcPr>
          <w:p>
            <w:pPr>
              <w:spacing w:after="0"/>
              <w:rPr>
                <w:sz w:val="20"/>
                <w:szCs w:val="20"/>
                <w:color w:val="auto"/>
              </w:rPr>
            </w:pPr>
          </w:p>
        </w:tc>
        <w:tc>
          <w:tcPr>
            <w:tcW w:w="31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r>
      <w:tr>
        <w:trPr>
          <w:trHeight w:val="230"/>
        </w:trPr>
        <w:tc>
          <w:tcPr>
            <w:tcW w:w="3380" w:type="dxa"/>
            <w:vAlign w:val="bottom"/>
            <w:tcBorders>
              <w:left w:val="single" w:sz="8" w:color="auto"/>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Borders>
              <w:right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9"/>
                <w:szCs w:val="19"/>
                <w:b w:val="1"/>
                <w:bCs w:val="1"/>
                <w:color w:val="auto"/>
              </w:rPr>
              <w:t>Score</w:t>
            </w:r>
          </w:p>
        </w:tc>
      </w:tr>
      <w:tr>
        <w:trPr>
          <w:trHeight w:val="206"/>
        </w:trPr>
        <w:tc>
          <w:tcPr>
            <w:tcW w:w="338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w w:val="99"/>
              </w:rPr>
              <w:t>Degree of Performance Attainment</w:t>
            </w:r>
          </w:p>
        </w:tc>
        <w:tc>
          <w:tcPr>
            <w:tcW w:w="3220" w:type="dxa"/>
            <w:vAlign w:val="bottom"/>
            <w:tcBorders>
              <w:right w:val="single" w:sz="8" w:color="auto"/>
            </w:tcBorders>
          </w:tcPr>
          <w:p>
            <w:pPr>
              <w:ind w:left="1140"/>
              <w:spacing w:after="0" w:line="186" w:lineRule="exact"/>
              <w:rPr>
                <w:sz w:val="20"/>
                <w:szCs w:val="20"/>
                <w:color w:val="auto"/>
              </w:rPr>
            </w:pPr>
            <w:r>
              <w:rPr>
                <w:rFonts w:ascii="Times New Roman" w:cs="Times New Roman" w:eastAsia="Times New Roman" w:hAnsi="Times New Roman"/>
                <w:sz w:val="19"/>
                <w:szCs w:val="19"/>
                <w:b w:val="1"/>
                <w:bCs w:val="1"/>
                <w:color w:val="auto"/>
              </w:rPr>
              <w:t>2025 ROIC</w:t>
            </w:r>
          </w:p>
        </w:tc>
        <w:tc>
          <w:tcPr>
            <w:tcW w:w="3160" w:type="dxa"/>
            <w:vAlign w:val="bottom"/>
            <w:tcBorders>
              <w:right w:val="single" w:sz="8" w:color="auto"/>
            </w:tcBorders>
            <w:gridSpan w:val="3"/>
          </w:tcPr>
          <w:p>
            <w:pPr>
              <w:jc w:val="center"/>
              <w:ind w:right="40"/>
              <w:spacing w:after="0" w:line="186" w:lineRule="exact"/>
              <w:rPr>
                <w:sz w:val="20"/>
                <w:szCs w:val="20"/>
                <w:color w:val="auto"/>
              </w:rPr>
            </w:pPr>
            <w:r>
              <w:rPr>
                <w:rFonts w:ascii="Times New Roman" w:cs="Times New Roman" w:eastAsia="Times New Roman" w:hAnsi="Times New Roman"/>
                <w:sz w:val="19"/>
                <w:szCs w:val="19"/>
                <w:b w:val="1"/>
                <w:bCs w:val="1"/>
                <w:color w:val="auto"/>
                <w:w w:val="99"/>
              </w:rPr>
              <w:t>(“Payout”)</w:t>
            </w:r>
          </w:p>
        </w:tc>
      </w:tr>
      <w:tr>
        <w:trPr>
          <w:trHeight w:val="48"/>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200%</w:t>
            </w:r>
          </w:p>
        </w:tc>
        <w:tc>
          <w:tcPr>
            <w:tcW w:w="1300" w:type="dxa"/>
            <w:vAlign w:val="bottom"/>
            <w:tcBorders>
              <w:bottom w:val="single" w:sz="8" w:color="auto"/>
              <w:right w:val="single" w:sz="8" w:color="auto"/>
            </w:tcBorders>
          </w:tcPr>
          <w:p>
            <w:pPr>
              <w:spacing w:after="0"/>
              <w:rPr>
                <w:sz w:val="20"/>
                <w:szCs w:val="20"/>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100%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w w:val="97"/>
              </w:rPr>
              <w:t>50%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rPr>
              <w:t>0%</w:t>
            </w:r>
          </w:p>
        </w:tc>
        <w:tc>
          <w:tcPr>
            <w:tcW w:w="1300" w:type="dxa"/>
            <w:vAlign w:val="bottom"/>
            <w:tcBorders>
              <w:bottom w:val="single" w:sz="8" w:color="auto"/>
              <w:right w:val="single" w:sz="8" w:color="auto"/>
            </w:tcBorders>
          </w:tcPr>
          <w:p>
            <w:pPr>
              <w:spacing w:after="0"/>
              <w:rPr>
                <w:sz w:val="20"/>
                <w:szCs w:val="20"/>
                <w:color w:val="auto"/>
              </w:rPr>
            </w:pPr>
          </w:p>
        </w:tc>
      </w:tr>
    </w:tbl>
    <w:p>
      <w:pPr>
        <w:spacing w:after="0" w:line="28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Performance Conditions for the second and third fiscal years in the Performance Period shall be based on achievement of goals related to growth in ROIC, as provided in the following table: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Years 2026 and 2027</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380" w:type="dxa"/>
            <w:vAlign w:val="bottom"/>
            <w:tcBorders>
              <w:top w:val="single" w:sz="8" w:color="auto"/>
              <w:left w:val="single" w:sz="8" w:color="auto"/>
              <w:right w:val="single" w:sz="8" w:color="auto"/>
            </w:tcBorders>
          </w:tcPr>
          <w:p>
            <w:pPr>
              <w:spacing w:after="0"/>
              <w:rPr>
                <w:sz w:val="19"/>
                <w:szCs w:val="19"/>
                <w:color w:val="auto"/>
              </w:rPr>
            </w:pPr>
          </w:p>
        </w:tc>
        <w:tc>
          <w:tcPr>
            <w:tcW w:w="3220" w:type="dxa"/>
            <w:vAlign w:val="bottom"/>
            <w:tcBorders>
              <w:top w:val="single" w:sz="8" w:color="auto"/>
              <w:right w:val="single" w:sz="8" w:color="auto"/>
            </w:tcBorders>
          </w:tcPr>
          <w:p>
            <w:pPr>
              <w:spacing w:after="0"/>
              <w:rPr>
                <w:sz w:val="19"/>
                <w:szCs w:val="19"/>
                <w:color w:val="auto"/>
              </w:rPr>
            </w:pPr>
          </w:p>
        </w:tc>
        <w:tc>
          <w:tcPr>
            <w:tcW w:w="31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tcPr>
          <w:p>
            <w:pPr>
              <w:ind w:left="920"/>
              <w:spacing w:after="0" w:line="216" w:lineRule="exact"/>
              <w:rPr>
                <w:sz w:val="20"/>
                <w:szCs w:val="20"/>
                <w:color w:val="auto"/>
              </w:rPr>
            </w:pPr>
            <w:r>
              <w:rPr>
                <w:rFonts w:ascii="Times New Roman" w:cs="Times New Roman" w:eastAsia="Times New Roman" w:hAnsi="Times New Roman"/>
                <w:sz w:val="19"/>
                <w:szCs w:val="19"/>
                <w:b w:val="1"/>
                <w:bCs w:val="1"/>
                <w:color w:val="auto"/>
              </w:rPr>
              <w:t>Growth in ROIC</w:t>
            </w:r>
          </w:p>
        </w:tc>
        <w:tc>
          <w:tcPr>
            <w:tcW w:w="1280" w:type="dxa"/>
            <w:vAlign w:val="bottom"/>
          </w:tcPr>
          <w:p>
            <w:pPr>
              <w:spacing w:after="0"/>
              <w:rPr>
                <w:sz w:val="18"/>
                <w:szCs w:val="18"/>
                <w:color w:val="auto"/>
              </w:rPr>
            </w:pPr>
          </w:p>
        </w:tc>
        <w:tc>
          <w:tcPr>
            <w:tcW w:w="1880" w:type="dxa"/>
            <w:vAlign w:val="bottom"/>
            <w:tcBorders>
              <w:right w:val="single" w:sz="8" w:color="auto"/>
            </w:tcBorders>
            <w:gridSpan w:val="2"/>
          </w:tcPr>
          <w:p>
            <w:pPr>
              <w:jc w:val="center"/>
              <w:ind w:right="1206"/>
              <w:spacing w:after="0" w:line="216" w:lineRule="exact"/>
              <w:rPr>
                <w:sz w:val="20"/>
                <w:szCs w:val="20"/>
                <w:color w:val="auto"/>
              </w:rPr>
            </w:pPr>
            <w:r>
              <w:rPr>
                <w:rFonts w:ascii="Times New Roman" w:cs="Times New Roman" w:eastAsia="Times New Roman" w:hAnsi="Times New Roman"/>
                <w:sz w:val="19"/>
                <w:szCs w:val="19"/>
                <w:b w:val="1"/>
                <w:bCs w:val="1"/>
                <w:color w:val="auto"/>
              </w:rPr>
              <w:t>Score</w:t>
            </w:r>
          </w:p>
        </w:tc>
      </w:tr>
      <w:tr>
        <w:trPr>
          <w:trHeight w:val="219"/>
        </w:trPr>
        <w:tc>
          <w:tcPr>
            <w:tcW w:w="3380" w:type="dxa"/>
            <w:vAlign w:val="bottom"/>
            <w:tcBorders>
              <w:left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19"/>
                <w:szCs w:val="19"/>
                <w:b w:val="1"/>
                <w:bCs w:val="1"/>
                <w:color w:val="auto"/>
                <w:w w:val="99"/>
              </w:rPr>
              <w:t>Degree of Performance Attainment</w:t>
            </w:r>
          </w:p>
        </w:tc>
        <w:tc>
          <w:tcPr>
            <w:tcW w:w="3220" w:type="dxa"/>
            <w:vAlign w:val="bottom"/>
            <w:tcBorders>
              <w:right w:val="single" w:sz="8" w:color="auto"/>
            </w:tcBorders>
          </w:tcPr>
          <w:p>
            <w:pPr>
              <w:ind w:left="940"/>
              <w:spacing w:after="0" w:line="213" w:lineRule="exact"/>
              <w:rPr>
                <w:sz w:val="20"/>
                <w:szCs w:val="20"/>
                <w:color w:val="auto"/>
              </w:rPr>
            </w:pPr>
            <w:r>
              <w:rPr>
                <w:rFonts w:ascii="Times New Roman" w:cs="Times New Roman" w:eastAsia="Times New Roman" w:hAnsi="Times New Roman"/>
                <w:sz w:val="19"/>
                <w:szCs w:val="19"/>
                <w:b w:val="1"/>
                <w:bCs w:val="1"/>
                <w:color w:val="auto"/>
              </w:rPr>
              <w:t>(increase in bps)</w:t>
            </w:r>
          </w:p>
        </w:tc>
        <w:tc>
          <w:tcPr>
            <w:tcW w:w="1280" w:type="dxa"/>
            <w:vAlign w:val="bottom"/>
          </w:tcPr>
          <w:p>
            <w:pPr>
              <w:ind w:left="1120"/>
              <w:spacing w:after="0" w:line="213" w:lineRule="exact"/>
              <w:rPr>
                <w:sz w:val="20"/>
                <w:szCs w:val="20"/>
                <w:color w:val="auto"/>
              </w:rPr>
            </w:pPr>
            <w:r>
              <w:rPr>
                <w:rFonts w:ascii="Times New Roman" w:cs="Times New Roman" w:eastAsia="Times New Roman" w:hAnsi="Times New Roman"/>
                <w:sz w:val="19"/>
                <w:szCs w:val="19"/>
                <w:b w:val="1"/>
                <w:bCs w:val="1"/>
                <w:color w:val="auto"/>
                <w:w w:val="88"/>
              </w:rPr>
              <w:t>(“</w:t>
            </w:r>
          </w:p>
        </w:tc>
        <w:tc>
          <w:tcPr>
            <w:tcW w:w="58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9"/>
                <w:szCs w:val="19"/>
                <w:b w:val="1"/>
                <w:bCs w:val="1"/>
                <w:color w:val="auto"/>
              </w:rPr>
              <w:t>Payout</w:t>
            </w:r>
          </w:p>
        </w:tc>
        <w:tc>
          <w:tcPr>
            <w:tcW w:w="1300" w:type="dxa"/>
            <w:vAlign w:val="bottom"/>
            <w:tcBorders>
              <w:right w:val="single" w:sz="8" w:color="auto"/>
            </w:tcBorders>
          </w:tcPr>
          <w:p>
            <w:pPr>
              <w:spacing w:after="0" w:line="213" w:lineRule="exact"/>
              <w:rPr>
                <w:sz w:val="20"/>
                <w:szCs w:val="20"/>
                <w:color w:val="auto"/>
              </w:rPr>
            </w:pPr>
            <w:r>
              <w:rPr>
                <w:rFonts w:ascii="Times New Roman" w:cs="Times New Roman" w:eastAsia="Times New Roman" w:hAnsi="Times New Roman"/>
                <w:sz w:val="19"/>
                <w:szCs w:val="19"/>
                <w:b w:val="1"/>
                <w:bCs w:val="1"/>
                <w:color w:val="auto"/>
              </w:rPr>
              <w:t>”)</w:t>
            </w:r>
          </w:p>
        </w:tc>
      </w:tr>
      <w:tr>
        <w:trPr>
          <w:trHeight w:val="61"/>
        </w:trPr>
        <w:tc>
          <w:tcPr>
            <w:tcW w:w="3380" w:type="dxa"/>
            <w:vAlign w:val="bottom"/>
            <w:tcBorders>
              <w:left w:val="single" w:sz="8" w:color="auto"/>
              <w:bottom w:val="single" w:sz="8" w:color="auto"/>
              <w:right w:val="single" w:sz="8" w:color="auto"/>
            </w:tcBorders>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200%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100%</w:t>
            </w:r>
          </w:p>
        </w:tc>
        <w:tc>
          <w:tcPr>
            <w:tcW w:w="1300" w:type="dxa"/>
            <w:vAlign w:val="bottom"/>
            <w:tcBorders>
              <w:bottom w:val="single" w:sz="8" w:color="auto"/>
              <w:right w:val="single" w:sz="8" w:color="auto"/>
            </w:tcBorders>
          </w:tcPr>
          <w:p>
            <w:pPr>
              <w:spacing w:after="0"/>
              <w:rPr>
                <w:sz w:val="20"/>
                <w:szCs w:val="20"/>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w w:val="97"/>
              </w:rPr>
              <w:t>50%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rPr>
              <w:t>0%</w:t>
            </w:r>
          </w:p>
        </w:tc>
        <w:tc>
          <w:tcPr>
            <w:tcW w:w="130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40"/>
          </w:cols>
          <w:pgMar w:left="320" w:top="1409" w:right="339" w:bottom="1440" w:gutter="0" w:footer="0" w:header="0"/>
        </w:sectPr>
      </w:pPr>
    </w:p>
    <w:bookmarkStart w:id="54" w:name="page55"/>
    <w:bookmarkEnd w:id="54"/>
    <w:p>
      <w:pPr>
        <w:jc w:val="both"/>
        <w:ind w:firstLine="351"/>
        <w:spacing w:after="0" w:line="253" w:lineRule="auto"/>
        <w:rPr>
          <w:sz w:val="20"/>
          <w:szCs w:val="20"/>
          <w:color w:val="auto"/>
        </w:rPr>
      </w:pPr>
      <w:r>
        <w:rPr>
          <w:rFonts w:ascii="Times New Roman" w:cs="Times New Roman" w:eastAsia="Times New Roman" w:hAnsi="Times New Roman"/>
          <w:sz w:val="20"/>
          <w:szCs w:val="20"/>
          <w:color w:val="auto"/>
        </w:rPr>
        <w:t>As soon as practicable following the end of the first fiscal year, the Committee (or its designee) shall determine the Company’s performance percentage score for such fiscal year and shall determine the actual ROIC (the “</w:t>
      </w:r>
      <w:r>
        <w:rPr>
          <w:rFonts w:ascii="Times New Roman" w:cs="Times New Roman" w:eastAsia="Times New Roman" w:hAnsi="Times New Roman"/>
          <w:sz w:val="20"/>
          <w:szCs w:val="20"/>
          <w:u w:val="single" w:color="auto"/>
          <w:color w:val="auto"/>
        </w:rPr>
        <w:t>Baseline ROIC</w:t>
      </w:r>
      <w:r>
        <w:rPr>
          <w:rFonts w:ascii="Times New Roman" w:cs="Times New Roman" w:eastAsia="Times New Roman" w:hAnsi="Times New Roman"/>
          <w:sz w:val="20"/>
          <w:szCs w:val="20"/>
          <w:color w:val="auto"/>
        </w:rPr>
        <w:t>”) as of the end of the first fiscal year. At the end of the second fiscal year in the Performance Period, the Committee shall determine (i) the actual ROIC as of the end of the second fiscal year in the Performance Period (the “</w:t>
      </w:r>
      <w:r>
        <w:rPr>
          <w:rFonts w:ascii="Times New Roman" w:cs="Times New Roman" w:eastAsia="Times New Roman" w:hAnsi="Times New Roman"/>
          <w:sz w:val="20"/>
          <w:szCs w:val="20"/>
          <w:u w:val="single" w:color="auto"/>
          <w:color w:val="auto"/>
        </w:rPr>
        <w:t>Actual ROIC</w:t>
      </w:r>
      <w:r>
        <w:rPr>
          <w:rFonts w:ascii="Times New Roman" w:cs="Times New Roman" w:eastAsia="Times New Roman" w:hAnsi="Times New Roman"/>
          <w:sz w:val="20"/>
          <w:szCs w:val="20"/>
          <w:color w:val="auto"/>
        </w:rPr>
        <w:t>”) and (ii) the change in bps between the Baseline ROIC and the Actual ROIC for the second fiscal year as follows: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(Actual ROIC for the second year – Baseline ROIC) * 10,000</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soon as practicable following the end of the second fiscal year, the Committee (or its designee) shall determine the Company’s performance percentage score for such fiscal year.</w:t>
      </w:r>
    </w:p>
    <w:p>
      <w:pPr>
        <w:spacing w:after="0" w:line="200" w:lineRule="exact"/>
        <w:rPr>
          <w:sz w:val="20"/>
          <w:szCs w:val="20"/>
          <w:color w:val="auto"/>
        </w:rPr>
      </w:pPr>
    </w:p>
    <w:p>
      <w:pPr>
        <w:jc w:val="both"/>
        <w:ind w:firstLine="252"/>
        <w:spacing w:after="0" w:line="261" w:lineRule="auto"/>
        <w:rPr>
          <w:sz w:val="20"/>
          <w:szCs w:val="20"/>
          <w:color w:val="auto"/>
        </w:rPr>
      </w:pPr>
      <w:r>
        <w:rPr>
          <w:rFonts w:ascii="Times New Roman" w:cs="Times New Roman" w:eastAsia="Times New Roman" w:hAnsi="Times New Roman"/>
          <w:sz w:val="20"/>
          <w:szCs w:val="20"/>
          <w:color w:val="auto"/>
        </w:rPr>
        <w:t>For the third fiscal year in the Performance Period, the Committee shall make the same determination with respect to Actual ROIC and change in bps as set forth above; provided, however, that the change in bps shall be determined between the Actual ROIC as of the end of the second fiscal year in the Performance Period and the Actual ROIC as of the end of the third fiscal year in the Performance Period.</w:t>
      </w: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the case of any individual merger, acquisition, or divestiture for which the net assets acquired or disposed, on an annualized basis, generate an annual run rate ROIC in excess of 2% of the Baseline ROIC in the fiscal year such transaction closes (each, an “</w:t>
      </w:r>
      <w:r>
        <w:rPr>
          <w:rFonts w:ascii="Times New Roman" w:cs="Times New Roman" w:eastAsia="Times New Roman" w:hAnsi="Times New Roman"/>
          <w:sz w:val="20"/>
          <w:szCs w:val="20"/>
          <w:u w:val="single" w:color="auto"/>
          <w:color w:val="auto"/>
        </w:rPr>
        <w:t>Excluded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the ROIC results attributable to such Excluded Transaction shall be excluded from the ROIC results for the fiscal year in which such Excluded Transaction closes for purposes of calculating the annual ROIC growth for such fiscal year. Notwithstanding the foregoing, for purposes of calculating the annual ROIC growth for any fiscal year in the Performance Period after such Excluded Transaction closes, the ROIC results attributable to such Excluded Transaction shall be included in the prior fiscal year ROIC results, on an annualized basis.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Following the last day of the Performance Period, the Committee shall average the percentage performance scores achieved with respect to each fiscal year in the Performance Period to determine the actual Payout percentage for the ROIC PSUs. The number of ROIC PSUs that become “Earned PSUs” for the Performance Period shall be equal to (x) the number of Target ROIC PSUs multiplied by (y) the applicable Payout percentage earned (calculated as set forth above), rounded up to the nearest whole unit.</w:t>
      </w:r>
    </w:p>
    <w:p>
      <w:pPr>
        <w:sectPr>
          <w:pgSz w:w="11900" w:h="16838" w:orient="portrait"/>
          <w:cols w:equalWidth="0" w:num="1">
            <w:col w:w="11240"/>
          </w:cols>
          <w:pgMar w:left="320" w:top="141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(rTSR)</w:t>
      </w: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Participant may earn a percentage of the rTSR PSUs based on the percentile rank of the Company relative to the Total Stockholder Return (“</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of the S&amp;P 1500 Retail and Healthcare Equipment &amp; Supplies Industry Subset for the Performance Period (the “</w:t>
      </w:r>
      <w:r>
        <w:rPr>
          <w:rFonts w:ascii="Times New Roman" w:cs="Times New Roman" w:eastAsia="Times New Roman" w:hAnsi="Times New Roman"/>
          <w:sz w:val="20"/>
          <w:szCs w:val="20"/>
          <w:u w:val="single" w:color="auto"/>
          <w:color w:val="auto"/>
        </w:rPr>
        <w:t>TSR</w:t>
      </w:r>
    </w:p>
    <w:p>
      <w:pPr>
        <w:spacing w:after="0" w:line="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Relative Ranking</w:t>
      </w:r>
      <w:r>
        <w:rPr>
          <w:rFonts w:ascii="Times New Roman" w:cs="Times New Roman" w:eastAsia="Times New Roman" w:hAnsi="Times New Roman"/>
          <w:sz w:val="20"/>
          <w:szCs w:val="20"/>
          <w:color w:val="auto"/>
        </w:rPr>
        <w:t>”), as provided in the following table. In each case, the performance percentage score between performance levels will be determined to the nearest hundredth of a percentage point using linear interpolation.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Performance Period</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80" w:type="dxa"/>
            <w:vAlign w:val="bottom"/>
            <w:tcBorders>
              <w:top w:val="single" w:sz="8" w:color="auto"/>
              <w:left w:val="single" w:sz="8" w:color="auto"/>
              <w:right w:val="single" w:sz="8" w:color="auto"/>
            </w:tcBorders>
          </w:tcPr>
          <w:p>
            <w:pPr>
              <w:spacing w:after="0"/>
              <w:rPr>
                <w:sz w:val="20"/>
                <w:szCs w:val="20"/>
                <w:color w:val="auto"/>
              </w:rPr>
            </w:pPr>
          </w:p>
        </w:tc>
        <w:tc>
          <w:tcPr>
            <w:tcW w:w="3220" w:type="dxa"/>
            <w:vAlign w:val="bottom"/>
            <w:tcBorders>
              <w:top w:val="single" w:sz="8" w:color="auto"/>
              <w:right w:val="single" w:sz="8" w:color="auto"/>
            </w:tcBorders>
          </w:tcPr>
          <w:p>
            <w:pPr>
              <w:spacing w:after="0"/>
              <w:rPr>
                <w:sz w:val="20"/>
                <w:szCs w:val="20"/>
                <w:color w:val="auto"/>
              </w:rPr>
            </w:pPr>
          </w:p>
        </w:tc>
        <w:tc>
          <w:tcPr>
            <w:tcW w:w="31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Borders>
              <w:right w:val="single" w:sz="8" w:color="auto"/>
            </w:tcBorders>
            <w:gridSpan w:val="2"/>
          </w:tcPr>
          <w:p>
            <w:pPr>
              <w:jc w:val="center"/>
              <w:ind w:right="1206"/>
              <w:spacing w:after="0" w:line="216" w:lineRule="exact"/>
              <w:rPr>
                <w:sz w:val="20"/>
                <w:szCs w:val="20"/>
                <w:color w:val="auto"/>
              </w:rPr>
            </w:pPr>
            <w:r>
              <w:rPr>
                <w:rFonts w:ascii="Times New Roman" w:cs="Times New Roman" w:eastAsia="Times New Roman" w:hAnsi="Times New Roman"/>
                <w:sz w:val="19"/>
                <w:szCs w:val="19"/>
                <w:b w:val="1"/>
                <w:bCs w:val="1"/>
                <w:color w:val="auto"/>
              </w:rPr>
              <w:t>Score</w:t>
            </w:r>
          </w:p>
        </w:tc>
      </w:tr>
      <w:tr>
        <w:trPr>
          <w:trHeight w:val="206"/>
        </w:trPr>
        <w:tc>
          <w:tcPr>
            <w:tcW w:w="3380" w:type="dxa"/>
            <w:vAlign w:val="bottom"/>
            <w:tcBorders>
              <w:left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9"/>
                <w:szCs w:val="19"/>
                <w:b w:val="1"/>
                <w:bCs w:val="1"/>
                <w:color w:val="auto"/>
                <w:w w:val="99"/>
              </w:rPr>
              <w:t>Degree of Performance Attainment</w:t>
            </w:r>
          </w:p>
        </w:tc>
        <w:tc>
          <w:tcPr>
            <w:tcW w:w="3220" w:type="dxa"/>
            <w:vAlign w:val="bottom"/>
            <w:tcBorders>
              <w:right w:val="single" w:sz="8" w:color="auto"/>
            </w:tcBorders>
          </w:tcPr>
          <w:p>
            <w:pPr>
              <w:ind w:left="700"/>
              <w:spacing w:after="0" w:line="200" w:lineRule="exact"/>
              <w:rPr>
                <w:sz w:val="20"/>
                <w:szCs w:val="20"/>
                <w:color w:val="auto"/>
              </w:rPr>
            </w:pPr>
            <w:r>
              <w:rPr>
                <w:rFonts w:ascii="Times New Roman" w:cs="Times New Roman" w:eastAsia="Times New Roman" w:hAnsi="Times New Roman"/>
                <w:sz w:val="19"/>
                <w:szCs w:val="19"/>
                <w:b w:val="1"/>
                <w:bCs w:val="1"/>
                <w:color w:val="auto"/>
              </w:rPr>
              <w:t>TSR Relative Ranking</w:t>
            </w:r>
          </w:p>
        </w:tc>
        <w:tc>
          <w:tcPr>
            <w:tcW w:w="1280" w:type="dxa"/>
            <w:vAlign w:val="bottom"/>
          </w:tcPr>
          <w:p>
            <w:pPr>
              <w:ind w:left="1120"/>
              <w:spacing w:after="0" w:line="200" w:lineRule="exact"/>
              <w:rPr>
                <w:sz w:val="20"/>
                <w:szCs w:val="20"/>
                <w:color w:val="auto"/>
              </w:rPr>
            </w:pPr>
            <w:r>
              <w:rPr>
                <w:rFonts w:ascii="Times New Roman" w:cs="Times New Roman" w:eastAsia="Times New Roman" w:hAnsi="Times New Roman"/>
                <w:sz w:val="19"/>
                <w:szCs w:val="19"/>
                <w:b w:val="1"/>
                <w:bCs w:val="1"/>
                <w:color w:val="auto"/>
                <w:w w:val="88"/>
              </w:rPr>
              <w:t>(“</w:t>
            </w:r>
          </w:p>
        </w:tc>
        <w:tc>
          <w:tcPr>
            <w:tcW w:w="580" w:type="dxa"/>
            <w:vAlign w:val="bottom"/>
            <w:tcBorders>
              <w:bottom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Payout</w:t>
            </w:r>
          </w:p>
        </w:tc>
        <w:tc>
          <w:tcPr>
            <w:tcW w:w="13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19"/>
                <w:szCs w:val="19"/>
                <w:b w:val="1"/>
                <w:bCs w:val="1"/>
                <w:color w:val="auto"/>
              </w:rPr>
              <w:t>”)</w:t>
            </w:r>
          </w:p>
        </w:tc>
      </w:tr>
      <w:tr>
        <w:trPr>
          <w:trHeight w:val="61"/>
        </w:trPr>
        <w:tc>
          <w:tcPr>
            <w:tcW w:w="3380" w:type="dxa"/>
            <w:vAlign w:val="bottom"/>
            <w:tcBorders>
              <w:left w:val="single" w:sz="8" w:color="auto"/>
              <w:bottom w:val="single" w:sz="8" w:color="auto"/>
              <w:right w:val="single" w:sz="8" w:color="auto"/>
            </w:tcBorders>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200%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100%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w w:val="97"/>
              </w:rPr>
              <w:t>50%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rPr>
              <w:t>0%</w:t>
            </w:r>
          </w:p>
        </w:tc>
        <w:tc>
          <w:tcPr>
            <w:tcW w:w="1300" w:type="dxa"/>
            <w:vAlign w:val="bottom"/>
            <w:tcBorders>
              <w:bottom w:val="single" w:sz="8" w:color="auto"/>
              <w:right w:val="single" w:sz="8" w:color="auto"/>
            </w:tcBorders>
          </w:tcPr>
          <w:p>
            <w:pPr>
              <w:spacing w:after="0"/>
              <w:rPr>
                <w:sz w:val="20"/>
                <w:szCs w:val="20"/>
                <w:color w:val="auto"/>
              </w:rPr>
            </w:pPr>
          </w:p>
        </w:tc>
      </w:tr>
    </w:tbl>
    <w:p>
      <w:pPr>
        <w:spacing w:after="0" w:line="30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Following the last day of the Performance Period, the Committee shall determine the actual Payout percentage for the rTSR PSUs. The number of rTSR PSUs that become “Earned PSUs” for the Performance Period shall be equal to (x) the number of Target rTSR PSUs multiplied by (y) the applicable Payout percentage earned (calculated as set forth above), rounded up to the nearest whole unit.</w:t>
      </w:r>
    </w:p>
    <w:p>
      <w:pPr>
        <w:sectPr>
          <w:pgSz w:w="11900" w:h="16838" w:orient="portrait"/>
          <w:cols w:equalWidth="0" w:num="1">
            <w:col w:w="11240"/>
          </w:cols>
          <w:pgMar w:left="320" w:top="140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Pursuant to the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Performance Stock Unit Agreement (this “</w:t>
      </w:r>
      <w:r>
        <w:rPr>
          <w:rFonts w:ascii="Times New Roman" w:cs="Times New Roman" w:eastAsia="Times New Roman" w:hAnsi="Times New Roman"/>
          <w:sz w:val="20"/>
          <w:szCs w:val="20"/>
          <w:u w:val="single" w:color="auto"/>
          <w:color w:val="auto"/>
        </w:rPr>
        <w:t>Performance Stock Unit Agreement</w:t>
      </w:r>
      <w:r>
        <w:rPr>
          <w:rFonts w:ascii="Times New Roman" w:cs="Times New Roman" w:eastAsia="Times New Roman" w:hAnsi="Times New Roman"/>
          <w:sz w:val="20"/>
          <w:szCs w:val="20"/>
          <w:color w:val="auto"/>
        </w:rPr>
        <w:t>”) and the National Vision Holdings, Inc. 2017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National Vision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69" w:lineRule="exact"/>
        <w:rPr>
          <w:sz w:val="20"/>
          <w:szCs w:val="20"/>
          <w:color w:val="auto"/>
        </w:rPr>
      </w:pPr>
    </w:p>
    <w:p>
      <w:pPr>
        <w:jc w:val="both"/>
        <w:ind w:firstLine="1304"/>
        <w:spacing w:after="0" w:line="254" w:lineRule="auto"/>
        <w:tabs>
          <w:tab w:leader="none" w:pos="150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Performance Stock Units</w:t>
      </w:r>
      <w:r>
        <w:rPr>
          <w:rFonts w:ascii="Times New Roman" w:cs="Times New Roman" w:eastAsia="Times New Roman" w:hAnsi="Times New Roman"/>
          <w:sz w:val="20"/>
          <w:szCs w:val="20"/>
          <w:color w:val="auto"/>
        </w:rPr>
        <w:t>. Subject to the terms and conditions set forth herein and in the Plan,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the Participant the number of Performance Stock Units provided in the Grant Notice (with each Performance Stock Unit representing the right to receive one share of Common Stock upon the vesting of such Performance Stock Unit).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86" w:lineRule="exact"/>
        <w:rPr>
          <w:rFonts w:ascii="Times New Roman" w:cs="Times New Roman" w:eastAsia="Times New Roman" w:hAnsi="Times New Roman"/>
          <w:sz w:val="20"/>
          <w:szCs w:val="20"/>
          <w:color w:val="auto"/>
        </w:rPr>
      </w:pPr>
    </w:p>
    <w:p>
      <w:pPr>
        <w:ind w:firstLine="1304"/>
        <w:spacing w:after="0" w:line="273" w:lineRule="auto"/>
        <w:tabs>
          <w:tab w:leader="none" w:pos="152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Performance Stock Units shall vest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on such Performance Stock Units shall lapse as provided in the Grant Notice.</w:t>
      </w:r>
    </w:p>
    <w:p>
      <w:pPr>
        <w:spacing w:after="0" w:line="165" w:lineRule="exact"/>
        <w:rPr>
          <w:rFonts w:ascii="Times New Roman" w:cs="Times New Roman" w:eastAsia="Times New Roman" w:hAnsi="Times New Roman"/>
          <w:sz w:val="20"/>
          <w:szCs w:val="20"/>
          <w:color w:val="auto"/>
        </w:rPr>
      </w:pPr>
    </w:p>
    <w:p>
      <w:pPr>
        <w:jc w:val="both"/>
        <w:ind w:firstLine="1304"/>
        <w:spacing w:after="0" w:line="263" w:lineRule="auto"/>
        <w:tabs>
          <w:tab w:leader="none" w:pos="152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Performance Stock Units</w:t>
      </w:r>
      <w:r>
        <w:rPr>
          <w:rFonts w:ascii="Times New Roman" w:cs="Times New Roman" w:eastAsia="Times New Roman" w:hAnsi="Times New Roman"/>
          <w:sz w:val="20"/>
          <w:szCs w:val="20"/>
          <w:color w:val="auto"/>
        </w:rPr>
        <w:t>. The provisions of Section 9(d)(ii) of the Plan are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reference and made a part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will settlement of a Performance Stock Unit occur more than thirty (30) days following the expiration of its Restricted Period.</w:t>
      </w:r>
    </w:p>
    <w:p>
      <w:pPr>
        <w:spacing w:after="0" w:line="161"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firstLine="1304"/>
        <w:spacing w:after="0" w:line="283" w:lineRule="auto"/>
        <w:tabs>
          <w:tab w:leader="none" w:pos="157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as used in this Performance Stock Unit Agreement with reference to employment shall include the Company and its Subsidiaries.</w:t>
      </w:r>
    </w:p>
    <w:p>
      <w:pPr>
        <w:spacing w:after="0" w:line="14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58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as used in this Performance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189" w:lineRule="exact"/>
        <w:rPr>
          <w:rFonts w:ascii="Times New Roman" w:cs="Times New Roman" w:eastAsia="Times New Roman" w:hAnsi="Times New Roman"/>
          <w:sz w:val="20"/>
          <w:szCs w:val="20"/>
          <w:color w:val="auto"/>
        </w:rPr>
      </w:pPr>
    </w:p>
    <w:p>
      <w:pPr>
        <w:ind w:firstLine="1304"/>
        <w:spacing w:after="0" w:line="269" w:lineRule="auto"/>
        <w:tabs>
          <w:tab w:leader="none" w:pos="163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is used in any provision of this Performance Stock Unit Agreement under circumstances where the provision should logically be construed to apply to the</w:t>
      </w:r>
    </w:p>
    <w:p>
      <w:pPr>
        <w:sectPr>
          <w:pgSz w:w="11900" w:h="16838" w:orient="portrait"/>
          <w:cols w:equalWidth="0" w:num="1">
            <w:col w:w="11240"/>
          </w:cols>
          <w:pgMar w:left="320" w:top="1409" w:right="339" w:bottom="1440" w:gutter="0" w:footer="0" w:header="0"/>
        </w:sectPr>
      </w:pPr>
    </w:p>
    <w:bookmarkStart w:id="57" w:name="page58"/>
    <w:bookmarkEnd w:id="57"/>
    <w:p>
      <w:pPr>
        <w:spacing w:after="0" w:line="283" w:lineRule="auto"/>
        <w:rPr>
          <w:sz w:val="20"/>
          <w:szCs w:val="20"/>
          <w:color w:val="auto"/>
        </w:rPr>
      </w:pPr>
      <w:r>
        <w:rPr>
          <w:rFonts w:ascii="Times New Roman" w:cs="Times New Roman" w:eastAsia="Times New Roman" w:hAnsi="Times New Roman"/>
          <w:sz w:val="20"/>
          <w:szCs w:val="20"/>
          <w:color w:val="auto"/>
        </w:rPr>
        <w:t>executors, the administrators, or the person or persons to whom the Performance Stock Units may be transferred by will or by the laws of descent and distribution, the word “Participant” shall be deemed to include such person or persons.</w:t>
      </w:r>
    </w:p>
    <w:p>
      <w:pPr>
        <w:spacing w:after="0" w:line="142" w:lineRule="exact"/>
        <w:rPr>
          <w:sz w:val="20"/>
          <w:szCs w:val="20"/>
          <w:color w:val="auto"/>
        </w:rPr>
      </w:pPr>
    </w:p>
    <w:p>
      <w:pPr>
        <w:jc w:val="both"/>
        <w:ind w:firstLine="1304"/>
        <w:spacing w:after="0" w:line="258" w:lineRule="auto"/>
        <w:tabs>
          <w:tab w:leader="none" w:pos="14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Performance Stock Units are not transferable by the Participant except to Permitted Transferees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67" w:lineRule="exact"/>
        <w:rPr>
          <w:rFonts w:ascii="Times New Roman" w:cs="Times New Roman" w:eastAsia="Times New Roman" w:hAnsi="Times New Roman"/>
          <w:sz w:val="20"/>
          <w:szCs w:val="20"/>
          <w:color w:val="auto"/>
        </w:rPr>
      </w:pPr>
    </w:p>
    <w:p>
      <w:pPr>
        <w:jc w:val="both"/>
        <w:ind w:firstLine="1304"/>
        <w:spacing w:after="0" w:line="260" w:lineRule="auto"/>
        <w:tabs>
          <w:tab w:leader="none" w:pos="14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Stockholder</w:t>
      </w:r>
      <w:r>
        <w:rPr>
          <w:rFonts w:ascii="Times New Roman" w:cs="Times New Roman" w:eastAsia="Times New Roman" w:hAnsi="Times New Roman"/>
          <w:sz w:val="20"/>
          <w:szCs w:val="20"/>
          <w:color w:val="auto"/>
        </w:rPr>
        <w:t>. The Participant or a Permitted Transferee of the Performance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 with respect to any share of Common Stock underlying a Performance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77" w:lineRule="exact"/>
        <w:rPr>
          <w:rFonts w:ascii="Times New Roman" w:cs="Times New Roman" w:eastAsia="Times New Roman" w:hAnsi="Times New Roman"/>
          <w:sz w:val="20"/>
          <w:szCs w:val="20"/>
          <w:color w:val="auto"/>
        </w:rPr>
      </w:pPr>
    </w:p>
    <w:p>
      <w:pPr>
        <w:ind w:left="1520" w:hanging="216"/>
        <w:spacing w:after="0"/>
        <w:tabs>
          <w:tab w:leader="none" w:pos="15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14(d) of the Plan are incorporated herein by reference and made a part</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203" w:lineRule="exact"/>
        <w:rPr>
          <w:rFonts w:ascii="Times New Roman" w:cs="Times New Roman" w:eastAsia="Times New Roman" w:hAnsi="Times New Roman"/>
          <w:sz w:val="20"/>
          <w:szCs w:val="20"/>
          <w:color w:val="auto"/>
        </w:rPr>
      </w:pPr>
    </w:p>
    <w:p>
      <w:pPr>
        <w:jc w:val="both"/>
        <w:ind w:firstLine="1304"/>
        <w:spacing w:after="0" w:line="250" w:lineRule="auto"/>
        <w:tabs>
          <w:tab w:leader="none" w:pos="150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Performance Stock Unit Agreement between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92" w:lineRule="exact"/>
        <w:rPr>
          <w:rFonts w:ascii="Times New Roman" w:cs="Times New Roman" w:eastAsia="Times New Roman" w:hAnsi="Times New Roman"/>
          <w:sz w:val="20"/>
          <w:szCs w:val="20"/>
          <w:color w:val="auto"/>
        </w:rPr>
      </w:pPr>
    </w:p>
    <w:p>
      <w:pPr>
        <w:ind w:firstLine="1304"/>
        <w:spacing w:after="0" w:line="287" w:lineRule="auto"/>
        <w:tabs>
          <w:tab w:leader="none" w:pos="14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Performance Stock Unit Agreement does not confer upon the Participant any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continue as an employee or service provider to the Company.</w:t>
      </w:r>
    </w:p>
    <w:p>
      <w:pPr>
        <w:spacing w:after="0" w:line="138" w:lineRule="exact"/>
        <w:rPr>
          <w:rFonts w:ascii="Times New Roman" w:cs="Times New Roman" w:eastAsia="Times New Roman" w:hAnsi="Times New Roman"/>
          <w:sz w:val="20"/>
          <w:szCs w:val="20"/>
          <w:color w:val="auto"/>
        </w:rPr>
      </w:pPr>
    </w:p>
    <w:p>
      <w:pPr>
        <w:ind w:firstLine="1304"/>
        <w:spacing w:after="0" w:line="287" w:lineRule="auto"/>
        <w:tabs>
          <w:tab w:leader="none" w:pos="15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Performance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3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58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Performance Stock Unit Agreement shall be valid only if made in writing and signed by the parties 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7" w:lineRule="exact"/>
        <w:rPr>
          <w:rFonts w:ascii="Times New Roman" w:cs="Times New Roman" w:eastAsia="Times New Roman" w:hAnsi="Times New Roman"/>
          <w:sz w:val="20"/>
          <w:szCs w:val="20"/>
          <w:color w:val="auto"/>
        </w:rPr>
      </w:pPr>
    </w:p>
    <w:p>
      <w:pPr>
        <w:jc w:val="both"/>
        <w:ind w:firstLine="1304"/>
        <w:spacing w:after="0" w:line="270" w:lineRule="auto"/>
        <w:tabs>
          <w:tab w:leader="none" w:pos="15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Performance Stock Unit Agreement shall be construed and interpreted in accordance with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State of Delaware, without regard to the principles of conflicts of law thereof. Notwithstanding anything contained in this Performance Stock Unit Agreement,</w:t>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20"/>
          <w:szCs w:val="20"/>
          <w:color w:val="auto"/>
        </w:rPr>
        <w:t>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77" w:lineRule="exact"/>
        <w:rPr>
          <w:sz w:val="20"/>
          <w:szCs w:val="20"/>
          <w:color w:val="auto"/>
        </w:rPr>
      </w:pPr>
    </w:p>
    <w:p>
      <w:pPr>
        <w:jc w:val="both"/>
        <w:ind w:firstLine="1304"/>
        <w:spacing w:after="0" w:line="263" w:lineRule="auto"/>
        <w:tabs>
          <w:tab w:leader="none" w:pos="163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Performance Stock Unit Agreement (including the Grant Notice), the Plan shall govern and control.</w:t>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29, 2025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Laden, certify that:</w:t>
      </w:r>
    </w:p>
    <w:p>
      <w:pPr>
        <w:spacing w:after="0" w:line="25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29, 2025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2025</w:t>
      </w: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17780</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March 29, 2025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2025</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March 29, 2025 filed with the Securities and Exchange Commission on the date hereof (the “Report”), I, Christopher Laden, Senior Vice President, Chief Financial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2025</w:t>
      </w:r>
    </w:p>
    <w:p>
      <w:pPr>
        <w:spacing w:after="0" w:line="29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8"/>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lvl w:ilvl="1">
      <w:lvlJc w:val="left"/>
      <w:lvlText w:val="(%2)"/>
      <w:numFmt w:val="lowerRoman"/>
      <w:start w:val="1"/>
    </w:lvl>
  </w:abstractNum>
  <w:abstractNum w:abstractNumId="13">
    <w:nsid w:val="B03E0C6"/>
    <w:multiLevelType w:val="hybridMultilevel"/>
    <w:lvl w:ilvl="0">
      <w:lvlJc w:val="left"/>
      <w:lvlText w:val="(%1)"/>
      <w:numFmt w:val="decimal"/>
      <w:start w:val="2"/>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3"/>
    </w:lvl>
  </w:abstractNum>
  <w:abstractNum w:abstractNumId="17">
    <w:nsid w:val="2CA88611"/>
    <w:multiLevelType w:val="hybridMultilevel"/>
    <w:lvl w:ilvl="0">
      <w:lvlJc w:val="left"/>
      <w:lvlText w:val="%1"/>
      <w:numFmt w:val="decimal"/>
      <w:start w:val="104"/>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decimal"/>
      <w:start w:val="4"/>
    </w:lvl>
  </w:abstractNum>
  <w:abstractNum w:abstractNumId="21">
    <w:nsid w:val="8138641"/>
    <w:multiLevelType w:val="hybridMultilevel"/>
    <w:lvl w:ilvl="0">
      <w:lvlJc w:val="left"/>
      <w:lvlText w:val="%1."/>
      <w:numFmt w:val="decimal"/>
      <w:start w:val="7"/>
    </w:lvl>
  </w:abstractNum>
  <w:abstractNum w:abstractNumId="22">
    <w:nsid w:val="1E7FF521"/>
    <w:multiLevelType w:val="hybridMultilevel"/>
    <w:lvl w:ilvl="0">
      <w:lvlJc w:val="left"/>
      <w:lvlText w:val="%1."/>
      <w:numFmt w:val="decimal"/>
      <w:start w:val="8"/>
    </w:lvl>
  </w:abstractNum>
  <w:abstractNum w:abstractNumId="23">
    <w:nsid w:val="7C3DBD3D"/>
    <w:multiLevelType w:val="hybridMultilevel"/>
    <w:lvl w:ilvl="0">
      <w:lvlJc w:val="left"/>
      <w:lvlText w:val="%1."/>
      <w:numFmt w:val="decimal"/>
      <w:start w:val="12"/>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lvl w:ilvl="1">
      <w:lvlJc w:val="left"/>
      <w:lvlText w:val="(%2)"/>
      <w:numFmt w:val="lowerRoman"/>
      <w:start w:val="1"/>
    </w:lvl>
  </w:abstractNum>
  <w:abstractNum w:abstractNumId="26">
    <w:nsid w:val="22221A70"/>
    <w:multiLevelType w:val="hybridMultilevel"/>
    <w:lvl w:ilvl="0">
      <w:lvlJc w:val="left"/>
      <w:lvlText w:val="%1"/>
      <w:numFmt w:val="decimal"/>
      <w:start w:val="1"/>
    </w:lvl>
    <w:lvl w:ilvl="1">
      <w:lvlJc w:val="left"/>
      <w:lvlText w:val="(%2)"/>
      <w:numFmt w:val="lowerRoman"/>
      <w:start w:val="3"/>
    </w:lvl>
  </w:abstractNum>
  <w:abstractNum w:abstractNumId="27">
    <w:nsid w:val="4516DDE9"/>
    <w:multiLevelType w:val="hybridMultilevel"/>
    <w:lvl w:ilvl="0">
      <w:lvlJc w:val="left"/>
      <w:lvlText w:val="%1."/>
      <w:numFmt w:val="decimal"/>
      <w:start w:val="3"/>
    </w:lvl>
    <w:lvl w:ilvl="1">
      <w:lvlJc w:val="left"/>
      <w:lvlText w:val="%2"/>
      <w:numFmt w:val="lowerRoman"/>
      <w:start w:val="1"/>
    </w:lvl>
  </w:abstractNum>
  <w:abstractNum w:abstractNumId="28">
    <w:nsid w:val="3006C83E"/>
    <w:multiLevelType w:val="hybridMultilevel"/>
    <w:lvl w:ilvl="0">
      <w:lvlJc w:val="left"/>
      <w:lvlText w:val="%1."/>
      <w:numFmt w:val="decimal"/>
      <w:start w:val="4"/>
    </w:lvl>
  </w:abstractNum>
  <w:abstractNum w:abstractNumId="29">
    <w:nsid w:val="614FD4A1"/>
    <w:multiLevelType w:val="hybridMultilevel"/>
    <w:lvl w:ilvl="0">
      <w:lvlJc w:val="left"/>
      <w:lvlText w:val="1"/>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5"/>
    </w:lvl>
  </w:abstractNum>
  <w:abstractNum w:abstractNumId="33">
    <w:nsid w:val="5072367"/>
    <w:multiLevelType w:val="hybridMultilevel"/>
    <w:lvl w:ilvl="0">
      <w:lvlJc w:val="left"/>
      <w:lvlText w:val="%1."/>
      <w:numFmt w:val="decimal"/>
      <w:start w:val="13"/>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6" Type="http://schemas.openxmlformats.org/officeDocument/2006/relationships/hyperlink" Target="https://www.sec.gov/Archives/edgar/data/1710155/000171015521000036/nationalvision-thirdamende.htm" TargetMode="External"/><Relationship Id="rId57" Type="http://schemas.openxmlformats.org/officeDocument/2006/relationships/hyperlink" Target="https://www.sec.gov/Archives/edgar/data/1710155/000171015523000063/ex31eye-bylawamendmentsnov.htm" TargetMode="External"/><Relationship Id="rId58" Type="http://schemas.openxmlformats.org/officeDocument/2006/relationships/hyperlink" Target="https://www.sec.gov/Archives/edgar/data/1710155/000110465925024481/tm25947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2025-05-08T07:42:44Z</dcterms:created>
  <dcterms:modified xsi:type="dcterms:W3CDTF">2025-05-08T07:42:44Z</dcterms:modified>
</cp:coreProperties>
</file>