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April 4, 2026</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396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11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29" w:lineRule="exact"/>
        <w:rPr>
          <w:sz w:val="24"/>
          <w:szCs w:val="24"/>
          <w:color w:val="auto"/>
        </w:rPr>
      </w:pPr>
    </w:p>
    <w:tbl>
      <w:tblPr>
        <w:tblLayout w:type="fixed"/>
        <w:tblInd w:w="1740" w:type="dxa"/>
        <w:tblCellMar>
          <w:top w:w="0" w:type="dxa"/>
          <w:left w:w="0" w:type="dxa"/>
          <w:bottom w:w="0" w:type="dxa"/>
          <w:right w:w="0" w:type="dxa"/>
        </w:tblCellMar>
      </w:tblPr>
      <w:tr>
        <w:trPr>
          <w:trHeight w:val="223"/>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74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7"/>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(State or other jurisdiction of</w:t>
            </w:r>
          </w:p>
        </w:tc>
        <w:tc>
          <w:tcPr>
            <w:tcW w:w="2740" w:type="dxa"/>
            <w:vAlign w:val="bottom"/>
          </w:tcPr>
          <w:p>
            <w:pPr>
              <w:jc w:val="center"/>
              <w:ind w:left="1399"/>
              <w:spacing w:after="0"/>
              <w:rPr>
                <w:sz w:val="20"/>
                <w:szCs w:val="20"/>
                <w:color w:val="auto"/>
              </w:rPr>
            </w:pPr>
            <w:r>
              <w:rPr>
                <w:rFonts w:ascii="Arial" w:cs="Arial" w:eastAsia="Arial" w:hAnsi="Arial"/>
                <w:sz w:val="16"/>
                <w:szCs w:val="16"/>
                <w:color w:val="auto"/>
              </w:rPr>
              <w:t>(I.R.S. Employer</w:t>
            </w:r>
          </w:p>
        </w:tc>
      </w:tr>
      <w:tr>
        <w:trPr>
          <w:trHeight w:val="215"/>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incorporation or organization)</w:t>
            </w:r>
          </w:p>
        </w:tc>
        <w:tc>
          <w:tcPr>
            <w:tcW w:w="2740" w:type="dxa"/>
            <w:vAlign w:val="bottom"/>
          </w:tcPr>
          <w:p>
            <w:pPr>
              <w:jc w:val="center"/>
              <w:ind w:left="1399"/>
              <w:spacing w:after="0"/>
              <w:rPr>
                <w:sz w:val="20"/>
                <w:szCs w:val="20"/>
                <w:color w:val="auto"/>
              </w:rPr>
            </w:pPr>
            <w:r>
              <w:rPr>
                <w:rFonts w:ascii="Arial" w:cs="Arial" w:eastAsia="Arial" w:hAnsi="Arial"/>
                <w:sz w:val="16"/>
                <w:szCs w:val="16"/>
                <w:color w:val="auto"/>
              </w:rPr>
              <w:t>Identification No.)</w:t>
            </w:r>
          </w:p>
        </w:tc>
      </w:tr>
      <w:tr>
        <w:trPr>
          <w:trHeight w:val="271"/>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2435 Commerce Ave</w:t>
            </w:r>
          </w:p>
        </w:tc>
        <w:tc>
          <w:tcPr>
            <w:tcW w:w="2740" w:type="dxa"/>
            <w:vAlign w:val="bottom"/>
          </w:tcPr>
          <w:p>
            <w:pPr>
              <w:spacing w:after="0"/>
              <w:rPr>
                <w:sz w:val="23"/>
                <w:szCs w:val="23"/>
                <w:color w:val="auto"/>
              </w:rPr>
            </w:pPr>
          </w:p>
        </w:tc>
      </w:tr>
      <w:tr>
        <w:trPr>
          <w:trHeight w:val="216"/>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Building 2200</w:t>
            </w:r>
          </w:p>
        </w:tc>
        <w:tc>
          <w:tcPr>
            <w:tcW w:w="274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Duluth, Georgia</w:t>
            </w:r>
          </w:p>
        </w:tc>
        <w:tc>
          <w:tcPr>
            <w:tcW w:w="2740" w:type="dxa"/>
            <w:vAlign w:val="bottom"/>
          </w:tcPr>
          <w:p>
            <w:pPr>
              <w:jc w:val="center"/>
              <w:ind w:left="1419"/>
              <w:spacing w:after="0"/>
              <w:rPr>
                <w:sz w:val="20"/>
                <w:szCs w:val="20"/>
                <w:color w:val="auto"/>
              </w:rPr>
            </w:pPr>
            <w:r>
              <w:rPr>
                <w:rFonts w:ascii="Arial" w:cs="Arial" w:eastAsia="Arial" w:hAnsi="Arial"/>
                <w:sz w:val="16"/>
                <w:szCs w:val="16"/>
                <w:color w:val="auto"/>
              </w:rPr>
              <w:t>(Zip Code)</w:t>
            </w:r>
          </w:p>
        </w:tc>
      </w:tr>
      <w:tr>
        <w:trPr>
          <w:trHeight w:val="215"/>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(Address of principal executive offices)</w:t>
            </w:r>
          </w:p>
        </w:tc>
        <w:tc>
          <w:tcPr>
            <w:tcW w:w="2740" w:type="dxa"/>
            <w:vAlign w:val="bottom"/>
          </w:tcPr>
          <w:p>
            <w:pPr>
              <w:spacing w:after="0"/>
              <w:rPr>
                <w:sz w:val="18"/>
                <w:szCs w:val="18"/>
                <w:color w:val="auto"/>
              </w:rPr>
            </w:pPr>
          </w:p>
        </w:tc>
      </w:tr>
    </w:tbl>
    <w:p>
      <w:pPr>
        <w:spacing w:after="0" w:line="4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1080" w:type="dxa"/>
        <w:tblCellMar>
          <w:top w:w="0" w:type="dxa"/>
          <w:left w:w="0" w:type="dxa"/>
          <w:bottom w:w="0" w:type="dxa"/>
          <w:right w:w="0" w:type="dxa"/>
        </w:tblCellMar>
      </w:tblPr>
      <w:tr>
        <w:trPr>
          <w:trHeight w:val="217"/>
        </w:trPr>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Trading Symbol(s)</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EYE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w:t>
            </w:r>
          </w:p>
        </w:tc>
      </w:tr>
    </w:tbl>
    <w:p>
      <w:pPr>
        <w:spacing w:after="0" w:line="186" w:lineRule="exact"/>
        <w:rPr>
          <w:sz w:val="24"/>
          <w:szCs w:val="24"/>
          <w:color w:val="auto"/>
        </w:rPr>
      </w:pPr>
    </w:p>
    <w:p>
      <w:pPr>
        <w:ind w:right="100"/>
        <w:spacing w:after="0" w:line="191"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0" w:lineRule="exact"/>
        <w:rPr>
          <w:sz w:val="24"/>
          <w:szCs w:val="24"/>
          <w:color w:val="auto"/>
        </w:rPr>
      </w:pPr>
    </w:p>
    <w:p>
      <w:pPr>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ind w:right="120"/>
        <w:spacing w:after="0" w:line="26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200" w:type="dxa"/>
        <w:tblCellMar>
          <w:top w:w="0" w:type="dxa"/>
          <w:left w:w="0" w:type="dxa"/>
          <w:bottom w:w="0" w:type="dxa"/>
          <w:right w:w="0" w:type="dxa"/>
        </w:tblCellMar>
      </w:tblPr>
      <w:tr>
        <w:trPr>
          <w:trHeight w:val="239"/>
        </w:trPr>
        <w:tc>
          <w:tcPr>
            <w:tcW w:w="1880" w:type="dxa"/>
            <w:vAlign w:val="bottom"/>
          </w:tcPr>
          <w:p>
            <w:pPr>
              <w:jc w:val="center"/>
              <w:ind w:right="199"/>
              <w:spacing w:after="0"/>
              <w:rPr>
                <w:sz w:val="20"/>
                <w:szCs w:val="20"/>
                <w:color w:val="auto"/>
              </w:rPr>
            </w:pPr>
            <w:r>
              <w:rPr>
                <w:rFonts w:ascii="Arial" w:cs="Arial" w:eastAsia="Arial" w:hAnsi="Arial"/>
                <w:sz w:val="16"/>
                <w:szCs w:val="16"/>
                <w:color w:val="auto"/>
              </w:rPr>
              <w:t>Large accelerated filer</w:t>
            </w:r>
          </w:p>
        </w:tc>
        <w:tc>
          <w:tcPr>
            <w:tcW w:w="1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080" w:type="dxa"/>
            <w:vAlign w:val="bottom"/>
          </w:tcPr>
          <w:p>
            <w:pPr>
              <w:jc w:val="center"/>
              <w:ind w:left="639"/>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880" w:type="dxa"/>
            <w:vAlign w:val="bottom"/>
          </w:tcPr>
          <w:p>
            <w:pPr>
              <w:jc w:val="center"/>
              <w:ind w:right="199"/>
              <w:spacing w:after="0"/>
              <w:rPr>
                <w:sz w:val="20"/>
                <w:szCs w:val="20"/>
                <w:color w:val="auto"/>
              </w:rPr>
            </w:pPr>
            <w:r>
              <w:rPr>
                <w:rFonts w:ascii="Arial" w:cs="Arial" w:eastAsia="Arial" w:hAnsi="Arial"/>
                <w:sz w:val="16"/>
                <w:szCs w:val="16"/>
                <w:color w:val="auto"/>
              </w:rPr>
              <w:t>Non-accelerated filer</w:t>
            </w:r>
          </w:p>
        </w:tc>
        <w:tc>
          <w:tcPr>
            <w:tcW w:w="13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jc w:val="center"/>
              <w:ind w:left="659"/>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080" w:type="dxa"/>
            <w:vAlign w:val="bottom"/>
          </w:tcPr>
          <w:p>
            <w:pPr>
              <w:jc w:val="center"/>
              <w:ind w:left="639"/>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7" w:lineRule="exact"/>
        <w:rPr>
          <w:sz w:val="24"/>
          <w:szCs w:val="24"/>
          <w:color w:val="auto"/>
        </w:rPr>
      </w:pPr>
    </w:p>
    <w:p>
      <w:pPr>
        <w:ind w:right="22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580"/>
        <w:spacing w:after="0" w:line="23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628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w:t>
            </w:r>
          </w:p>
        </w:tc>
        <w:tc>
          <w:tcPr>
            <w:tcW w:w="4960" w:type="dxa"/>
            <w:vAlign w:val="bottom"/>
            <w:gridSpan w:val="2"/>
          </w:tcPr>
          <w:p>
            <w:pPr>
              <w:ind w:left="20"/>
              <w:spacing w:after="0"/>
              <w:rPr>
                <w:sz w:val="20"/>
                <w:szCs w:val="20"/>
                <w:color w:val="auto"/>
              </w:rPr>
            </w:pPr>
            <w:r>
              <w:rPr>
                <w:rFonts w:ascii="Arial" w:cs="Arial" w:eastAsia="Arial" w:hAnsi="Arial"/>
                <w:sz w:val="16"/>
                <w:szCs w:val="16"/>
                <w:b w:val="1"/>
                <w:bCs w:val="1"/>
                <w:color w:val="auto"/>
              </w:rPr>
              <w:t>Outstanding at May 1, 2026</w:t>
            </w:r>
          </w:p>
        </w:tc>
      </w:tr>
      <w:tr>
        <w:trPr>
          <w:trHeight w:val="208"/>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w:t>
            </w:r>
          </w:p>
        </w:tc>
        <w:tc>
          <w:tcPr>
            <w:tcW w:w="138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80,116,665</w:t>
            </w:r>
          </w:p>
        </w:tc>
        <w:tc>
          <w:tcPr>
            <w:tcW w:w="40" w:type="dxa"/>
            <w:vAlign w:val="bottom"/>
          </w:tcPr>
          <w:p>
            <w:pPr>
              <w:spacing w:after="0"/>
              <w:rPr>
                <w:sz w:val="18"/>
                <w:szCs w:val="18"/>
                <w:color w:val="auto"/>
              </w:rPr>
            </w:pPr>
          </w:p>
        </w:tc>
      </w:tr>
      <w:tr>
        <w:trPr>
          <w:trHeight w:val="123"/>
        </w:trPr>
        <w:tc>
          <w:tcPr>
            <w:tcW w:w="49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844"/>
        </w:trPr>
        <w:tc>
          <w:tcPr>
            <w:tcW w:w="4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8"/>
                <w:szCs w:val="18"/>
                <w:color w:val="auto"/>
              </w:rPr>
              <w:t>Page</w:t>
            </w:r>
          </w:p>
        </w:tc>
      </w:tr>
      <w:tr>
        <w:trPr>
          <w:trHeight w:val="198"/>
        </w:trPr>
        <w:tc>
          <w:tcPr>
            <w:tcW w:w="200" w:type="dxa"/>
            <w:vAlign w:val="bottom"/>
          </w:tcPr>
          <w:p>
            <w:pPr>
              <w:spacing w:after="0"/>
              <w:rPr>
                <w:sz w:val="17"/>
                <w:szCs w:val="17"/>
                <w:color w:val="auto"/>
              </w:rPr>
            </w:pPr>
          </w:p>
        </w:tc>
        <w:tc>
          <w:tcPr>
            <w:tcW w:w="5540" w:type="dxa"/>
            <w:vAlign w:val="bottom"/>
            <w:gridSpan w:val="18"/>
          </w:tcPr>
          <w:p>
            <w:pPr>
              <w:spacing w:after="0" w:line="199" w:lineRule="exact"/>
              <w:rPr>
                <w:sz w:val="20"/>
                <w:szCs w:val="20"/>
                <w:color w:val="auto"/>
              </w:rPr>
            </w:pPr>
            <w:r>
              <w:rPr>
                <w:rFonts w:ascii="Arial" w:cs="Arial" w:eastAsia="Arial" w:hAnsi="Arial"/>
                <w:sz w:val="18"/>
                <w:szCs w:val="18"/>
                <w:color w:val="0000FF"/>
                <w:w w:val="99"/>
              </w:rPr>
              <w:t>SPECIAL NOTE REGARDING FORWARD-LOOKING STATEMENTS</w:t>
            </w:r>
          </w:p>
        </w:tc>
        <w:tc>
          <w:tcPr>
            <w:tcW w:w="3800" w:type="dxa"/>
            <w:vAlign w:val="bottom"/>
            <w:gridSpan w:val="7"/>
          </w:tcPr>
          <w:p>
            <w:pPr>
              <w:spacing w:after="0"/>
              <w:rPr>
                <w:sz w:val="17"/>
                <w:szCs w:val="17"/>
                <w:color w:val="auto"/>
              </w:rPr>
            </w:pPr>
          </w:p>
        </w:tc>
        <w:tc>
          <w:tcPr>
            <w:tcW w:w="1400" w:type="dxa"/>
            <w:vAlign w:val="bottom"/>
            <w:gridSpan w:val="2"/>
          </w:tcPr>
          <w:p>
            <w:pPr>
              <w:spacing w:after="0"/>
              <w:rPr>
                <w:sz w:val="17"/>
                <w:szCs w:val="17"/>
                <w:color w:val="auto"/>
              </w:rPr>
            </w:pPr>
          </w:p>
        </w:tc>
        <w:tc>
          <w:tcPr>
            <w:tcW w:w="3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0000FF"/>
                <w:w w:val="79"/>
              </w:rPr>
              <w:t>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5540" w:type="dxa"/>
            <w:vAlign w:val="bottom"/>
            <w:gridSpan w:val="18"/>
          </w:tcPr>
          <w:p>
            <w:pPr>
              <w:spacing w:after="0"/>
              <w:rPr>
                <w:sz w:val="20"/>
                <w:szCs w:val="20"/>
                <w:color w:val="auto"/>
              </w:rPr>
            </w:pPr>
            <w:r>
              <w:rPr>
                <w:rFonts w:ascii="Arial" w:cs="Arial" w:eastAsia="Arial" w:hAnsi="Arial"/>
                <w:sz w:val="18"/>
                <w:szCs w:val="18"/>
                <w:color w:val="0000FF"/>
              </w:rPr>
              <w:t>PART I – FINANCIAL INFORMATION</w:t>
            </w:r>
          </w:p>
        </w:tc>
        <w:tc>
          <w:tcPr>
            <w:tcW w:w="3800" w:type="dxa"/>
            <w:vAlign w:val="bottom"/>
            <w:gridSpan w:val="7"/>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5</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794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8"/>
                <w:szCs w:val="18"/>
                <w:color w:val="0000FF"/>
                <w:w w:val="99"/>
              </w:rPr>
              <w:t>Condensed Consolidated Balance Sheets</w:t>
            </w:r>
          </w:p>
        </w:tc>
        <w:tc>
          <w:tcPr>
            <w:tcW w:w="4600" w:type="dxa"/>
            <w:vAlign w:val="bottom"/>
            <w:gridSpan w:val="8"/>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20" w:type="dxa"/>
            <w:vAlign w:val="bottom"/>
            <w:gridSpan w:val="18"/>
          </w:tcPr>
          <w:p>
            <w:pPr>
              <w:spacing w:after="0"/>
              <w:rPr>
                <w:sz w:val="20"/>
                <w:szCs w:val="20"/>
                <w:color w:val="auto"/>
              </w:rPr>
            </w:pPr>
            <w:r>
              <w:rPr>
                <w:rFonts w:ascii="Arial" w:cs="Arial" w:eastAsia="Arial" w:hAnsi="Arial"/>
                <w:sz w:val="18"/>
                <w:szCs w:val="18"/>
                <w:color w:val="0000FF"/>
                <w:w w:val="99"/>
              </w:rPr>
              <w:t>Condensed Consolidated Statements of Operations and Comprehensive Income</w:t>
            </w:r>
          </w:p>
        </w:tc>
        <w:tc>
          <w:tcPr>
            <w:tcW w:w="152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6</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1560" w:type="dxa"/>
            <w:vAlign w:val="bottom"/>
          </w:tcPr>
          <w:p>
            <w:pPr>
              <w:spacing w:after="0"/>
              <w:rPr>
                <w:sz w:val="21"/>
                <w:szCs w:val="21"/>
                <w:color w:val="auto"/>
              </w:rPr>
            </w:pPr>
          </w:p>
        </w:tc>
        <w:tc>
          <w:tcPr>
            <w:tcW w:w="152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7</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680" w:type="dxa"/>
            <w:vAlign w:val="bottom"/>
            <w:gridSpan w:val="3"/>
          </w:tcPr>
          <w:p>
            <w:pPr>
              <w:spacing w:after="0"/>
              <w:rPr>
                <w:sz w:val="21"/>
                <w:szCs w:val="21"/>
                <w:color w:val="auto"/>
              </w:rPr>
            </w:pPr>
          </w:p>
        </w:tc>
        <w:tc>
          <w:tcPr>
            <w:tcW w:w="3080" w:type="dxa"/>
            <w:vAlign w:val="bottom"/>
            <w:gridSpan w:val="3"/>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8</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460" w:type="dxa"/>
            <w:vAlign w:val="bottom"/>
            <w:gridSpan w:val="5"/>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20</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31</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4.</w:t>
            </w:r>
          </w:p>
        </w:tc>
        <w:tc>
          <w:tcPr>
            <w:tcW w:w="420" w:type="dxa"/>
            <w:vAlign w:val="bottom"/>
            <w:gridSpan w:val="2"/>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31</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9340" w:type="dxa"/>
            <w:vAlign w:val="bottom"/>
            <w:gridSpan w:val="25"/>
          </w:tcPr>
          <w:p>
            <w:pPr>
              <w:spacing w:after="0"/>
              <w:rPr>
                <w:sz w:val="20"/>
                <w:szCs w:val="20"/>
                <w:color w:val="auto"/>
              </w:rPr>
            </w:pPr>
            <w:r>
              <w:rPr>
                <w:rFonts w:ascii="Arial" w:cs="Arial" w:eastAsia="Arial" w:hAnsi="Arial"/>
                <w:sz w:val="18"/>
                <w:szCs w:val="18"/>
                <w:color w:val="0000FF"/>
              </w:rPr>
              <w:t>PART II – OTHER INFORMATION</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79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794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4.</w:t>
            </w:r>
          </w:p>
        </w:tc>
        <w:tc>
          <w:tcPr>
            <w:tcW w:w="420" w:type="dxa"/>
            <w:vAlign w:val="bottom"/>
            <w:gridSpan w:val="2"/>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5.</w:t>
            </w:r>
          </w:p>
        </w:tc>
        <w:tc>
          <w:tcPr>
            <w:tcW w:w="420" w:type="dxa"/>
            <w:vAlign w:val="bottom"/>
            <w:gridSpan w:val="2"/>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6.</w:t>
            </w:r>
          </w:p>
        </w:tc>
        <w:tc>
          <w:tcPr>
            <w:tcW w:w="420" w:type="dxa"/>
            <w:vAlign w:val="bottom"/>
            <w:gridSpan w:val="2"/>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34</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80" w:type="dxa"/>
            <w:vAlign w:val="bottom"/>
            <w:gridSpan w:val="1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35</w:t>
            </w:r>
          </w:p>
        </w:tc>
      </w:tr>
      <w:tr>
        <w:trPr>
          <w:trHeight w:val="1134"/>
        </w:trPr>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Words such as “believes,” “expects,” “may,” “will,” “should,” “could,” “seeks,” “intends,” “plans,” “estimates,” “anticipates,” or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January 3, 2026 (the “2025 Annual Report on Form 10-K”), as filed with the Securities and Exchange Commission (the “SEC”), as such risk factors may be updated from time to time in our periodic filings with the SEC, which are accessible on the SEC’s website at www.sec.gov, and also include, but are not limited to, market volatility, an overall decline in the health of the economy, global macroeconomic conditions and other factors that may affect consumer spending or behavior; our ability to successfully implement our strategic initiatives, or anticipate the impact of important strategic initiatives; our ability to recruit and retain vision care professionals for in-store roles or to provide remote care offerings; our ability to compete in the highly competitive optical retail industry; our ability to maintain, protect, and enhance the value of our owned brands</w:t>
      </w:r>
      <w:r>
        <w:rPr>
          <w:rFonts w:ascii="Arial" w:cs="Arial" w:eastAsia="Arial" w:hAnsi="Arial"/>
          <w:sz w:val="18"/>
          <w:szCs w:val="18"/>
          <w:color w:val="008080"/>
        </w:rPr>
        <w:t>;</w:t>
      </w:r>
      <w:r>
        <w:rPr>
          <w:rFonts w:ascii="Arial" w:cs="Arial" w:eastAsia="Arial" w:hAnsi="Arial"/>
          <w:sz w:val="18"/>
          <w:szCs w:val="18"/>
          <w:color w:val="auto"/>
        </w:rPr>
        <w:t xml:space="preserve"> the success of our marketing, advertising and promotional efforts; our ability to open and operate new stores (including as a result of store conversions) in a timely and cost-effective manner or to successfully enter new markets; our ability to increase sales in existing stores and to successfully reinvest in existing stores; our ability to successfully implement our pricing strategies; changes in the cost of inputs, and factors such as wage rate increases, inflation, cost increases, tariffs and related measures, increases in the price of raw materials and energy prices; significant capital requirements to fund our expanding business including updating our Enterprise Resource Planning (“ERP”) and Customer Relationship Management (“CRM”), and other technological, systems and capabilities; the potential for our growth strategies to strain our existing resources and cause the performance of our existing stores to suffer; risks associated with leasing substantial amounts of space, including future increases in occupancy costs; our ability to successfully manage the distinct risks faced by our e-commerce and omni-channel business; our ability to retain our existing senior management team, attract qualified new personnel or successfully implement our succession plans; seasonal fluctuations in our operating results and inventory levels; the potential impacts of catastrophic events, including changing climate and weather patterns leading to severe weather and natural disasters; the potential for certain technological advances, greater availability of, or increased consumer preferences for, vision correction alternatives to prescription eyeglasses or contact lenses, or future drug development for the correction of vision-related problems to reduce the demand for our products; our ability to successfully manage our inventory balances and inventory shrinkage; the potential for the loss of, or disruption in the operations of, one or more of our distribution centers or optical laboratories, which would impact our ability to process and fulfill customer orders and deliver our products in a timely manner, or at all, or result in quality issues; the performance of our Host brands and our ability to maintain or extend our operating relationships with our Host partners; sustainability issues, including those related to climate change; our ability to develop, maintain and extend relationships with managed vision care companies, vision insurance providers and other third-party payors; our reliance on third-party coverage and reimbursement, including government programs, for an increasing portion of our revenues; risks associated with vendors from whom our products and certain services are sourced and our dependence on a limited number of suppliers; changes in U.S. or international laws, including tariffs, affecting our ability to source merchandise and services internationally; the impact of any significant failure, inadequacy, interruption or security breach affecting our information technology systems, or those of our vendors; our ability to comply with state, local and federal vision care and healthcare laws and regulations, as well as managed vision care laws and regulations; liability stemming from rapidly changing and increasingly stringent laws, regulations, contractual obligations, and industry standards relating to privacy, data security and data protection; product liability, product recall or personal injury issues; our ability to comply with laws, regulations and enforcement activities or changes in statutory, regulatory, accounting and other legal requirements; the outcome of legal proceedings relating to our business operations; the protection and validity of our intellectual property; risks related to our indebtedness; changes in interest rates; restrictions in our credit agreement that limit our flexibility in operating our business; and risks related to owning our common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ind w:right="160"/>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National Vision Holdings,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As of</w:t>
            </w:r>
          </w:p>
        </w:tc>
        <w:tc>
          <w:tcPr>
            <w:tcW w:w="140" w:type="dxa"/>
            <w:vAlign w:val="bottom"/>
          </w:tcPr>
          <w:p>
            <w:pPr>
              <w:spacing w:after="0"/>
              <w:rPr>
                <w:sz w:val="17"/>
                <w:szCs w:val="17"/>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80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April 4, 2026</w:t>
            </w:r>
          </w:p>
        </w:tc>
        <w:tc>
          <w:tcPr>
            <w:tcW w:w="14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w w:val="99"/>
              </w:rPr>
              <w:t>January 3, 2026</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57,322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89,318</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225,722</w:t>
            </w:r>
          </w:p>
        </w:tc>
        <w:tc>
          <w:tcPr>
            <w:tcW w:w="0" w:type="dxa"/>
            <w:vAlign w:val="bottom"/>
          </w:tcPr>
          <w:p>
            <w:pPr>
              <w:spacing w:after="0"/>
              <w:rPr>
                <w:sz w:val="1"/>
                <w:szCs w:val="1"/>
                <w:color w:val="auto"/>
              </w:rPr>
            </w:pPr>
          </w:p>
        </w:tc>
      </w:tr>
      <w:tr>
        <w:trPr>
          <w:trHeight w:val="54"/>
        </w:trPr>
        <w:tc>
          <w:tcPr>
            <w:tcW w:w="8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344,619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700,642</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Right of use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394,896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69,698</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1,759,860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1,757,956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1,983,678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78,999</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106,626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109,674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52,279</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66,309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64,560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412,408</w:t>
            </w:r>
          </w:p>
        </w:tc>
        <w:tc>
          <w:tcPr>
            <w:tcW w:w="0" w:type="dxa"/>
            <w:vAlign w:val="bottom"/>
          </w:tcPr>
          <w:p>
            <w:pPr>
              <w:spacing w:after="0"/>
              <w:rPr>
                <w:sz w:val="1"/>
                <w:szCs w:val="1"/>
                <w:color w:val="auto"/>
              </w:rPr>
            </w:pPr>
          </w:p>
        </w:tc>
      </w:tr>
      <w:tr>
        <w:trPr>
          <w:trHeight w:val="94"/>
        </w:trPr>
        <w:tc>
          <w:tcPr>
            <w:tcW w:w="8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229,327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358,377</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22,517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701,737</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7)</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40" w:type="dxa"/>
            <w:vAlign w:val="bottom"/>
          </w:tcPr>
          <w:p>
            <w:pPr>
              <w:ind w:left="20"/>
              <w:spacing w:after="0" w:line="162" w:lineRule="exact"/>
              <w:rPr>
                <w:sz w:val="20"/>
                <w:szCs w:val="20"/>
                <w:color w:val="auto"/>
              </w:rPr>
            </w:pPr>
            <w:r>
              <w:rPr>
                <w:rFonts w:ascii="Arial" w:cs="Arial" w:eastAsia="Arial" w:hAnsi="Arial"/>
                <w:sz w:val="17"/>
                <w:szCs w:val="17"/>
                <w:color w:val="auto"/>
              </w:rPr>
              <w:t>Common stock, $0.01 par value; 200,000,000 shares authorized; 87,366,539 and 86,278,538 shares</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40" w:type="dxa"/>
            <w:vAlign w:val="bottom"/>
          </w:tcPr>
          <w:p>
            <w:pPr>
              <w:ind w:left="20"/>
              <w:spacing w:after="0" w:line="167" w:lineRule="exact"/>
              <w:rPr>
                <w:sz w:val="20"/>
                <w:szCs w:val="20"/>
                <w:color w:val="auto"/>
              </w:rPr>
            </w:pPr>
            <w:r>
              <w:rPr>
                <w:rFonts w:ascii="Arial" w:cs="Arial" w:eastAsia="Arial" w:hAnsi="Arial"/>
                <w:sz w:val="17"/>
                <w:szCs w:val="17"/>
                <w:color w:val="auto"/>
              </w:rPr>
              <w:t>issued as of April 4, 2026 and January 3, 2026, respectively; 80,114,673 and 79,416,050 shares</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8"/>
        </w:trPr>
        <w:tc>
          <w:tcPr>
            <w:tcW w:w="8040" w:type="dxa"/>
            <w:vAlign w:val="bottom"/>
          </w:tcPr>
          <w:p>
            <w:pPr>
              <w:ind w:left="20"/>
              <w:spacing w:after="0"/>
              <w:rPr>
                <w:sz w:val="20"/>
                <w:szCs w:val="20"/>
                <w:color w:val="auto"/>
              </w:rPr>
            </w:pPr>
            <w:r>
              <w:rPr>
                <w:rFonts w:ascii="Arial" w:cs="Arial" w:eastAsia="Arial" w:hAnsi="Arial"/>
                <w:sz w:val="17"/>
                <w:szCs w:val="17"/>
                <w:color w:val="auto"/>
              </w:rPr>
              <w:t>outstanding as of April 4, 2026 and January 3, 2026, respectively</w:t>
            </w:r>
          </w:p>
        </w:tc>
        <w:tc>
          <w:tcPr>
            <w:tcW w:w="1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834,000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255,717</w:t>
            </w:r>
          </w:p>
        </w:tc>
        <w:tc>
          <w:tcPr>
            <w:tcW w:w="0" w:type="dxa"/>
            <w:vAlign w:val="bottom"/>
          </w:tcPr>
          <w:p>
            <w:pPr>
              <w:spacing w:after="0"/>
              <w:rPr>
                <w:sz w:val="1"/>
                <w:szCs w:val="1"/>
                <w:color w:val="auto"/>
              </w:rPr>
            </w:pPr>
          </w:p>
        </w:tc>
      </w:tr>
      <w:tr>
        <w:trPr>
          <w:trHeight w:val="175"/>
        </w:trPr>
        <w:tc>
          <w:tcPr>
            <w:tcW w:w="8040" w:type="dxa"/>
            <w:vAlign w:val="bottom"/>
          </w:tcPr>
          <w:p>
            <w:pPr>
              <w:ind w:left="20"/>
              <w:spacing w:after="0" w:line="176" w:lineRule="exact"/>
              <w:rPr>
                <w:sz w:val="20"/>
                <w:szCs w:val="20"/>
                <w:color w:val="auto"/>
              </w:rPr>
            </w:pPr>
            <w:r>
              <w:rPr>
                <w:rFonts w:ascii="Arial" w:cs="Arial" w:eastAsia="Arial" w:hAnsi="Arial"/>
                <w:sz w:val="18"/>
                <w:szCs w:val="18"/>
                <w:color w:val="auto"/>
              </w:rPr>
              <w:t>Treasury stock, at cost; 7,251,866 and 6,862,488 shares as of April 4, 2026 and January 3, 2026,</w:t>
            </w: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(231,444)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(220,925)</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869,533</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2,020,483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1,983,678</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7"/>
        </w:trPr>
        <w:tc>
          <w:tcPr>
            <w:tcW w:w="1400" w:type="dxa"/>
            <w:vAlign w:val="bottom"/>
          </w:tcPr>
          <w:p>
            <w:pPr>
              <w:spacing w:after="0"/>
              <w:rPr>
                <w:sz w:val="21"/>
                <w:szCs w:val="21"/>
                <w:color w:val="auto"/>
              </w:rPr>
            </w:pPr>
          </w:p>
        </w:tc>
        <w:tc>
          <w:tcPr>
            <w:tcW w:w="8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 (Unaudited)</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2"/>
        </w:trPr>
        <w:tc>
          <w:tcPr>
            <w:tcW w:w="140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April 4, 2026</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March 29, 2025</w:t>
            </w:r>
          </w:p>
        </w:tc>
      </w:tr>
      <w:tr>
        <w:trPr>
          <w:trHeight w:val="209"/>
        </w:trPr>
        <w:tc>
          <w:tcPr>
            <w:tcW w:w="8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8220" w:type="dxa"/>
            <w:vAlign w:val="bottom"/>
            <w:gridSpan w:val="2"/>
          </w:tcPr>
          <w:p>
            <w:pPr>
              <w:ind w:left="22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439,500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412,765</w:t>
            </w:r>
          </w:p>
        </w:tc>
      </w:tr>
      <w:tr>
        <w:trPr>
          <w:trHeight w:val="229"/>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97,559</w:t>
            </w:r>
          </w:p>
        </w:tc>
      </w:tr>
      <w:tr>
        <w:trPr>
          <w:trHeight w:val="223"/>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Total net revenue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543,880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510,324</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2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126,817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116,914</w:t>
            </w:r>
          </w:p>
        </w:tc>
      </w:tr>
      <w:tr>
        <w:trPr>
          <w:trHeight w:val="230"/>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88,276</w:t>
            </w:r>
          </w:p>
        </w:tc>
      </w:tr>
      <w:tr>
        <w:trPr>
          <w:trHeight w:val="223"/>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Total costs applicable to revenue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219,136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205,190</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2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256,092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255,532</w:t>
            </w:r>
          </w:p>
        </w:tc>
      </w:tr>
      <w:tr>
        <w:trPr>
          <w:trHeight w:val="229"/>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22,963</w:t>
            </w:r>
          </w:p>
        </w:tc>
      </w:tr>
      <w:tr>
        <w:trPr>
          <w:trHeight w:val="230"/>
        </w:trPr>
        <w:tc>
          <w:tcPr>
            <w:tcW w:w="822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278,997</w:t>
            </w:r>
          </w:p>
        </w:tc>
      </w:tr>
      <w:tr>
        <w:trPr>
          <w:trHeight w:val="22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w:t>
            </w:r>
          </w:p>
        </w:tc>
      </w:tr>
      <w:tr>
        <w:trPr>
          <w:trHeight w:val="230"/>
        </w:trPr>
        <w:tc>
          <w:tcPr>
            <w:tcW w:w="8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w:t>
            </w:r>
          </w:p>
        </w:tc>
      </w:tr>
      <w:tr>
        <w:trPr>
          <w:trHeight w:val="22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r>
      <w:tr>
        <w:trPr>
          <w:trHeight w:val="20"/>
        </w:trPr>
        <w:tc>
          <w:tcPr>
            <w:tcW w:w="8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4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16"/>
        </w:trPr>
        <w:tc>
          <w:tcPr>
            <w:tcW w:w="8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79,655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78,858</w:t>
            </w:r>
          </w:p>
        </w:tc>
      </w:tr>
      <w:tr>
        <w:trPr>
          <w:trHeight w:val="230"/>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79,259</w:t>
            </w:r>
          </w:p>
        </w:tc>
      </w:tr>
      <w:tr>
        <w:trPr>
          <w:trHeight w:val="203"/>
        </w:trPr>
        <w:tc>
          <w:tcPr>
            <w:tcW w:w="8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14,186</w:t>
            </w:r>
          </w:p>
        </w:tc>
      </w:tr>
      <w:tr>
        <w:trPr>
          <w:trHeight w:val="230"/>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gain on hedge instruments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4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8"/>
          </w:tcPr>
          <w:p>
            <w:pPr>
              <w:jc w:val="right"/>
              <w:spacing w:after="0"/>
              <w:rPr>
                <w:sz w:val="20"/>
                <w:szCs w:val="20"/>
                <w:color w:val="auto"/>
              </w:rPr>
            </w:pPr>
            <w:r>
              <w:rPr>
                <w:rFonts w:ascii="Arial" w:cs="Arial" w:eastAsia="Arial" w:hAnsi="Arial"/>
                <w:sz w:val="18"/>
                <w:szCs w:val="18"/>
                <w:b w:val="1"/>
                <w:bCs w:val="1"/>
                <w:color w:val="auto"/>
              </w:rPr>
              <w:t>National Vision Holdings, Inc. and Subsidiaries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340" w:type="dxa"/>
            <w:vAlign w:val="bottom"/>
            <w:gridSpan w:val="11"/>
          </w:tcPr>
          <w:p>
            <w:pPr>
              <w:jc w:val="right"/>
              <w:spacing w:after="0"/>
              <w:rPr>
                <w:sz w:val="20"/>
                <w:szCs w:val="20"/>
                <w:color w:val="auto"/>
              </w:rPr>
            </w:pPr>
            <w:r>
              <w:rPr>
                <w:rFonts w:ascii="Arial" w:cs="Arial" w:eastAsia="Arial" w:hAnsi="Arial"/>
                <w:sz w:val="18"/>
                <w:szCs w:val="18"/>
                <w:b w:val="1"/>
                <w:bCs w:val="1"/>
                <w:color w:val="auto"/>
                <w:w w:val="99"/>
              </w:rPr>
              <w:t>Condensed Consolidated Statements of Stockholders’ Equity (Unaudited)</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Three Months Ended April 4, 2026</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gridSpan w:val="3"/>
          </w:tcPr>
          <w:p>
            <w:pPr>
              <w:jc w:val="right"/>
              <w:ind w:right="130"/>
              <w:spacing w:after="0" w:line="182"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50"/>
              <w:spacing w:after="0" w:line="162" w:lineRule="exact"/>
              <w:rPr>
                <w:sz w:val="20"/>
                <w:szCs w:val="20"/>
                <w:color w:val="auto"/>
              </w:rPr>
            </w:pPr>
            <w:r>
              <w:rPr>
                <w:rFonts w:ascii="Arial" w:cs="Arial" w:eastAsia="Arial" w:hAnsi="Arial"/>
                <w:sz w:val="18"/>
                <w:szCs w:val="18"/>
                <w:color w:val="auto"/>
              </w:rPr>
              <w:t>Additional</w:t>
            </w:r>
          </w:p>
        </w:tc>
        <w:tc>
          <w:tcPr>
            <w:tcW w:w="180" w:type="dxa"/>
            <w:vAlign w:val="bottom"/>
          </w:tcPr>
          <w:p>
            <w:pPr>
              <w:spacing w:after="0"/>
              <w:rPr>
                <w:sz w:val="4"/>
                <w:szCs w:val="4"/>
                <w:color w:val="auto"/>
              </w:rPr>
            </w:pPr>
          </w:p>
        </w:tc>
        <w:tc>
          <w:tcPr>
            <w:tcW w:w="1480" w:type="dxa"/>
            <w:vAlign w:val="bottom"/>
            <w:vMerge w:val="restart"/>
          </w:tcPr>
          <w:p>
            <w:pPr>
              <w:jc w:val="center"/>
              <w:ind w:right="70"/>
              <w:spacing w:after="0" w:line="162" w:lineRule="exact"/>
              <w:rPr>
                <w:sz w:val="20"/>
                <w:szCs w:val="20"/>
                <w:color w:val="auto"/>
              </w:rPr>
            </w:pPr>
            <w:r>
              <w:rPr>
                <w:rFonts w:ascii="Arial" w:cs="Arial" w:eastAsia="Arial" w:hAnsi="Arial"/>
                <w:sz w:val="18"/>
                <w:szCs w:val="18"/>
                <w:color w:val="auto"/>
                <w:w w:val="97"/>
              </w:rPr>
              <w:t>Other</w:t>
            </w:r>
          </w:p>
        </w:tc>
        <w:tc>
          <w:tcPr>
            <w:tcW w:w="140" w:type="dxa"/>
            <w:vAlign w:val="bottom"/>
          </w:tcPr>
          <w:p>
            <w:pPr>
              <w:spacing w:after="0"/>
              <w:rPr>
                <w:sz w:val="4"/>
                <w:szCs w:val="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Retained</w:t>
            </w:r>
          </w:p>
        </w:tc>
        <w:tc>
          <w:tcPr>
            <w:tcW w:w="220" w:type="dxa"/>
            <w:vAlign w:val="bottom"/>
          </w:tcPr>
          <w:p>
            <w:pPr>
              <w:spacing w:after="0"/>
              <w:rPr>
                <w:sz w:val="4"/>
                <w:szCs w:val="4"/>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rPr>
              <w:t>Treasury</w:t>
            </w:r>
          </w:p>
        </w:tc>
        <w:tc>
          <w:tcPr>
            <w:tcW w:w="120" w:type="dxa"/>
            <w:vAlign w:val="bottom"/>
          </w:tcPr>
          <w:p>
            <w:pPr>
              <w:spacing w:after="0"/>
              <w:rPr>
                <w:sz w:val="4"/>
                <w:szCs w:val="4"/>
                <w:color w:val="auto"/>
              </w:rPr>
            </w:pPr>
          </w:p>
        </w:tc>
        <w:tc>
          <w:tcPr>
            <w:tcW w:w="1280" w:type="dxa"/>
            <w:vAlign w:val="bottom"/>
            <w:vMerge w:val="restart"/>
          </w:tcPr>
          <w:p>
            <w:pPr>
              <w:jc w:val="right"/>
              <w:ind w:right="450"/>
              <w:spacing w:after="0" w:line="16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88"/>
        </w:trPr>
        <w:tc>
          <w:tcPr>
            <w:tcW w:w="14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4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620" w:type="dxa"/>
            <w:vAlign w:val="bottom"/>
          </w:tcPr>
          <w:p>
            <w:pPr>
              <w:spacing w:after="0"/>
              <w:rPr>
                <w:sz w:val="15"/>
                <w:szCs w:val="15"/>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Shares</w:t>
            </w:r>
          </w:p>
        </w:tc>
        <w:tc>
          <w:tcPr>
            <w:tcW w:w="8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5"/>
                <w:szCs w:val="15"/>
                <w:color w:val="auto"/>
              </w:rPr>
            </w:pPr>
          </w:p>
        </w:tc>
        <w:tc>
          <w:tcPr>
            <w:tcW w:w="9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8"/>
              </w:rPr>
              <w:t>Paid-In</w:t>
            </w:r>
          </w:p>
        </w:tc>
        <w:tc>
          <w:tcPr>
            <w:tcW w:w="180" w:type="dxa"/>
            <w:vAlign w:val="bottom"/>
          </w:tcPr>
          <w:p>
            <w:pPr>
              <w:spacing w:after="0"/>
              <w:rPr>
                <w:sz w:val="15"/>
                <w:szCs w:val="15"/>
                <w:color w:val="auto"/>
              </w:rPr>
            </w:pPr>
          </w:p>
        </w:tc>
        <w:tc>
          <w:tcPr>
            <w:tcW w:w="14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9"/>
              </w:rPr>
              <w:t>Comprehensive</w:t>
            </w: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90"/>
              <w:spacing w:after="0" w:line="176"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vMerge w:val="continue"/>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Capital</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Income (Loss)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Earnings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January 3, 2026</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869,533</w:t>
            </w:r>
          </w:p>
        </w:tc>
        <w:tc>
          <w:tcPr>
            <w:tcW w:w="0" w:type="dxa"/>
            <w:vAlign w:val="bottom"/>
          </w:tcPr>
          <w:p>
            <w:pPr>
              <w:spacing w:after="0"/>
              <w:rPr>
                <w:sz w:val="1"/>
                <w:szCs w:val="1"/>
                <w:color w:val="auto"/>
              </w:rPr>
            </w:pPr>
          </w:p>
        </w:tc>
      </w:tr>
      <w:tr>
        <w:trPr>
          <w:trHeight w:val="229"/>
        </w:trPr>
        <w:tc>
          <w:tcPr>
            <w:tcW w:w="2480" w:type="dxa"/>
            <w:vAlign w:val="bottom"/>
            <w:gridSpan w:val="2"/>
          </w:tcPr>
          <w:p>
            <w:pPr>
              <w:ind w:left="140"/>
              <w:spacing w:after="0" w:line="230" w:lineRule="exact"/>
              <w:rPr>
                <w:sz w:val="20"/>
                <w:szCs w:val="20"/>
                <w:color w:val="auto"/>
              </w:rPr>
            </w:pPr>
            <w:r>
              <w:rPr>
                <w:rFonts w:ascii="Arial" w:cs="Arial" w:eastAsia="Arial" w:hAnsi="Arial"/>
                <w:sz w:val="18"/>
                <w:szCs w:val="18"/>
                <w:color w:val="auto"/>
                <w:w w:val="97"/>
              </w:rPr>
              <w:t xml:space="preserve">Issuance of common stock </w:t>
            </w:r>
            <w:r>
              <w:rPr>
                <w:rFonts w:ascii="Arial" w:cs="Arial" w:eastAsia="Arial" w:hAnsi="Arial"/>
                <w:sz w:val="23"/>
                <w:szCs w:val="23"/>
                <w:color w:val="auto"/>
                <w:w w:val="97"/>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2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30"/>
        </w:trPr>
        <w:tc>
          <w:tcPr>
            <w:tcW w:w="248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(10,519)</w:t>
            </w:r>
          </w:p>
        </w:tc>
        <w:tc>
          <w:tcPr>
            <w:tcW w:w="0" w:type="dxa"/>
            <w:vAlign w:val="bottom"/>
          </w:tcPr>
          <w:p>
            <w:pPr>
              <w:spacing w:after="0"/>
              <w:rPr>
                <w:sz w:val="1"/>
                <w:szCs w:val="1"/>
                <w:color w:val="auto"/>
              </w:rPr>
            </w:pPr>
          </w:p>
        </w:tc>
      </w:tr>
      <w:tr>
        <w:trPr>
          <w:trHeight w:val="175"/>
        </w:trPr>
        <w:tc>
          <w:tcPr>
            <w:tcW w:w="24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on hedge</w:t>
            </w:r>
          </w:p>
        </w:tc>
        <w:tc>
          <w:tcPr>
            <w:tcW w:w="6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6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31,181</w:t>
            </w:r>
          </w:p>
        </w:tc>
        <w:tc>
          <w:tcPr>
            <w:tcW w:w="0" w:type="dxa"/>
            <w:vAlign w:val="bottom"/>
          </w:tcPr>
          <w:p>
            <w:pPr>
              <w:spacing w:after="0"/>
              <w:rPr>
                <w:sz w:val="1"/>
                <w:szCs w:val="1"/>
                <w:color w:val="auto"/>
              </w:rPr>
            </w:pPr>
          </w:p>
        </w:tc>
      </w:tr>
      <w:tr>
        <w:trPr>
          <w:trHeight w:val="22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April 4, 2026</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898,006</w:t>
            </w:r>
          </w:p>
        </w:tc>
        <w:tc>
          <w:tcPr>
            <w:tcW w:w="0" w:type="dxa"/>
            <w:vAlign w:val="bottom"/>
          </w:tcPr>
          <w:p>
            <w:pPr>
              <w:spacing w:after="0"/>
              <w:rPr>
                <w:sz w:val="1"/>
                <w:szCs w:val="1"/>
                <w:color w:val="auto"/>
              </w:rPr>
            </w:pPr>
          </w:p>
        </w:tc>
      </w:tr>
    </w:tbl>
    <w:p>
      <w:pPr>
        <w:ind w:left="220" w:hanging="194"/>
        <w:spacing w:after="0" w:line="211" w:lineRule="auto"/>
        <w:tabs>
          <w:tab w:leader="none" w:pos="2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Consists primarily of the vesting of shares issued under the Company’s stock incentive plans and Associate Share Purchase Plan.</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0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color w:val="auto"/>
              </w:rPr>
              <w:t>Three Months Ended March 29, 2025</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680" w:type="dxa"/>
            <w:vAlign w:val="bottom"/>
            <w:gridSpan w:val="3"/>
          </w:tcPr>
          <w:p>
            <w:pPr>
              <w:jc w:val="right"/>
              <w:ind w:right="13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17"/>
                <w:szCs w:val="17"/>
                <w:color w:val="auto"/>
              </w:rPr>
            </w:pPr>
          </w:p>
        </w:tc>
        <w:tc>
          <w:tcPr>
            <w:tcW w:w="16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9"/>
              </w:rPr>
              <w:t>Accumulated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vMerge w:val="restart"/>
          </w:tcPr>
          <w:p>
            <w:pPr>
              <w:jc w:val="center"/>
              <w:ind w:right="210"/>
              <w:spacing w:after="0" w:line="161" w:lineRule="exact"/>
              <w:rPr>
                <w:sz w:val="20"/>
                <w:szCs w:val="20"/>
                <w:color w:val="auto"/>
              </w:rPr>
            </w:pPr>
            <w:r>
              <w:rPr>
                <w:rFonts w:ascii="Arial" w:cs="Arial" w:eastAsia="Arial" w:hAnsi="Arial"/>
                <w:sz w:val="18"/>
                <w:szCs w:val="18"/>
                <w:color w:val="auto"/>
              </w:rPr>
              <w:t>Other</w:t>
            </w: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Retained</w:t>
            </w:r>
          </w:p>
        </w:tc>
        <w:tc>
          <w:tcPr>
            <w:tcW w:w="200" w:type="dxa"/>
            <w:vAlign w:val="bottom"/>
          </w:tcPr>
          <w:p>
            <w:pPr>
              <w:spacing w:after="0"/>
              <w:rPr>
                <w:sz w:val="4"/>
                <w:szCs w:val="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auto"/>
              </w:rPr>
              <w:t>Treasury</w:t>
            </w:r>
          </w:p>
        </w:tc>
        <w:tc>
          <w:tcPr>
            <w:tcW w:w="1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0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Shares</w:t>
            </w:r>
          </w:p>
        </w:tc>
        <w:tc>
          <w:tcPr>
            <w:tcW w:w="8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rPr>
              <w:t>Paid-In</w:t>
            </w:r>
          </w:p>
        </w:tc>
        <w:tc>
          <w:tcPr>
            <w:tcW w:w="180" w:type="dxa"/>
            <w:vAlign w:val="bottom"/>
          </w:tcPr>
          <w:p>
            <w:pPr>
              <w:spacing w:after="0"/>
              <w:rPr>
                <w:sz w:val="15"/>
                <w:szCs w:val="15"/>
                <w:color w:val="auto"/>
              </w:rPr>
            </w:pPr>
          </w:p>
        </w:tc>
        <w:tc>
          <w:tcPr>
            <w:tcW w:w="1600" w:type="dxa"/>
            <w:vAlign w:val="bottom"/>
          </w:tcPr>
          <w:p>
            <w:pPr>
              <w:jc w:val="center"/>
              <w:ind w:right="210"/>
              <w:spacing w:after="0" w:line="176" w:lineRule="exact"/>
              <w:rPr>
                <w:sz w:val="20"/>
                <w:szCs w:val="20"/>
                <w:color w:val="auto"/>
              </w:rPr>
            </w:pPr>
            <w:r>
              <w:rPr>
                <w:rFonts w:ascii="Arial" w:cs="Arial" w:eastAsia="Arial" w:hAnsi="Arial"/>
                <w:sz w:val="18"/>
                <w:szCs w:val="18"/>
                <w:color w:val="auto"/>
                <w:w w:val="99"/>
              </w:rPr>
              <w:t>Comprehensive</w:t>
            </w: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Capital</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Income (Loss)</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28, 2024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9"/>
                <w:szCs w:val="19"/>
                <w:color w:val="auto"/>
              </w:rPr>
            </w:pPr>
          </w:p>
        </w:tc>
        <w:tc>
          <w:tcPr>
            <w:tcW w:w="1600" w:type="dxa"/>
            <w:vAlign w:val="bottom"/>
          </w:tcPr>
          <w:p>
            <w:pPr>
              <w:ind w:left="1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ind w:left="1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Unrealized gain on hedge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82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Balances at March 29, 2025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836,160</w:t>
            </w:r>
          </w:p>
        </w:tc>
        <w:tc>
          <w:tcPr>
            <w:tcW w:w="0" w:type="dxa"/>
            <w:vAlign w:val="bottom"/>
          </w:tcPr>
          <w:p>
            <w:pPr>
              <w:spacing w:after="0"/>
              <w:rPr>
                <w:sz w:val="1"/>
                <w:szCs w:val="1"/>
                <w:color w:val="auto"/>
              </w:rPr>
            </w:pPr>
          </w:p>
        </w:tc>
      </w:tr>
    </w:tbl>
    <w:p>
      <w:pPr>
        <w:ind w:left="1660" w:right="660" w:hanging="1614"/>
        <w:spacing w:after="0" w:line="402" w:lineRule="auto"/>
        <w:tabs>
          <w:tab w:leader="none" w:pos="246"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xml:space="preserve">Consists primarily of the vesting of shares issued under the Company’s stock incentive plans and Associate Share Purchase Plan. </w:t>
      </w:r>
      <w:r>
        <w:rPr>
          <w:rFonts w:ascii="Arial" w:cs="Arial" w:eastAsia="Arial" w:hAnsi="Arial"/>
          <w:sz w:val="18"/>
          <w:szCs w:val="18"/>
          <w:i w:val="1"/>
          <w:iCs w:val="1"/>
          <w:color w:val="auto"/>
        </w:rPr>
        <w:t>The accompanying notes are an integral part of these condensed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April 4, 2026</w:t>
            </w: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w w:val="97"/>
              </w:rPr>
              <w:t>March 29, 2025</w:t>
            </w:r>
          </w:p>
        </w:tc>
      </w:tr>
      <w:tr>
        <w:trPr>
          <w:trHeight w:val="20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14,186</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22,963</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Amortization of cloud computing implementation costs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(5,783)</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Inventory adjustments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4,309</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 of use assets and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(10,922)</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Deferred and unearned revenue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10,258</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32,239</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(20,225)</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(20,225)</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Repayments on long-term debt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finance lease obligations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75,237</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 (See Note 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disclosure information: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4,549</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(received) for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Capital expenditures accrued at the end of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8,179</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29,445</w:t>
            </w:r>
          </w:p>
        </w:tc>
      </w:tr>
      <w:tr>
        <w:trPr>
          <w:trHeight w:val="239"/>
        </w:trPr>
        <w:tc>
          <w:tcPr>
            <w:tcW w:w="8000" w:type="dxa"/>
            <w:vAlign w:val="bottom"/>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26,232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16,694</w:t>
            </w:r>
          </w:p>
        </w:tc>
      </w:tr>
    </w:tbl>
    <w:p>
      <w:pPr>
        <w:spacing w:after="0" w:line="163"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Notes to Condensed Consolidated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1.</w:t>
            </w:r>
          </w:p>
        </w:tc>
        <w:tc>
          <w:tcPr>
            <w:tcW w:w="4780" w:type="dxa"/>
            <w:vAlign w:val="bottom"/>
            <w:gridSpan w:val="11"/>
          </w:tcPr>
          <w:p>
            <w:pPr>
              <w:ind w:left="20"/>
              <w:spacing w:after="0"/>
              <w:rPr>
                <w:sz w:val="20"/>
                <w:szCs w:val="20"/>
                <w:color w:val="auto"/>
              </w:rPr>
            </w:pPr>
            <w:r>
              <w:rPr>
                <w:rFonts w:ascii="Arial" w:cs="Arial" w:eastAsia="Arial" w:hAnsi="Arial"/>
                <w:sz w:val="18"/>
                <w:szCs w:val="18"/>
                <w:color w:val="0000FF"/>
              </w:rPr>
              <w:t>Description of Business and Basis of Presentation</w:t>
            </w: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2.</w:t>
            </w:r>
          </w:p>
        </w:tc>
        <w:tc>
          <w:tcPr>
            <w:tcW w:w="3420" w:type="dxa"/>
            <w:vAlign w:val="bottom"/>
            <w:gridSpan w:val="8"/>
          </w:tcPr>
          <w:p>
            <w:pPr>
              <w:ind w:left="20"/>
              <w:spacing w:after="0"/>
              <w:rPr>
                <w:sz w:val="20"/>
                <w:szCs w:val="20"/>
                <w:color w:val="auto"/>
              </w:rPr>
            </w:pPr>
            <w:r>
              <w:rPr>
                <w:rFonts w:ascii="Arial" w:cs="Arial" w:eastAsia="Arial" w:hAnsi="Arial"/>
                <w:sz w:val="18"/>
                <w:szCs w:val="18"/>
                <w:color w:val="0000FF"/>
                <w:w w:val="99"/>
              </w:rPr>
              <w:t>Details of Certain Balance Sheet Accounts</w:t>
            </w:r>
          </w:p>
        </w:tc>
        <w:tc>
          <w:tcPr>
            <w:tcW w:w="5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3.</w:t>
            </w:r>
          </w:p>
        </w:tc>
        <w:tc>
          <w:tcPr>
            <w:tcW w:w="3420" w:type="dxa"/>
            <w:vAlign w:val="bottom"/>
            <w:gridSpan w:val="8"/>
          </w:tcPr>
          <w:p>
            <w:pPr>
              <w:ind w:left="20"/>
              <w:spacing w:after="0"/>
              <w:rPr>
                <w:sz w:val="20"/>
                <w:szCs w:val="20"/>
                <w:color w:val="auto"/>
              </w:rPr>
            </w:pPr>
            <w:r>
              <w:rPr>
                <w:rFonts w:ascii="Arial" w:cs="Arial" w:eastAsia="Arial" w:hAnsi="Arial"/>
                <w:sz w:val="18"/>
                <w:szCs w:val="18"/>
                <w:color w:val="0000FF"/>
              </w:rPr>
              <w:t>Fair Value Measurement</w:t>
            </w:r>
          </w:p>
        </w:tc>
        <w:tc>
          <w:tcPr>
            <w:tcW w:w="1360" w:type="dxa"/>
            <w:vAlign w:val="bottom"/>
            <w:gridSpan w:val="3"/>
          </w:tcPr>
          <w:p>
            <w:pPr>
              <w:spacing w:after="0"/>
              <w:rPr>
                <w:sz w:val="18"/>
                <w:szCs w:val="18"/>
                <w:color w:val="auto"/>
              </w:rPr>
            </w:pP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4.</w:t>
            </w:r>
          </w:p>
        </w:tc>
        <w:tc>
          <w:tcPr>
            <w:tcW w:w="1980" w:type="dxa"/>
            <w:vAlign w:val="bottom"/>
            <w:gridSpan w:val="3"/>
          </w:tcPr>
          <w:p>
            <w:pPr>
              <w:ind w:left="20"/>
              <w:spacing w:after="0"/>
              <w:rPr>
                <w:sz w:val="20"/>
                <w:szCs w:val="20"/>
                <w:color w:val="auto"/>
              </w:rPr>
            </w:pPr>
            <w:r>
              <w:rPr>
                <w:rFonts w:ascii="Arial" w:cs="Arial" w:eastAsia="Arial" w:hAnsi="Arial"/>
                <w:sz w:val="18"/>
                <w:szCs w:val="18"/>
                <w:color w:val="0000FF"/>
              </w:rPr>
              <w:t>Debt</w:t>
            </w:r>
          </w:p>
        </w:tc>
        <w:tc>
          <w:tcPr>
            <w:tcW w:w="2800" w:type="dxa"/>
            <w:vAlign w:val="bottom"/>
            <w:gridSpan w:val="8"/>
          </w:tcPr>
          <w:p>
            <w:pPr>
              <w:spacing w:after="0"/>
              <w:rPr>
                <w:sz w:val="18"/>
                <w:szCs w:val="18"/>
                <w:color w:val="auto"/>
              </w:rPr>
            </w:pP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5.</w:t>
            </w:r>
          </w:p>
        </w:tc>
        <w:tc>
          <w:tcPr>
            <w:tcW w:w="2000" w:type="dxa"/>
            <w:vAlign w:val="bottom"/>
            <w:gridSpan w:val="4"/>
          </w:tcPr>
          <w:p>
            <w:pPr>
              <w:ind w:left="20"/>
              <w:spacing w:after="0"/>
              <w:rPr>
                <w:sz w:val="20"/>
                <w:szCs w:val="20"/>
                <w:color w:val="auto"/>
              </w:rPr>
            </w:pPr>
            <w:r>
              <w:rPr>
                <w:rFonts w:ascii="Arial" w:cs="Arial" w:eastAsia="Arial" w:hAnsi="Arial"/>
                <w:sz w:val="18"/>
                <w:szCs w:val="18"/>
                <w:color w:val="0000FF"/>
                <w:w w:val="99"/>
              </w:rPr>
              <w:t>Interest Rate Derivatives</w:t>
            </w:r>
          </w:p>
        </w:tc>
        <w:tc>
          <w:tcPr>
            <w:tcW w:w="2780" w:type="dxa"/>
            <w:vAlign w:val="bottom"/>
            <w:gridSpan w:val="7"/>
          </w:tcPr>
          <w:p>
            <w:pPr>
              <w:spacing w:after="0"/>
              <w:rPr>
                <w:sz w:val="18"/>
                <w:szCs w:val="18"/>
                <w:color w:val="auto"/>
              </w:rPr>
            </w:pP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6.</w:t>
            </w:r>
          </w:p>
        </w:tc>
        <w:tc>
          <w:tcPr>
            <w:tcW w:w="4780" w:type="dxa"/>
            <w:vAlign w:val="bottom"/>
            <w:gridSpan w:val="11"/>
          </w:tcPr>
          <w:p>
            <w:pPr>
              <w:ind w:left="20"/>
              <w:spacing w:after="0"/>
              <w:rPr>
                <w:sz w:val="20"/>
                <w:szCs w:val="20"/>
                <w:color w:val="auto"/>
              </w:rPr>
            </w:pPr>
            <w:r>
              <w:rPr>
                <w:rFonts w:ascii="Arial" w:cs="Arial" w:eastAsia="Arial" w:hAnsi="Arial"/>
                <w:sz w:val="18"/>
                <w:szCs w:val="18"/>
                <w:color w:val="0000FF"/>
              </w:rPr>
              <w:t>Revenue from Contracts with Customers</w:t>
            </w: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7.</w:t>
            </w:r>
          </w:p>
        </w:tc>
        <w:tc>
          <w:tcPr>
            <w:tcW w:w="2680" w:type="dxa"/>
            <w:vAlign w:val="bottom"/>
            <w:gridSpan w:val="6"/>
          </w:tcPr>
          <w:p>
            <w:pPr>
              <w:ind w:left="20"/>
              <w:spacing w:after="0"/>
              <w:rPr>
                <w:sz w:val="20"/>
                <w:szCs w:val="20"/>
                <w:color w:val="auto"/>
              </w:rPr>
            </w:pPr>
            <w:r>
              <w:rPr>
                <w:rFonts w:ascii="Arial" w:cs="Arial" w:eastAsia="Arial" w:hAnsi="Arial"/>
                <w:sz w:val="18"/>
                <w:szCs w:val="18"/>
                <w:color w:val="0000FF"/>
                <w:w w:val="99"/>
              </w:rPr>
              <w:t>Commitments and Contingencies</w:t>
            </w:r>
          </w:p>
        </w:tc>
        <w:tc>
          <w:tcPr>
            <w:tcW w:w="580" w:type="dxa"/>
            <w:vAlign w:val="bottom"/>
          </w:tcPr>
          <w:p>
            <w:pPr>
              <w:spacing w:after="0"/>
              <w:rPr>
                <w:sz w:val="18"/>
                <w:szCs w:val="18"/>
                <w:color w:val="auto"/>
              </w:rPr>
            </w:pPr>
          </w:p>
        </w:tc>
        <w:tc>
          <w:tcPr>
            <w:tcW w:w="1520" w:type="dxa"/>
            <w:vAlign w:val="bottom"/>
            <w:gridSpan w:val="4"/>
          </w:tcPr>
          <w:p>
            <w:pPr>
              <w:spacing w:after="0"/>
              <w:rPr>
                <w:sz w:val="18"/>
                <w:szCs w:val="18"/>
                <w:color w:val="auto"/>
              </w:rPr>
            </w:pP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8.</w:t>
            </w:r>
          </w:p>
        </w:tc>
        <w:tc>
          <w:tcPr>
            <w:tcW w:w="1580" w:type="dxa"/>
            <w:vAlign w:val="bottom"/>
            <w:gridSpan w:val="2"/>
          </w:tcPr>
          <w:p>
            <w:pPr>
              <w:ind w:left="20"/>
              <w:spacing w:after="0"/>
              <w:rPr>
                <w:sz w:val="20"/>
                <w:szCs w:val="20"/>
                <w:color w:val="auto"/>
              </w:rPr>
            </w:pPr>
            <w:r>
              <w:rPr>
                <w:rFonts w:ascii="Arial" w:cs="Arial" w:eastAsia="Arial" w:hAnsi="Arial"/>
                <w:sz w:val="18"/>
                <w:szCs w:val="18"/>
                <w:color w:val="0000FF"/>
                <w:w w:val="99"/>
              </w:rPr>
              <w:t>Segment Reporting</w:t>
            </w:r>
          </w:p>
        </w:tc>
        <w:tc>
          <w:tcPr>
            <w:tcW w:w="1100" w:type="dxa"/>
            <w:vAlign w:val="bottom"/>
            <w:gridSpan w:val="4"/>
          </w:tcPr>
          <w:p>
            <w:pPr>
              <w:spacing w:after="0"/>
              <w:rPr>
                <w:sz w:val="18"/>
                <w:szCs w:val="18"/>
                <w:color w:val="auto"/>
              </w:rPr>
            </w:pPr>
          </w:p>
        </w:tc>
        <w:tc>
          <w:tcPr>
            <w:tcW w:w="2100" w:type="dxa"/>
            <w:vAlign w:val="bottom"/>
            <w:gridSpan w:val="5"/>
          </w:tcPr>
          <w:p>
            <w:pPr>
              <w:spacing w:after="0"/>
              <w:rPr>
                <w:sz w:val="18"/>
                <w:szCs w:val="18"/>
                <w:color w:val="auto"/>
              </w:rPr>
            </w:pP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9.</w:t>
            </w:r>
          </w:p>
        </w:tc>
        <w:tc>
          <w:tcPr>
            <w:tcW w:w="4780" w:type="dxa"/>
            <w:vAlign w:val="bottom"/>
            <w:gridSpan w:val="11"/>
          </w:tcPr>
          <w:p>
            <w:pPr>
              <w:ind w:left="20"/>
              <w:spacing w:after="0"/>
              <w:rPr>
                <w:sz w:val="20"/>
                <w:szCs w:val="20"/>
                <w:color w:val="auto"/>
              </w:rPr>
            </w:pPr>
            <w:r>
              <w:rPr>
                <w:rFonts w:ascii="Arial" w:cs="Arial" w:eastAsia="Arial" w:hAnsi="Arial"/>
                <w:sz w:val="18"/>
                <w:szCs w:val="18"/>
                <w:color w:val="0000FF"/>
              </w:rPr>
              <w:t>Earnings (Loss) Per Share</w:t>
            </w:r>
          </w:p>
        </w:tc>
        <w:tc>
          <w:tcPr>
            <w:tcW w:w="6260" w:type="dxa"/>
            <w:vAlign w:val="bottom"/>
            <w:gridSpan w:val="3"/>
          </w:tcPr>
          <w:p>
            <w:pPr>
              <w:ind w:left="5200"/>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10. Accumulated Other Comprehensive Income (Loss)</w:t>
            </w:r>
          </w:p>
        </w:tc>
        <w:tc>
          <w:tcPr>
            <w:tcW w:w="620" w:type="dxa"/>
            <w:vAlign w:val="bottom"/>
            <w:vMerge w:val="restart"/>
          </w:tcPr>
          <w:p>
            <w:pPr>
              <w:spacing w:after="0"/>
              <w:rPr>
                <w:sz w:val="18"/>
                <w:szCs w:val="18"/>
                <w:color w:val="auto"/>
              </w:rPr>
            </w:pPr>
          </w:p>
        </w:tc>
        <w:tc>
          <w:tcPr>
            <w:tcW w:w="6260" w:type="dxa"/>
            <w:vAlign w:val="bottom"/>
            <w:gridSpan w:val="3"/>
            <w:vMerge w:val="restart"/>
          </w:tcPr>
          <w:p>
            <w:pPr>
              <w:ind w:left="5200"/>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340" w:type="dxa"/>
            <w:vAlign w:val="bottom"/>
            <w:gridSpan w:val="11"/>
          </w:tcPr>
          <w:p>
            <w:pPr>
              <w:spacing w:after="0"/>
              <w:rPr>
                <w:sz w:val="2"/>
                <w:szCs w:val="2"/>
                <w:color w:val="auto"/>
              </w:rPr>
            </w:pPr>
          </w:p>
        </w:tc>
        <w:tc>
          <w:tcPr>
            <w:tcW w:w="620" w:type="dxa"/>
            <w:vAlign w:val="bottom"/>
            <w:vMerge w:val="continue"/>
          </w:tcPr>
          <w:p>
            <w:pPr>
              <w:spacing w:after="0"/>
              <w:rPr>
                <w:sz w:val="2"/>
                <w:szCs w:val="2"/>
                <w:color w:val="auto"/>
              </w:rPr>
            </w:pPr>
          </w:p>
        </w:tc>
        <w:tc>
          <w:tcPr>
            <w:tcW w:w="626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0" w:type="dxa"/>
            <w:vAlign w:val="bottom"/>
          </w:tcPr>
          <w:p>
            <w:pPr>
              <w:ind w:left="60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5" w:lineRule="exact"/>
        <w:rPr>
          <w:sz w:val="20"/>
          <w:szCs w:val="20"/>
          <w:color w:val="auto"/>
        </w:rPr>
      </w:pPr>
    </w:p>
    <w:p>
      <w:pPr>
        <w:ind w:right="7080" w:firstLine="8"/>
        <w:spacing w:after="0" w:line="375"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Significant Accounting Policies </w:t>
      </w:r>
      <w:r>
        <w:rPr>
          <w:rFonts w:ascii="Arial" w:cs="Arial" w:eastAsia="Arial" w:hAnsi="Arial"/>
          <w:sz w:val="18"/>
          <w:szCs w:val="18"/>
          <w:i w:val="1"/>
          <w:iCs w:val="1"/>
          <w:color w:val="auto"/>
        </w:rPr>
        <w:t>Nature of Operations</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(the “U.S.”). We operated 1,274 and 1,250 retail optical locations in the U.S. and its territories as of April 4, 2026 and January 3, 2026, respectively, through our four store brands, including America’s Best Contacts and Eyeglasses (“America’s Best”), Eyeglass World, Vista Optical locations on select U.S. Army/Air Force military bases (“Military”) and within select Fred Meyer stores. Additionally, we operate omni-channel websites for our America’s Best, Eyeglass World and Military brands, as well as a dedicated e-commerce website.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also operate a specialized health maintenance organization (“HMO”) that is licensed as a single-service health plan under California law.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HMO issues individual vision plans in connection with our America’s Best operations in California.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These condensed consolidated financial statements reflect all normal and recurring adjustments which are, in the opinion of management, necessary to present fairly the Company’s consolidated results of the interim period.</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January 3, 2026 included in the Company’s Annual Report on Form 10-K filed with the Securities and Exchange Commission on March 4, 2026 (the “2025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three months ended April 4, 2026.</w:t>
      </w:r>
    </w:p>
    <w:p>
      <w:pPr>
        <w:spacing w:after="0" w:line="7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condensed consolidated financial statements include our accounts and those of our wholly-owned subsidiaries. All intercompany balances and transactions have been eliminated in consolidation.</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April 4, 2026, the variable interest entities include 27 professional corporations. The total assets of the consolidated VIEs included in the accompanying Condensed Consolidated Balance Sheets as of April 4, 2026 and January 3, 2026, were $5.7 million and $4.6 million, respectively, and the total liabilities of the consolidated VIEs were $10.6 million and $6.9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2026 contains 52 weeks and will end on January 2, 2027. Fiscal year 2025 contained 53 weeks and ended on January 3, 2026. All three month periods presented herein contain 13 weeks. All references to years and quarters relate to fiscal periods rather than calendar periods.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consolidated results of operations for the three months ended April 4, 2026 and March 29, 2025,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Accounts receivable, net on the Condensed Consolidated Balance Sheets as of January 3, 2026 includes $9.0 million receivable under the Coronavirus Aid, Relief, and Economic Security (“CARES”) Act. During the three months ended April 4, 2026, the Company received the full payment of these CARES Act credits.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Benefits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 months ended April 4, 2026 and March 29, 2025, we recognized $2.1 million and $2.1 million, respectively, related to severance benefits for certain associates in the Corporate and other category within Selling, general and administrative expenses in the Condensed Consolidated Statements of Operations and Comprehensive Income. These charges were recognized in accordance with FASB guidance on employers’ accounting for postemployment benefits and guidance on accounting for costs associated with exit or disposal activities, as appropriate.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three months ended April 4, 2026, we granted performance stock units to certain employees. The number of shares issued will be determined based on the level of achievement of predefined performance and market conditions, including adjusted operating income, return on invested capital, relative total shareholder return versus a peer group and an absolute total shareholder return feature, with a performance period of three years and a requisite service period of three to five years. We recognize compensation expense on performance stock units ratably over the requisite performance period of the award to the extent management views the performance goals as probable of attainment. We recognize compensation expense for the fair value of the relative total shareholder return versus the peer group component and the absolute total shareholder return component over the requisite service period of such awards using a Monte Carlo simulation.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recognized no impairment charges during the three months ended April 4, 2026, compared to $0.5 million related to tangible long-lived store assets and Right of Use (“ROU”) assets for the three months ended March 29, 2025. The impairments were recognized in Corporate and other, and are reflected in Asset impairment in the Condensed Consolidated Statements of Operations and Comprehensive Income. Refer to Note 3. “Fair Value Measurement” for additional information on impairment charges.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Impairments of tangible long-lived store assets and ROU assets during the three months ended March 29, 2025 were primarily driven by lower than projected customer sales volume and profitability in certain stores and other entity-specific assumptions. We considered multiple factors including, but not limited to, forecasted scenarios related to store performance and the likelihood that these scenarios would be ultimately realized and the remaining useful lives of the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right="520"/>
        <w:spacing w:after="0" w:line="318" w:lineRule="auto"/>
        <w:rPr>
          <w:sz w:val="20"/>
          <w:szCs w:val="20"/>
          <w:color w:val="auto"/>
        </w:rPr>
      </w:pPr>
      <w:r>
        <w:rPr>
          <w:rFonts w:ascii="Arial" w:cs="Arial" w:eastAsia="Arial" w:hAnsi="Arial"/>
          <w:sz w:val="17"/>
          <w:szCs w:val="17"/>
          <w:color w:val="auto"/>
        </w:rPr>
        <w:t>Our effective tax rate for the three months ended April 4, 2026 was 26.4%, reflecting our statutory federal and state rate of 25.1%, non-deductible compensation expense, partially offset by the discrete benefit of permanent adjustments related to equity compensation.</w:t>
      </w:r>
    </w:p>
    <w:p>
      <w:pPr>
        <w:spacing w:after="0" w:line="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effective tax rate for the three months ended March 29, 2025 was 34.2%, reflecting our statutory federal and state rate of 25.2%, discrete effects of permanent adjustments related to equity compensation and other effects of permanent items.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Effective March 2, 2026, the Board authorized the Company to repurchase up to $ 50 million aggregate amount of shares of the Company’s common stock until December 28, 2030. As of April 4, 2026, the authorization has remaining capacity of $50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the second quarter of fiscal year 2023, we completed an investment in the equity of an entity specializing in applying artificial intelligence-powered screening and diagnostic tools to retinal imaging. As of April 4, 2026, we have invested a total of $3.3 million in the equity of the entity. The investment is valued at cost. In addition, in the fourth quarter of fiscal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year 2024, we completed an investment in a convertible promissory note issued by this entity. Refer to Note 3. “Fair Value Measurement” for more information on the investments in this entity. These investments are recognized in Other assets in the Condensed Consolidated Balance Sheets and in Other in the investing section of the Condensed Consolidated Statements of Cash Flows.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Current Accounting Pronouncements</w:t>
      </w:r>
    </w:p>
    <w:p>
      <w:pPr>
        <w:spacing w:after="0" w:line="115"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i w:val="1"/>
          <w:iCs w:val="1"/>
          <w:color w:val="auto"/>
        </w:rPr>
        <w:t xml:space="preserve">Credit Losses for Accounts Receivable and Contract Assets. </w:t>
      </w:r>
      <w:r>
        <w:rPr>
          <w:rFonts w:ascii="Arial" w:cs="Arial" w:eastAsia="Arial" w:hAnsi="Arial"/>
          <w:sz w:val="18"/>
          <w:szCs w:val="18"/>
          <w:color w:val="auto"/>
        </w:rPr>
        <w:t>In July 2025, the FASB issued ASU 2025-05, Financial Instruments-Credit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(Topic 326): Measurement of Credit Losses for Accounts Receivable and Contract Assets. This update provides a practical expedient which allows an entity to assume that, for purposes of estimating expected credit losses related to an asset, current conditions as of a balance sheet date do not change for the remaining life of the asset. This guidance is effective for fiscal years beginning after December 15, 2025, and interim reporting periods within those annual reporting periods, with early adoption permitted. The Company adopted this new guidance in the first quarter of 2026. The adoption of ASU 2025</w:t>
      </w:r>
      <w:r>
        <w:rPr>
          <w:rFonts w:ascii="MS PGothic" w:cs="MS PGothic" w:eastAsia="MS PGothic" w:hAnsi="MS PGothic"/>
          <w:sz w:val="18"/>
          <w:szCs w:val="18"/>
          <w:color w:val="auto"/>
        </w:rPr>
        <w:t>‑</w:t>
      </w:r>
      <w:r>
        <w:rPr>
          <w:rFonts w:ascii="Arial" w:cs="Arial" w:eastAsia="Arial" w:hAnsi="Arial"/>
          <w:sz w:val="18"/>
          <w:szCs w:val="18"/>
          <w:color w:val="auto"/>
        </w:rPr>
        <w:t>05 did not have a material impact on the Company’s allowance for credit losses or its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Expense Disaggregation Disclosures</w:t>
      </w:r>
      <w:r>
        <w:rPr>
          <w:rFonts w:ascii="Arial" w:cs="Arial" w:eastAsia="Arial" w:hAnsi="Arial"/>
          <w:sz w:val="18"/>
          <w:szCs w:val="18"/>
          <w:color w:val="auto"/>
        </w:rPr>
        <w:t>. In November 2024, the FASB issued ASU 2024-03, Income Statement – Reporting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(Topic 220-40): Expense Disaggregation Disclosures (“ASU 2024-03”). This update requires, among other things, more detailed disclosure about types of expenses in commonly presented expense captions such as cost of sales and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Derivatives and Hedging</w:t>
      </w:r>
      <w:r>
        <w:rPr>
          <w:rFonts w:ascii="Arial" w:cs="Arial" w:eastAsia="Arial" w:hAnsi="Arial"/>
          <w:sz w:val="18"/>
          <w:szCs w:val="18"/>
          <w:color w:val="auto"/>
        </w:rPr>
        <w:t>. In November 2025, the FASB issued ASU 2025-09, Derivatives and Hedging (Topic 815), to more closely align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with the economics of an entity’s risk management activities. The effective date for this standard is for fiscal years beginning after December 15, 2026 and interim periods within those fiscal years. Early adoption is permitted. The amendments in this ASU should be applied prospectively with an option to adopt the amendments for hedging relationships existing as of the date of adoption. The Company is currently evaluating the impact of the guidance on the consolidated financial statements and disclosures.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Intangibles - Internal-Use Software. </w:t>
      </w:r>
      <w:r>
        <w:rPr>
          <w:rFonts w:ascii="Arial" w:cs="Arial" w:eastAsia="Arial" w:hAnsi="Arial"/>
          <w:sz w:val="18"/>
          <w:szCs w:val="18"/>
          <w:color w:val="auto"/>
        </w:rPr>
        <w:t>In September 2025, the FASB issued ASU 2025-06, Intangibles - Goodwill and Other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(Subtopic 350-40), which updates the accounting guidance for internal-use software costs. The amendments remove references to software development project stages and align the guidance with current software development practices. The standard is effective for fiscal years beginning after December 15, 2027, including interim periods within those fiscal years, with early adoption permitted. The Company is currently evaluating the impact of this ASU on its consolidated financial statements and disclosures.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Interim Reporting</w:t>
      </w:r>
      <w:r>
        <w:rPr>
          <w:rFonts w:ascii="Arial" w:cs="Arial" w:eastAsia="Arial" w:hAnsi="Arial"/>
          <w:sz w:val="18"/>
          <w:szCs w:val="18"/>
          <w:color w:val="auto"/>
        </w:rPr>
        <w:t>. In December 2025, the FASB issued ASU 2025-11, Interim Reporting (Topic 270): Narrow-Scope Improvements (“ASU</w:t>
      </w:r>
      <w:r>
        <w:rPr>
          <w:rFonts w:ascii="Arial" w:cs="Arial" w:eastAsia="Arial" w:hAnsi="Arial"/>
          <w:sz w:val="18"/>
          <w:szCs w:val="18"/>
          <w:i w:val="1"/>
          <w:iCs w:val="1"/>
          <w:color w:val="auto"/>
        </w:rPr>
        <w:t xml:space="preserve"> </w:t>
      </w:r>
      <w:r>
        <w:rPr>
          <w:rFonts w:ascii="Arial" w:cs="Arial" w:eastAsia="Arial" w:hAnsi="Arial"/>
          <w:sz w:val="18"/>
          <w:szCs w:val="18"/>
          <w:color w:val="auto"/>
        </w:rPr>
        <w:t>2025-11”).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standard is effective for fiscal years beginning after December 15, 2027, including interim periods within those fiscal years, and permits prospective or full retrospective adoption. The Company is currently evaluating the impact of the guidance on the consolidated financial statements and disclosures.</w:t>
      </w:r>
    </w:p>
    <w:p>
      <w:pPr>
        <w:spacing w:after="0" w:line="7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financial statements, and therefore, is not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color w:val="auto"/>
              </w:rPr>
              <w:t>Three Months Ended</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color w:val="auto"/>
              </w:rPr>
              <w:t>April 4, 2026</w:t>
            </w:r>
          </w:p>
        </w:tc>
        <w:tc>
          <w:tcPr>
            <w:tcW w:w="280" w:type="dxa"/>
            <w:vAlign w:val="bottom"/>
          </w:tcPr>
          <w:p>
            <w:pPr>
              <w:spacing w:after="0"/>
              <w:rPr>
                <w:sz w:val="19"/>
                <w:szCs w:val="19"/>
                <w:color w:val="auto"/>
              </w:rPr>
            </w:pP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March 29, 2025</w:t>
            </w: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67,898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80,024</w:t>
            </w:r>
          </w:p>
        </w:tc>
      </w:tr>
      <w:tr>
        <w:trPr>
          <w:trHeight w:val="230"/>
        </w:trPr>
        <w:tc>
          <w:tcPr>
            <w:tcW w:w="6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Restricted cash included in Other assets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32"/>
        </w:trPr>
        <w:tc>
          <w:tcPr>
            <w:tcW w:w="69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69,591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81,847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27260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(1) Restricted cash relates to regulatory requirements associated with our FirstSight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-107315</wp:posOffset>
            </wp:positionV>
            <wp:extent cx="2726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additional details of Inventories, net as of the dates shown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7"/>
                <w:szCs w:val="17"/>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color w:val="auto"/>
              </w:rPr>
              <w:t>As of</w:t>
            </w:r>
          </w:p>
        </w:tc>
        <w:tc>
          <w:tcPr>
            <w:tcW w:w="260" w:type="dxa"/>
            <w:vAlign w:val="bottom"/>
          </w:tcPr>
          <w:p>
            <w:pPr>
              <w:spacing w:after="0"/>
              <w:rPr>
                <w:sz w:val="17"/>
                <w:szCs w:val="17"/>
                <w:color w:val="auto"/>
              </w:rPr>
            </w:pP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69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color w:val="auto"/>
              </w:rPr>
              <w:t>April 4, 2026</w:t>
            </w:r>
          </w:p>
        </w:tc>
        <w:tc>
          <w:tcPr>
            <w:tcW w:w="260" w:type="dxa"/>
            <w:vAlign w:val="bottom"/>
          </w:tcPr>
          <w:p>
            <w:pPr>
              <w:spacing w:after="0"/>
              <w:rPr>
                <w:sz w:val="21"/>
                <w:szCs w:val="21"/>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January 3, 2026</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 net:</w:t>
            </w:r>
          </w:p>
        </w:tc>
        <w:tc>
          <w:tcPr>
            <w:tcW w:w="3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80,658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65,775</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0" w:type="dxa"/>
            <w:vAlign w:val="bottom"/>
          </w:tcPr>
          <w:p>
            <w:pPr>
              <w:spacing w:after="0"/>
              <w:rPr>
                <w:sz w:val="1"/>
                <w:szCs w:val="1"/>
                <w:color w:val="auto"/>
              </w:rPr>
            </w:pPr>
          </w:p>
        </w:tc>
      </w:tr>
      <w:tr>
        <w:trPr>
          <w:trHeight w:val="232"/>
        </w:trPr>
        <w:tc>
          <w:tcPr>
            <w:tcW w:w="69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107,706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89,318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2726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260" w:right="20" w:hanging="234"/>
        <w:spacing w:after="0" w:line="251" w:lineRule="auto"/>
        <w:tabs>
          <w:tab w:leader="none" w:pos="255" w:val="left"/>
        </w:tabs>
        <w:numPr>
          <w:ilvl w:val="1"/>
          <w:numId w:val="6"/>
        </w:numPr>
        <w:rPr>
          <w:rFonts w:ascii="Arial" w:cs="Arial" w:eastAsia="Arial" w:hAnsi="Arial"/>
          <w:sz w:val="16"/>
          <w:szCs w:val="16"/>
          <w:color w:val="auto"/>
        </w:rPr>
      </w:pPr>
      <w:r>
        <w:rPr>
          <w:rFonts w:ascii="Arial" w:cs="Arial" w:eastAsia="Arial" w:hAnsi="Arial"/>
          <w:sz w:val="16"/>
          <w:szCs w:val="16"/>
          <w:color w:val="auto"/>
        </w:rPr>
        <w:t>Due to the immaterial amount of estimated work in process and the short lead times for the conversion of raw materials to finished goods, the Company does not separately present raw materials and work in process.</w:t>
      </w:r>
    </w:p>
    <w:p>
      <w:pPr>
        <w:spacing w:after="0" w:line="200" w:lineRule="exact"/>
        <w:rPr>
          <w:rFonts w:ascii="Arial" w:cs="Arial" w:eastAsia="Arial" w:hAnsi="Arial"/>
          <w:sz w:val="16"/>
          <w:szCs w:val="16"/>
          <w:color w:val="auto"/>
        </w:rPr>
      </w:pPr>
    </w:p>
    <w:p>
      <w:pPr>
        <w:spacing w:after="0" w:line="328"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-701675</wp:posOffset>
            </wp:positionV>
            <wp:extent cx="2726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Derivative assets and liabilities are recognized at fair value, which reflects the estimated amounts the Company would receive or pay to settle the interest rate derivatives prior to their contractual expiration dates. The fair value is based on information that is model-driven based on regression analysis and whose inputs were observable (Level 2 inputs) such as Term Secured Overnight Financing Rate (“Term SOFR”) forward rates. See Note 5. “Interest Rate Derivatives” for further details.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Promissory Note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17, 2024, the Company purchased $1.3 million principal amount of a convertible promissory note issued by a private company. During fiscal year 2025, the Company purchased an additional $1.2 million in the same instrument. As of April 4, 2026, we estimated the fair value of the convertible promissory note to be $2.5 million. Refer to Note 1. “Description of Business and Basis of Presentation” for more information on the investments in this entity.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 decrease in the estimated cash flows would lead to a lower fair value measurement, as would an increase in the discount rate. These non-recurring fair value measurements are classified as Level 3 measurements in the fair value hierarchy.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Store and ROU Store Assets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recognized no impairment charges during the three months ended April 4, 2026, compared to $0.5 million related to tangible long-lived store assets and Right of Use (“ROU”) assets for the three months ended March 29, 2025. The cash flows used in estimating fair value were discounted using a market rate of 10.5% during the three months ended March 29, 2025. The estimated remaining fair value of the store assets impaired during the three months ended March 29, 2025 was $0.5 million. Substantially all of the remaining fair value of the impaired store assets represents the fair value of ROU assets.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A and Revolving Loans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Since the borrowings under first lien term loan (“Term Loan A”) and revolving credit loans (the “Revolving Loans”) utilize variable interest rate setting mechanisms such as Term SOFR, the fair values of these borrowings are deemed to approximate the carrying values. We also considered the effect of our own credit risk on the fair values of Term Loan A and Revolving Loans. Refer to Note 4. “Debt” for more information on these borrowings.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360" w:type="dxa"/>
            <w:vAlign w:val="bottom"/>
          </w:tcPr>
          <w:p>
            <w:pPr>
              <w:spacing w:after="0"/>
              <w:rPr>
                <w:sz w:val="20"/>
                <w:szCs w:val="20"/>
                <w:color w:val="auto"/>
              </w:rPr>
            </w:pPr>
            <w:r>
              <w:rPr>
                <w:rFonts w:ascii="Arial" w:cs="Arial" w:eastAsia="Arial" w:hAnsi="Arial"/>
                <w:sz w:val="18"/>
                <w:szCs w:val="18"/>
                <w:b w:val="1"/>
                <w:bCs w:val="1"/>
                <w:color w:val="auto"/>
              </w:rPr>
              <w:t>4. Debt</w:t>
            </w: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7360" w:type="dxa"/>
            <w:vAlign w:val="bottom"/>
          </w:tcPr>
          <w:p>
            <w:pPr>
              <w:spacing w:after="0"/>
              <w:rPr>
                <w:sz w:val="20"/>
                <w:szCs w:val="20"/>
                <w:color w:val="auto"/>
              </w:rPr>
            </w:pPr>
            <w:r>
              <w:rPr>
                <w:rFonts w:ascii="Arial" w:cs="Arial" w:eastAsia="Arial" w:hAnsi="Arial"/>
                <w:sz w:val="18"/>
                <w:szCs w:val="18"/>
                <w:color w:val="auto"/>
              </w:rPr>
              <w:t>Our debt consists of the following:</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20" w:type="dxa"/>
            <w:vAlign w:val="bottom"/>
          </w:tcPr>
          <w:p>
            <w:pPr>
              <w:spacing w:after="0"/>
              <w:rPr>
                <w:sz w:val="24"/>
                <w:szCs w:val="24"/>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73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April 4, 2026</w:t>
            </w:r>
          </w:p>
        </w:tc>
        <w:tc>
          <w:tcPr>
            <w:tcW w:w="220" w:type="dxa"/>
            <w:vAlign w:val="bottom"/>
          </w:tcPr>
          <w:p>
            <w:pPr>
              <w:spacing w:after="0"/>
              <w:rPr>
                <w:sz w:val="21"/>
                <w:szCs w:val="21"/>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January 3, 2026</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 due June 13, 2028</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237,625</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Revolving Loans, due June 13, 2028 (aggregate principal amount $300 million)</w:t>
            </w:r>
          </w:p>
        </w:tc>
        <w:tc>
          <w:tcPr>
            <w:tcW w:w="2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before unamortized discount and issuance costs</w:t>
            </w:r>
          </w:p>
        </w:tc>
        <w:tc>
          <w:tcPr>
            <w:tcW w:w="2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237,625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and issuance costs - Term Loan A</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less debt discount and issuance costs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236,488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223,238</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155"/>
        </w:trPr>
        <w:tc>
          <w:tcPr>
            <w:tcW w:w="7360" w:type="dxa"/>
            <w:vAlign w:val="bottom"/>
          </w:tcPr>
          <w:p>
            <w:pPr>
              <w:ind w:left="20"/>
              <w:spacing w:after="0" w:line="156" w:lineRule="exact"/>
              <w:rPr>
                <w:sz w:val="20"/>
                <w:szCs w:val="20"/>
                <w:color w:val="auto"/>
              </w:rPr>
            </w:pPr>
            <w:r>
              <w:rPr>
                <w:rFonts w:ascii="Arial" w:cs="Arial" w:eastAsia="Arial" w:hAnsi="Arial"/>
                <w:sz w:val="18"/>
                <w:szCs w:val="18"/>
                <w:color w:val="auto"/>
              </w:rPr>
              <w:t>Long-term debt and finance lease obligations, less current portion, discount, and issuance</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225,246</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229,327</w:t>
            </w:r>
          </w:p>
        </w:tc>
        <w:tc>
          <w:tcPr>
            <w:tcW w:w="0" w:type="dxa"/>
            <w:vAlign w:val="bottom"/>
          </w:tcPr>
          <w:p>
            <w:pPr>
              <w:spacing w:after="0"/>
              <w:rPr>
                <w:sz w:val="1"/>
                <w:szCs w:val="1"/>
                <w:color w:val="auto"/>
              </w:rPr>
            </w:pPr>
          </w:p>
        </w:tc>
      </w:tr>
      <w:tr>
        <w:trPr>
          <w:trHeight w:val="221"/>
        </w:trPr>
        <w:tc>
          <w:tcPr>
            <w:tcW w:w="7360" w:type="dxa"/>
            <w:vAlign w:val="bottom"/>
          </w:tcPr>
          <w:p>
            <w:pPr>
              <w:ind w:left="20"/>
              <w:spacing w:after="0"/>
              <w:rPr>
                <w:sz w:val="20"/>
                <w:szCs w:val="20"/>
                <w:color w:val="auto"/>
              </w:rPr>
            </w:pPr>
            <w:r>
              <w:rPr>
                <w:rFonts w:ascii="Arial" w:cs="Arial" w:eastAsia="Arial" w:hAnsi="Arial"/>
                <w:sz w:val="18"/>
                <w:szCs w:val="18"/>
                <w:color w:val="auto"/>
              </w:rPr>
              <w:t>costs</w:t>
            </w:r>
          </w:p>
        </w:tc>
        <w:tc>
          <w:tcPr>
            <w:tcW w:w="28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Scheduled annual maturities of debt are as follows:</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Period</w:t>
            </w: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 remainder of fiscal year</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211,125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related to our debt as of April 4, 2026.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2025, the Company fully repaid the 2.50% convertible senior notes due on May 15, 2025 (“2025 Notes”).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80" w:type="dxa"/>
            <w:vAlign w:val="bottom"/>
          </w:tcPr>
          <w:p>
            <w:pPr>
              <w:spacing w:after="0"/>
              <w:rPr>
                <w:sz w:val="20"/>
                <w:szCs w:val="20"/>
                <w:color w:val="auto"/>
              </w:rPr>
            </w:pPr>
            <w:r>
              <w:rPr>
                <w:rFonts w:ascii="Arial" w:cs="Arial" w:eastAsia="Arial" w:hAnsi="Arial"/>
                <w:sz w:val="18"/>
                <w:szCs w:val="18"/>
                <w:color w:val="auto"/>
              </w:rPr>
              <w:t>We recognized the following in Interest expense, net related to the 2025 Notes:</w:t>
            </w: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1"/>
        </w:trPr>
        <w:tc>
          <w:tcPr>
            <w:tcW w:w="9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Three Months Ended</w:t>
            </w:r>
          </w:p>
        </w:tc>
      </w:tr>
      <w:tr>
        <w:trPr>
          <w:trHeight w:val="223"/>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March 29, 2025</w:t>
            </w: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9"/>
        </w:trPr>
        <w:tc>
          <w:tcPr>
            <w:tcW w:w="9180" w:type="dxa"/>
            <w:vAlign w:val="bottom"/>
          </w:tcPr>
          <w:p>
            <w:pPr>
              <w:ind w:left="20"/>
              <w:spacing w:after="0"/>
              <w:rPr>
                <w:sz w:val="20"/>
                <w:szCs w:val="20"/>
                <w:color w:val="auto"/>
              </w:rPr>
            </w:pPr>
            <w:r>
              <w:rPr>
                <w:rFonts w:ascii="Arial" w:cs="Arial" w:eastAsia="Arial" w:hAnsi="Arial"/>
                <w:sz w:val="18"/>
                <w:szCs w:val="18"/>
                <w:color w:val="auto"/>
              </w:rPr>
              <w:t>Amortization of issuance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Rate Derivatives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December 2025, we entered into an interest rate swap agreement to help manage interest rate exposure by economically converting a portion of our variable-rate debt to fixed-rate debt. Under the interest rate swap agreement, we receive a floating interest rate of the one-month SOFR and pay a fixed interest rate of 3.43% on $100 million of notional amount. We designated the interest rate swap as the hedging instrument in an effective hedge accounting relationship.</w:t>
      </w:r>
    </w:p>
    <w:p>
      <w:pPr>
        <w:spacing w:after="0" w:line="68"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recognized (gains) losses on the change in fair value of the interest rate swap of $(0.5) million in Other comprehensive income (loss) during the three months ended April 4, 2026. A net gain of $0.1 million was reclassified from Accumulated other comprehensive income (loss) into Interest expense, net, during the three months ended April 4, 2026.</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As of April 4, 2026, the Company expects to reclassify $ 0.2 million of unrealized gains on the derivative, net of tax, from AOCI into earnings in the next 12 months. Cash flows related to derivatives are included in the operating section of the Condensed Consolidated Statements of Cash Flows. See Note 10. “Accumulated Other Comprehensive Income (Loss)” for further details.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derivatives designated as hedging instruments under ASC 815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left="290"/>
              <w:spacing w:after="0"/>
              <w:rPr>
                <w:sz w:val="20"/>
                <w:szCs w:val="20"/>
                <w:color w:val="auto"/>
              </w:rPr>
            </w:pPr>
            <w:r>
              <w:rPr>
                <w:rFonts w:ascii="Arial" w:cs="Arial" w:eastAsia="Arial" w:hAnsi="Arial"/>
                <w:sz w:val="18"/>
                <w:szCs w:val="18"/>
                <w:color w:val="auto"/>
              </w:rPr>
              <w:t>As of</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76"/>
        </w:trPr>
        <w:tc>
          <w:tcPr>
            <w:tcW w:w="3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500" w:type="dxa"/>
            <w:vAlign w:val="bottom"/>
            <w:gridSpan w:val="2"/>
            <w:vMerge w:val="restart"/>
          </w:tcPr>
          <w:p>
            <w:pPr>
              <w:ind w:left="1040"/>
              <w:spacing w:after="0"/>
              <w:rPr>
                <w:sz w:val="20"/>
                <w:szCs w:val="20"/>
                <w:color w:val="auto"/>
              </w:rPr>
            </w:pPr>
            <w:r>
              <w:rPr>
                <w:rFonts w:ascii="Arial" w:cs="Arial" w:eastAsia="Arial" w:hAnsi="Arial"/>
                <w:sz w:val="18"/>
                <w:szCs w:val="18"/>
                <w:color w:val="auto"/>
              </w:rPr>
              <w:t>Balance Sheet Classification</w:t>
            </w:r>
          </w:p>
        </w:tc>
        <w:tc>
          <w:tcPr>
            <w:tcW w:w="960" w:type="dxa"/>
            <w:vAlign w:val="bottom"/>
          </w:tcPr>
          <w:p>
            <w:pPr>
              <w:jc w:val="center"/>
              <w:ind w:left="310"/>
              <w:spacing w:after="0" w:line="176" w:lineRule="exact"/>
              <w:rPr>
                <w:sz w:val="20"/>
                <w:szCs w:val="20"/>
                <w:color w:val="auto"/>
              </w:rPr>
            </w:pPr>
            <w:r>
              <w:rPr>
                <w:rFonts w:ascii="Arial" w:cs="Arial" w:eastAsia="Arial" w:hAnsi="Arial"/>
                <w:sz w:val="18"/>
                <w:szCs w:val="18"/>
                <w:color w:val="auto"/>
                <w:w w:val="99"/>
              </w:rPr>
              <w:t>April 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4500" w:type="dxa"/>
            <w:vAlign w:val="bottom"/>
            <w:gridSpan w:val="2"/>
            <w:vMerge w:val="continue"/>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2026</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January 3, 2026</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Non-current portion</w:t>
            </w: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Payables and Accrued Expenses</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Non-current portion</w:t>
            </w: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56"/>
        </w:trPr>
        <w:tc>
          <w:tcPr>
            <w:tcW w:w="39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derivative liabilities or assets designated</w:t>
            </w:r>
          </w:p>
        </w:tc>
        <w:tc>
          <w:tcPr>
            <w:tcW w:w="4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259</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hedging instruments</w:t>
            </w:r>
          </w:p>
        </w:tc>
        <w:tc>
          <w:tcPr>
            <w:tcW w:w="4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w:t>
      </w:r>
    </w:p>
    <w:p>
      <w:pPr>
        <w:spacing w:after="0" w:line="11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majority of our revenues are recognized either at the point of sale or upon delivery and customer acceptance. We obtain consideration from our customers at the time of sale in cash, credit card, or on account with managed care payors having terms generally</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between 14 and 120 days, with most paying within 60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and 2) eye exams. Revenues recognized over time primarily include product protection plans (i.e. warranties) and eye care club memberships.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color w:val="auto"/>
              </w:rPr>
              <w:t>Three Months Ended</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9"/>
                <w:szCs w:val="19"/>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April 4, 2026</w:t>
            </w:r>
          </w:p>
        </w:tc>
        <w:tc>
          <w:tcPr>
            <w:tcW w:w="240" w:type="dxa"/>
            <w:vAlign w:val="bottom"/>
          </w:tcPr>
          <w:p>
            <w:pPr>
              <w:spacing w:after="0"/>
              <w:rPr>
                <w:sz w:val="19"/>
                <w:szCs w:val="19"/>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March 29, 2025</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478,528</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31,796</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510,324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Refer to Note 8. “Segment Reporting” for the Company’s disaggregation of net revenue. As our operating segments are aligned by similar economic factors, trends and customers, the reportable segment view best depicts how the nature, amount and uncertainty of revenue and cash flows are affected by economic factors.</w:t>
      </w:r>
    </w:p>
    <w:p>
      <w:pPr>
        <w:spacing w:after="0" w:line="63"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$0.4 million and $3.2 million during the three months ended April 4, 2026 and March 29, 2025,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 (Contract Liabilities)</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During the three months ended April 4, 2026 and March 29, 2025, we recognized $23.4 million and $22.8 million, respectively, of deferred revenues outstanding at the beginning of each respective period.</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deferred revenue balance as of April 4, 2026 and January 3, 2026 was $89.1 million and $87.1 million, respectively. Deferred revenue recorded as of April 4, 2026 is expected to be reflected in future operating results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Year</w:t>
            </w:r>
          </w:p>
        </w:tc>
        <w:tc>
          <w:tcPr>
            <w:tcW w:w="5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 remainder of fiscal year</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57,077</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2027</w:t>
            </w:r>
          </w:p>
        </w:tc>
        <w:tc>
          <w:tcPr>
            <w:tcW w:w="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23,349</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r>
      <w:tr>
        <w:trPr>
          <w:trHeight w:val="229"/>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w:t>
            </w: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48"/>
        </w:trPr>
        <w:tc>
          <w:tcPr>
            <w:tcW w:w="9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89,144</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8180" w:firstLine="8"/>
        <w:spacing w:after="0" w:line="375"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Proceedings</w:t>
      </w:r>
    </w:p>
    <w:p>
      <w:pPr>
        <w:spacing w:after="0" w:line="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are currently and may in the future become subject to various claims and pending or threatened lawsuits in the ordinary course of our business.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May 23, 2024, a stockholder derivative complaint was filed by a stockholder in the Delaware Court of Chancery, purportedly on behalf of the Company (the “Derivative Action”). The Derivative Action alleges violations of Sections 10(b) and 20(a) of the Securities Exchange Act of 1934, as amended (the “Exchange Act”), and Rule 10b-5 thereunder, for materially false and misleading statements made between May 2021 and May 2022, and names certain of the Company’s officers, including our former Chief Executive Officer and former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 September 9, 2024, the plaintiff filed an amended complaint. Defendants filed a motion to dismiss the amended complaint on October 31, 2024. The plaintiff filed an opposition to the motion to dismiss on December 16, 2024, and the defendants filed a reply brief on January 15, 2025. Oral argument on the motion to dismiss was held on October 28, 2025. On February 11, 2026, the court granted the motion to dismiss. An appeal was not filed during the 30-day appeal period, which expired on March 13, 2026, and the matter is now closed.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operating segments were determined on the same basis as used by the Chief Operating Decision Maker (“CODM”) to evaluate performance internally. Our CODM is our chief executive officer. Our operations consist primarily of one reportable segment: the Owned &amp; Host segment. Our owned brands consist of our America’s Best and Eyeglass World operating segments. In America’s Best stores, vision care services are provided by optometrists employed either by us or by independent professional corporations. Eyeglass World locations have on-site laboratories and offer eye exams, provided by optometrists employed either by us or by independent professional corporations. Our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our single reportable segment, the results of our dedicated e-commerce website and FirstSight, which sells single-service health plans in connection with the operations of America’s Best operations in California, are presented in the “corporate and other” category. The Company concluded that our dedicated e-commerce website meets the criteria to be an operating segment but does not meet the quantitative thresholds for separate disclosure as a reportable segment. Further, in 2025, the Company concluded that FirstSight does not meet the criteria to be an operating segment. Its results are not separately provided to the CODM, and therefore, they are also included in the “corporate and other” category. Prior-period information has been recast to reflect the segment presentation.</w:t>
      </w:r>
    </w:p>
    <w:p>
      <w:pPr>
        <w:spacing w:after="0" w:line="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“corporate and other” category also includes corporate overhead support expenses as well certain non-cash charges, including asset impairment, stock-based compensation expense, and the impact of certain events, gains, or losses excluded from the assessment of segment performance.</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Other adjustments to reportable segment results represent adjustments necessary for the presentation of consolidated financial results in accordance with U.S. GAAP, specifically effects of the change in unearned and deferred revenue during the period.</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The operating segments identified above are the business activities of the Company for which discrete financial information is available and for which operating results are regularly provided to, and reviewed by, our CODM to allocate resources and assess performance. The Company considers each of our brands to be an operating segment and has further concluded that presenting the results of our reportable segment provides meaningful information consistent with the objectives of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CODM uses segment EBITDA, calculated as net revenue, less costs applicable to revenue, less SG&amp;A expenses, to evaluate the performance, and make decisions about the allocation of resources to segments predominantly in the annual budget and forecasting process. The CODM considers budget-to-actual variances on a monthly and quarterly basis when making decisions about the allocation of resources to each segment. Consistent with what the CODM reviews, depreciation and amortization and interest expense (income), net are excluded from segment EBITDA.</w:t>
      </w:r>
    </w:p>
    <w:p>
      <w:pPr>
        <w:spacing w:after="0" w:line="71"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Reportable segment information is presented on the same basis as our consolidated financial statements, except for net revenue and associated costs applicable to revenue, which exclude the effects of unearned and deferred revenue, consistent with what the CODM regularly reviews. Asset information is not included in the following summary since the CODM does not regularly review such information for the reportable segment.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is a summary of certain financial data for our Owned &amp; Host reportable segment, and other categories, and includes a reconciliation to the Company’s consolidated earnings before income taxes.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8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April 4, 2026</w:t>
            </w: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March 29, 2025</w:t>
            </w:r>
          </w:p>
        </w:tc>
        <w:tc>
          <w:tcPr>
            <w:tcW w:w="0" w:type="dxa"/>
            <w:vAlign w:val="bottom"/>
          </w:tcPr>
          <w:p>
            <w:pPr>
              <w:spacing w:after="0"/>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 &amp; Host revenue: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Arial" w:cs="Arial" w:eastAsia="Arial" w:hAnsi="Arial"/>
                <w:sz w:val="18"/>
                <w:szCs w:val="18"/>
                <w:color w:val="auto"/>
              </w:rPr>
              <w:t>Net 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432,884</w:t>
            </w: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415,114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sales of 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99,867</w:t>
            </w:r>
          </w:p>
        </w:tc>
        <w:tc>
          <w:tcPr>
            <w:tcW w:w="0" w:type="dxa"/>
            <w:vAlign w:val="bottom"/>
          </w:tcPr>
          <w:p>
            <w:pPr>
              <w:spacing w:after="0"/>
              <w:rPr>
                <w:sz w:val="1"/>
                <w:szCs w:val="1"/>
                <w:color w:val="auto"/>
              </w:rPr>
            </w:pP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Total Owned &amp; Host revenue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514,981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Owned &amp; Host costs applicable to revenue (exclusive of depreciation and amortization)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products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113,860</w:t>
            </w:r>
          </w:p>
        </w:tc>
        <w:tc>
          <w:tcPr>
            <w:tcW w:w="0" w:type="dxa"/>
            <w:vAlign w:val="bottom"/>
          </w:tcPr>
          <w:p>
            <w:pPr>
              <w:spacing w:after="0"/>
              <w:rPr>
                <w:sz w:val="1"/>
                <w:szCs w:val="1"/>
                <w:color w:val="auto"/>
              </w:rPr>
            </w:pP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color w:val="auto"/>
              </w:rPr>
              <w:t>Cost of services and plans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88,271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Owned &amp; Host SG&amp;A</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188,171</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Owned &amp; Host segment EBITDA</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124,679</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(67,341)</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(22,963)</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a reconciliation of revenue: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April 4, 2026</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March 29, 2025</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Owned &amp; Host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539,330</w:t>
            </w: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514,981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(10,291)</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510,324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the basic and diluted earnings per share (“EPS”) calculations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660" w:type="dxa"/>
            <w:vAlign w:val="bottom"/>
            <w:tcBorders>
              <w:bottom w:val="single" w:sz="8" w:color="auto"/>
            </w:tcBorders>
          </w:tcPr>
          <w:p>
            <w:pPr>
              <w:spacing w:after="0"/>
              <w:rPr>
                <w:sz w:val="20"/>
                <w:szCs w:val="20"/>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April 4, 2026</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March 29, 2025</w:t>
            </w:r>
          </w:p>
        </w:tc>
      </w:tr>
      <w:tr>
        <w:trPr>
          <w:trHeight w:val="209"/>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14,186</w:t>
            </w:r>
          </w:p>
        </w:tc>
      </w:tr>
      <w:tr>
        <w:trPr>
          <w:trHeight w:val="270"/>
        </w:trPr>
        <w:tc>
          <w:tcPr>
            <w:tcW w:w="8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78,858</w:t>
            </w:r>
          </w:p>
        </w:tc>
      </w:tr>
      <w:tr>
        <w:trPr>
          <w:trHeight w:val="229"/>
        </w:trPr>
        <w:tc>
          <w:tcPr>
            <w:tcW w:w="8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Dilutive effect of share-based awards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70"/>
        </w:trPr>
        <w:tc>
          <w:tcPr>
            <w:tcW w:w="8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securities excluded from diluted weighted average common shares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bl>
    <w:p>
      <w:pPr>
        <w:ind w:left="200" w:hanging="174"/>
        <w:spacing w:after="0" w:line="212" w:lineRule="auto"/>
        <w:tabs>
          <w:tab w:leader="none" w:pos="200" w:val="left"/>
        </w:tabs>
        <w:numPr>
          <w:ilvl w:val="0"/>
          <w:numId w:val="9"/>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Represents the dilutive impact of RSUs, PSUs and stock options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Accumulated other comprehensive income (loss) if the instruments are deemed to be highly effective as cash flow hedges. The following table presents the changes in Accumulated other comprehensive income (loss), net of tax.</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Three Months Ended</w:t>
            </w:r>
          </w:p>
        </w:tc>
      </w:tr>
      <w:tr>
        <w:trPr>
          <w:trHeight w:val="223"/>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April 4, 2026</w:t>
            </w:r>
          </w:p>
        </w:tc>
      </w:tr>
      <w:tr>
        <w:trPr>
          <w:trHeight w:val="21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hedging activity:</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9120" w:type="dxa"/>
            <w:vAlign w:val="bottom"/>
          </w:tcPr>
          <w:p>
            <w:pPr>
              <w:ind w:left="22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reclassified from AOCI (AOCL) into interest expense</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 effect of amount reclassified from AOCI (AOCL) into interest expense</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current period other comprehensive income (loss),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91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1"/>
        </w:trPr>
        <w:tc>
          <w:tcPr>
            <w:tcW w:w="9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See Note 5. “Interest Rate Derivatives” for a description of the Company’s use of cash flow hedging derivatives.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March 4, 2026 (the “2025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 of the 2025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one of the largest optical retailers in the U.S. and a leader in the value segment of the U.S. optical retail industry. We believe that vision is central to quality of life and that people deserve to see their best to live their best. Our mission is to make quality eye care and eyewear more affordable and accessible. We achieve this by providing eye exams, eyeglasses and contact lenses to consumers across the nation. Our range of quality product offerings at multiple price points makes us an attractive destination for consumers of all income levels. As of April 4, 2026, we reach our customers through a diverse portfolio of 1,274 retail stores across four brands, our associated omni-channel consumer websites and our dedicated e-commerce consumer website.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April 4, 2026, our operations consisted of one reportable segment.</w:t>
      </w:r>
    </w:p>
    <w:p>
      <w:pPr>
        <w:spacing w:after="0" w:line="117" w:lineRule="exact"/>
        <w:rPr>
          <w:sz w:val="20"/>
          <w:szCs w:val="20"/>
          <w:color w:val="auto"/>
        </w:rPr>
      </w:pPr>
    </w:p>
    <w:p>
      <w:pPr>
        <w:ind w:left="660" w:right="22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Owned &amp; Host - As of April 4, 2026, our owned brands consisted of 1,062 America’s Best Contacts and Eyeglasses (“America’s Best”) retail stores and 122 Eyeglass World retail stores. Our Host brands consisted of 72 Vista Optical locations on select military bases and 18 Vista Optical locations within select Fred Meyer stores as of April 4, 2026. All brands utilize our centralized laboratories. This segment also includes sales from our America’s Best, Eyeglass World, and Military omni-channel websites.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w:t>
      </w:r>
    </w:p>
    <w:p>
      <w:pPr>
        <w:spacing w:after="0" w:line="117" w:lineRule="exact"/>
        <w:rPr>
          <w:sz w:val="20"/>
          <w:szCs w:val="20"/>
          <w:color w:val="auto"/>
        </w:rPr>
      </w:pPr>
    </w:p>
    <w:p>
      <w:pPr>
        <w:ind w:left="660" w:right="160" w:hanging="328"/>
        <w:spacing w:after="0" w:line="27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Corporate and other — Our corporate and other category includes the results of our dedicated e-commerce website, which sells contact lenses and optical accessory products to retail customers, and recognizes revenue when products have been delivered to the customer, and our managed care business conducted by FirstSight, our wholly-owned subsidiary that is licensed as a single-service health plan under California law, which issues individual vision plans in connection with our America’s Best operations in California. Our “corporate and other” category also includes unallocated corporate overhead expenses, which are a component of Selling, general and administrative expenses (“SG&amp;A”) and are comprised of various home office expenses such as payroll, occupancy costs and consulting and professional fees. Corporate overhead expenses also include field services for our four retail brands. Other expenses included in this category include certain non-cash charges, including asset impairment, stock-based compensation expense, and the impact of certain events, gains, or losses excluded from the assessment of segment performance.</w:t>
      </w:r>
    </w:p>
    <w:p>
      <w:pPr>
        <w:spacing w:after="0" w:line="65" w:lineRule="exact"/>
        <w:rPr>
          <w:rFonts w:ascii="Arial" w:cs="Arial" w:eastAsia="Arial" w:hAnsi="Arial"/>
          <w:sz w:val="17"/>
          <w:szCs w:val="17"/>
          <w:color w:val="auto"/>
        </w:rPr>
      </w:pPr>
    </w:p>
    <w:p>
      <w:pPr>
        <w:ind w:left="660" w:right="140" w:hanging="328"/>
        <w:spacing w:after="0" w:line="25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Effects of unearned and deferred revenue — Reportable segment information is presented on the same basis as our condensed consolidated financial statements, except reportable segment revenues and associated costs applicable to revenue which exclude the effects of unearned and deferred revenue, consistent with what our chief operating decision maker (“CODM”) regularly reviews. We present the effects of unearned and deferred revenues separately from our reportable segment information. See Note 8. “Segment Reporting” in our condensed consolidated financial statements. Deferred revenue represents the timing difference between the point of sale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between the point of sale transaction and delivery/customer acceptance, and includes sales of prescription eyewear during approximately the last two weeks of the reporting period.</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continue to focus on the rapid modernization of our business in the context of contemporary consumer needs and wants. Our strategy is focused around creating a more joyful consumer experience with refreshed merchandising, updated marketing and brand assets, new in-store technologies to support the customer journey, and an updated pricing architecture, all of which allow us to better serve our existing customers and expand our target consumer demographics. These consumer-facing strategies are paired with an increased focus on cost optimization and operating margin expansion, all of which are intended to drive the outcome of a stronger core business and improved operating results.</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overall economic environment continues to be uncertain and macroeconomic factors that may affect customer spending patterns, and thereby our results of operations, include trade restrictions such as sanctions, tariffs, reciprocal and retaliatory tariffs, and other tariff-related measures; inflation; employment rates; business conditions; changes in the housing market; the availability of credit; interest rates; tax rates and policies; fuel and energy costs; and overall consumer confidence in future economic conditions, as well as global political, socio-economic, cultural, and geopolitical uncertainty. The effects of the current macroeconomic environment and geopolitical uncertainty have resulted in reduced customer demand and have caused shifts in consumer behaviors and preferences, which impact the demand for our products and which are expected to continue. As a result, the predictability of recurring purchase behavior for the future remains uncertain, primarily for the cash pay consumer.</w:t>
      </w:r>
    </w:p>
    <w:p>
      <w:pPr>
        <w:spacing w:after="0" w:line="6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United States has made changes to U.S. trade policy, including increasing tariffs on imports, in some cases significantly, and potentially negotiating or terminating existing trade agreements. For example, on April 2, 2025, the United States announced a new universal baseline tariff of 10%, plus an additional country-specific tariff for select trading partners, on all U.S. imports pursuant to the International Emergency Economic Powers Act (“IEEPA”). Additionally, on September 24, 2025, the U.S. Department of Commerce Bureau of Industry and Security announced the initiation of an investigation into the effects on U.S. national security of imports of personal protective equipment, medical consumables, and medical equipment, including devices, which could result in the imposition of tariffs or other import restrictions. On</w:t>
      </w:r>
    </w:p>
    <w:p>
      <w:pPr>
        <w:spacing w:after="0" w:line="2"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February 20, 2026, the U.S. Supreme Court declared that tariffs imposed under the IEEPA on April 2, 2025 (and the subsequent modifications) were invalid as they exceeded the President’s authority. Subsequently, the Administration announced a 10% temporary tariff</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on U.S. imports pursuant to Section 122 of the Trade Act of 1974, effective February 24, 2026. Such tariffs will remain for 150 days until July 24, 2026 (unless extended by Congress) and are being challenged in court. In March 2026, the Office of the United States Trade Representative launched two sets of investigations, targeting forced labor compliance practices of 60 countries/regions and excess manufacturing capacity of 16 countries/regions. These ongoing investigations may result in additional tariffs being imposed on imports from these trading partners. Further, the United States-Mexico-Canada Agreement (“USMCA”), the free trade agreement among the U.S., Canada and Mexico, is undergoing a joint review in 2026. These actions, and retaliatory tariffs imposed by other countries on U.S. exports, have led to significant volatility and uncertainty in global markets, which is continuing. Additionally, the U.S. government has announced and rescinded multiple tariffs on several foreign jurisdictions, which has increased uncertainty regarding the ultimate effect of the tariffs on economic conditions. Less than 10% of our costs applicable to revenue are directly subject to tariffs on products from China. In Mexico, where our exposure relates to our outsourcing relationship with our third-party laboratory, we have mitigation plans in place, and we estimate that less than 1% of our costs applicable to revenue are subject to tariffs in Mexico. We are continuing to evaluate these developments, including</w:t>
      </w:r>
    </w:p>
    <w:p>
      <w:pPr>
        <w:spacing w:after="0" w:line="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resulting impacts on our supply chain, commodity costs, and consumer spending, and our ability to offset a portion of these costs to mitigate the impact on our business, consolidated results of operations, and financial condition.</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Inflation has resulted in increased costs and greater profitability pressure. We have experienced wage rate pressure and increases in raw materials prices, which we expect to continue. Inflationary pressures, including elevated wages, reduced consumer confidence and changing preferences, and increased raw material costs could impact our profitability and lead us to attempt to offset such increases through various pricing actions. We have historically employed a simple low price/high value strategy seeking to balance our pricing and growth in a way that consistently delivers savings to our customers. We are continuing this commitment to value, while at the same time modernizing our pricing strategy to maximize that value across a broader range of consumers. We have taken and may continue to take pricing actions and introduce limited-time promotions or new offers designed to increase demand traffic, awareness and drive sales. In fiscal 2025, we implemented price increases to each of our America’s Best and Eyeglass World opening offers and continued to evolve our product mix to include a greater percentage of frames at price points over $99. We believe that these changes will enable us to continue to offer the best possible value and service to our customers at prices that allow us to maintain our brands’ strong value propositions in the marketplace. Several factors may impact the level of success of such actions and promotions, including consumer sentiment, macroeconomic conditions and marketing effectiveness, and as a result, if they do not meet our expectations, they could negatively impact our margins and profitability.</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our ability to continue to attract and retain qualified vision care professionals impacts exam capacity and our operations. We believe factors such as an increasingly challenging recruiting market (in particular for new graduates), preferences for adjusted work schedules, and the demand for optometrists exceeding supply in certain areas caused constraints in vision care professional availability, and therefore exam capacity in recent years, which may continue. As a result, recruiting and retaining optometrists has become more challenging and the costs to employ or retain optometrists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have increased and may increase further, potentially materially. Further, a limited number of professional corporations or similar entities provide for the vision care services at a number of our retail locations, exposing us to some concentration risk. A material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From time to time, we may elect to make strategic changes to our doctor model or otherwise make changes to our relationships with one or more of these practices, which could also lead to any of these risks. We believe remote medicine not only helps provide more access to eye care for patients, but also helps address constraints in exam capacity.</w:t>
      </w:r>
    </w:p>
    <w:p>
      <w:pPr>
        <w:spacing w:after="0" w:line="7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anticipate continuing the investment in remote medicine, including hybrid remote, whereby optometrists in one store are able to see patients remotely in another store, adding select locations where feasible and advantageous and depending on the state-by-state regulatory environment. While the remote medicine and EHR platforms have increased exam capacity, revenue and profitability, we have experienced higher costs applicable to revenue as a percentage of revenue, when compared with in-store exams.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beginning of the second quarter, we made an important strategic move to re-platform AmericasBest.com. This is a key step in our unified commerce journey to strengthen our digital foundation, improve the customer experience, and, over time, better connect our online and store experiences. A re-platforming of this scale resets parts of the digital storefront and traffic was disrupted as search and social optimization resets. We are managing the transition anchored in data, clear operating focus, discipline and a healthy sense of urgency. We are seeing sequential improvement as the second quarter progresses; however, if remediation measures take longer than anticipated to fully materialize, we could continue to experience impacts to traffic and, as a result, our financial performance.</w:t>
      </w:r>
    </w:p>
    <w:p>
      <w:pPr>
        <w:spacing w:after="0" w:line="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Historically, our business has experienced seasonality in the first half of the year that we believe is primarily attributable to health insurance start/reset periods and predictable consumer propensity to seek eye care and eyewear.</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Refer to Part I, Item 1A. “Risk Factors” in the Company’s 2025 Annual Report on Form 10-K for a more complete discussion of the risks we face.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SG&amp;A expenses generally fluctuate consistently with revenue due to the variable store, field office and corporate support costs; however, some fixed costs may decrease as a percentage of net revenue as our net revenues grow over time.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total number of new stores per year and the timing of store openings has had an impact, and we expect will continue to have an impact, on our results. We plan to open approximately 30 to 35 new stores in fiscal year 2026, primarily comprised of America’s Best stores and not inclusive of the addition of 20 Military stores in April 2026, to allow us to invest capital in existing operations to enhance the overall store experience. We are continuing to monitor and determine our plans for future new store openings at a level appropriate for incremental free cash flow generation.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 (v) sales from partial months of operation are excluded when stores do not open or close on the first day of the month; and (vi) when applicable, we adjust for the effect of the 53rd week; (vii) in fiscal years following a 53-week fiscal year, there is a one week calendar shift to the comparable prior-year period. For the calculation of the adjusted comparable store sales growth in the first quarter of 2026, we compared weeks 1 through 13 in fiscal 2026 against weeks 2 through 14 in fiscal 2025.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6"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 (collectively, the “Company Non-GAAP Measures”)</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below for definitions and reconciliations of the Company Non-GAAP Measures and for additional information.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Three Months Ended</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earnings per share, percentage and store data</w:t>
            </w:r>
          </w:p>
        </w:tc>
        <w:tc>
          <w:tcPr>
            <w:tcW w:w="22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April 4, 2026</w:t>
            </w:r>
          </w:p>
        </w:tc>
        <w:tc>
          <w:tcPr>
            <w:tcW w:w="160" w:type="dxa"/>
            <w:vAlign w:val="bottom"/>
          </w:tcPr>
          <w:p>
            <w:pPr>
              <w:spacing w:after="0"/>
              <w:rPr>
                <w:sz w:val="19"/>
                <w:szCs w:val="19"/>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March 29, 2025</w:t>
            </w:r>
          </w:p>
        </w:tc>
      </w:tr>
      <w:tr>
        <w:trPr>
          <w:trHeight w:val="21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439,500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412,765</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104,380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97,559</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22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543,880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510,324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126,817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116,914</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92,319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88,276</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219,136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205,190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256,092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255,532</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22,963</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502</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279,505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278,997</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26,137</w:t>
            </w:r>
          </w:p>
        </w:tc>
      </w:tr>
      <w:tr>
        <w:trPr>
          <w:trHeight w:val="22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4,572</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21,565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14,186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operating data:</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2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1,237</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 opened during the period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55,460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41,275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0.34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64,069</w:t>
            </w:r>
          </w:p>
        </w:tc>
      </w:tr>
      <w:tr>
        <w:trPr>
          <w:trHeight w:val="270"/>
        </w:trPr>
        <w:tc>
          <w:tcPr>
            <w:tcW w:w="7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40.2 %</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54.7 %</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4, 2026 compared to Three Months Ended March 29, 2025</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Unless otherwise noted, the discussion below is based on results, substantially all of which are, attributable to our single reportable segment, Owned &amp; Host.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April 4, 2026 compared to the three months ended March 29,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Comparable store sales</w:t>
            </w:r>
          </w:p>
        </w:tc>
        <w:tc>
          <w:tcPr>
            <w:tcW w:w="22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Stores open at end of</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60" w:type="dxa"/>
            <w:vAlign w:val="bottom"/>
            <w:gridSpan w:val="4"/>
            <w:vMerge w:val="restart"/>
          </w:tcPr>
          <w:p>
            <w:pPr>
              <w:jc w:val="right"/>
              <w:ind w:right="559"/>
              <w:spacing w:after="0"/>
              <w:rPr>
                <w:sz w:val="20"/>
                <w:szCs w:val="20"/>
                <w:color w:val="auto"/>
              </w:rPr>
            </w:pPr>
            <w:r>
              <w:rPr>
                <w:rFonts w:ascii="Arial" w:cs="Arial" w:eastAsia="Arial" w:hAnsi="Arial"/>
                <w:sz w:val="16"/>
                <w:szCs w:val="16"/>
                <w:b w:val="1"/>
                <w:bCs w:val="1"/>
                <w:color w:val="auto"/>
              </w:rPr>
              <w:t>Net revenue</w:t>
            </w:r>
            <w:r>
              <w:rPr>
                <w:rFonts w:ascii="Arial" w:cs="Arial" w:eastAsia="Arial" w:hAnsi="Arial"/>
                <w:sz w:val="21"/>
                <w:szCs w:val="21"/>
                <w:b w:val="1"/>
                <w:bCs w:val="1"/>
                <w:color w:val="auto"/>
                <w:vertAlign w:val="superscript"/>
              </w:rPr>
              <w:t>(1)(2)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jc w:val="center"/>
              <w:ind w:right="100"/>
              <w:spacing w:after="0" w:line="216" w:lineRule="exact"/>
              <w:rPr>
                <w:sz w:val="20"/>
                <w:szCs w:val="20"/>
                <w:color w:val="auto"/>
              </w:rPr>
            </w:pPr>
            <w:r>
              <w:rPr>
                <w:rFonts w:ascii="Arial" w:cs="Arial" w:eastAsia="Arial" w:hAnsi="Arial"/>
                <w:sz w:val="16"/>
                <w:szCs w:val="16"/>
                <w:b w:val="1"/>
                <w:bCs w:val="1"/>
                <w:color w:val="auto"/>
                <w:w w:val="93"/>
              </w:rPr>
              <w:t>growth</w:t>
            </w:r>
            <w:r>
              <w:rPr>
                <w:rFonts w:ascii="Arial" w:cs="Arial" w:eastAsia="Arial" w:hAnsi="Arial"/>
                <w:sz w:val="21"/>
                <w:szCs w:val="21"/>
                <w:b w:val="1"/>
                <w:bCs w:val="1"/>
                <w:color w:val="auto"/>
                <w:w w:val="93"/>
                <w:vertAlign w:val="superscript"/>
              </w:rPr>
              <w:t>(1)</w:t>
            </w:r>
          </w:p>
        </w:tc>
        <w:tc>
          <w:tcPr>
            <w:tcW w:w="22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Three Months</w:t>
            </w: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Three Months</w:t>
            </w: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percentage</w:t>
            </w:r>
          </w:p>
        </w:tc>
        <w:tc>
          <w:tcPr>
            <w:tcW w:w="1220" w:type="dxa"/>
            <w:vAlign w:val="bottom"/>
            <w:gridSpan w:val="2"/>
            <w:vMerge w:val="continue"/>
          </w:tcPr>
          <w:p>
            <w:pPr>
              <w:spacing w:after="0"/>
              <w:rPr>
                <w:sz w:val="14"/>
                <w:szCs w:val="14"/>
                <w:color w:val="auto"/>
              </w:rPr>
            </w:pPr>
          </w:p>
        </w:tc>
        <w:tc>
          <w:tcPr>
            <w:tcW w:w="12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March 29,</w:t>
            </w:r>
          </w:p>
        </w:tc>
        <w:tc>
          <w:tcPr>
            <w:tcW w:w="140" w:type="dxa"/>
            <w:vAlign w:val="bottom"/>
          </w:tcPr>
          <w:p>
            <w:pPr>
              <w:spacing w:after="0"/>
              <w:rPr>
                <w:sz w:val="14"/>
                <w:szCs w:val="14"/>
                <w:color w:val="auto"/>
              </w:rPr>
            </w:pPr>
          </w:p>
        </w:tc>
        <w:tc>
          <w:tcPr>
            <w:tcW w:w="190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4"/>
                <w:szCs w:val="14"/>
                <w:color w:val="auto"/>
              </w:rPr>
            </w:pPr>
          </w:p>
        </w:tc>
        <w:tc>
          <w:tcPr>
            <w:tcW w:w="1820" w:type="dxa"/>
            <w:vAlign w:val="bottom"/>
            <w:gridSpan w:val="2"/>
            <w:vMerge w:val="restart"/>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2"/>
        </w:trPr>
        <w:tc>
          <w:tcPr>
            <w:tcW w:w="2540" w:type="dxa"/>
            <w:vAlign w:val="bottom"/>
            <w:gridSpan w:val="2"/>
            <w:vMerge w:val="continue"/>
          </w:tcPr>
          <w:p>
            <w:pPr>
              <w:spacing w:after="0"/>
              <w:rPr>
                <w:sz w:val="14"/>
                <w:szCs w:val="14"/>
                <w:color w:val="auto"/>
              </w:rPr>
            </w:pPr>
          </w:p>
        </w:tc>
        <w:tc>
          <w:tcPr>
            <w:tcW w:w="12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Ended</w:t>
            </w:r>
          </w:p>
        </w:tc>
        <w:tc>
          <w:tcPr>
            <w:tcW w:w="12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March 29,</w:t>
            </w: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April 4, 2026</w:t>
            </w: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6"/>
                <w:szCs w:val="16"/>
                <w:i w:val="1"/>
                <w:iCs w:val="1"/>
                <w:color w:val="auto"/>
              </w:rPr>
              <w:t>and store data</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April 4, 2026</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April 4, 2026</w:t>
            </w:r>
          </w:p>
        </w:tc>
        <w:tc>
          <w:tcPr>
            <w:tcW w:w="140" w:type="dxa"/>
            <w:vAlign w:val="bottom"/>
          </w:tcPr>
          <w:p>
            <w:pPr>
              <w:spacing w:after="0"/>
              <w:rPr>
                <w:sz w:val="18"/>
                <w:szCs w:val="18"/>
                <w:color w:val="auto"/>
              </w:rPr>
            </w:pPr>
          </w:p>
        </w:tc>
        <w:tc>
          <w:tcPr>
            <w:tcW w:w="18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March 29, 2025</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Owned &amp; Host segment</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America’s Best</w:t>
            </w:r>
          </w:p>
        </w:tc>
        <w:tc>
          <w:tcPr>
            <w:tcW w:w="1140" w:type="dxa"/>
            <w:vAlign w:val="bottom"/>
          </w:tcPr>
          <w:p>
            <w:pPr>
              <w:jc w:val="right"/>
              <w:spacing w:after="0"/>
              <w:rPr>
                <w:sz w:val="20"/>
                <w:szCs w:val="20"/>
                <w:color w:val="auto"/>
              </w:rPr>
            </w:pPr>
            <w:r>
              <w:rPr>
                <w:rFonts w:ascii="Arial" w:cs="Arial" w:eastAsia="Arial" w:hAnsi="Arial"/>
                <w:sz w:val="16"/>
                <w:szCs w:val="16"/>
                <w:color w:val="auto"/>
              </w:rPr>
              <w:t>4.4 %</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475,893</w:t>
            </w:r>
          </w:p>
        </w:tc>
        <w:tc>
          <w:tcPr>
            <w:tcW w:w="800" w:type="dxa"/>
            <w:vAlign w:val="bottom"/>
          </w:tcPr>
          <w:p>
            <w:pPr>
              <w:jc w:val="right"/>
              <w:spacing w:after="0"/>
              <w:rPr>
                <w:sz w:val="20"/>
                <w:szCs w:val="20"/>
                <w:color w:val="auto"/>
              </w:rPr>
            </w:pPr>
            <w:r>
              <w:rPr>
                <w:rFonts w:ascii="Arial" w:cs="Arial" w:eastAsia="Arial" w:hAnsi="Arial"/>
                <w:sz w:val="16"/>
                <w:szCs w:val="16"/>
                <w:color w:val="auto"/>
              </w:rPr>
              <w:t>87.5 %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453,731</w:t>
            </w:r>
          </w:p>
        </w:tc>
        <w:tc>
          <w:tcPr>
            <w:tcW w:w="780" w:type="dxa"/>
            <w:vAlign w:val="bottom"/>
          </w:tcPr>
          <w:p>
            <w:pPr>
              <w:jc w:val="right"/>
              <w:spacing w:after="0"/>
              <w:rPr>
                <w:sz w:val="20"/>
                <w:szCs w:val="20"/>
                <w:color w:val="auto"/>
              </w:rPr>
            </w:pPr>
            <w:r>
              <w:rPr>
                <w:rFonts w:ascii="Arial" w:cs="Arial" w:eastAsia="Arial" w:hAnsi="Arial"/>
                <w:sz w:val="16"/>
                <w:szCs w:val="16"/>
                <w:color w:val="auto"/>
              </w:rPr>
              <w:t>88.9 %</w:t>
            </w:r>
          </w:p>
        </w:tc>
        <w:tc>
          <w:tcPr>
            <w:tcW w:w="0" w:type="dxa"/>
            <w:vAlign w:val="bottom"/>
          </w:tcPr>
          <w:p>
            <w:pPr>
              <w:spacing w:after="0"/>
              <w:rPr>
                <w:sz w:val="1"/>
                <w:szCs w:val="1"/>
                <w:color w:val="auto"/>
              </w:rPr>
            </w:pPr>
          </w:p>
        </w:tc>
      </w:tr>
      <w:tr>
        <w:trPr>
          <w:trHeight w:val="217"/>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Eyeglass World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54,697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52,486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15"/>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Military</w:t>
            </w:r>
          </w:p>
        </w:tc>
        <w:tc>
          <w:tcPr>
            <w:tcW w:w="114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6,445</w:t>
            </w:r>
          </w:p>
        </w:tc>
        <w:tc>
          <w:tcPr>
            <w:tcW w:w="80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6,166</w:t>
            </w:r>
          </w:p>
        </w:tc>
        <w:tc>
          <w:tcPr>
            <w:tcW w:w="78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7"/>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 Meyer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2,295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2,598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9"/>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Owned &amp; Host segment total</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539,330</w:t>
            </w:r>
          </w:p>
        </w:tc>
        <w:tc>
          <w:tcPr>
            <w:tcW w:w="800" w:type="dxa"/>
            <w:vAlign w:val="bottom"/>
          </w:tcPr>
          <w:p>
            <w:pPr>
              <w:jc w:val="right"/>
              <w:spacing w:after="0"/>
              <w:rPr>
                <w:sz w:val="20"/>
                <w:szCs w:val="20"/>
                <w:color w:val="auto"/>
              </w:rPr>
            </w:pPr>
            <w:r>
              <w:rPr>
                <w:rFonts w:ascii="Arial" w:cs="Arial" w:eastAsia="Arial" w:hAnsi="Arial"/>
                <w:sz w:val="16"/>
                <w:szCs w:val="16"/>
                <w:color w:val="auto"/>
              </w:rPr>
              <w:t>99.2 %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514,981</w:t>
            </w:r>
          </w:p>
        </w:tc>
        <w:tc>
          <w:tcPr>
            <w:tcW w:w="780" w:type="dxa"/>
            <w:vAlign w:val="bottom"/>
          </w:tcPr>
          <w:p>
            <w:pPr>
              <w:jc w:val="right"/>
              <w:spacing w:after="0"/>
              <w:rPr>
                <w:sz w:val="20"/>
                <w:szCs w:val="20"/>
                <w:color w:val="auto"/>
              </w:rPr>
            </w:pPr>
            <w:r>
              <w:rPr>
                <w:rFonts w:ascii="Arial" w:cs="Arial" w:eastAsia="Arial" w:hAnsi="Arial"/>
                <w:sz w:val="16"/>
                <w:szCs w:val="16"/>
                <w:color w:val="auto"/>
              </w:rPr>
              <w:t>100.9 %</w:t>
            </w:r>
          </w:p>
        </w:tc>
        <w:tc>
          <w:tcPr>
            <w:tcW w:w="0" w:type="dxa"/>
            <w:vAlign w:val="bottom"/>
          </w:tcPr>
          <w:p>
            <w:pPr>
              <w:spacing w:after="0"/>
              <w:rPr>
                <w:sz w:val="1"/>
                <w:szCs w:val="1"/>
                <w:color w:val="auto"/>
              </w:rPr>
            </w:pPr>
          </w:p>
        </w:tc>
      </w:tr>
      <w:tr>
        <w:trPr>
          <w:trHeight w:val="217"/>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Corporate and Other</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4,469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5,634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62"/>
        </w:trPr>
        <w:tc>
          <w:tcPr>
            <w:tcW w:w="254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Effects of unearned and</w:t>
            </w: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color w:val="auto"/>
              </w:rPr>
              <w:t>81</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(10,291)</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deferred revenue</w:t>
            </w:r>
          </w:p>
        </w:tc>
        <w:tc>
          <w:tcPr>
            <w:tcW w:w="12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543,880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510,324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Arial" w:cs="Arial" w:eastAsia="Arial" w:hAnsi="Arial"/>
                <w:sz w:val="16"/>
                <w:szCs w:val="16"/>
                <w:color w:val="auto"/>
              </w:rPr>
              <w:t>Effect of deferred and unearned</w:t>
            </w: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revenue on comparable store</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sales</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Adjusted Comparable Store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Growth</w:t>
            </w: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8"/>
        <w:spacing w:after="0" w:line="266" w:lineRule="auto"/>
        <w:tabs>
          <w:tab w:leader="none" w:pos="228"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 and other revenue, (ii) sales from stores opened less than 13 months, (iii) stores closed in the periods presented, (iv) sales from partial months of operation when stores do not open or close on the first day of the month and (v) if applicable, the impact of a 53rd week in a fiscal year (vi) in fiscal years following a 53-week fiscal year, there is a one week calendar shift to the comparable prior-year period. For the calculation of the adjusted comparable store sales growth in the first quarter of 2026, we compared weeks 1 through 13 in fiscal 2026 against weeks 2 through 14 in fiscal 2025. Brand-level comparable store sales growth is calculated based on point-of-sale revenues consistent with what the CODM reviews, and consistent with reportable segment revenues presented in Note 8. “Segment Reporting” in our unaudited condensed consolidated financial statements included in Part I. Item 1. of this Form 10-Q.</w:t>
      </w:r>
    </w:p>
    <w:p>
      <w:pPr>
        <w:spacing w:after="0" w:line="63"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24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Total net revenue of $543.9 million for the three months ended April 4, 2026 increased $33.6 million, or 6.6%, from $510.3 million for the three months ended March 29, 2025. The increase was primarily driven by Adjusted Comparable Store Sales Growth and the timing of unearned revenue. Unearned and deferred revenue positively impacted net revenue by $10.4 million during the three months ended April 4, 2026 compared to the three months ended March 29,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and Adjusted Comparable Store Sales Growth for the three months ended April 4, 2026 were 4.4% and</w:t>
      </w:r>
    </w:p>
    <w:p>
      <w:pPr>
        <w:spacing w:after="0" w:line="2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4.5%, respectively, both reflecting a higher average ticket and continued strength in the Company’s managed care cohort, partially offset by lower customer traffic.</w:t>
      </w:r>
    </w:p>
    <w:p>
      <w:pPr>
        <w:spacing w:after="0" w:line="5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During fiscal 2025, the Company entered into an amendment to its agreement with Army and Air Force Exchange Service (AAFES), extending the term of the agreement through January 2036. Subsequently, in February 2026, the Company and AAFES entered into an additional amendment providing for the operation by the Company of an additional 20 military stores located on AAFES bases, expanding the Company’s presence in two additional states. In the three months ended April 4, 2026, and in connection with this expansion, the Company purchased from U.S. Vision Corp. certain assets used in connection with the operation of those 20 additional military stores. Additionally, we opened 8 new America’s Best stores and closed three America’s Best stores and one Military store. Overall, store count grew 3.0% from March 29, 2025 to April 4, 2026 (20 net new America’s Best stores, 19 net new Military stores, and two net closures of Fred Meyer stores).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709"/>
        </w:trPr>
        <w:tc>
          <w:tcPr>
            <w:tcW w:w="1400" w:type="dxa"/>
            <w:vAlign w:val="bottom"/>
            <w:tcBorders>
              <w:top w:val="single" w:sz="8" w:color="0000FF"/>
            </w:tcBorders>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color w:val="auto"/>
              </w:rPr>
              <w:t>Three Months Ended</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3"/>
        </w:trPr>
        <w:tc>
          <w:tcPr>
            <w:tcW w:w="4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April 4, 2026</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March 29, 2025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2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543,880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510,324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33,556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439,500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412,765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26,735</w:t>
            </w:r>
          </w:p>
        </w:tc>
        <w:tc>
          <w:tcPr>
            <w:tcW w:w="122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net revenue</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80.8 %</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80.9 %</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sales of services and plans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104,380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97,559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6,821</w:t>
            </w:r>
          </w:p>
        </w:tc>
        <w:tc>
          <w:tcPr>
            <w:tcW w:w="122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net revenue</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19.2 %</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19.1 %</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Net product sales increased $26.7 million, or 6.5%, in the three months ended April 4, 2026 compared to the three months ended March 29, 2025, primarily due to pricing and product mix initiatives in eyeglass sales of $20.4 million and contact lens sales of $7.0 million.</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Net sales of services and plans for the three months ended April 4, 2026 increased $6.8 million, or 7.0%, compared to the three months ended March 29, 2025, driven primarily by higher exam revenues of $5.6 million, or 8.4%.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color w:val="auto"/>
              </w:rPr>
              <w:t>Three Months Ended</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April 4, 2026</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March 29, 2025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applicable to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219,136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205,190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13,946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net revenue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40.3 %</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40.2 %</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126,817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116,914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net product sales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28.9 %</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28.3 %</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services and plans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92,319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88,276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4,043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net sales of services and plans</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88.4 %</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90.5 %</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Costs applicable to revenue increased $ 13.9 million, or 6.8%, in the three months ended April 4, 2026 compared to the three months ended March 29, 2025. As a percentage of net revenue, costs applicable to revenue increased 10 basis points and were primarily driven by lower eyeglass margin of 60 basis points impacted by product mix, partially offset by successful pricing initiatives, leveraging of optometrist-related costs of 30 basis points and higher exam revenue of 20 basis points.</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Costs of products as a percentage of net product sales increased 60 basis points, primarily driven by lower eyeglass margin impacted by product mix, partially offset by successful pricing initiatives.</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Costs of services and plans as a percentage of net sales of services and plans decreased 210 basis points, primarily driven by leverage of optometrist-related costs and higher exam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r>
              <w:rPr>
                <w:rFonts w:ascii="Arial" w:cs="Arial" w:eastAsia="Arial" w:hAnsi="Arial"/>
                <w:sz w:val="18"/>
                <w:szCs w:val="18"/>
                <w:i w:val="1"/>
                <w:iCs w:val="1"/>
                <w:color w:val="auto"/>
              </w:rPr>
              <w:t>Selling, general and administrative</w:t>
            </w: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1"/>
        </w:trPr>
        <w:tc>
          <w:tcPr>
            <w:tcW w:w="35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jc w:val="right"/>
              <w:ind w:right="1390"/>
              <w:spacing w:after="0"/>
              <w:rPr>
                <w:sz w:val="20"/>
                <w:szCs w:val="20"/>
                <w:color w:val="auto"/>
              </w:rPr>
            </w:pPr>
            <w:r>
              <w:rPr>
                <w:rFonts w:ascii="Arial" w:cs="Arial" w:eastAsia="Arial" w:hAnsi="Arial"/>
                <w:sz w:val="18"/>
                <w:szCs w:val="18"/>
                <w:color w:val="auto"/>
              </w:rPr>
              <w:t>Three Months Ended</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April 4, 2026</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March 29, 2025</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 Change</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Change</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256,092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255,532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i w:val="1"/>
                <w:iCs w:val="1"/>
                <w:color w:val="auto"/>
              </w:rPr>
              <w:t>47.1 %</w:t>
            </w:r>
          </w:p>
        </w:tc>
        <w:tc>
          <w:tcPr>
            <w:tcW w:w="3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i w:val="1"/>
                <w:iCs w:val="1"/>
                <w:color w:val="auto"/>
              </w:rPr>
              <w:t>50.1 %</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7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SG&amp;A increased $0.6 million, or 0.2%, in three months ended April 4, 2026 compared to the three months ended March 29, 2025. SG&amp;A as a percentage of net revenue decreased 300 basis points primarily impacted by lower payroll expense of 220 basis points and lower advertising expense of 70 basis points.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Depreciation and amortization expense of $23.4 million for the three months ended April 4, 2026 increased $0.5 million, or 2.1%, from $23.0 million for the three months ended March 29, 2025, primarily related to our existing stores and retail support centers, partially offset by fewer new store openings.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recognized no impairment charges during the three months ended April 4, 2026. We recognized $0.5 million of impairment charges during the three months ended March 29, 2025, primarily for tangible long-lived assets and ROU</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assets associated with our retail stores. Asset impairment expenses were recognized in Corporate and other. See Note 1. “Description of Business and Basis of Presentation” and Note 3. “Fair Value Measurement” for further details.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 expense, net was $2.8 million for the three months ended April 4, 2026, compared with $4.6 million for the three months ended March 29, 2025. The change was primarily a result of lower interest expense of $1.2 million resulting from lower outstanding debt and higher interest income of $0.4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effective tax rates for the three months ended April 4, 2026 and March 29, 2025 were 26.4% and 34.2%, respectively. The change in effective tax rates is primarily driven by the discrete benefit of permanent adjustments related to stock-based compensation, partially offset by non-deductible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costs, severance and associate-related costs associated with organizational restructuring and certain other expenses.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We define EBITDA as net income (loss), plus interest expense (income), net, income tax provision (benefit) and depreciation and amortization.</w:t>
      </w:r>
    </w:p>
    <w:p>
      <w:pPr>
        <w:spacing w:after="0" w:line="4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costs, severance and associate-related costs associated with organizational restructuring and certain other expenses.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Margin as Adjusted EBITDA as a percentage of net revenue.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2.50% convertible senior notes due on May 15, 2025 (”2025 Notes”) when not required under U.S. GAAP to be added back for diluted earnings (loss) per share, derivative fair value adjustments, ERP and CRM implementation expenses, shareholder activism, severance and associate-related costs associated with restructuring, and certain other expenses, less the tax effect of these adjustments, including tax expense (benefit) from stock-based compensation.</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4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10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(income), net, or the cash requirements necessary to service interest or principal payments, on our debt;</w:t>
      </w:r>
    </w:p>
    <w:p>
      <w:pPr>
        <w:ind w:left="660" w:right="1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provision or the cash necessary to pay income taxes;</w:t>
      </w:r>
    </w:p>
    <w:p>
      <w:pPr>
        <w:ind w:left="660" w:right="8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w:t>
      </w:r>
    </w:p>
    <w:p>
      <w:pPr>
        <w:ind w:left="660" w:right="4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right="60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4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and Adjusted EBITDA Margin to net income; and Adjusted Diluted EPS to diluted EPS for the periods presented: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1880" w:type="dxa"/>
            <w:vAlign w:val="bottom"/>
            <w:gridSpan w:val="3"/>
          </w:tcPr>
          <w:p>
            <w:pPr>
              <w:ind w:left="280"/>
              <w:spacing w:after="0"/>
              <w:rPr>
                <w:sz w:val="20"/>
                <w:szCs w:val="20"/>
                <w:color w:val="auto"/>
              </w:rPr>
            </w:pPr>
            <w:r>
              <w:rPr>
                <w:rFonts w:ascii="Arial" w:cs="Arial" w:eastAsia="Arial" w:hAnsi="Arial"/>
                <w:sz w:val="18"/>
                <w:szCs w:val="18"/>
                <w:color w:val="auto"/>
              </w:rPr>
              <w:t>April 4, 2026</w:t>
            </w:r>
          </w:p>
        </w:tc>
        <w:tc>
          <w:tcPr>
            <w:tcW w:w="240" w:type="dxa"/>
            <w:vAlign w:val="bottom"/>
          </w:tcPr>
          <w:p>
            <w:pPr>
              <w:spacing w:after="0"/>
              <w:rPr>
                <w:sz w:val="19"/>
                <w:szCs w:val="19"/>
                <w:color w:val="auto"/>
              </w:rPr>
            </w:pPr>
          </w:p>
        </w:tc>
        <w:tc>
          <w:tcPr>
            <w:tcW w:w="1740" w:type="dxa"/>
            <w:vAlign w:val="bottom"/>
            <w:gridSpan w:val="2"/>
          </w:tcPr>
          <w:p>
            <w:pPr>
              <w:jc w:val="right"/>
              <w:ind w:right="270"/>
              <w:spacing w:after="0"/>
              <w:rPr>
                <w:sz w:val="20"/>
                <w:szCs w:val="20"/>
                <w:color w:val="auto"/>
              </w:rPr>
            </w:pPr>
            <w:r>
              <w:rPr>
                <w:rFonts w:ascii="Arial" w:cs="Arial" w:eastAsia="Arial" w:hAnsi="Arial"/>
                <w:sz w:val="18"/>
                <w:szCs w:val="18"/>
                <w:color w:val="auto"/>
              </w:rPr>
              <w:t>March 29, 2025</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2,848</w:t>
            </w:r>
          </w:p>
        </w:tc>
        <w:tc>
          <w:tcPr>
            <w:tcW w:w="108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w:t>
            </w: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7,022</w:t>
            </w:r>
          </w:p>
        </w:tc>
        <w:tc>
          <w:tcPr>
            <w:tcW w:w="1080" w:type="dxa"/>
            <w:vAlign w:val="bottom"/>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7,029</w:t>
            </w: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(e)</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80"/>
              <w:spacing w:after="0" w:line="163" w:lineRule="exact"/>
              <w:rPr>
                <w:sz w:val="20"/>
                <w:szCs w:val="20"/>
                <w:color w:val="auto"/>
              </w:rPr>
            </w:pPr>
            <w:r>
              <w:rPr>
                <w:rFonts w:ascii="Arial" w:cs="Arial" w:eastAsia="Arial" w:hAnsi="Arial"/>
                <w:sz w:val="18"/>
                <w:szCs w:val="18"/>
                <w:i w:val="1"/>
                <w:iCs w:val="1"/>
                <w:color w:val="auto"/>
                <w:w w:val="98"/>
              </w:rPr>
              <w:t>Note: Percentages reflect line item as a percentage of net revenue, adjusted for rounding.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140" w:type="dxa"/>
            <w:vAlign w:val="bottom"/>
          </w:tcPr>
          <w:p>
            <w:pPr>
              <w:ind w:left="80"/>
              <w:spacing w:after="0"/>
              <w:rPr>
                <w:sz w:val="20"/>
                <w:szCs w:val="20"/>
                <w:color w:val="auto"/>
              </w:rPr>
            </w:pPr>
            <w:r>
              <w:rPr>
                <w:rFonts w:ascii="Arial" w:cs="Arial" w:eastAsia="Arial" w:hAnsi="Arial"/>
                <w:sz w:val="18"/>
                <w:szCs w:val="18"/>
                <w:i w:val="1"/>
                <w:iCs w:val="1"/>
                <w:color w:val="auto"/>
                <w:w w:val="99"/>
              </w:rPr>
              <w:t>Some of the percentage totals in the table above do not foot due to rounding differences.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1"/>
        </w:trPr>
        <w:tc>
          <w:tcPr>
            <w:tcW w:w="7140" w:type="dxa"/>
            <w:vAlign w:val="bottom"/>
          </w:tcPr>
          <w:p>
            <w:pPr>
              <w:ind w:left="55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71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09"/>
        </w:trPr>
        <w:tc>
          <w:tcPr>
            <w:tcW w:w="1400" w:type="dxa"/>
            <w:vAlign w:val="bottom"/>
            <w:tcBorders>
              <w:top w:val="single" w:sz="8" w:color="0000FF"/>
            </w:tcBorders>
          </w:tcPr>
          <w:p>
            <w:pPr>
              <w:spacing w:after="0"/>
              <w:rPr>
                <w:sz w:val="24"/>
                <w:szCs w:val="24"/>
                <w:color w:val="auto"/>
              </w:rPr>
            </w:pPr>
          </w:p>
        </w:tc>
        <w:tc>
          <w:tcPr>
            <w:tcW w:w="57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Three Months Ended</w:t>
            </w:r>
          </w:p>
        </w:tc>
        <w:tc>
          <w:tcPr>
            <w:tcW w:w="1020" w:type="dxa"/>
            <w:vAlign w:val="bottom"/>
            <w:tcBorders>
              <w:bottom w:val="single" w:sz="8" w:color="auto"/>
            </w:tcBorders>
          </w:tcPr>
          <w:p>
            <w:pPr>
              <w:spacing w:after="0"/>
              <w:rPr>
                <w:sz w:val="24"/>
                <w:szCs w:val="24"/>
                <w:color w:val="auto"/>
              </w:rPr>
            </w:pP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340" w:type="dxa"/>
            <w:vAlign w:val="bottom"/>
            <w:gridSpan w:val="4"/>
          </w:tcPr>
          <w:p>
            <w:pPr>
              <w:jc w:val="right"/>
              <w:ind w:right="730"/>
              <w:spacing w:after="0"/>
              <w:rPr>
                <w:sz w:val="20"/>
                <w:szCs w:val="20"/>
                <w:color w:val="auto"/>
              </w:rPr>
            </w:pPr>
            <w:r>
              <w:rPr>
                <w:rFonts w:ascii="Arial" w:cs="Arial" w:eastAsia="Arial" w:hAnsi="Arial"/>
                <w:sz w:val="18"/>
                <w:szCs w:val="18"/>
                <w:color w:val="auto"/>
              </w:rPr>
              <w:t>April 4, 2026</w:t>
            </w:r>
          </w:p>
        </w:tc>
        <w:tc>
          <w:tcPr>
            <w:tcW w:w="1780" w:type="dxa"/>
            <w:vAlign w:val="bottom"/>
            <w:gridSpan w:val="2"/>
          </w:tcPr>
          <w:p>
            <w:pPr>
              <w:jc w:val="right"/>
              <w:ind w:right="290"/>
              <w:spacing w:after="0"/>
              <w:rPr>
                <w:sz w:val="20"/>
                <w:szCs w:val="20"/>
                <w:color w:val="auto"/>
              </w:rPr>
            </w:pPr>
            <w:r>
              <w:rPr>
                <w:rFonts w:ascii="Arial" w:cs="Arial" w:eastAsia="Arial" w:hAnsi="Arial"/>
                <w:sz w:val="18"/>
                <w:szCs w:val="18"/>
                <w:color w:val="auto"/>
              </w:rPr>
              <w:t>March 29, 2025</w:t>
            </w:r>
          </w:p>
        </w:tc>
      </w:tr>
      <w:tr>
        <w:trPr>
          <w:trHeight w:val="223"/>
        </w:trPr>
        <w:tc>
          <w:tcPr>
            <w:tcW w:w="7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31,181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jc w:val="right"/>
              <w:spacing w:after="0"/>
              <w:rPr>
                <w:sz w:val="20"/>
                <w:szCs w:val="20"/>
                <w:color w:val="auto"/>
              </w:rPr>
            </w:pPr>
            <w:r>
              <w:rPr>
                <w:rFonts w:ascii="Arial" w:cs="Arial" w:eastAsia="Arial" w:hAnsi="Arial"/>
                <w:sz w:val="18"/>
                <w:szCs w:val="18"/>
                <w:color w:val="auto"/>
              </w:rPr>
              <w:t>2,848</w:t>
            </w:r>
          </w:p>
        </w:tc>
        <w:tc>
          <w:tcPr>
            <w:tcW w:w="102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4,572</w:t>
            </w: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23,442</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22,963</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57"/>
        </w:trPr>
        <w:tc>
          <w:tcPr>
            <w:tcW w:w="712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7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2"/>
        </w:trPr>
        <w:tc>
          <w:tcPr>
            <w:tcW w:w="7120" w:type="dxa"/>
            <w:vAlign w:val="bottom"/>
            <w:gridSpan w:val="2"/>
          </w:tcPr>
          <w:p>
            <w:pPr>
              <w:ind w:left="20"/>
              <w:spacing w:after="0" w:line="232"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5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502</w:t>
            </w: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tbl>
      <w:tblPr>
        <w:tblLayout w:type="fixed"/>
        <w:tblInd w:w="20" w:type="dxa"/>
        <w:tblCellMar>
          <w:top w:w="0" w:type="dxa"/>
          <w:left w:w="0" w:type="dxa"/>
          <w:bottom w:w="0" w:type="dxa"/>
          <w:right w:w="0" w:type="dxa"/>
        </w:tblCellMar>
      </w:tblPr>
      <w:tr>
        <w:trPr>
          <w:trHeight w:val="219"/>
        </w:trPr>
        <w:tc>
          <w:tcPr>
            <w:tcW w:w="7100" w:type="dxa"/>
            <w:vAlign w:val="bottom"/>
          </w:tcPr>
          <w:p>
            <w:pPr>
              <w:spacing w:after="0" w:line="22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(d)</w:t>
            </w:r>
          </w:p>
        </w:tc>
        <w:tc>
          <w:tcPr>
            <w:tcW w:w="1000" w:type="dxa"/>
            <w:vAlign w:val="bottom"/>
          </w:tcPr>
          <w:p>
            <w:pPr>
              <w:jc w:val="right"/>
              <w:spacing w:after="0"/>
              <w:rPr>
                <w:sz w:val="20"/>
                <w:szCs w:val="20"/>
                <w:color w:val="auto"/>
              </w:rPr>
            </w:pPr>
            <w:r>
              <w:rPr>
                <w:rFonts w:ascii="Arial" w:cs="Arial" w:eastAsia="Arial" w:hAnsi="Arial"/>
                <w:sz w:val="18"/>
                <w:szCs w:val="18"/>
                <w:color w:val="auto"/>
              </w:rPr>
              <w:t>372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37"/>
        </w:trPr>
        <w:tc>
          <w:tcPr>
            <w:tcW w:w="7100" w:type="dxa"/>
            <w:vAlign w:val="bottom"/>
          </w:tcPr>
          <w:p>
            <w:pPr>
              <w:spacing w:after="0" w:line="23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0.5 %</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w:t>
            </w:r>
          </w:p>
        </w:tc>
      </w:tr>
      <w:tr>
        <w:trPr>
          <w:trHeight w:val="223"/>
        </w:trPr>
        <w:tc>
          <w:tcPr>
            <w:tcW w:w="7100" w:type="dxa"/>
            <w:vAlign w:val="bottom"/>
          </w:tcPr>
          <w:p>
            <w:pPr>
              <w:ind w:left="120"/>
              <w:spacing w:after="0"/>
              <w:rPr>
                <w:sz w:val="20"/>
                <w:szCs w:val="20"/>
                <w:color w:val="auto"/>
              </w:rPr>
            </w:pPr>
            <w:r>
              <w:rPr>
                <w:rFonts w:ascii="Arial" w:cs="Arial" w:eastAsia="Arial" w:hAnsi="Arial"/>
                <w:sz w:val="18"/>
                <w:szCs w:val="18"/>
                <w:b w:val="1"/>
                <w:bCs w:val="1"/>
                <w:color w:val="auto"/>
              </w:rPr>
              <w:t>Adjusted EBITDA / Adjusted EBITDA Margin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78,733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14.5 %</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spacing w:after="0" w:line="233" w:lineRule="auto"/>
        <w:rPr>
          <w:sz w:val="20"/>
          <w:szCs w:val="20"/>
          <w:color w:val="auto"/>
        </w:rPr>
      </w:pPr>
      <w:r>
        <w:rPr>
          <w:rFonts w:ascii="Arial" w:cs="Arial" w:eastAsia="Arial" w:hAnsi="Arial"/>
          <w:sz w:val="18"/>
          <w:szCs w:val="18"/>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-109855</wp:posOffset>
            </wp:positionV>
            <wp:extent cx="643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-109855</wp:posOffset>
            </wp:positionV>
            <wp:extent cx="6343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i w:val="1"/>
          <w:iCs w:val="1"/>
          <w:color w:val="auto"/>
        </w:rPr>
        <w:t>Some of the percentage totals in the table above may not foot due to rounding differences.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auto"/>
        </w:rPr>
        <w:t>0.5 %</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1.0 %</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12.6 %</w:t>
      </w:r>
    </w:p>
    <w:p>
      <w:pPr>
        <w:spacing w:after="0" w:line="634" w:lineRule="exact"/>
        <w:rPr>
          <w:sz w:val="20"/>
          <w:szCs w:val="20"/>
          <w:color w:val="auto"/>
        </w:rPr>
      </w:pPr>
    </w:p>
    <w:p>
      <w:pPr>
        <w:sectPr>
          <w:pgSz w:w="11900" w:h="16838" w:orient="portrait"/>
          <w:cols w:equalWidth="0" w:num="2">
            <w:col w:w="10220" w:space="440"/>
            <w:col w:w="580"/>
          </w:cols>
          <w:pgMar w:left="320" w:top="108" w:right="3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Three Months Ended</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April 4, 2026</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March 29, 2025</w:t>
            </w:r>
          </w:p>
        </w:tc>
      </w:tr>
      <w:tr>
        <w:trPr>
          <w:trHeight w:val="223"/>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8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8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8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8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29"/>
        </w:trPr>
        <w:tc>
          <w:tcPr>
            <w:tcW w:w="8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effects </w:t>
            </w:r>
            <w:r>
              <w:rPr>
                <w:rFonts w:ascii="Arial" w:cs="Arial" w:eastAsia="Arial" w:hAnsi="Arial"/>
                <w:sz w:val="23"/>
                <w:szCs w:val="23"/>
                <w:color w:val="auto"/>
                <w:vertAlign w:val="superscript"/>
              </w:rPr>
              <w:t>(f)</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48"/>
        </w:trPr>
        <w:tc>
          <w:tcPr>
            <w:tcW w:w="8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58"/>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81,492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79,259</w:t>
            </w:r>
          </w:p>
        </w:tc>
      </w:tr>
    </w:tbl>
    <w:p>
      <w:pPr>
        <w:spacing w:after="0" w:line="168" w:lineRule="exact"/>
        <w:rPr>
          <w:sz w:val="20"/>
          <w:szCs w:val="20"/>
          <w:color w:val="auto"/>
        </w:rPr>
      </w:pPr>
    </w:p>
    <w:p>
      <w:pPr>
        <w:ind w:left="660" w:right="1440" w:hanging="328"/>
        <w:spacing w:after="0" w:line="272"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may vary from period to period depending on the timing of awards and performance vesting conditions.</w:t>
      </w:r>
    </w:p>
    <w:p>
      <w:pPr>
        <w:ind w:left="660" w:right="1040" w:hanging="328"/>
        <w:spacing w:after="0" w:line="261"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write-off related to non-cash impairment charges of long-lived assets, primarily impairment of property, equipment and lease-related assets on closed or underperforming stores.</w:t>
      </w:r>
    </w:p>
    <w:p>
      <w:pPr>
        <w:ind w:left="660" w:right="720" w:hanging="328"/>
        <w:spacing w:after="0" w:line="251" w:lineRule="auto"/>
        <w:tabs>
          <w:tab w:leader="none" w:pos="6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Company’s ERP and CRM implementation.</w:t>
      </w:r>
    </w:p>
    <w:p>
      <w:pPr>
        <w:spacing w:after="0" w:line="14" w:lineRule="exact"/>
        <w:rPr>
          <w:rFonts w:ascii="Arial" w:cs="Arial" w:eastAsia="Arial" w:hAnsi="Arial"/>
          <w:sz w:val="14"/>
          <w:szCs w:val="14"/>
          <w:color w:val="auto"/>
        </w:rPr>
      </w:pPr>
    </w:p>
    <w:p>
      <w:pPr>
        <w:ind w:left="660" w:right="780" w:hanging="328"/>
        <w:spacing w:after="0" w:line="256"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shareholder activism costs of $2.1 million for the three months ended March 29, 2025, severance and associate-related costs associated with organizational restructuring of $2.1 million and $2.1 million for the three months ended April 4, 2026 and March 29, 2025, respectively, and other expenses and adjustments.</w:t>
      </w:r>
    </w:p>
    <w:p>
      <w:pPr>
        <w:spacing w:after="0" w:line="1" w:lineRule="exact"/>
        <w:rPr>
          <w:rFonts w:ascii="Arial" w:cs="Arial" w:eastAsia="Arial" w:hAnsi="Arial"/>
          <w:sz w:val="14"/>
          <w:szCs w:val="14"/>
          <w:color w:val="auto"/>
        </w:rPr>
      </w:pPr>
    </w:p>
    <w:p>
      <w:pPr>
        <w:ind w:left="660" w:right="740" w:hanging="328"/>
        <w:spacing w:after="0" w:line="284"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 including tax expense (benefit) from stock-based compensation.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loans in an aggregate principal amount of $300.0 million (the “Revolving Loans”) will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modifications to our $234.3 million outstanding principal first lien term loan (“Term Loan A”) where possible, or entry into interest rate derivative agreements to moderate our exposure to fluctuations in interest rates underlying our variable rate debt.</w:t>
      </w:r>
    </w:p>
    <w:p>
      <w:pPr>
        <w:spacing w:after="0" w:line="74"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Our ability to maintain sufficient liquidity may be affected by a number of factors, many of which are outside of our control. We primarily fund our working capital needs using cash provided by operations. Our working capital requirements for inventory will increase as we continue to open additional stores.</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As of April 4, 2026, we had $67.9 million in cash and cash equivalents, and $293.3 million of remaining availability under our Revolving Loans, net of $6.7 million in outstanding letters of credit.</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April 4, 2026, we had $234.3 million of Term Loan A outstanding under our credit agreement. We were in compliance with all covenants related to our debt as of April 4, 2026.</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the fourth quarter of 2025, we entered into an interest rate swap with a notional amount of $100.0 million to mitigate the variability of cash flows associated with these interest payments. See Note 5. “Interest Rate Derivatives” for additional information.</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table summarizes cash flows provided by (used for) operating activities, investing activities and financing activities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Three Months Ended</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April 4, 2026</w:t>
            </w:r>
          </w:p>
        </w:tc>
        <w:tc>
          <w:tcPr>
            <w:tcW w:w="200" w:type="dxa"/>
            <w:vAlign w:val="bottom"/>
          </w:tcPr>
          <w:p>
            <w:pPr>
              <w:spacing w:after="0"/>
              <w:rPr>
                <w:sz w:val="19"/>
                <w:szCs w:val="19"/>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March 29, 2025</w:t>
            </w:r>
          </w:p>
        </w:tc>
      </w:tr>
      <w:tr>
        <w:trPr>
          <w:trHeight w:val="20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2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ind w:left="750"/>
              <w:spacing w:after="0"/>
              <w:rPr>
                <w:sz w:val="20"/>
                <w:szCs w:val="20"/>
                <w:color w:val="auto"/>
              </w:rPr>
            </w:pPr>
            <w:r>
              <w:rPr>
                <w:rFonts w:ascii="Arial" w:cs="Arial" w:eastAsia="Arial" w:hAnsi="Arial"/>
                <w:sz w:val="18"/>
                <w:szCs w:val="18"/>
                <w:color w:val="auto"/>
              </w:rPr>
              <w:t>61,705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32,239</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rPr>
              <w:t>(18,272)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rPr>
              <w:t>(14,144)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rPr>
              <w:t>29,289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flows provided by operating activities increased by $29.5 million in the three months ended April 4, 2026 compared to the three months ended March 29, 2025 as a result of an increase in net income of $17.0 million, an increase in non-cash adjustments of $11.3 million, and changes in net working capital and other assets and liabilities of $1.2 million.</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Cash flow related to changes in working capital were positively impacted by the timing of vendor payments and accounts receivable, partially offset by increased inventory levels and the timing of unearned and deferred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cash used for investing activities decreased by $2.0 million in the three months ended April 4, 2026 compared to the three months ended March 29, 2025. The year-over-year decrease was primarily due to decreased investments in information technology assets, partially offset by investments in our retail support centers.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used for financing activities increased by $8.7 million in the three months ended April 4, 2026 compared to the three months ended March 29, 2025, primarily due to increased purchases of treasury stock to cover employee tax withholdings associated with stock-based compensation.</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were no material changes outside the ordinary course of business in our material cash requirements and commercial commitments from those reported in the 2025 Annual Report on Form 10-K.</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2025 Annual Report on Form 10-K. We are not a party to any other material off-balance sheet arrangements.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Authority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Effective March 2, 2026, the Board authorized the Company to repurchase up to $ 50 million aggregate amount of shares of the Company’s common stock until December 28, 2030. As of April 4, 2026, the authorization has remaining capacity of $50 million.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2025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2025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There have been no material changes due to recently issued or adopted accounting standards since those disclosed in our 2025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significant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In December 2025, we entered into an interest rate swap agreement to help manage interest rate exposure by economically converting a portion of our variable-rate debt to fixed-rate debt. Our interest rate swap is intended to mitigate some of the effects of increases in interest rates. See Note 5. “Interest Rate Derivatives” to our condensed consolidated financial statements for more information on our interest rate swap.</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of April 4, 2026, our total borrowing consisted of $234.3 million of term loan borrowings subject to variable interest rates with a weighted average borrowing rate of 5.5%. An increase to market rates of 1.0% would result in approximately $1.0 million impact to annual interest expense. For more information about quantitative and qualitative disclosures about market risk, please see Item 7A. “Quantitative and Qualitative Disclosures About Market Risk” in Part II. of the 2025 Annual Report on Form 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April 4, 2026.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first quarter of fiscal year 2026 that have materially affected, or are reasonably likely to materially affect, our internal control over financial reporting.</w:t>
      </w:r>
    </w:p>
    <w:p>
      <w:pPr>
        <w:spacing w:after="0" w:line="200" w:lineRule="exact"/>
        <w:rPr>
          <w:sz w:val="20"/>
          <w:szCs w:val="20"/>
          <w:color w:val="auto"/>
        </w:rPr>
      </w:pP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See Note 7.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2025 Annual Report on Form 10-K. There have been no material changes to the risk factors described in our 2025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right="60" w:firstLine="8"/>
        <w:spacing w:after="0" w:line="268"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three months ended April 4, 2026, none of the Company’s directors or officers (as defined in Rule 16a-1(f) of the Exchange Act) adopted, terminated or modified a “Rule 10b5-1 trading arrangement” or “non-Rule 10b5-1 trading arrangement” (as such terms are defined in Item 408(a) of Regulation S-K).</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Table of Contents</w:t>
            </w:r>
          </w:p>
        </w:tc>
        <w:tc>
          <w:tcPr>
            <w:tcW w:w="3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80"/>
        </w:trPr>
        <w:tc>
          <w:tcPr>
            <w:tcW w:w="1420" w:type="dxa"/>
            <w:vAlign w:val="bottom"/>
            <w:gridSpan w:val="7"/>
          </w:tcPr>
          <w:p>
            <w:pPr>
              <w:spacing w:after="0"/>
              <w:rPr>
                <w:sz w:val="20"/>
                <w:szCs w:val="20"/>
                <w:color w:val="auto"/>
              </w:rPr>
            </w:pPr>
            <w:r>
              <w:rPr>
                <w:rFonts w:ascii="Arial" w:cs="Arial" w:eastAsia="Arial" w:hAnsi="Arial"/>
                <w:sz w:val="18"/>
                <w:szCs w:val="18"/>
                <w:b w:val="1"/>
                <w:bCs w:val="1"/>
                <w:color w:val="auto"/>
              </w:rPr>
              <w:t>Item 6. Exhibits.</w:t>
            </w:r>
          </w:p>
        </w:tc>
        <w:tc>
          <w:tcPr>
            <w:tcW w:w="3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00" w:type="dxa"/>
            <w:vAlign w:val="bottom"/>
            <w:gridSpan w:val="6"/>
          </w:tcPr>
          <w:p>
            <w:pPr>
              <w:spacing w:after="0"/>
              <w:rPr>
                <w:sz w:val="20"/>
                <w:szCs w:val="20"/>
                <w:color w:val="auto"/>
              </w:rPr>
            </w:pPr>
            <w:r>
              <w:rPr>
                <w:rFonts w:ascii="Arial" w:cs="Arial" w:eastAsia="Arial" w:hAnsi="Arial"/>
                <w:sz w:val="18"/>
                <w:szCs w:val="18"/>
                <w:b w:val="1"/>
                <w:bCs w:val="1"/>
                <w:color w:val="auto"/>
              </w:rPr>
              <w:t>Exhibit No.</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Exhibit Description</w:t>
            </w:r>
          </w:p>
        </w:tc>
        <w:tc>
          <w:tcPr>
            <w:tcW w:w="112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176"/>
        </w:trPr>
        <w:tc>
          <w:tcPr>
            <w:tcW w:w="380" w:type="dxa"/>
            <w:vAlign w:val="bottom"/>
            <w:tcBorders>
              <w:top w:val="single" w:sz="8" w:color="auto"/>
            </w:tcBorders>
            <w:gridSpan w:val="3"/>
          </w:tcPr>
          <w:p>
            <w:pPr>
              <w:ind w:left="20"/>
              <w:spacing w:after="0" w:line="169" w:lineRule="exact"/>
              <w:rPr>
                <w:rFonts w:ascii="Arial" w:cs="Arial" w:eastAsia="Arial" w:hAnsi="Arial"/>
                <w:sz w:val="18"/>
                <w:szCs w:val="18"/>
                <w:color w:val="0000FF"/>
              </w:rPr>
            </w:pPr>
            <w:hyperlink r:id="rId5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8"/>
                <w:szCs w:val="18"/>
                <w:color w:val="auto"/>
              </w:rPr>
              <w:t>Third Amended and Restated Certificate of Incorporation of National Vision Holdings, Inc. - incorporated herein by</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reference to Exhibit 3.1 to the Company’s Current Report on Form 8-K filed on June 10, 2021.</w:t>
            </w:r>
          </w:p>
        </w:tc>
      </w:tr>
      <w:tr>
        <w:trPr>
          <w:trHeight w:val="188"/>
        </w:trPr>
        <w:tc>
          <w:tcPr>
            <w:tcW w:w="380" w:type="dxa"/>
            <w:vAlign w:val="bottom"/>
            <w:gridSpan w:val="3"/>
          </w:tcPr>
          <w:p>
            <w:pPr>
              <w:ind w:left="20"/>
              <w:spacing w:after="0" w:line="181" w:lineRule="exact"/>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Fourth Amended and Restated Bylaws of National Vision Holdings, Inc. - incorporated herein by reference to Exhibit 3.1 to</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the Company’s Current Report on Form 8-K filed on December 12, 2023.</w:t>
            </w:r>
          </w:p>
        </w:tc>
      </w:tr>
      <w:tr>
        <w:trPr>
          <w:trHeight w:val="194"/>
        </w:trPr>
        <w:tc>
          <w:tcPr>
            <w:tcW w:w="20" w:type="dxa"/>
            <w:vAlign w:val="bottom"/>
          </w:tcPr>
          <w:p>
            <w:pPr>
              <w:spacing w:after="0"/>
              <w:rPr>
                <w:sz w:val="16"/>
                <w:szCs w:val="16"/>
                <w:color w:val="auto"/>
              </w:rPr>
            </w:pPr>
          </w:p>
        </w:tc>
        <w:tc>
          <w:tcPr>
            <w:tcW w:w="46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w:t>
            </w:r>
          </w:p>
        </w:tc>
        <w:tc>
          <w:tcPr>
            <w:tcW w:w="940" w:type="dxa"/>
            <w:vAlign w:val="bottom"/>
            <w:gridSpan w:val="3"/>
          </w:tcPr>
          <w:p>
            <w:pPr>
              <w:spacing w:after="0"/>
              <w:rPr>
                <w:sz w:val="16"/>
                <w:szCs w:val="16"/>
                <w:color w:val="auto"/>
              </w:rPr>
            </w:pPr>
          </w:p>
        </w:tc>
        <w:tc>
          <w:tcPr>
            <w:tcW w:w="9820" w:type="dxa"/>
            <w:vAlign w:val="bottom"/>
            <w:gridSpan w:val="3"/>
          </w:tcPr>
          <w:p>
            <w:pPr>
              <w:spacing w:after="0" w:line="195" w:lineRule="exact"/>
              <w:rPr>
                <w:sz w:val="20"/>
                <w:szCs w:val="20"/>
                <w:color w:val="auto"/>
              </w:rPr>
            </w:pPr>
            <w:r>
              <w:rPr>
                <w:rFonts w:ascii="Arial" w:cs="Arial" w:eastAsia="Arial" w:hAnsi="Arial"/>
                <w:sz w:val="18"/>
                <w:szCs w:val="18"/>
                <w:color w:val="auto"/>
              </w:rPr>
              <w:t>Form of Performance Stock Unit Agreement under the 2017 Omnibus Incentive Plan, as adopted March 17, 2026.</w:t>
            </w:r>
          </w:p>
        </w:tc>
      </w:tr>
      <w:tr>
        <w:trPr>
          <w:trHeight w:val="210"/>
        </w:trPr>
        <w:tc>
          <w:tcPr>
            <w:tcW w:w="20" w:type="dxa"/>
            <w:vAlign w:val="bottom"/>
          </w:tcPr>
          <w:p>
            <w:pPr>
              <w:spacing w:after="0"/>
              <w:rPr>
                <w:sz w:val="18"/>
                <w:szCs w:val="18"/>
                <w:color w:val="auto"/>
              </w:rPr>
            </w:pPr>
          </w:p>
        </w:tc>
        <w:tc>
          <w:tcPr>
            <w:tcW w:w="4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w:t>
            </w:r>
          </w:p>
        </w:tc>
        <w:tc>
          <w:tcPr>
            <w:tcW w:w="940" w:type="dxa"/>
            <w:vAlign w:val="bottom"/>
            <w:gridSpan w:val="3"/>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Form of Restricted Stock Unit Agreement under the 2017 Omnibus Incentive Plan, as adopted February 28, 2026.</w:t>
            </w:r>
          </w:p>
        </w:tc>
      </w:tr>
      <w:tr>
        <w:trPr>
          <w:trHeight w:val="203"/>
        </w:trPr>
        <w:tc>
          <w:tcPr>
            <w:tcW w:w="480" w:type="dxa"/>
            <w:vAlign w:val="bottom"/>
            <w:gridSpan w:val="4"/>
          </w:tcPr>
          <w:p>
            <w:pPr>
              <w:ind w:left="20"/>
              <w:spacing w:after="0" w:line="196"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3"/>
          </w:tcPr>
          <w:p>
            <w:pPr>
              <w:spacing w:after="0" w:line="196" w:lineRule="exact"/>
              <w:rPr>
                <w:sz w:val="20"/>
                <w:szCs w:val="20"/>
                <w:color w:val="auto"/>
              </w:rPr>
            </w:pPr>
            <w:r>
              <w:rPr>
                <w:rFonts w:ascii="Arial" w:cs="Arial" w:eastAsia="Arial" w:hAnsi="Arial"/>
                <w:sz w:val="18"/>
                <w:szCs w:val="18"/>
                <w:color w:val="auto"/>
              </w:rPr>
              <w:t>Certification of Periodic Report by Chief Executive Officer under Section 302 of the Sarbanes-Oxley Act of 2002 (filed</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herewith).</w:t>
            </w:r>
          </w:p>
        </w:tc>
      </w:tr>
      <w:tr>
        <w:trPr>
          <w:trHeight w:val="188"/>
        </w:trPr>
        <w:tc>
          <w:tcPr>
            <w:tcW w:w="480" w:type="dxa"/>
            <w:vAlign w:val="bottom"/>
            <w:gridSpan w:val="4"/>
          </w:tcPr>
          <w:p>
            <w:pPr>
              <w:ind w:left="20"/>
              <w:spacing w:after="0" w:line="181"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Periodic Report by Chief Financial Officer under Section 302 of the Sarbanes-Oxley Act of 2002 (filed</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herewith).</w:t>
            </w:r>
          </w:p>
        </w:tc>
      </w:tr>
      <w:tr>
        <w:trPr>
          <w:trHeight w:val="188"/>
        </w:trPr>
        <w:tc>
          <w:tcPr>
            <w:tcW w:w="480" w:type="dxa"/>
            <w:vAlign w:val="bottom"/>
            <w:gridSpan w:val="4"/>
          </w:tcPr>
          <w:p>
            <w:pPr>
              <w:ind w:left="20"/>
              <w:spacing w:after="0" w:line="181"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Sarbanes-Oxley Act of 2002 (furnished herewith).</w:t>
            </w:r>
          </w:p>
        </w:tc>
      </w:tr>
      <w:tr>
        <w:trPr>
          <w:trHeight w:val="188"/>
        </w:trPr>
        <w:tc>
          <w:tcPr>
            <w:tcW w:w="480" w:type="dxa"/>
            <w:vAlign w:val="bottom"/>
            <w:gridSpan w:val="4"/>
          </w:tcPr>
          <w:p>
            <w:pPr>
              <w:ind w:left="20"/>
              <w:spacing w:after="0" w:line="181"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Sarbanes-Oxley Act of 2002 (furnished herewith).</w:t>
            </w:r>
          </w:p>
        </w:tc>
      </w:tr>
      <w:tr>
        <w:trPr>
          <w:trHeight w:val="181"/>
        </w:trPr>
        <w:tc>
          <w:tcPr>
            <w:tcW w:w="20" w:type="dxa"/>
            <w:vAlign w:val="bottom"/>
          </w:tcPr>
          <w:p>
            <w:pPr>
              <w:spacing w:after="0"/>
              <w:rPr>
                <w:sz w:val="15"/>
                <w:szCs w:val="15"/>
                <w:color w:val="auto"/>
              </w:rPr>
            </w:pPr>
          </w:p>
        </w:tc>
        <w:tc>
          <w:tcPr>
            <w:tcW w:w="1400" w:type="dxa"/>
            <w:vAlign w:val="bottom"/>
            <w:gridSpan w:val="6"/>
          </w:tcPr>
          <w:p>
            <w:pPr>
              <w:spacing w:after="0" w:line="181" w:lineRule="exact"/>
              <w:rPr>
                <w:sz w:val="20"/>
                <w:szCs w:val="20"/>
                <w:color w:val="auto"/>
              </w:rPr>
            </w:pPr>
            <w:r>
              <w:rPr>
                <w:rFonts w:ascii="Arial" w:cs="Arial" w:eastAsia="Arial" w:hAnsi="Arial"/>
                <w:sz w:val="18"/>
                <w:szCs w:val="18"/>
                <w:color w:val="auto"/>
              </w:rPr>
              <w:t>101.INS</w:t>
            </w: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tags are embedded within Inline XBRL document.</w:t>
            </w:r>
          </w:p>
        </w:tc>
      </w:tr>
      <w:tr>
        <w:trPr>
          <w:trHeight w:val="230"/>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9"/>
        </w:trPr>
        <w:tc>
          <w:tcPr>
            <w:tcW w:w="20" w:type="dxa"/>
            <w:vAlign w:val="bottom"/>
          </w:tcPr>
          <w:p>
            <w:pPr>
              <w:spacing w:after="0"/>
              <w:rPr>
                <w:sz w:val="20"/>
                <w:szCs w:val="20"/>
                <w:color w:val="auto"/>
              </w:rPr>
            </w:pPr>
          </w:p>
        </w:tc>
        <w:tc>
          <w:tcPr>
            <w:tcW w:w="14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420" w:right="20" w:hanging="1394"/>
        <w:spacing w:after="0" w:line="23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April 4, 2026, formatted in Inline XBRL (included within the Exhibit 101 attachments).</w:t>
      </w:r>
    </w:p>
    <w:p>
      <w:pPr>
        <w:spacing w:after="0" w:line="194"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Identifies exhibits that consist of a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8"/>
          <w:szCs w:val="18"/>
          <w:color w:val="auto"/>
        </w:rPr>
        <w:t>Dated: May 14, 2026</w:t>
      </w:r>
      <w:r>
        <w:rPr>
          <w:sz w:val="20"/>
          <w:szCs w:val="20"/>
          <w:color w:val="auto"/>
        </w:rPr>
        <w:tab/>
      </w:r>
      <w:r>
        <w:rPr>
          <w:rFonts w:ascii="Arial" w:cs="Arial" w:eastAsia="Arial" w:hAnsi="Arial"/>
          <w:sz w:val="18"/>
          <w:szCs w:val="18"/>
          <w:color w:val="auto"/>
        </w:rPr>
        <w:t>By:</w:t>
        <w:tab/>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80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35"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8"/>
          <w:szCs w:val="18"/>
          <w:color w:val="auto"/>
        </w:rPr>
        <w:t>Dated: May 14,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80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Financial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121"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PERFORMANCE STOCK UNIT GRANT NOTICE</w:t>
      </w:r>
    </w:p>
    <w:p>
      <w:pPr>
        <w:spacing w:after="0" w:line="33"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NATIONAL VISION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2017 OMNIBUS INCENTIVE PLAN</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National Vision Holdings, Inc.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2017 Omnibus Incentive Plan, as it may be further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Participant set forth below the number of Performance Stock Units set forth below, which are Restricted Stock Units that are subject to the performance-vesting conditions described herein (the “</w:t>
      </w:r>
      <w:r>
        <w:rPr>
          <w:rFonts w:ascii="Arial" w:cs="Arial" w:eastAsia="Arial" w:hAnsi="Arial"/>
          <w:sz w:val="20"/>
          <w:szCs w:val="20"/>
          <w:u w:val="single" w:color="auto"/>
          <w:color w:val="auto"/>
        </w:rPr>
        <w:t>Performance Stock Units</w:t>
      </w:r>
      <w:r>
        <w:rPr>
          <w:rFonts w:ascii="Arial" w:cs="Arial" w:eastAsia="Arial" w:hAnsi="Arial"/>
          <w:sz w:val="20"/>
          <w:szCs w:val="20"/>
          <w:color w:val="auto"/>
        </w:rPr>
        <w:t>” or “</w:t>
      </w:r>
      <w:r>
        <w:rPr>
          <w:rFonts w:ascii="Arial" w:cs="Arial" w:eastAsia="Arial" w:hAnsi="Arial"/>
          <w:sz w:val="20"/>
          <w:szCs w:val="20"/>
          <w:u w:val="single" w:color="auto"/>
          <w:color w:val="auto"/>
        </w:rPr>
        <w:t>PSUs</w:t>
      </w:r>
      <w:r>
        <w:rPr>
          <w:rFonts w:ascii="Arial" w:cs="Arial" w:eastAsia="Arial" w:hAnsi="Arial"/>
          <w:sz w:val="20"/>
          <w:szCs w:val="20"/>
          <w:color w:val="auto"/>
        </w:rPr>
        <w:t>”). The Performance Stock Units are subject to all of the terms and conditions as set forth herein, in the Performance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Participant Name</w:t>
      </w:r>
      <w:r>
        <w:rPr>
          <w:rFonts w:ascii="Arial" w:cs="Arial" w:eastAsia="Arial" w:hAnsi="Arial"/>
          <w:sz w:val="19"/>
          <w:szCs w:val="19"/>
          <w:color w:val="auto"/>
        </w:rPr>
        <w:t>]</w:t>
      </w:r>
    </w:p>
    <w:p>
      <w:pPr>
        <w:spacing w:after="0" w:line="216"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Date of Grant</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Grant Date</w:t>
      </w:r>
      <w:r>
        <w:rPr>
          <w:rFonts w:ascii="Arial" w:cs="Arial" w:eastAsia="Arial" w:hAnsi="Arial"/>
          <w:sz w:val="19"/>
          <w:szCs w:val="19"/>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Number of Performance</w:t>
      </w:r>
    </w:p>
    <w:p>
      <w:pPr>
        <w:spacing w:after="0" w:line="20"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Stock Units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Quantity Granted</w:t>
      </w:r>
      <w:r>
        <w:rPr>
          <w:rFonts w:ascii="Arial" w:cs="Arial" w:eastAsia="Arial" w:hAnsi="Arial"/>
          <w:sz w:val="19"/>
          <w:szCs w:val="19"/>
          <w:color w:val="auto"/>
        </w:rPr>
        <w:t>] (the “</w:t>
      </w:r>
      <w:r>
        <w:rPr>
          <w:rFonts w:ascii="Arial" w:cs="Arial" w:eastAsia="Arial" w:hAnsi="Arial"/>
          <w:sz w:val="19"/>
          <w:szCs w:val="19"/>
          <w:u w:val="single" w:color="auto"/>
          <w:color w:val="auto"/>
        </w:rPr>
        <w:t>Target PSUs</w:t>
      </w:r>
      <w:r>
        <w:rPr>
          <w:rFonts w:ascii="Arial" w:cs="Arial" w:eastAsia="Arial" w:hAnsi="Arial"/>
          <w:sz w:val="19"/>
          <w:szCs w:val="19"/>
          <w:color w:val="auto"/>
        </w:rPr>
        <w:t>”)</w:t>
      </w:r>
    </w:p>
    <w:p>
      <w:pPr>
        <w:spacing w:after="0" w:line="211" w:lineRule="exact"/>
        <w:rPr>
          <w:sz w:val="20"/>
          <w:szCs w:val="20"/>
          <w:color w:val="auto"/>
        </w:rPr>
      </w:pPr>
    </w:p>
    <w:p>
      <w:pPr>
        <w:jc w:val="both"/>
        <w:ind w:left="3240"/>
        <w:spacing w:after="0" w:line="254" w:lineRule="auto"/>
        <w:rPr>
          <w:sz w:val="20"/>
          <w:szCs w:val="20"/>
          <w:color w:val="auto"/>
        </w:rPr>
      </w:pPr>
      <w:r>
        <w:rPr>
          <w:rFonts w:ascii="Arial" w:cs="Arial" w:eastAsia="Arial" w:hAnsi="Arial"/>
          <w:sz w:val="20"/>
          <w:szCs w:val="20"/>
          <w:color w:val="auto"/>
        </w:rPr>
        <w:t>50% of the Target PSUs shall be subject to performance goals relating to Adjusted Operating Income (the “</w:t>
      </w:r>
      <w:r>
        <w:rPr>
          <w:rFonts w:ascii="Arial" w:cs="Arial" w:eastAsia="Arial" w:hAnsi="Arial"/>
          <w:sz w:val="20"/>
          <w:szCs w:val="20"/>
          <w:u w:val="single" w:color="auto"/>
          <w:color w:val="auto"/>
        </w:rPr>
        <w:t>AOI PSUs</w:t>
      </w:r>
      <w:r>
        <w:rPr>
          <w:rFonts w:ascii="Arial" w:cs="Arial" w:eastAsia="Arial" w:hAnsi="Arial"/>
          <w:sz w:val="20"/>
          <w:szCs w:val="20"/>
          <w:color w:val="auto"/>
        </w:rPr>
        <w:t>”), 25% of the Target PSUs shall be subject to performance goals relating to ROIC (the “</w:t>
      </w:r>
      <w:r>
        <w:rPr>
          <w:rFonts w:ascii="Arial" w:cs="Arial" w:eastAsia="Arial" w:hAnsi="Arial"/>
          <w:sz w:val="20"/>
          <w:szCs w:val="20"/>
          <w:u w:val="single" w:color="auto"/>
          <w:color w:val="auto"/>
        </w:rPr>
        <w:t>ROIC PSUs</w:t>
      </w:r>
      <w:r>
        <w:rPr>
          <w:rFonts w:ascii="Arial" w:cs="Arial" w:eastAsia="Arial" w:hAnsi="Arial"/>
          <w:sz w:val="20"/>
          <w:szCs w:val="20"/>
          <w:color w:val="auto"/>
        </w:rPr>
        <w:t>”), and 25% of the Target PSUs shall be subject to performance goals relating to relative total stockholder return (the “</w:t>
      </w:r>
      <w:r>
        <w:rPr>
          <w:rFonts w:ascii="Arial" w:cs="Arial" w:eastAsia="Arial" w:hAnsi="Arial"/>
          <w:sz w:val="20"/>
          <w:szCs w:val="20"/>
          <w:u w:val="single" w:color="auto"/>
          <w:color w:val="auto"/>
        </w:rPr>
        <w:t>rTSR</w:t>
      </w:r>
      <w:r>
        <w:rPr>
          <w:rFonts w:ascii="Arial" w:cs="Arial" w:eastAsia="Arial" w:hAnsi="Arial"/>
          <w:sz w:val="20"/>
          <w:szCs w:val="20"/>
          <w:color w:val="auto"/>
        </w:rPr>
        <w:t xml:space="preserve"> </w:t>
      </w:r>
      <w:r>
        <w:rPr>
          <w:rFonts w:ascii="Arial" w:cs="Arial" w:eastAsia="Arial" w:hAnsi="Arial"/>
          <w:sz w:val="20"/>
          <w:szCs w:val="20"/>
          <w:u w:val="single" w:color="auto"/>
          <w:color w:val="auto"/>
        </w:rPr>
        <w:t>PSUs</w:t>
      </w:r>
      <w:r>
        <w:rPr>
          <w:rFonts w:ascii="Arial" w:cs="Arial" w:eastAsia="Arial" w:hAnsi="Arial"/>
          <w:sz w:val="20"/>
          <w:szCs w:val="20"/>
          <w:color w:val="auto"/>
        </w:rPr>
        <w:t>”).</w:t>
      </w:r>
    </w:p>
    <w:p>
      <w:pPr>
        <w:spacing w:after="0" w:line="185" w:lineRule="exact"/>
        <w:rPr>
          <w:sz w:val="20"/>
          <w:szCs w:val="20"/>
          <w:color w:val="auto"/>
        </w:rPr>
      </w:pPr>
    </w:p>
    <w:p>
      <w:pPr>
        <w:jc w:val="both"/>
        <w:ind w:left="2120" w:hanging="3239"/>
        <w:spacing w:after="0" w:line="262" w:lineRule="auto"/>
        <w:tabs>
          <w:tab w:leader="none" w:pos="210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 xml:space="preserve">The Participant will have the right to earn between 0% and 200% of the AOI PSUs based on the Company’s achievement of performance goals relating to Adjusted Operating Income,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over the Performance Period.</w:t>
      </w:r>
    </w:p>
    <w:p>
      <w:pPr>
        <w:spacing w:after="0" w:line="180" w:lineRule="exact"/>
        <w:rPr>
          <w:sz w:val="20"/>
          <w:szCs w:val="20"/>
          <w:color w:val="auto"/>
        </w:rPr>
      </w:pPr>
    </w:p>
    <w:p>
      <w:pPr>
        <w:jc w:val="both"/>
        <w:ind w:left="3240"/>
        <w:spacing w:after="0" w:line="262" w:lineRule="auto"/>
        <w:rPr>
          <w:sz w:val="20"/>
          <w:szCs w:val="20"/>
          <w:color w:val="auto"/>
        </w:rPr>
      </w:pPr>
      <w:r>
        <w:rPr>
          <w:rFonts w:ascii="Arial" w:cs="Arial" w:eastAsia="Arial" w:hAnsi="Arial"/>
          <w:sz w:val="20"/>
          <w:szCs w:val="20"/>
          <w:color w:val="auto"/>
        </w:rPr>
        <w:t xml:space="preserve">Similarly, the Participant will have the right to earn between 0% and 200% of the ROIC PSUs based on the Company’s achievement of performance goals relating to ROIC, as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over the Performance Period.</w:t>
      </w:r>
    </w:p>
    <w:p>
      <w:pPr>
        <w:spacing w:after="0" w:line="165" w:lineRule="exact"/>
        <w:rPr>
          <w:sz w:val="20"/>
          <w:szCs w:val="20"/>
          <w:color w:val="auto"/>
        </w:rPr>
      </w:pPr>
    </w:p>
    <w:p>
      <w:pPr>
        <w:jc w:val="both"/>
        <w:ind w:left="3240"/>
        <w:spacing w:after="0" w:line="269" w:lineRule="auto"/>
        <w:rPr>
          <w:sz w:val="20"/>
          <w:szCs w:val="20"/>
          <w:color w:val="auto"/>
        </w:rPr>
      </w:pPr>
      <w:r>
        <w:rPr>
          <w:rFonts w:ascii="Arial" w:cs="Arial" w:eastAsia="Arial" w:hAnsi="Arial"/>
          <w:sz w:val="20"/>
          <w:szCs w:val="20"/>
          <w:color w:val="auto"/>
        </w:rPr>
        <w:t xml:space="preserve">Similarly, the Participant will have the right to earn between 0% and 200% of the rTSR PSUs based on the Company’s achievement of performance goals relating to rTSR, as set forth on </w:t>
      </w:r>
      <w:r>
        <w:rPr>
          <w:rFonts w:ascii="Arial" w:cs="Arial" w:eastAsia="Arial" w:hAnsi="Arial"/>
          <w:sz w:val="20"/>
          <w:szCs w:val="20"/>
          <w:u w:val="single" w:color="auto"/>
          <w:color w:val="auto"/>
        </w:rPr>
        <w:t>Exhibit C</w:t>
      </w:r>
      <w:r>
        <w:rPr>
          <w:rFonts w:ascii="Arial" w:cs="Arial" w:eastAsia="Arial" w:hAnsi="Arial"/>
          <w:sz w:val="20"/>
          <w:szCs w:val="20"/>
          <w:color w:val="auto"/>
        </w:rPr>
        <w:t>, over the Performance Period.</w:t>
      </w:r>
    </w:p>
    <w:p>
      <w:pPr>
        <w:spacing w:after="0" w:line="156"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b w:val="1"/>
          <w:bCs w:val="1"/>
          <w:color w:val="auto"/>
        </w:rPr>
        <w:t>Performance Period:</w:t>
      </w:r>
      <w:r>
        <w:rPr>
          <w:sz w:val="20"/>
          <w:szCs w:val="20"/>
          <w:color w:val="auto"/>
        </w:rPr>
        <w:tab/>
      </w:r>
      <w:r>
        <w:rPr>
          <w:rFonts w:ascii="Arial" w:cs="Arial" w:eastAsia="Arial" w:hAnsi="Arial"/>
          <w:sz w:val="19"/>
          <w:szCs w:val="19"/>
          <w:color w:val="auto"/>
        </w:rPr>
        <w:t>Fiscal year 2026 through fiscal year 2028.</w:t>
      </w:r>
    </w:p>
    <w:p>
      <w:pPr>
        <w:spacing w:after="0" w:line="229" w:lineRule="exact"/>
        <w:rPr>
          <w:sz w:val="20"/>
          <w:szCs w:val="20"/>
          <w:color w:val="auto"/>
        </w:rPr>
      </w:pPr>
    </w:p>
    <w:p>
      <w:pPr>
        <w:spacing w:after="0"/>
        <w:tabs>
          <w:tab w:leader="none" w:pos="3500" w:val="left"/>
        </w:tabs>
        <w:rPr>
          <w:sz w:val="20"/>
          <w:szCs w:val="20"/>
          <w:color w:val="auto"/>
        </w:rPr>
      </w:pPr>
      <w:r>
        <w:rPr>
          <w:rFonts w:ascii="Arial" w:cs="Arial" w:eastAsia="Arial" w:hAnsi="Arial"/>
          <w:sz w:val="20"/>
          <w:szCs w:val="20"/>
          <w:b w:val="1"/>
          <w:bCs w:val="1"/>
          <w:color w:val="auto"/>
        </w:rPr>
        <w:t>Absolute TSR Performance Period:</w:t>
      </w:r>
      <w:r>
        <w:rPr>
          <w:sz w:val="20"/>
          <w:szCs w:val="20"/>
          <w:color w:val="auto"/>
        </w:rPr>
        <w:tab/>
      </w:r>
      <w:r>
        <w:rPr>
          <w:rFonts w:ascii="Arial" w:cs="Arial" w:eastAsia="Arial" w:hAnsi="Arial"/>
          <w:sz w:val="19"/>
          <w:szCs w:val="19"/>
          <w:color w:val="auto"/>
        </w:rPr>
        <w:t>The Grant Date through the third anniversary of the Grant Date</w:t>
      </w:r>
    </w:p>
    <w:p>
      <w:pPr>
        <w:sectPr>
          <w:pgSz w:w="11900" w:h="16838" w:orient="portrait"/>
          <w:cols w:equalWidth="0" w:num="1">
            <w:col w:w="11240"/>
          </w:cols>
          <w:pgMar w:left="320" w:top="115" w:right="339" w:bottom="1440" w:gutter="0" w:footer="0" w:header="0"/>
        </w:sectPr>
      </w:pPr>
    </w:p>
    <w:bookmarkStart w:id="36" w:name="page37"/>
    <w:bookmarkEnd w:id="36"/>
    <w:p>
      <w:pPr>
        <w:spacing w:after="0" w:line="134" w:lineRule="exact"/>
        <w:rPr>
          <w:sz w:val="20"/>
          <w:szCs w:val="20"/>
          <w:color w:val="auto"/>
        </w:rPr>
      </w:pPr>
    </w:p>
    <w:p>
      <w:pPr>
        <w:jc w:val="both"/>
        <w:ind w:left="1620" w:hanging="3239"/>
        <w:spacing w:after="0" w:line="286" w:lineRule="auto"/>
        <w:tabs>
          <w:tab w:leader="none" w:pos="1600" w:val="left"/>
        </w:tabs>
        <w:rPr>
          <w:sz w:val="20"/>
          <w:szCs w:val="20"/>
          <w:color w:val="auto"/>
        </w:rPr>
      </w:pPr>
      <w:r>
        <w:rPr>
          <w:rFonts w:ascii="Arial" w:cs="Arial" w:eastAsia="Arial" w:hAnsi="Arial"/>
          <w:sz w:val="20"/>
          <w:szCs w:val="20"/>
          <w:b w:val="1"/>
          <w:bCs w:val="1"/>
          <w:color w:val="auto"/>
        </w:rPr>
        <w:t>Performance Conditions:</w:t>
      </w:r>
      <w:r>
        <w:rPr>
          <w:sz w:val="20"/>
          <w:szCs w:val="20"/>
          <w:color w:val="auto"/>
        </w:rPr>
        <w:tab/>
      </w:r>
      <w:r>
        <w:rPr>
          <w:rFonts w:ascii="Arial" w:cs="Arial" w:eastAsia="Arial" w:hAnsi="Arial"/>
          <w:sz w:val="20"/>
          <w:szCs w:val="20"/>
          <w:color w:val="auto"/>
        </w:rPr>
        <w:t>The number of PSUs that become “</w:t>
      </w:r>
      <w:r>
        <w:rPr>
          <w:rFonts w:ascii="Arial" w:cs="Arial" w:eastAsia="Arial" w:hAnsi="Arial"/>
          <w:sz w:val="20"/>
          <w:szCs w:val="20"/>
          <w:u w:val="single" w:color="auto"/>
          <w:color w:val="auto"/>
        </w:rPr>
        <w:t>Earned PSUs</w:t>
      </w:r>
      <w:r>
        <w:rPr>
          <w:rFonts w:ascii="Arial" w:cs="Arial" w:eastAsia="Arial" w:hAnsi="Arial"/>
          <w:sz w:val="20"/>
          <w:szCs w:val="20"/>
          <w:color w:val="auto"/>
        </w:rPr>
        <w:t>” shall be based on the achievement of the “</w:t>
      </w:r>
      <w:r>
        <w:rPr>
          <w:rFonts w:ascii="Arial" w:cs="Arial" w:eastAsia="Arial" w:hAnsi="Arial"/>
          <w:sz w:val="20"/>
          <w:szCs w:val="20"/>
          <w:u w:val="single" w:color="auto"/>
          <w:color w:val="auto"/>
        </w:rPr>
        <w:t>Performance Conditions</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Exhibit A, Exhibit 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42" w:lineRule="exact"/>
        <w:rPr>
          <w:sz w:val="20"/>
          <w:szCs w:val="20"/>
          <w:color w:val="auto"/>
        </w:rPr>
      </w:pPr>
    </w:p>
    <w:p>
      <w:pPr>
        <w:ind w:left="2120" w:right="20"/>
        <w:spacing w:after="0" w:line="286" w:lineRule="auto"/>
        <w:rPr>
          <w:sz w:val="20"/>
          <w:szCs w:val="20"/>
          <w:color w:val="auto"/>
        </w:rPr>
      </w:pPr>
      <w:r>
        <w:rPr>
          <w:rFonts w:ascii="Arial" w:cs="Arial" w:eastAsia="Arial" w:hAnsi="Arial"/>
          <w:sz w:val="20"/>
          <w:szCs w:val="20"/>
          <w:color w:val="auto"/>
        </w:rPr>
        <w:t>In fiscal years with 53 weeks, the Committee will adjust the Performance Conditions to a 52-week equivalent.</w:t>
      </w:r>
    </w:p>
    <w:p>
      <w:pPr>
        <w:spacing w:after="0" w:line="138" w:lineRule="exact"/>
        <w:rPr>
          <w:sz w:val="20"/>
          <w:szCs w:val="20"/>
          <w:color w:val="auto"/>
        </w:rPr>
      </w:pPr>
    </w:p>
    <w:p>
      <w:pPr>
        <w:jc w:val="both"/>
        <w:ind w:left="2520" w:hanging="3887"/>
        <w:spacing w:after="0" w:line="259" w:lineRule="auto"/>
        <w:tabs>
          <w:tab w:leader="none" w:pos="2500" w:val="left"/>
        </w:tabs>
        <w:rPr>
          <w:sz w:val="20"/>
          <w:szCs w:val="20"/>
          <w:color w:val="auto"/>
        </w:rPr>
      </w:pPr>
      <w:r>
        <w:rPr>
          <w:rFonts w:ascii="Arial" w:cs="Arial" w:eastAsia="Arial" w:hAnsi="Arial"/>
          <w:sz w:val="20"/>
          <w:szCs w:val="20"/>
          <w:b w:val="1"/>
          <w:bCs w:val="1"/>
          <w:color w:val="auto"/>
        </w:rPr>
        <w:t>Multiplier Performance Stock Units:</w:t>
      </w:r>
      <w:r>
        <w:rPr>
          <w:sz w:val="20"/>
          <w:szCs w:val="20"/>
          <w:color w:val="auto"/>
        </w:rPr>
        <w:tab/>
      </w:r>
      <w:r>
        <w:rPr>
          <w:rFonts w:ascii="Arial" w:cs="Arial" w:eastAsia="Arial" w:hAnsi="Arial"/>
          <w:sz w:val="20"/>
          <w:szCs w:val="20"/>
          <w:color w:val="auto"/>
        </w:rPr>
        <w:t>The Participant may earn an additional number of PSUs (the “</w:t>
      </w:r>
      <w:r>
        <w:rPr>
          <w:rFonts w:ascii="Arial" w:cs="Arial" w:eastAsia="Arial" w:hAnsi="Arial"/>
          <w:sz w:val="20"/>
          <w:szCs w:val="20"/>
          <w:u w:val="single" w:color="auto"/>
          <w:color w:val="auto"/>
        </w:rPr>
        <w:t>Multiplier PSUs</w:t>
      </w:r>
      <w:r>
        <w:rPr>
          <w:rFonts w:ascii="Arial" w:cs="Arial" w:eastAsia="Arial" w:hAnsi="Arial"/>
          <w:sz w:val="20"/>
          <w:szCs w:val="20"/>
          <w:color w:val="auto"/>
        </w:rPr>
        <w:t xml:space="preserve">”) based upon the number of Earned PSUs and achievement of performance goals relating to absolute total stockholder return over the Absolute TSR Performance Period, as set forth on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Absolute TSR Multiplier</w:t>
      </w:r>
      <w:r>
        <w:rPr>
          <w:rFonts w:ascii="Arial" w:cs="Arial" w:eastAsia="Arial" w:hAnsi="Arial"/>
          <w:sz w:val="20"/>
          <w:szCs w:val="20"/>
          <w:color w:val="auto"/>
        </w:rPr>
        <w:t>”).</w:t>
      </w:r>
    </w:p>
    <w:p>
      <w:pPr>
        <w:spacing w:after="0" w:line="182" w:lineRule="exact"/>
        <w:rPr>
          <w:sz w:val="20"/>
          <w:szCs w:val="20"/>
          <w:color w:val="auto"/>
        </w:rPr>
      </w:pPr>
    </w:p>
    <w:p>
      <w:pPr>
        <w:jc w:val="both"/>
        <w:ind w:left="1800" w:hanging="3239"/>
        <w:spacing w:after="0" w:line="254" w:lineRule="auto"/>
        <w:tabs>
          <w:tab w:leader="none" w:pos="1780" w:val="left"/>
        </w:tabs>
        <w:rPr>
          <w:sz w:val="20"/>
          <w:szCs w:val="20"/>
          <w:color w:val="auto"/>
        </w:rPr>
      </w:pPr>
      <w:r>
        <w:rPr>
          <w:rFonts w:ascii="Arial" w:cs="Arial" w:eastAsia="Arial" w:hAnsi="Arial"/>
          <w:sz w:val="20"/>
          <w:szCs w:val="20"/>
          <w:b w:val="1"/>
          <w:bCs w:val="1"/>
          <w:color w:val="auto"/>
        </w:rPr>
        <w:t>Calculation of Earned PSUs:</w:t>
      </w:r>
      <w:r>
        <w:rPr>
          <w:sz w:val="20"/>
          <w:szCs w:val="20"/>
          <w:color w:val="auto"/>
        </w:rPr>
        <w:tab/>
      </w:r>
      <w:r>
        <w:rPr>
          <w:rFonts w:ascii="Arial" w:cs="Arial" w:eastAsia="Arial" w:hAnsi="Arial"/>
          <w:sz w:val="20"/>
          <w:szCs w:val="20"/>
          <w:color w:val="auto"/>
        </w:rPr>
        <w:t>All determinations with respect to whether and to the extent to which a Performance Condition has been achieved shall be made by the Committee in its sole discretion, and the applicable Performance Conditions shall not be achieved and the applicable PSUs shall not become Earned PSUs until the date that the Committee certifies in writing the extent to which such Performance Conditions have been met (such date, the “</w:t>
      </w:r>
      <w:r>
        <w:rPr>
          <w:rFonts w:ascii="Arial" w:cs="Arial" w:eastAsia="Arial" w:hAnsi="Arial"/>
          <w:sz w:val="20"/>
          <w:szCs w:val="20"/>
          <w:u w:val="single" w:color="auto"/>
          <w:color w:val="auto"/>
        </w:rPr>
        <w:t>Determination Date</w:t>
      </w:r>
      <w:r>
        <w:rPr>
          <w:rFonts w:ascii="Arial" w:cs="Arial" w:eastAsia="Arial" w:hAnsi="Arial"/>
          <w:sz w:val="20"/>
          <w:szCs w:val="20"/>
          <w:color w:val="auto"/>
        </w:rPr>
        <w:t>”).</w:t>
      </w:r>
    </w:p>
    <w:p>
      <w:pPr>
        <w:spacing w:after="0" w:line="189" w:lineRule="exact"/>
        <w:rPr>
          <w:sz w:val="20"/>
          <w:szCs w:val="20"/>
          <w:color w:val="auto"/>
        </w:rPr>
      </w:pPr>
    </w:p>
    <w:p>
      <w:pPr>
        <w:jc w:val="both"/>
        <w:ind w:left="2120"/>
        <w:spacing w:after="0" w:line="262" w:lineRule="auto"/>
        <w:rPr>
          <w:sz w:val="20"/>
          <w:szCs w:val="20"/>
          <w:color w:val="auto"/>
        </w:rPr>
      </w:pPr>
      <w:r>
        <w:rPr>
          <w:rFonts w:ascii="Arial" w:cs="Arial" w:eastAsia="Arial" w:hAnsi="Arial"/>
          <w:sz w:val="20"/>
          <w:szCs w:val="20"/>
          <w:color w:val="auto"/>
        </w:rPr>
        <w:t xml:space="preserve">Following the last day of the Performance Period, the Committee shall determine the number of Earned AOI PSUs, the number of Earned ROIC PSUs, and the number of Earned rTSR PSUs, as provided in </w:t>
      </w:r>
      <w:r>
        <w:rPr>
          <w:rFonts w:ascii="Arial" w:cs="Arial" w:eastAsia="Arial" w:hAnsi="Arial"/>
          <w:sz w:val="20"/>
          <w:szCs w:val="20"/>
          <w:u w:val="single" w:color="auto"/>
          <w:color w:val="auto"/>
        </w:rPr>
        <w:t>Exhibit A, Exhibit 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C</w:t>
      </w:r>
      <w:r>
        <w:rPr>
          <w:rFonts w:ascii="Arial" w:cs="Arial" w:eastAsia="Arial" w:hAnsi="Arial"/>
          <w:sz w:val="20"/>
          <w:szCs w:val="20"/>
          <w:color w:val="auto"/>
        </w:rPr>
        <w:t>, respectively.</w:t>
      </w:r>
    </w:p>
    <w:p>
      <w:pPr>
        <w:spacing w:after="0" w:line="178" w:lineRule="exact"/>
        <w:rPr>
          <w:sz w:val="20"/>
          <w:szCs w:val="20"/>
          <w:color w:val="auto"/>
        </w:rPr>
      </w:pPr>
    </w:p>
    <w:p>
      <w:pPr>
        <w:ind w:left="2120"/>
        <w:spacing w:after="0" w:line="271" w:lineRule="auto"/>
        <w:rPr>
          <w:sz w:val="20"/>
          <w:szCs w:val="20"/>
          <w:color w:val="auto"/>
        </w:rPr>
      </w:pPr>
      <w:r>
        <w:rPr>
          <w:rFonts w:ascii="Arial" w:cs="Arial" w:eastAsia="Arial" w:hAnsi="Arial"/>
          <w:sz w:val="20"/>
          <w:szCs w:val="20"/>
          <w:color w:val="auto"/>
        </w:rPr>
        <w:t>Any PSUs which do not become Earned PSUs based on actual performance during the Performance Period shall be forfeited as of the last day of the Performance Period.</w:t>
      </w:r>
    </w:p>
    <w:p>
      <w:pPr>
        <w:spacing w:after="0" w:line="167" w:lineRule="exact"/>
        <w:rPr>
          <w:sz w:val="20"/>
          <w:szCs w:val="20"/>
          <w:color w:val="auto"/>
        </w:rPr>
      </w:pPr>
    </w:p>
    <w:p>
      <w:pPr>
        <w:jc w:val="both"/>
        <w:ind w:left="2120" w:hanging="3239"/>
        <w:spacing w:after="0" w:line="255" w:lineRule="auto"/>
        <w:tabs>
          <w:tab w:leader="none" w:pos="2100" w:val="left"/>
        </w:tabs>
        <w:rPr>
          <w:sz w:val="20"/>
          <w:szCs w:val="20"/>
          <w:color w:val="auto"/>
        </w:rPr>
      </w:pPr>
      <w:r>
        <w:rPr>
          <w:rFonts w:ascii="Arial" w:cs="Arial" w:eastAsia="Arial" w:hAnsi="Arial"/>
          <w:sz w:val="20"/>
          <w:szCs w:val="20"/>
          <w:b w:val="1"/>
          <w:bCs w:val="1"/>
          <w:color w:val="auto"/>
        </w:rPr>
        <w:t>Calculation of Multiplier PSUs:</w:t>
      </w:r>
      <w:r>
        <w:rPr>
          <w:sz w:val="20"/>
          <w:szCs w:val="20"/>
          <w:color w:val="auto"/>
        </w:rPr>
        <w:tab/>
      </w:r>
      <w:r>
        <w:rPr>
          <w:rFonts w:ascii="Arial" w:cs="Arial" w:eastAsia="Arial" w:hAnsi="Arial"/>
          <w:sz w:val="20"/>
          <w:szCs w:val="20"/>
          <w:color w:val="auto"/>
        </w:rPr>
        <w:t>All determinations with respect to whether and to the extent to which an Absolute TSR Multiplier has been achieved shall be made by the Committee in its sole discretion, and the applicable Absolute TSR Multiplier shall not be achieved and no Multiplier PSUs shall be earned unless certified in writing by the Committee on the Determination Date.</w:t>
      </w:r>
    </w:p>
    <w:p>
      <w:pPr>
        <w:spacing w:after="0" w:line="184" w:lineRule="exact"/>
        <w:rPr>
          <w:sz w:val="20"/>
          <w:szCs w:val="20"/>
          <w:color w:val="auto"/>
        </w:rPr>
      </w:pPr>
    </w:p>
    <w:p>
      <w:pPr>
        <w:jc w:val="both"/>
        <w:ind w:left="700" w:hanging="3239"/>
        <w:spacing w:after="0" w:line="262" w:lineRule="auto"/>
        <w:tabs>
          <w:tab w:leader="none" w:pos="680" w:val="left"/>
        </w:tabs>
        <w:rPr>
          <w:sz w:val="20"/>
          <w:szCs w:val="20"/>
          <w:color w:val="auto"/>
        </w:rPr>
      </w:pPr>
      <w:r>
        <w:rPr>
          <w:rFonts w:ascii="Arial" w:cs="Arial" w:eastAsia="Arial" w:hAnsi="Arial"/>
          <w:sz w:val="20"/>
          <w:szCs w:val="20"/>
          <w:b w:val="1"/>
          <w:bCs w:val="1"/>
          <w:color w:val="auto"/>
        </w:rPr>
        <w:t>Vesting of PSUs:</w:t>
      </w:r>
      <w:r>
        <w:rPr>
          <w:sz w:val="20"/>
          <w:szCs w:val="20"/>
          <w:color w:val="auto"/>
        </w:rPr>
        <w:tab/>
      </w:r>
      <w:r>
        <w:rPr>
          <w:rFonts w:ascii="Arial" w:cs="Arial" w:eastAsia="Arial" w:hAnsi="Arial"/>
          <w:sz w:val="20"/>
          <w:szCs w:val="20"/>
          <w:color w:val="auto"/>
        </w:rPr>
        <w:t>Any PSUs that become Earned PSUs shall become vested on the later of (i) the Determination Date for the applicable Performance Period and (ii) the third anniversary of the Date of Grant, provided the Participant has not undergone a Termination at the time of such vesting date.</w:t>
      </w:r>
    </w:p>
    <w:p>
      <w:pPr>
        <w:sectPr>
          <w:pgSz w:w="11900" w:h="16838" w:orient="portrait"/>
          <w:cols w:equalWidth="0" w:num="1">
            <w:col w:w="10120"/>
          </w:cols>
          <w:pgMar w:left="1440" w:top="1440" w:right="339" w:bottom="1440" w:gutter="0" w:footer="0" w:header="0"/>
        </w:sectPr>
      </w:pPr>
    </w:p>
    <w:bookmarkStart w:id="37" w:name="page38"/>
    <w:bookmarkEnd w:id="37"/>
    <w:p>
      <w:pPr>
        <w:jc w:val="both"/>
        <w:ind w:left="2120"/>
        <w:spacing w:after="0" w:line="286" w:lineRule="auto"/>
        <w:rPr>
          <w:sz w:val="20"/>
          <w:szCs w:val="20"/>
          <w:color w:val="auto"/>
        </w:rPr>
      </w:pPr>
      <w:r>
        <w:rPr>
          <w:rFonts w:ascii="Arial" w:cs="Arial" w:eastAsia="Arial" w:hAnsi="Arial"/>
          <w:sz w:val="20"/>
          <w:szCs w:val="20"/>
          <w:color w:val="auto"/>
        </w:rPr>
        <w:t>Any Multiplier PSUs that are earned shall vest 50% on the fourth anniversary of the Date of Grant and 50% of the fifth anniversary of the Date of Grant.</w:t>
      </w:r>
    </w:p>
    <w:p>
      <w:pPr>
        <w:spacing w:after="0" w:line="140" w:lineRule="exact"/>
        <w:rPr>
          <w:sz w:val="20"/>
          <w:szCs w:val="20"/>
          <w:color w:val="auto"/>
        </w:rPr>
      </w:pPr>
    </w:p>
    <w:p>
      <w:pPr>
        <w:jc w:val="both"/>
        <w:ind w:left="2120"/>
        <w:spacing w:after="0" w:line="259" w:lineRule="auto"/>
        <w:rPr>
          <w:sz w:val="20"/>
          <w:szCs w:val="20"/>
          <w:color w:val="auto"/>
        </w:rPr>
      </w:pPr>
      <w:r>
        <w:rPr>
          <w:rFonts w:ascii="Arial" w:cs="Arial" w:eastAsia="Arial" w:hAnsi="Arial"/>
          <w:sz w:val="20"/>
          <w:szCs w:val="20"/>
          <w:color w:val="auto"/>
        </w:rPr>
        <w:t>In the event that the Participant undergoes a Termination for any reason, all unvested PSUs shall be forfeited by the Participant for no consideration as of the date of such Termination, provided the Participant has not undergone a Termination at the time of such vesting dates.</w:t>
      </w:r>
    </w:p>
    <w:p>
      <w:pPr>
        <w:spacing w:after="0" w:line="18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Notwithstanding the foregoing:</w:t>
      </w:r>
    </w:p>
    <w:p>
      <w:pPr>
        <w:spacing w:after="0" w:line="216" w:lineRule="exact"/>
        <w:rPr>
          <w:sz w:val="20"/>
          <w:szCs w:val="20"/>
          <w:color w:val="auto"/>
        </w:rPr>
      </w:pPr>
    </w:p>
    <w:p>
      <w:pPr>
        <w:jc w:val="both"/>
        <w:ind w:left="2120" w:hanging="94"/>
        <w:spacing w:after="0" w:line="259" w:lineRule="auto"/>
        <w:rPr>
          <w:sz w:val="20"/>
          <w:szCs w:val="20"/>
          <w:color w:val="auto"/>
        </w:rPr>
      </w:pPr>
      <w:r>
        <w:rPr>
          <w:rFonts w:ascii="Arial" w:cs="Arial" w:eastAsia="Arial" w:hAnsi="Arial"/>
          <w:sz w:val="20"/>
          <w:szCs w:val="20"/>
          <w:color w:val="auto"/>
        </w:rPr>
        <w:t>In the event that, during the Performance Period, the Participant undergoes a Termination as a result of such Participant’s death or Disability, the PSUs shall become vested assuming achievement of a 100% payout (“</w:t>
      </w:r>
      <w:r>
        <w:rPr>
          <w:rFonts w:ascii="Arial" w:cs="Arial" w:eastAsia="Arial" w:hAnsi="Arial"/>
          <w:sz w:val="20"/>
          <w:szCs w:val="20"/>
          <w:u w:val="single" w:color="auto"/>
          <w:color w:val="auto"/>
        </w:rPr>
        <w:t>Target Performance</w:t>
      </w:r>
      <w:r>
        <w:rPr>
          <w:rFonts w:ascii="Arial" w:cs="Arial" w:eastAsia="Arial" w:hAnsi="Arial"/>
          <w:sz w:val="20"/>
          <w:szCs w:val="20"/>
          <w:color w:val="auto"/>
        </w:rPr>
        <w:t>”) and settled in accordance with the Agreement within sixty (60) days following such Termination.</w:t>
      </w:r>
    </w:p>
    <w:p>
      <w:pPr>
        <w:spacing w:after="0" w:line="182" w:lineRule="exact"/>
        <w:rPr>
          <w:sz w:val="20"/>
          <w:szCs w:val="20"/>
          <w:color w:val="auto"/>
        </w:rPr>
      </w:pPr>
    </w:p>
    <w:p>
      <w:pPr>
        <w:jc w:val="both"/>
        <w:ind w:left="2120" w:hanging="94"/>
        <w:spacing w:after="0" w:line="254" w:lineRule="auto"/>
        <w:rPr>
          <w:sz w:val="20"/>
          <w:szCs w:val="20"/>
          <w:color w:val="auto"/>
        </w:rPr>
      </w:pPr>
      <w:r>
        <w:rPr>
          <w:rFonts w:ascii="Arial" w:cs="Arial" w:eastAsia="Arial" w:hAnsi="Arial"/>
          <w:sz w:val="20"/>
          <w:szCs w:val="20"/>
          <w:color w:val="auto"/>
        </w:rPr>
        <w:t>In the event that, after the Absolute TSR Performance Period and before the fifth anniversary of the Date of Grant, the Participant undergoes a Termination as a result of such Participant’s death or Disability, termination by the Company without Cause, or resignation by the Participant for Good Reason, any earned Multiplier PSUs shall become fully vested.</w:t>
      </w:r>
    </w:p>
    <w:p>
      <w:pPr>
        <w:spacing w:after="0" w:line="187" w:lineRule="exact"/>
        <w:rPr>
          <w:sz w:val="20"/>
          <w:szCs w:val="20"/>
          <w:color w:val="auto"/>
        </w:rPr>
      </w:pPr>
    </w:p>
    <w:p>
      <w:pPr>
        <w:jc w:val="both"/>
        <w:ind w:left="2120" w:hanging="94"/>
        <w:spacing w:after="0" w:line="255" w:lineRule="auto"/>
        <w:rPr>
          <w:sz w:val="20"/>
          <w:szCs w:val="20"/>
          <w:color w:val="auto"/>
        </w:rPr>
      </w:pPr>
      <w:r>
        <w:rPr>
          <w:rFonts w:ascii="Arial" w:cs="Arial" w:eastAsia="Arial" w:hAnsi="Arial"/>
          <w:sz w:val="20"/>
          <w:szCs w:val="20"/>
          <w:color w:val="auto"/>
        </w:rPr>
        <w:t>In the event of a Change in Control, PSUs shall be converted into time-based vesting shares of Restricted Stock (the “</w:t>
      </w:r>
      <w:r>
        <w:rPr>
          <w:rFonts w:ascii="Arial" w:cs="Arial" w:eastAsia="Arial" w:hAnsi="Arial"/>
          <w:sz w:val="20"/>
          <w:szCs w:val="20"/>
          <w:u w:val="single" w:color="auto"/>
          <w:color w:val="auto"/>
        </w:rPr>
        <w:t>Converted PSUs</w:t>
      </w:r>
      <w:r>
        <w:rPr>
          <w:rFonts w:ascii="Arial" w:cs="Arial" w:eastAsia="Arial" w:hAnsi="Arial"/>
          <w:sz w:val="20"/>
          <w:szCs w:val="20"/>
          <w:color w:val="auto"/>
        </w:rPr>
        <w:t>”) determined based on the greater of</w:t>
      </w:r>
    </w:p>
    <w:p>
      <w:pPr>
        <w:spacing w:after="0" w:line="2" w:lineRule="exact"/>
        <w:rPr>
          <w:sz w:val="20"/>
          <w:szCs w:val="20"/>
          <w:color w:val="auto"/>
        </w:rPr>
      </w:pPr>
    </w:p>
    <w:p>
      <w:pPr>
        <w:jc w:val="both"/>
        <w:ind w:left="2120" w:firstLine="8"/>
        <w:spacing w:after="0" w:line="248" w:lineRule="auto"/>
        <w:tabs>
          <w:tab w:leader="none" w:pos="2423" w:val="left"/>
        </w:tabs>
        <w:numPr>
          <w:ilvl w:val="0"/>
          <w:numId w:val="17"/>
        </w:numPr>
        <w:rPr>
          <w:rFonts w:ascii="Arial" w:cs="Arial" w:eastAsia="Arial" w:hAnsi="Arial"/>
          <w:sz w:val="20"/>
          <w:szCs w:val="20"/>
          <w:color w:val="auto"/>
        </w:rPr>
      </w:pPr>
      <w:r>
        <w:rPr>
          <w:rFonts w:ascii="Arial" w:cs="Arial" w:eastAsia="Arial" w:hAnsi="Arial"/>
          <w:sz w:val="20"/>
          <w:szCs w:val="20"/>
          <w:color w:val="auto"/>
        </w:rPr>
        <w:t>Target Performance and (y) actual performance on the date of the Change in Control and calculating the Absolute TSR Multiplier as if the date of the Change in Control was the end of the Absolute TSR Performance Period. If (i) a successor entity does not assume, convert, or replace the Converted PSUs in connection with the Change in Control or (ii) on or within the twenty-four (24) months following the Change in Control the Participant undergoes a Termination by the Service Recipient without Cause or by such Participant for Good Reason, in each case, such Participant shall fully vest in such Converted PSUs.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to appear on following page</w:t>
      </w:r>
      <w:r>
        <w:rPr>
          <w:rFonts w:ascii="Arial" w:cs="Arial" w:eastAsia="Arial" w:hAnsi="Arial"/>
          <w:sz w:val="20"/>
          <w:szCs w:val="20"/>
          <w:color w:val="auto"/>
        </w:rPr>
        <w:t>]</w:t>
      </w:r>
    </w:p>
    <w:p>
      <w:pPr>
        <w:sectPr>
          <w:pgSz w:w="11900" w:h="16838" w:orient="portrait"/>
          <w:cols w:equalWidth="0" w:num="1">
            <w:col w:w="10120"/>
          </w:cols>
          <w:pgMar w:left="1440" w:top="1414" w:right="339" w:bottom="1440" w:gutter="0" w:footer="0" w:header="0"/>
        </w:sectPr>
      </w:pPr>
    </w:p>
    <w:bookmarkStart w:id="38" w:name="page39"/>
    <w:bookmarkEnd w:id="38"/>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1205230</wp:posOffset>
            </wp:positionV>
            <wp:extent cx="16459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line="222" w:lineRule="auto"/>
        <w:tabs>
          <w:tab w:leader="none" w:pos="381" w:val="left"/>
        </w:tabs>
        <w:numPr>
          <w:ilvl w:val="0"/>
          <w:numId w:val="18"/>
        </w:numPr>
        <w:rPr>
          <w:rFonts w:ascii="Arial" w:cs="Arial" w:eastAsia="Arial" w:hAnsi="Arial"/>
          <w:sz w:val="26"/>
          <w:szCs w:val="26"/>
          <w:color w:val="auto"/>
          <w:vertAlign w:val="superscript"/>
        </w:rPr>
      </w:pPr>
      <w:r>
        <w:rPr>
          <w:rFonts w:ascii="Arial" w:cs="Arial" w:eastAsia="Arial" w:hAnsi="Arial"/>
          <w:sz w:val="20"/>
          <w:szCs w:val="20"/>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Performance Stock Unit Award</w:t>
      </w:r>
      <w:r>
        <w:rPr>
          <w:rFonts w:ascii="Arial" w:cs="Arial" w:eastAsia="Arial" w:hAnsi="Arial"/>
          <w:sz w:val="16"/>
          <w:szCs w:val="16"/>
          <w:color w:val="auto"/>
        </w:rPr>
        <w:t>]</w:t>
      </w:r>
    </w:p>
    <w:p>
      <w:pPr>
        <w:sectPr>
          <w:pgSz w:w="11900" w:h="16838" w:orient="portrait"/>
          <w:cols w:equalWidth="0" w:num="1">
            <w:col w:w="11240"/>
          </w:cols>
          <w:pgMar w:left="320" w:top="144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GOALS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(ADJUSTED OPERATING INCOME)</w:t>
      </w:r>
    </w:p>
    <w:p>
      <w:pPr>
        <w:spacing w:after="0" w:line="36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Participant may earn a percentage of the AOI PSUs based on the average of the Company’s performance percentage scores against Performance Conditions relating to Adjusted Operating Income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purposes of the AOI PSUs, “</w:t>
      </w:r>
      <w:r>
        <w:rPr>
          <w:rFonts w:ascii="Arial" w:cs="Arial" w:eastAsia="Arial" w:hAnsi="Arial"/>
          <w:sz w:val="20"/>
          <w:szCs w:val="20"/>
          <w:u w:val="single" w:color="auto"/>
          <w:color w:val="auto"/>
        </w:rPr>
        <w:t>Adjusted Operating Income</w:t>
      </w:r>
      <w:r>
        <w:rPr>
          <w:rFonts w:ascii="Arial" w:cs="Arial" w:eastAsia="Arial" w:hAnsi="Arial"/>
          <w:sz w:val="20"/>
          <w:szCs w:val="20"/>
          <w:color w:val="auto"/>
        </w:rPr>
        <w:t>” means net income (loss), plus interest expense (income), net, and income tax provision (benefit), further adjusted to exclude (i) stock-based compensation expense, (gain) loss on extinguishment of debt, asset impairment, litigation settlement, secondary offering expenses, management realignment expenses, long-term incentive plan expenses, Enterprise Resource Planning and Customer Relationship Management implementation expenses and certain other expenses, and (ii) margin on unearned revenue.</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Performance Conditions for the first fiscal year in the Performance Period shall be based on achievement of specified annual Adjusted Operating Income goals, as provided in the following table: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 2026</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80" w:type="dxa"/>
            <w:vAlign w:val="bottom"/>
            <w:tcBorders>
              <w:top w:val="single" w:sz="8" w:color="auto"/>
              <w:left w:val="single" w:sz="8" w:color="auto"/>
              <w:right w:val="single" w:sz="8" w:color="auto"/>
            </w:tcBorders>
            <w:shd w:val="clear" w:color="auto" w:fill="F2F2F2"/>
          </w:tcPr>
          <w:p>
            <w:pPr>
              <w:spacing w:after="0"/>
              <w:rPr>
                <w:sz w:val="22"/>
                <w:szCs w:val="22"/>
                <w:color w:val="auto"/>
              </w:rPr>
            </w:pPr>
          </w:p>
        </w:tc>
        <w:tc>
          <w:tcPr>
            <w:tcW w:w="32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9"/>
                <w:szCs w:val="19"/>
                <w:b w:val="1"/>
                <w:bCs w:val="1"/>
                <w:color w:val="auto"/>
                <w:w w:val="99"/>
              </w:rPr>
              <w:t>2026 Adjusted Operating Income</w:t>
            </w:r>
          </w:p>
        </w:tc>
        <w:tc>
          <w:tcPr>
            <w:tcW w:w="3160" w:type="dxa"/>
            <w:vAlign w:val="bottom"/>
            <w:tcBorders>
              <w:top w:val="single" w:sz="8" w:color="auto"/>
              <w:right w:val="single" w:sz="8" w:color="auto"/>
            </w:tcBorders>
            <w:gridSpan w:val="3"/>
            <w:shd w:val="clear" w:color="auto" w:fill="F2F2F2"/>
          </w:tcPr>
          <w:p>
            <w:pPr>
              <w:jc w:val="center"/>
              <w:ind w:right="20"/>
              <w:spacing w:after="0"/>
              <w:rPr>
                <w:sz w:val="20"/>
                <w:szCs w:val="20"/>
                <w:color w:val="auto"/>
              </w:rPr>
            </w:pPr>
            <w:r>
              <w:rPr>
                <w:rFonts w:ascii="Arial" w:cs="Arial" w:eastAsia="Arial" w:hAnsi="Arial"/>
                <w:sz w:val="19"/>
                <w:szCs w:val="19"/>
                <w:b w:val="1"/>
                <w:bCs w:val="1"/>
                <w:color w:val="auto"/>
                <w:w w:val="99"/>
              </w:rPr>
              <w:t>Performance Percentage</w:t>
            </w:r>
          </w:p>
        </w:tc>
        <w:tc>
          <w:tcPr>
            <w:tcW w:w="0" w:type="dxa"/>
            <w:vAlign w:val="bottom"/>
          </w:tcPr>
          <w:p>
            <w:pPr>
              <w:spacing w:after="0"/>
              <w:rPr>
                <w:sz w:val="1"/>
                <w:szCs w:val="1"/>
                <w:color w:val="auto"/>
              </w:rPr>
            </w:pPr>
          </w:p>
        </w:tc>
      </w:tr>
      <w:tr>
        <w:trPr>
          <w:trHeight w:val="218"/>
        </w:trPr>
        <w:tc>
          <w:tcPr>
            <w:tcW w:w="3380" w:type="dxa"/>
            <w:vAlign w:val="bottom"/>
            <w:tcBorders>
              <w:left w:val="single" w:sz="8" w:color="auto"/>
              <w:right w:val="single" w:sz="8" w:color="auto"/>
            </w:tcBorders>
            <w:shd w:val="clear" w:color="auto" w:fill="F2F2F2"/>
          </w:tcPr>
          <w:p>
            <w:pPr>
              <w:spacing w:after="0"/>
              <w:rPr>
                <w:sz w:val="18"/>
                <w:szCs w:val="18"/>
                <w:color w:val="auto"/>
              </w:rPr>
            </w:pPr>
          </w:p>
        </w:tc>
        <w:tc>
          <w:tcPr>
            <w:tcW w:w="3220" w:type="dxa"/>
            <w:vAlign w:val="bottom"/>
            <w:tcBorders>
              <w:right w:val="single" w:sz="8" w:color="auto"/>
            </w:tcBorders>
            <w:vMerge w:val="continue"/>
            <w:shd w:val="clear" w:color="auto" w:fill="F2F2F2"/>
          </w:tcPr>
          <w:p>
            <w:pPr>
              <w:spacing w:after="0"/>
              <w:rPr>
                <w:sz w:val="18"/>
                <w:szCs w:val="18"/>
                <w:color w:val="auto"/>
              </w:rPr>
            </w:pPr>
          </w:p>
        </w:tc>
        <w:tc>
          <w:tcPr>
            <w:tcW w:w="1260" w:type="dxa"/>
            <w:vAlign w:val="bottom"/>
            <w:shd w:val="clear" w:color="auto" w:fill="F2F2F2"/>
          </w:tcPr>
          <w:p>
            <w:pPr>
              <w:spacing w:after="0"/>
              <w:rPr>
                <w:sz w:val="18"/>
                <w:szCs w:val="18"/>
                <w:color w:val="auto"/>
              </w:rPr>
            </w:pPr>
          </w:p>
        </w:tc>
        <w:tc>
          <w:tcPr>
            <w:tcW w:w="1900" w:type="dxa"/>
            <w:vAlign w:val="bottom"/>
            <w:tcBorders>
              <w:right w:val="single" w:sz="8" w:color="auto"/>
            </w:tcBorders>
            <w:gridSpan w:val="2"/>
            <w:shd w:val="clear" w:color="auto" w:fill="F2F2F2"/>
          </w:tcPr>
          <w:p>
            <w:pPr>
              <w:jc w:val="center"/>
              <w:ind w:right="1280"/>
              <w:spacing w:after="0"/>
              <w:rPr>
                <w:sz w:val="20"/>
                <w:szCs w:val="20"/>
                <w:color w:val="auto"/>
              </w:rPr>
            </w:pPr>
            <w:r>
              <w:rPr>
                <w:rFonts w:ascii="Arial" w:cs="Arial" w:eastAsia="Arial" w:hAnsi="Arial"/>
                <w:sz w:val="19"/>
                <w:szCs w:val="19"/>
                <w:b w:val="1"/>
                <w:bCs w:val="1"/>
                <w:color w:val="auto"/>
              </w:rPr>
              <w:t>Score</w:t>
            </w:r>
          </w:p>
        </w:tc>
        <w:tc>
          <w:tcPr>
            <w:tcW w:w="0" w:type="dxa"/>
            <w:vAlign w:val="bottom"/>
          </w:tcPr>
          <w:p>
            <w:pPr>
              <w:spacing w:after="0"/>
              <w:rPr>
                <w:sz w:val="1"/>
                <w:szCs w:val="1"/>
                <w:color w:val="auto"/>
              </w:rPr>
            </w:pPr>
          </w:p>
        </w:tc>
      </w:tr>
      <w:tr>
        <w:trPr>
          <w:trHeight w:val="268"/>
        </w:trPr>
        <w:tc>
          <w:tcPr>
            <w:tcW w:w="3380" w:type="dxa"/>
            <w:vAlign w:val="bottom"/>
            <w:tcBorders>
              <w:left w:val="single" w:sz="8" w:color="auto"/>
              <w:bottom w:val="single" w:sz="8" w:color="auto"/>
              <w:right w:val="single" w:sz="8" w:color="auto"/>
            </w:tcBorders>
            <w:shd w:val="clear" w:color="auto" w:fill="F2F2F2"/>
          </w:tcPr>
          <w:p>
            <w:pPr>
              <w:jc w:val="center"/>
              <w:spacing w:after="0" w:line="194" w:lineRule="exact"/>
              <w:rPr>
                <w:sz w:val="20"/>
                <w:szCs w:val="20"/>
                <w:color w:val="auto"/>
              </w:rPr>
            </w:pPr>
            <w:r>
              <w:rPr>
                <w:rFonts w:ascii="Arial" w:cs="Arial" w:eastAsia="Arial" w:hAnsi="Arial"/>
                <w:sz w:val="19"/>
                <w:szCs w:val="19"/>
                <w:b w:val="1"/>
                <w:bCs w:val="1"/>
                <w:color w:val="auto"/>
                <w:w w:val="99"/>
              </w:rPr>
              <w:t>Degree of Performance Attainment</w:t>
            </w:r>
          </w:p>
        </w:tc>
        <w:tc>
          <w:tcPr>
            <w:tcW w:w="3220" w:type="dxa"/>
            <w:vAlign w:val="bottom"/>
            <w:tcBorders>
              <w:bottom w:val="single" w:sz="8" w:color="auto"/>
              <w:right w:val="single" w:sz="8" w:color="auto"/>
            </w:tcBorders>
            <w:shd w:val="clear" w:color="auto" w:fill="F2F2F2"/>
          </w:tcPr>
          <w:p>
            <w:pPr>
              <w:jc w:val="center"/>
              <w:spacing w:after="0" w:line="194" w:lineRule="exact"/>
              <w:rPr>
                <w:sz w:val="20"/>
                <w:szCs w:val="20"/>
                <w:color w:val="auto"/>
              </w:rPr>
            </w:pPr>
            <w:r>
              <w:rPr>
                <w:rFonts w:ascii="Arial" w:cs="Arial" w:eastAsia="Arial" w:hAnsi="Arial"/>
                <w:sz w:val="19"/>
                <w:szCs w:val="19"/>
                <w:b w:val="1"/>
                <w:bCs w:val="1"/>
                <w:i w:val="1"/>
                <w:iCs w:val="1"/>
                <w:color w:val="auto"/>
                <w:w w:val="99"/>
              </w:rPr>
              <w:t>(in millions)</w:t>
            </w:r>
          </w:p>
        </w:tc>
        <w:tc>
          <w:tcPr>
            <w:tcW w:w="3160" w:type="dxa"/>
            <w:vAlign w:val="bottom"/>
            <w:tcBorders>
              <w:bottom w:val="single" w:sz="8" w:color="auto"/>
              <w:right w:val="single" w:sz="8" w:color="auto"/>
            </w:tcBorders>
            <w:gridSpan w:val="3"/>
            <w:shd w:val="clear" w:color="auto" w:fill="F2F2F2"/>
          </w:tcPr>
          <w:p>
            <w:pPr>
              <w:jc w:val="center"/>
              <w:ind w:right="20"/>
              <w:spacing w:after="0" w:line="194" w:lineRule="exact"/>
              <w:rPr>
                <w:sz w:val="20"/>
                <w:szCs w:val="20"/>
                <w:color w:val="auto"/>
              </w:rPr>
            </w:pPr>
            <w:r>
              <w:rPr>
                <w:rFonts w:ascii="Arial" w:cs="Arial" w:eastAsia="Arial" w:hAnsi="Arial"/>
                <w:sz w:val="19"/>
                <w:szCs w:val="19"/>
                <w:b w:val="1"/>
                <w:bCs w:val="1"/>
                <w:color w:val="auto"/>
                <w:w w:val="98"/>
              </w:rPr>
              <w:t>(“Payout”)</w:t>
            </w: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200%</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100%</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w w:val="99"/>
              </w:rPr>
              <w:t>50%</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w w:val="94"/>
              </w:rPr>
              <w:t>0%</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Performance Conditions for the second and third fiscal years in the Performance Period shall be based on achievement of goals related to growth in annual Adjusted Operating Income, as provided in the following table: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Years 2027 and 2028</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380" w:type="dxa"/>
            <w:vAlign w:val="bottom"/>
            <w:tcBorders>
              <w:top w:val="single" w:sz="8" w:color="auto"/>
              <w:left w:val="single" w:sz="8" w:color="auto"/>
              <w:right w:val="single" w:sz="8" w:color="auto"/>
            </w:tcBorders>
            <w:shd w:val="clear" w:color="auto" w:fill="F2F2F2"/>
          </w:tcPr>
          <w:p>
            <w:pPr>
              <w:spacing w:after="0"/>
              <w:rPr>
                <w:sz w:val="21"/>
                <w:szCs w:val="21"/>
                <w:color w:val="auto"/>
              </w:rPr>
            </w:pPr>
          </w:p>
        </w:tc>
        <w:tc>
          <w:tcPr>
            <w:tcW w:w="3220" w:type="dxa"/>
            <w:vAlign w:val="bottom"/>
            <w:tcBorders>
              <w:top w:val="single" w:sz="8" w:color="auto"/>
              <w:right w:val="single" w:sz="8" w:color="auto"/>
            </w:tcBorders>
            <w:shd w:val="clear" w:color="auto" w:fill="F2F2F2"/>
          </w:tcPr>
          <w:p>
            <w:pPr>
              <w:spacing w:after="0"/>
              <w:rPr>
                <w:sz w:val="21"/>
                <w:szCs w:val="21"/>
                <w:color w:val="auto"/>
              </w:rPr>
            </w:pPr>
          </w:p>
        </w:tc>
        <w:tc>
          <w:tcPr>
            <w:tcW w:w="3160" w:type="dxa"/>
            <w:vAlign w:val="bottom"/>
            <w:tcBorders>
              <w:top w:val="single" w:sz="8" w:color="auto"/>
              <w:right w:val="single" w:sz="8" w:color="auto"/>
            </w:tcBorders>
            <w:gridSpan w:val="3"/>
            <w:shd w:val="clear" w:color="auto" w:fill="F2F2F2"/>
          </w:tcPr>
          <w:p>
            <w:pPr>
              <w:jc w:val="center"/>
              <w:spacing w:after="0"/>
              <w:rPr>
                <w:sz w:val="20"/>
                <w:szCs w:val="20"/>
                <w:color w:val="auto"/>
              </w:rPr>
            </w:pPr>
            <w:r>
              <w:rPr>
                <w:rFonts w:ascii="Arial" w:cs="Arial" w:eastAsia="Arial" w:hAnsi="Arial"/>
                <w:sz w:val="19"/>
                <w:szCs w:val="19"/>
                <w:b w:val="1"/>
                <w:bCs w:val="1"/>
                <w:color w:val="auto"/>
                <w:w w:val="99"/>
              </w:rPr>
              <w:t>Performance Percentage</w:t>
            </w:r>
          </w:p>
        </w:tc>
      </w:tr>
      <w:tr>
        <w:trPr>
          <w:trHeight w:val="243"/>
        </w:trPr>
        <w:tc>
          <w:tcPr>
            <w:tcW w:w="3380" w:type="dxa"/>
            <w:vAlign w:val="bottom"/>
            <w:tcBorders>
              <w:left w:val="single" w:sz="8" w:color="auto"/>
              <w:right w:val="single" w:sz="8" w:color="auto"/>
            </w:tcBorders>
            <w:shd w:val="clear" w:color="auto" w:fill="F2F2F2"/>
          </w:tcPr>
          <w:p>
            <w:pPr>
              <w:spacing w:after="0"/>
              <w:rPr>
                <w:sz w:val="21"/>
                <w:szCs w:val="21"/>
                <w:color w:val="auto"/>
              </w:rPr>
            </w:pPr>
          </w:p>
        </w:tc>
        <w:tc>
          <w:tcPr>
            <w:tcW w:w="322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9"/>
              </w:rPr>
              <w:t>Growth in Adjusted Operating</w:t>
            </w:r>
          </w:p>
        </w:tc>
        <w:tc>
          <w:tcPr>
            <w:tcW w:w="1260" w:type="dxa"/>
            <w:vAlign w:val="bottom"/>
            <w:shd w:val="clear" w:color="auto" w:fill="F2F2F2"/>
          </w:tcPr>
          <w:p>
            <w:pPr>
              <w:spacing w:after="0"/>
              <w:rPr>
                <w:sz w:val="21"/>
                <w:szCs w:val="21"/>
                <w:color w:val="auto"/>
              </w:rPr>
            </w:pPr>
          </w:p>
        </w:tc>
        <w:tc>
          <w:tcPr>
            <w:tcW w:w="1900" w:type="dxa"/>
            <w:vAlign w:val="bottom"/>
            <w:tcBorders>
              <w:right w:val="single" w:sz="8" w:color="auto"/>
            </w:tcBorders>
            <w:gridSpan w:val="2"/>
            <w:shd w:val="clear" w:color="auto" w:fill="F2F2F2"/>
          </w:tcPr>
          <w:p>
            <w:pPr>
              <w:jc w:val="center"/>
              <w:ind w:right="1186"/>
              <w:spacing w:after="0"/>
              <w:rPr>
                <w:sz w:val="20"/>
                <w:szCs w:val="20"/>
                <w:color w:val="auto"/>
              </w:rPr>
            </w:pPr>
            <w:r>
              <w:rPr>
                <w:rFonts w:ascii="Arial" w:cs="Arial" w:eastAsia="Arial" w:hAnsi="Arial"/>
                <w:sz w:val="19"/>
                <w:szCs w:val="19"/>
                <w:b w:val="1"/>
                <w:bCs w:val="1"/>
                <w:color w:val="auto"/>
              </w:rPr>
              <w:t>Score</w:t>
            </w:r>
          </w:p>
        </w:tc>
      </w:tr>
      <w:tr>
        <w:trPr>
          <w:trHeight w:val="248"/>
        </w:trPr>
        <w:tc>
          <w:tcPr>
            <w:tcW w:w="3380" w:type="dxa"/>
            <w:vAlign w:val="bottom"/>
            <w:tcBorders>
              <w:left w:val="single" w:sz="8" w:color="auto"/>
              <w:bottom w:val="single" w:sz="8" w:color="F2F2F2"/>
              <w:right w:val="single" w:sz="8" w:color="auto"/>
            </w:tcBorders>
            <w:shd w:val="clear" w:color="auto" w:fill="F2F2F2"/>
          </w:tcPr>
          <w:p>
            <w:pPr>
              <w:jc w:val="center"/>
              <w:spacing w:after="0" w:line="169" w:lineRule="exact"/>
              <w:rPr>
                <w:sz w:val="20"/>
                <w:szCs w:val="20"/>
                <w:color w:val="auto"/>
              </w:rPr>
            </w:pPr>
            <w:r>
              <w:rPr>
                <w:rFonts w:ascii="Arial" w:cs="Arial" w:eastAsia="Arial" w:hAnsi="Arial"/>
                <w:sz w:val="19"/>
                <w:szCs w:val="19"/>
                <w:b w:val="1"/>
                <w:bCs w:val="1"/>
                <w:color w:val="auto"/>
                <w:w w:val="99"/>
              </w:rPr>
              <w:t>Degree of Performance Attainment</w:t>
            </w:r>
          </w:p>
        </w:tc>
        <w:tc>
          <w:tcPr>
            <w:tcW w:w="3220" w:type="dxa"/>
            <w:vAlign w:val="bottom"/>
            <w:tcBorders>
              <w:bottom w:val="single" w:sz="8" w:color="F2F2F2"/>
              <w:right w:val="single" w:sz="8" w:color="auto"/>
            </w:tcBorders>
            <w:shd w:val="clear" w:color="auto" w:fill="F2F2F2"/>
          </w:tcPr>
          <w:p>
            <w:pPr>
              <w:jc w:val="center"/>
              <w:spacing w:after="0" w:line="169" w:lineRule="exact"/>
              <w:rPr>
                <w:sz w:val="20"/>
                <w:szCs w:val="20"/>
                <w:color w:val="auto"/>
              </w:rPr>
            </w:pPr>
            <w:r>
              <w:rPr>
                <w:rFonts w:ascii="Arial" w:cs="Arial" w:eastAsia="Arial" w:hAnsi="Arial"/>
                <w:sz w:val="19"/>
                <w:szCs w:val="19"/>
                <w:b w:val="1"/>
                <w:bCs w:val="1"/>
                <w:color w:val="auto"/>
                <w:w w:val="99"/>
              </w:rPr>
              <w:t>Income</w:t>
            </w:r>
          </w:p>
        </w:tc>
        <w:tc>
          <w:tcPr>
            <w:tcW w:w="1260" w:type="dxa"/>
            <w:vAlign w:val="bottom"/>
            <w:tcBorders>
              <w:bottom w:val="single" w:sz="8" w:color="F2F2F2"/>
            </w:tcBorders>
            <w:shd w:val="clear" w:color="auto" w:fill="F2F2F2"/>
          </w:tcPr>
          <w:p>
            <w:pPr>
              <w:ind w:left="1100"/>
              <w:spacing w:after="0" w:line="169" w:lineRule="exact"/>
              <w:rPr>
                <w:sz w:val="20"/>
                <w:szCs w:val="20"/>
                <w:color w:val="auto"/>
              </w:rPr>
            </w:pPr>
            <w:r>
              <w:rPr>
                <w:rFonts w:ascii="Arial" w:cs="Arial" w:eastAsia="Arial" w:hAnsi="Arial"/>
                <w:sz w:val="19"/>
                <w:szCs w:val="19"/>
                <w:b w:val="1"/>
                <w:bCs w:val="1"/>
                <w:color w:val="auto"/>
                <w:w w:val="88"/>
              </w:rPr>
              <w:t>(“</w:t>
            </w:r>
          </w:p>
        </w:tc>
        <w:tc>
          <w:tcPr>
            <w:tcW w:w="620" w:type="dxa"/>
            <w:vAlign w:val="bottom"/>
            <w:tcBorders>
              <w:bottom w:val="single" w:sz="8" w:color="auto"/>
            </w:tcBorders>
            <w:shd w:val="clear" w:color="auto" w:fill="F2F2F2"/>
          </w:tcPr>
          <w:p>
            <w:pPr>
              <w:jc w:val="center"/>
              <w:spacing w:after="0" w:line="156" w:lineRule="exact"/>
              <w:rPr>
                <w:sz w:val="20"/>
                <w:szCs w:val="20"/>
                <w:color w:val="auto"/>
              </w:rPr>
            </w:pPr>
            <w:r>
              <w:rPr>
                <w:rFonts w:ascii="Arial" w:cs="Arial" w:eastAsia="Arial" w:hAnsi="Arial"/>
                <w:sz w:val="18"/>
                <w:szCs w:val="18"/>
                <w:b w:val="1"/>
                <w:bCs w:val="1"/>
                <w:color w:val="auto"/>
              </w:rPr>
              <w:t>Payout</w:t>
            </w:r>
          </w:p>
        </w:tc>
        <w:tc>
          <w:tcPr>
            <w:tcW w:w="1280" w:type="dxa"/>
            <w:vAlign w:val="bottom"/>
            <w:tcBorders>
              <w:bottom w:val="single" w:sz="8" w:color="F2F2F2"/>
              <w:right w:val="single" w:sz="8" w:color="auto"/>
            </w:tcBorders>
            <w:shd w:val="clear" w:color="auto" w:fill="F2F2F2"/>
          </w:tcPr>
          <w:p>
            <w:pPr>
              <w:spacing w:after="0" w:line="169" w:lineRule="exact"/>
              <w:rPr>
                <w:sz w:val="20"/>
                <w:szCs w:val="20"/>
                <w:color w:val="auto"/>
              </w:rPr>
            </w:pPr>
            <w:r>
              <w:rPr>
                <w:rFonts w:ascii="Arial" w:cs="Arial" w:eastAsia="Arial" w:hAnsi="Arial"/>
                <w:sz w:val="19"/>
                <w:szCs w:val="19"/>
                <w:b w:val="1"/>
                <w:bCs w:val="1"/>
                <w:color w:val="auto"/>
              </w:rPr>
              <w:t>”)</w:t>
            </w:r>
          </w:p>
        </w:tc>
      </w:tr>
      <w:tr>
        <w:trPr>
          <w:trHeight w:val="237"/>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Maximum</w:t>
            </w:r>
          </w:p>
        </w:tc>
        <w:tc>
          <w:tcPr>
            <w:tcW w:w="3220" w:type="dxa"/>
            <w:vAlign w:val="bottom"/>
            <w:tcBorders>
              <w:top w:val="single" w:sz="8" w:color="auto"/>
              <w:bottom w:val="single" w:sz="8" w:color="auto"/>
              <w:right w:val="single" w:sz="8" w:color="auto"/>
            </w:tcBorders>
          </w:tcPr>
          <w:p>
            <w:pPr>
              <w:spacing w:after="0"/>
              <w:rPr>
                <w:sz w:val="20"/>
                <w:szCs w:val="20"/>
                <w:color w:val="auto"/>
              </w:rPr>
            </w:pPr>
          </w:p>
        </w:tc>
        <w:tc>
          <w:tcPr>
            <w:tcW w:w="1880" w:type="dxa"/>
            <w:vAlign w:val="bottom"/>
            <w:tcBorders>
              <w:top w:val="single" w:sz="8" w:color="auto"/>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200%</w:t>
            </w:r>
          </w:p>
        </w:tc>
        <w:tc>
          <w:tcPr>
            <w:tcW w:w="1280" w:type="dxa"/>
            <w:vAlign w:val="bottom"/>
            <w:tcBorders>
              <w:top w:val="single" w:sz="8" w:color="auto"/>
              <w:bottom w:val="single" w:sz="8" w:color="auto"/>
              <w:right w:val="single" w:sz="8" w:color="auto"/>
            </w:tcBorders>
          </w:tcPr>
          <w:p>
            <w:pPr>
              <w:spacing w:after="0"/>
              <w:rPr>
                <w:sz w:val="20"/>
                <w:szCs w:val="20"/>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100%</w:t>
            </w:r>
          </w:p>
        </w:tc>
        <w:tc>
          <w:tcPr>
            <w:tcW w:w="128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40"/>
          </w:cols>
          <w:pgMar w:left="320" w:top="1412" w:right="339" w:bottom="1440" w:gutter="0" w:footer="0" w:header="0"/>
        </w:sectPr>
      </w:pPr>
    </w:p>
    <w:bookmarkStart w:id="40" w:name="page41"/>
    <w:bookmarkEnd w:id="4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Threshold</w:t>
            </w:r>
          </w:p>
        </w:tc>
        <w:tc>
          <w:tcPr>
            <w:tcW w:w="3220" w:type="dxa"/>
            <w:vAlign w:val="bottom"/>
            <w:tcBorders>
              <w:top w:val="single" w:sz="8" w:color="auto"/>
              <w:bottom w:val="single" w:sz="8" w:color="auto"/>
              <w:right w:val="single" w:sz="8" w:color="auto"/>
            </w:tcBorders>
          </w:tcPr>
          <w:p>
            <w:pPr>
              <w:spacing w:after="0"/>
              <w:rPr>
                <w:sz w:val="22"/>
                <w:szCs w:val="22"/>
                <w:color w:val="auto"/>
              </w:rPr>
            </w:pPr>
          </w:p>
        </w:tc>
        <w:tc>
          <w:tcPr>
            <w:tcW w:w="3160" w:type="dxa"/>
            <w:vAlign w:val="bottom"/>
            <w:tcBorders>
              <w:top w:val="single" w:sz="8" w:color="auto"/>
              <w:bottom w:val="single" w:sz="8" w:color="auto"/>
              <w:right w:val="single" w:sz="8" w:color="auto"/>
            </w:tcBorders>
          </w:tcPr>
          <w:p>
            <w:pPr>
              <w:jc w:val="right"/>
              <w:ind w:right="1306"/>
              <w:spacing w:after="0"/>
              <w:rPr>
                <w:sz w:val="20"/>
                <w:szCs w:val="20"/>
                <w:color w:val="auto"/>
              </w:rPr>
            </w:pPr>
            <w:r>
              <w:rPr>
                <w:rFonts w:ascii="Arial" w:cs="Arial" w:eastAsia="Arial" w:hAnsi="Arial"/>
                <w:sz w:val="19"/>
                <w:szCs w:val="19"/>
                <w:color w:val="auto"/>
              </w:rPr>
              <w:t>50%</w:t>
            </w: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jc w:val="right"/>
              <w:ind w:right="1366"/>
              <w:spacing w:after="0"/>
              <w:rPr>
                <w:sz w:val="20"/>
                <w:szCs w:val="20"/>
                <w:color w:val="auto"/>
              </w:rPr>
            </w:pPr>
            <w:r>
              <w:rPr>
                <w:rFonts w:ascii="Arial" w:cs="Arial" w:eastAsia="Arial" w:hAnsi="Arial"/>
                <w:sz w:val="19"/>
                <w:szCs w:val="19"/>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20"/>
          <w:szCs w:val="20"/>
          <w:color w:val="auto"/>
        </w:rPr>
        <w:t>As soon as practicable following the end of the first fiscal year, the Committee (or its designee) shall determine the Company’s performance percentage score for such fiscal year and shall determine the actual AOI (the “</w:t>
      </w:r>
      <w:r>
        <w:rPr>
          <w:rFonts w:ascii="Arial" w:cs="Arial" w:eastAsia="Arial" w:hAnsi="Arial"/>
          <w:sz w:val="20"/>
          <w:szCs w:val="20"/>
          <w:u w:val="single" w:color="auto"/>
          <w:color w:val="auto"/>
        </w:rPr>
        <w:t>Baseline AOI</w:t>
      </w:r>
      <w:r>
        <w:rPr>
          <w:rFonts w:ascii="Arial" w:cs="Arial" w:eastAsia="Arial" w:hAnsi="Arial"/>
          <w:sz w:val="20"/>
          <w:szCs w:val="20"/>
          <w:color w:val="auto"/>
        </w:rPr>
        <w:t>”) as of the end of the first fiscal year. At the end of the second fiscal year in the Performance Period, the Committee shall determine (i) the actual AOI as of the end of the second fiscal year in the Performance Period (the “</w:t>
      </w:r>
      <w:r>
        <w:rPr>
          <w:rFonts w:ascii="Arial" w:cs="Arial" w:eastAsia="Arial" w:hAnsi="Arial"/>
          <w:sz w:val="20"/>
          <w:szCs w:val="20"/>
          <w:u w:val="single" w:color="auto"/>
          <w:color w:val="auto"/>
        </w:rPr>
        <w:t>Actual AOI</w:t>
      </w:r>
      <w:r>
        <w:rPr>
          <w:rFonts w:ascii="Arial" w:cs="Arial" w:eastAsia="Arial" w:hAnsi="Arial"/>
          <w:sz w:val="20"/>
          <w:szCs w:val="20"/>
          <w:color w:val="auto"/>
        </w:rPr>
        <w:t>”) and (ii) the percentage growth between the Baseline AOI and the Actual AOI for the second fiscal year as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((Actual AOI for the second year – Baseline AOI) / (Baseline AOI))</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soon as practicable following the end of the second fiscal year, the Committee (or its designee) shall determine the Company’s performance percentage score for such fiscal year.</w:t>
      </w:r>
    </w:p>
    <w:p>
      <w:pPr>
        <w:spacing w:after="0" w:line="167" w:lineRule="exact"/>
        <w:rPr>
          <w:sz w:val="20"/>
          <w:szCs w:val="20"/>
          <w:color w:val="auto"/>
        </w:rPr>
      </w:pPr>
    </w:p>
    <w:p>
      <w:pPr>
        <w:jc w:val="both"/>
        <w:ind w:firstLine="253"/>
        <w:spacing w:after="0" w:line="259" w:lineRule="auto"/>
        <w:rPr>
          <w:sz w:val="20"/>
          <w:szCs w:val="20"/>
          <w:color w:val="auto"/>
        </w:rPr>
      </w:pPr>
      <w:r>
        <w:rPr>
          <w:rFonts w:ascii="Arial" w:cs="Arial" w:eastAsia="Arial" w:hAnsi="Arial"/>
          <w:sz w:val="20"/>
          <w:szCs w:val="20"/>
          <w:color w:val="auto"/>
        </w:rPr>
        <w:t>For the third fiscal year in the Performance Period, the Committee shall make the same determination with respect to Actual AOI and percentage growth as set forth above; provided, however, that the percentage growth shall be determined between the Actual AOI as of the end of the second fiscal year in the Performance Period and the Actual AOI as of the end of the third fiscal year in the Performance Period.</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Notwithstanding the foregoing, in the event that the Company’s overall percentage growth for the Performance Period is a negative number, then degree of performance attainment will be deemed to be less than threshold for the AOI portion of the PSU, regardless of the Company’s Actual AOI or percentage growth for any particular year.</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In the case of any individual merger, acquisition, or divestiture for which the net assets acquired or disposed, on an annualized basis, generate an annual run rate AOI in excess of 2% of the Baseline AOI in the fiscal year such transaction closes (each, an “</w:t>
      </w:r>
      <w:r>
        <w:rPr>
          <w:rFonts w:ascii="Arial" w:cs="Arial" w:eastAsia="Arial" w:hAnsi="Arial"/>
          <w:sz w:val="20"/>
          <w:szCs w:val="20"/>
          <w:u w:val="single" w:color="auto"/>
          <w:color w:val="auto"/>
        </w:rPr>
        <w:t>Excluded Transaction</w:t>
      </w:r>
      <w:r>
        <w:rPr>
          <w:rFonts w:ascii="Arial" w:cs="Arial" w:eastAsia="Arial" w:hAnsi="Arial"/>
          <w:sz w:val="20"/>
          <w:szCs w:val="20"/>
          <w:color w:val="auto"/>
        </w:rPr>
        <w:t>”), the AOI results attributable to such Excluded Transaction shall be excluded from the AOI results for the fiscal year in which such Excluded Transaction closes for purposes of calculating the annual AOI growth for such fiscal year. Notwithstanding the foregoing, for purposes of calculating the annual AOI growth for any fiscal year in the Performance Period after such Excluded Transaction closes, the AOI results attributable to such Excluded Transaction shall be included in the prior fiscal year AOI results, on an annualized basis.</w:t>
      </w:r>
    </w:p>
    <w:p>
      <w:pPr>
        <w:spacing w:after="0" w:line="2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Following the last day of the Performance Period, the Committee shall average the percentage performance scores achieved with respect to each fiscal year in the Performance Period to determine the actual Payout percentage for the AOI PSUs. The number of AOI PSUs that become “Earned PSUs” for the Performance Period shall be equal to (x) the number of</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86" w:lineRule="auto"/>
        <w:rPr>
          <w:sz w:val="20"/>
          <w:szCs w:val="20"/>
          <w:color w:val="auto"/>
        </w:rPr>
      </w:pPr>
      <w:r>
        <w:rPr>
          <w:rFonts w:ascii="Arial" w:cs="Arial" w:eastAsia="Arial" w:hAnsi="Arial"/>
          <w:sz w:val="20"/>
          <w:szCs w:val="20"/>
          <w:color w:val="auto"/>
        </w:rPr>
        <w:t>Target AOI PSUs multiplied by (y) the applicable Payout percentage earned (calculated as set forth above), rounded up to the nearest whole unit.</w:t>
      </w:r>
    </w:p>
    <w:p>
      <w:pPr>
        <w:sectPr>
          <w:pgSz w:w="11900" w:h="16838" w:orient="portrait"/>
          <w:cols w:equalWidth="0" w:num="1">
            <w:col w:w="11220"/>
          </w:cols>
          <w:pgMar w:left="320" w:top="1414" w:right="359" w:bottom="1440" w:gutter="0" w:footer="0" w:header="0"/>
        </w:sectPr>
      </w:pPr>
    </w:p>
    <w:bookmarkStart w:id="42" w:name="page43"/>
    <w:bookmarkEnd w:id="42"/>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PERFORMANCE GOALS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(ROIC)</w:t>
      </w:r>
    </w:p>
    <w:p>
      <w:pPr>
        <w:spacing w:after="0" w:line="36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Participant may earn a percentage of the ROIC PSUs based on the average of the Company’s performance percentage scores against Performance Conditions relating to ROIC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 purposes of the ROIC PSUs, “</w:t>
      </w:r>
      <w:r>
        <w:rPr>
          <w:rFonts w:ascii="Arial" w:cs="Arial" w:eastAsia="Arial" w:hAnsi="Arial"/>
          <w:sz w:val="20"/>
          <w:szCs w:val="20"/>
          <w:u w:val="single" w:color="auto"/>
          <w:color w:val="auto"/>
        </w:rPr>
        <w:t>ROIC</w:t>
      </w:r>
      <w:r>
        <w:rPr>
          <w:rFonts w:ascii="Arial" w:cs="Arial" w:eastAsia="Arial" w:hAnsi="Arial"/>
          <w:sz w:val="20"/>
          <w:szCs w:val="20"/>
          <w:color w:val="auto"/>
        </w:rPr>
        <w:t>” means annual Adjusted Operating Income, as defined in Exhibit A, plus annual rent expenses, including capital lease depreciation, less taxes, divided by (trailing 13 month average net property, plant and equipment, excluding capital lease assets, plus trailing 13 month average net working capital plus annual rent expense including capital lease depreciation and interest).</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Performance Conditions for the first fiscal year in the Performance Period shall be based on achievement of specified annual ROIC goals, as provided in the following table: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 2026</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80" w:type="dxa"/>
            <w:vAlign w:val="bottom"/>
            <w:tcBorders>
              <w:top w:val="single" w:sz="8" w:color="auto"/>
              <w:left w:val="single" w:sz="8" w:color="auto"/>
              <w:right w:val="single" w:sz="8" w:color="auto"/>
            </w:tcBorders>
          </w:tcPr>
          <w:p>
            <w:pPr>
              <w:spacing w:after="0"/>
              <w:rPr>
                <w:sz w:val="21"/>
                <w:szCs w:val="21"/>
                <w:color w:val="auto"/>
              </w:rPr>
            </w:pPr>
          </w:p>
        </w:tc>
        <w:tc>
          <w:tcPr>
            <w:tcW w:w="3220" w:type="dxa"/>
            <w:vAlign w:val="bottom"/>
            <w:tcBorders>
              <w:top w:val="single" w:sz="8" w:color="auto"/>
              <w:right w:val="single" w:sz="8" w:color="auto"/>
            </w:tcBorders>
          </w:tcPr>
          <w:p>
            <w:pPr>
              <w:spacing w:after="0"/>
              <w:rPr>
                <w:sz w:val="21"/>
                <w:szCs w:val="21"/>
                <w:color w:val="auto"/>
              </w:rPr>
            </w:pPr>
          </w:p>
        </w:tc>
        <w:tc>
          <w:tcPr>
            <w:tcW w:w="31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9"/>
              </w:rPr>
              <w:t>Performance Percentage</w:t>
            </w:r>
          </w:p>
        </w:tc>
      </w:tr>
      <w:tr>
        <w:trPr>
          <w:trHeight w:val="230"/>
        </w:trPr>
        <w:tc>
          <w:tcPr>
            <w:tcW w:w="3380" w:type="dxa"/>
            <w:vAlign w:val="bottom"/>
            <w:tcBorders>
              <w:left w:val="single" w:sz="8" w:color="auto"/>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Borders>
              <w:right w:val="single" w:sz="8" w:color="auto"/>
            </w:tcBorders>
            <w:gridSpan w:val="2"/>
          </w:tcPr>
          <w:p>
            <w:pPr>
              <w:jc w:val="center"/>
              <w:ind w:right="1186"/>
              <w:spacing w:after="0"/>
              <w:rPr>
                <w:sz w:val="20"/>
                <w:szCs w:val="20"/>
                <w:color w:val="auto"/>
              </w:rPr>
            </w:pPr>
            <w:r>
              <w:rPr>
                <w:rFonts w:ascii="Arial" w:cs="Arial" w:eastAsia="Arial" w:hAnsi="Arial"/>
                <w:sz w:val="19"/>
                <w:szCs w:val="19"/>
                <w:b w:val="1"/>
                <w:bCs w:val="1"/>
                <w:color w:val="auto"/>
              </w:rPr>
              <w:t>Score</w:t>
            </w:r>
          </w:p>
        </w:tc>
      </w:tr>
      <w:tr>
        <w:trPr>
          <w:trHeight w:val="203"/>
        </w:trPr>
        <w:tc>
          <w:tcPr>
            <w:tcW w:w="338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9"/>
                <w:szCs w:val="19"/>
                <w:b w:val="1"/>
                <w:bCs w:val="1"/>
                <w:color w:val="auto"/>
                <w:w w:val="99"/>
              </w:rPr>
              <w:t>Degree of Performance Attainment</w:t>
            </w:r>
          </w:p>
        </w:tc>
        <w:tc>
          <w:tcPr>
            <w:tcW w:w="3220" w:type="dxa"/>
            <w:vAlign w:val="bottom"/>
            <w:tcBorders>
              <w:right w:val="single" w:sz="8" w:color="auto"/>
            </w:tcBorders>
          </w:tcPr>
          <w:p>
            <w:pPr>
              <w:ind w:left="1140"/>
              <w:spacing w:after="0" w:line="196" w:lineRule="exact"/>
              <w:rPr>
                <w:sz w:val="20"/>
                <w:szCs w:val="20"/>
                <w:color w:val="auto"/>
              </w:rPr>
            </w:pPr>
            <w:r>
              <w:rPr>
                <w:rFonts w:ascii="Arial" w:cs="Arial" w:eastAsia="Arial" w:hAnsi="Arial"/>
                <w:sz w:val="19"/>
                <w:szCs w:val="19"/>
                <w:b w:val="1"/>
                <w:bCs w:val="1"/>
                <w:color w:val="auto"/>
              </w:rPr>
              <w:t>2026 ROIC</w:t>
            </w:r>
          </w:p>
        </w:tc>
        <w:tc>
          <w:tcPr>
            <w:tcW w:w="1260" w:type="dxa"/>
            <w:vAlign w:val="bottom"/>
          </w:tcPr>
          <w:p>
            <w:pPr>
              <w:ind w:left="1100"/>
              <w:spacing w:after="0" w:line="196" w:lineRule="exact"/>
              <w:rPr>
                <w:sz w:val="20"/>
                <w:szCs w:val="20"/>
                <w:color w:val="auto"/>
              </w:rPr>
            </w:pPr>
            <w:r>
              <w:rPr>
                <w:rFonts w:ascii="Arial" w:cs="Arial" w:eastAsia="Arial" w:hAnsi="Arial"/>
                <w:sz w:val="19"/>
                <w:szCs w:val="19"/>
                <w:b w:val="1"/>
                <w:bCs w:val="1"/>
                <w:color w:val="auto"/>
                <w:w w:val="88"/>
              </w:rPr>
              <w:t>(“</w:t>
            </w:r>
          </w:p>
        </w:tc>
        <w:tc>
          <w:tcPr>
            <w:tcW w:w="6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9"/>
                <w:szCs w:val="19"/>
                <w:b w:val="1"/>
                <w:bCs w:val="1"/>
                <w:color w:val="auto"/>
                <w:w w:val="97"/>
              </w:rPr>
              <w:t>Payout</w:t>
            </w:r>
          </w:p>
        </w:tc>
        <w:tc>
          <w:tcPr>
            <w:tcW w:w="1280" w:type="dxa"/>
            <w:vAlign w:val="bottom"/>
            <w:tcBorders>
              <w:right w:val="single" w:sz="8" w:color="auto"/>
            </w:tcBorders>
          </w:tcPr>
          <w:p>
            <w:pPr>
              <w:spacing w:after="0" w:line="196" w:lineRule="exact"/>
              <w:rPr>
                <w:sz w:val="20"/>
                <w:szCs w:val="20"/>
                <w:color w:val="auto"/>
              </w:rPr>
            </w:pPr>
            <w:r>
              <w:rPr>
                <w:rFonts w:ascii="Arial" w:cs="Arial" w:eastAsia="Arial" w:hAnsi="Arial"/>
                <w:sz w:val="19"/>
                <w:szCs w:val="19"/>
                <w:b w:val="1"/>
                <w:bCs w:val="1"/>
                <w:color w:val="auto"/>
              </w:rPr>
              <w:t>”)</w:t>
            </w:r>
          </w:p>
        </w:tc>
      </w:tr>
      <w:tr>
        <w:trPr>
          <w:trHeight w:val="48"/>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200%</w:t>
            </w:r>
          </w:p>
        </w:tc>
        <w:tc>
          <w:tcPr>
            <w:tcW w:w="128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100%</w:t>
            </w:r>
          </w:p>
        </w:tc>
        <w:tc>
          <w:tcPr>
            <w:tcW w:w="1280" w:type="dxa"/>
            <w:vAlign w:val="bottom"/>
            <w:tcBorders>
              <w:bottom w:val="single" w:sz="8" w:color="auto"/>
              <w:right w:val="single" w:sz="8" w:color="auto"/>
            </w:tcBorders>
          </w:tcPr>
          <w:p>
            <w:pPr>
              <w:spacing w:after="0"/>
              <w:rPr>
                <w:sz w:val="20"/>
                <w:szCs w:val="20"/>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w w:val="99"/>
              </w:rPr>
              <w:t>50%</w:t>
            </w:r>
          </w:p>
        </w:tc>
        <w:tc>
          <w:tcPr>
            <w:tcW w:w="128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w w:val="94"/>
              </w:rPr>
              <w:t>0%</w:t>
            </w:r>
          </w:p>
        </w:tc>
        <w:tc>
          <w:tcPr>
            <w:tcW w:w="1280" w:type="dxa"/>
            <w:vAlign w:val="bottom"/>
            <w:tcBorders>
              <w:bottom w:val="single" w:sz="8" w:color="auto"/>
              <w:right w:val="single" w:sz="8" w:color="auto"/>
            </w:tcBorders>
          </w:tcPr>
          <w:p>
            <w:pPr>
              <w:spacing w:after="0"/>
              <w:rPr>
                <w:sz w:val="20"/>
                <w:szCs w:val="20"/>
                <w:color w:val="auto"/>
              </w:rPr>
            </w:pPr>
          </w:p>
        </w:tc>
      </w:tr>
    </w:tbl>
    <w:p>
      <w:pPr>
        <w:spacing w:after="0" w:line="275" w:lineRule="exact"/>
        <w:rPr>
          <w:sz w:val="20"/>
          <w:szCs w:val="20"/>
          <w:color w:val="auto"/>
        </w:rPr>
      </w:pPr>
    </w:p>
    <w:p>
      <w:pPr>
        <w:ind w:right="180"/>
        <w:spacing w:after="0" w:line="286" w:lineRule="auto"/>
        <w:rPr>
          <w:sz w:val="20"/>
          <w:szCs w:val="20"/>
          <w:color w:val="auto"/>
        </w:rPr>
      </w:pPr>
      <w:r>
        <w:rPr>
          <w:rFonts w:ascii="Arial" w:cs="Arial" w:eastAsia="Arial" w:hAnsi="Arial"/>
          <w:sz w:val="20"/>
          <w:szCs w:val="20"/>
          <w:color w:val="auto"/>
        </w:rPr>
        <w:t>The Performance Conditions for the second and third fiscal years in the Performance Period shall be based on achievement of goals related to growth in ROIC, as provided in the following table:</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Years 2027 and 2028</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380" w:type="dxa"/>
            <w:vAlign w:val="bottom"/>
            <w:tcBorders>
              <w:top w:val="single" w:sz="8" w:color="auto"/>
              <w:left w:val="single" w:sz="8" w:color="auto"/>
              <w:right w:val="single" w:sz="8" w:color="auto"/>
            </w:tcBorders>
          </w:tcPr>
          <w:p>
            <w:pPr>
              <w:spacing w:after="0"/>
              <w:rPr>
                <w:sz w:val="21"/>
                <w:szCs w:val="21"/>
                <w:color w:val="auto"/>
              </w:rPr>
            </w:pPr>
          </w:p>
        </w:tc>
        <w:tc>
          <w:tcPr>
            <w:tcW w:w="3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w w:val="98"/>
              </w:rPr>
              <w:t>Growth in ROIC</w:t>
            </w:r>
          </w:p>
        </w:tc>
        <w:tc>
          <w:tcPr>
            <w:tcW w:w="31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9"/>
                <w:szCs w:val="19"/>
                <w:b w:val="1"/>
                <w:bCs w:val="1"/>
                <w:color w:val="auto"/>
                <w:w w:val="99"/>
              </w:rPr>
              <w:t>Performance Percentage</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220" w:type="dxa"/>
            <w:vAlign w:val="bottom"/>
            <w:tcBorders>
              <w:right w:val="single" w:sz="8" w:color="auto"/>
            </w:tcBorders>
            <w:vMerge w:val="continue"/>
          </w:tcPr>
          <w:p>
            <w:pPr>
              <w:spacing w:after="0"/>
              <w:rPr>
                <w:sz w:val="18"/>
                <w:szCs w:val="18"/>
                <w:color w:val="auto"/>
              </w:rPr>
            </w:pPr>
          </w:p>
        </w:tc>
        <w:tc>
          <w:tcPr>
            <w:tcW w:w="1260" w:type="dxa"/>
            <w:vAlign w:val="bottom"/>
          </w:tcPr>
          <w:p>
            <w:pPr>
              <w:spacing w:after="0"/>
              <w:rPr>
                <w:sz w:val="18"/>
                <w:szCs w:val="18"/>
                <w:color w:val="auto"/>
              </w:rPr>
            </w:pPr>
          </w:p>
        </w:tc>
        <w:tc>
          <w:tcPr>
            <w:tcW w:w="1900" w:type="dxa"/>
            <w:vAlign w:val="bottom"/>
            <w:tcBorders>
              <w:right w:val="single" w:sz="8" w:color="auto"/>
            </w:tcBorders>
            <w:gridSpan w:val="2"/>
          </w:tcPr>
          <w:p>
            <w:pPr>
              <w:jc w:val="center"/>
              <w:ind w:right="1280"/>
              <w:spacing w:after="0" w:line="216" w:lineRule="exact"/>
              <w:rPr>
                <w:sz w:val="20"/>
                <w:szCs w:val="20"/>
                <w:color w:val="auto"/>
              </w:rPr>
            </w:pPr>
            <w:r>
              <w:rPr>
                <w:rFonts w:ascii="Arial" w:cs="Arial" w:eastAsia="Arial" w:hAnsi="Arial"/>
                <w:sz w:val="19"/>
                <w:szCs w:val="19"/>
                <w:b w:val="1"/>
                <w:bCs w:val="1"/>
                <w:color w:val="auto"/>
              </w:rPr>
              <w:t>Score</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9"/>
                <w:szCs w:val="19"/>
                <w:b w:val="1"/>
                <w:bCs w:val="1"/>
                <w:color w:val="auto"/>
                <w:w w:val="99"/>
              </w:rPr>
              <w:t>Degree of Performance Attainment</w:t>
            </w:r>
          </w:p>
        </w:tc>
        <w:tc>
          <w:tcPr>
            <w:tcW w:w="32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9"/>
                <w:szCs w:val="19"/>
                <w:b w:val="1"/>
                <w:bCs w:val="1"/>
                <w:color w:val="auto"/>
                <w:w w:val="99"/>
              </w:rPr>
              <w:t>(increase in bps)</w:t>
            </w:r>
          </w:p>
        </w:tc>
        <w:tc>
          <w:tcPr>
            <w:tcW w:w="3160" w:type="dxa"/>
            <w:vAlign w:val="bottom"/>
            <w:tcBorders>
              <w:right w:val="single" w:sz="8" w:color="auto"/>
            </w:tcBorders>
            <w:gridSpan w:val="3"/>
          </w:tcPr>
          <w:p>
            <w:pPr>
              <w:jc w:val="center"/>
              <w:ind w:right="20"/>
              <w:spacing w:after="0" w:line="196" w:lineRule="exact"/>
              <w:rPr>
                <w:sz w:val="20"/>
                <w:szCs w:val="20"/>
                <w:color w:val="auto"/>
              </w:rPr>
            </w:pPr>
            <w:r>
              <w:rPr>
                <w:rFonts w:ascii="Arial" w:cs="Arial" w:eastAsia="Arial" w:hAnsi="Arial"/>
                <w:sz w:val="19"/>
                <w:szCs w:val="19"/>
                <w:b w:val="1"/>
                <w:bCs w:val="1"/>
                <w:color w:val="auto"/>
                <w:w w:val="98"/>
              </w:rPr>
              <w:t>(“Payout”)</w:t>
            </w:r>
          </w:p>
        </w:tc>
        <w:tc>
          <w:tcPr>
            <w:tcW w:w="0" w:type="dxa"/>
            <w:vAlign w:val="bottom"/>
          </w:tcPr>
          <w:p>
            <w:pPr>
              <w:spacing w:after="0"/>
              <w:rPr>
                <w:sz w:val="1"/>
                <w:szCs w:val="1"/>
                <w:color w:val="auto"/>
              </w:rPr>
            </w:pPr>
          </w:p>
        </w:tc>
      </w:tr>
      <w:tr>
        <w:trPr>
          <w:trHeight w:val="34"/>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200%</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100%</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w w:val="99"/>
              </w:rPr>
              <w:t>50%</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w w:val="94"/>
              </w:rPr>
              <w:t>0%</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20"/>
          <w:szCs w:val="20"/>
          <w:color w:val="auto"/>
        </w:rPr>
        <w:t>As soon as practicable following the end of the first fiscal year, the Committee (or its designee) shall determine the Company’s performance percentage score for such fiscal year and shall determine the actual ROIC (the “</w:t>
      </w:r>
      <w:r>
        <w:rPr>
          <w:rFonts w:ascii="Arial" w:cs="Arial" w:eastAsia="Arial" w:hAnsi="Arial"/>
          <w:sz w:val="20"/>
          <w:szCs w:val="20"/>
          <w:u w:val="single" w:color="auto"/>
          <w:color w:val="auto"/>
        </w:rPr>
        <w:t>Baseline ROIC</w:t>
      </w:r>
      <w:r>
        <w:rPr>
          <w:rFonts w:ascii="Arial" w:cs="Arial" w:eastAsia="Arial" w:hAnsi="Arial"/>
          <w:sz w:val="20"/>
          <w:szCs w:val="20"/>
          <w:color w:val="auto"/>
        </w:rPr>
        <w:t>”) as of the end of the first fiscal year. At the end of the second fiscal year in the Performance Period, the Committee shall determine (i) the actual ROIC as of the end of the second fiscal year in the Performance Period (the “</w:t>
      </w:r>
      <w:r>
        <w:rPr>
          <w:rFonts w:ascii="Arial" w:cs="Arial" w:eastAsia="Arial" w:hAnsi="Arial"/>
          <w:sz w:val="20"/>
          <w:szCs w:val="20"/>
          <w:u w:val="single" w:color="auto"/>
          <w:color w:val="auto"/>
        </w:rPr>
        <w:t>Actual ROIC</w:t>
      </w:r>
      <w:r>
        <w:rPr>
          <w:rFonts w:ascii="Arial" w:cs="Arial" w:eastAsia="Arial" w:hAnsi="Arial"/>
          <w:sz w:val="20"/>
          <w:szCs w:val="20"/>
          <w:color w:val="auto"/>
        </w:rPr>
        <w:t>”) and (ii) the change in bps between the Baseline ROIC and the Actual ROIC for the second fiscal year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(Actual ROIC for the second year – Baseline ROIC) * 10,000</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soon as practicable following the end of the second fiscal year, the Committee (or its designee) shall determine the Company’s performance percentage score for such fiscal year.</w:t>
      </w:r>
    </w:p>
    <w:p>
      <w:pPr>
        <w:spacing w:after="0" w:line="181" w:lineRule="exact"/>
        <w:rPr>
          <w:sz w:val="20"/>
          <w:szCs w:val="20"/>
          <w:color w:val="auto"/>
        </w:rPr>
      </w:pPr>
    </w:p>
    <w:p>
      <w:pPr>
        <w:jc w:val="both"/>
        <w:ind w:firstLine="253"/>
        <w:spacing w:after="0" w:line="255" w:lineRule="auto"/>
        <w:rPr>
          <w:sz w:val="20"/>
          <w:szCs w:val="20"/>
          <w:color w:val="auto"/>
        </w:rPr>
      </w:pPr>
      <w:r>
        <w:rPr>
          <w:rFonts w:ascii="Arial" w:cs="Arial" w:eastAsia="Arial" w:hAnsi="Arial"/>
          <w:sz w:val="20"/>
          <w:szCs w:val="20"/>
          <w:color w:val="auto"/>
        </w:rPr>
        <w:t>For the third fiscal year in the Performance Period, the Committee shall make the same determination with respect to Actual ROIC and change in bps as set forth above; provided, however, that the change in bps shall be determined between the Actual ROIC as of the end of the second fiscal year in the Performance Period and the Actual ROIC as of the end of the third fiscal year in the Performance Period.</w:t>
      </w:r>
    </w:p>
    <w:p>
      <w:pPr>
        <w:spacing w:after="0" w:line="2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In the case of any individual merger, acquisition, or divestiture for which the net assets acquired or disposed, on an annualized basis, generate an annual run rate ROIC in excess of 2% of the Baseline ROIC in the fiscal year such transaction closes (each, an “</w:t>
      </w:r>
      <w:r>
        <w:rPr>
          <w:rFonts w:ascii="Arial" w:cs="Arial" w:eastAsia="Arial" w:hAnsi="Arial"/>
          <w:sz w:val="20"/>
          <w:szCs w:val="20"/>
          <w:u w:val="single" w:color="auto"/>
          <w:color w:val="auto"/>
        </w:rPr>
        <w:t>Excluded Transaction</w:t>
      </w:r>
      <w:r>
        <w:rPr>
          <w:rFonts w:ascii="Arial" w:cs="Arial" w:eastAsia="Arial" w:hAnsi="Arial"/>
          <w:sz w:val="20"/>
          <w:szCs w:val="20"/>
          <w:color w:val="auto"/>
        </w:rPr>
        <w:t>”), the ROIC results attributable to such Excluded Transaction shall be excluded from the ROIC results for the fiscal year in which such Excluded Transaction closes for purposes of calculating the annual ROIC growth for such fiscal year. Notwithstanding the foregoing, for purposes of calculating the annual ROIC growth for any fiscal year in the Performance Period after such Excluded Transaction closes, the ROIC results attributable to such Excluded Transaction shall be included in the prior fiscal year ROIC results, on an annualized basis.</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Following the last day of the Performance Period, the Committee shall average the percentage performance scores achieved with respect to each fiscal year in the Performance Period to determine the actual Payout percentage for the ROIC PSUs. The number of ROIC PSUs that become “Earned PSUs” for the Performance Period shall be equal to (x) the number of Target ROIC PSUs multiplied by (y) the applicable Payout percentage earned (calculated as set forth above), rounded up to the nearest whole unit.</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GOALS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(rTSR)</w:t>
      </w:r>
    </w:p>
    <w:p>
      <w:pPr>
        <w:spacing w:after="0" w:line="36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Participant may earn a percentage of the rTSR PSUs based on the percentile rank of the Company relative to the Total Stockholder Return (“</w:t>
      </w:r>
      <w:r>
        <w:rPr>
          <w:rFonts w:ascii="Arial" w:cs="Arial" w:eastAsia="Arial" w:hAnsi="Arial"/>
          <w:sz w:val="20"/>
          <w:szCs w:val="20"/>
          <w:u w:val="single" w:color="auto"/>
          <w:color w:val="auto"/>
        </w:rPr>
        <w:t>TSR</w:t>
      </w:r>
      <w:r>
        <w:rPr>
          <w:rFonts w:ascii="Arial" w:cs="Arial" w:eastAsia="Arial" w:hAnsi="Arial"/>
          <w:sz w:val="20"/>
          <w:szCs w:val="20"/>
          <w:color w:val="auto"/>
        </w:rPr>
        <w:t>”) of the S&amp;P 1500 Retail and Healthcare Equipment &amp; Supplies Industry Subset for the Performance</w:t>
      </w:r>
    </w:p>
    <w:p>
      <w:pPr>
        <w:spacing w:after="0" w:line="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Period (the “</w:t>
      </w:r>
      <w:r>
        <w:rPr>
          <w:rFonts w:ascii="Arial" w:cs="Arial" w:eastAsia="Arial" w:hAnsi="Arial"/>
          <w:sz w:val="20"/>
          <w:szCs w:val="20"/>
          <w:u w:val="single" w:color="auto"/>
          <w:color w:val="auto"/>
        </w:rPr>
        <w:t>TSR Relative Ranking</w:t>
      </w:r>
      <w:r>
        <w:rPr>
          <w:rFonts w:ascii="Arial" w:cs="Arial" w:eastAsia="Arial" w:hAnsi="Arial"/>
          <w:sz w:val="20"/>
          <w:szCs w:val="20"/>
          <w:color w:val="auto"/>
        </w:rPr>
        <w:t>”), as provided in the following table. In each case, the performance percentage score between performance levels will be determined to the nearest hundredth of a percentage point using linear interpolation.</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 Period</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80" w:type="dxa"/>
            <w:vAlign w:val="bottom"/>
            <w:tcBorders>
              <w:top w:val="single" w:sz="8" w:color="auto"/>
              <w:left w:val="single" w:sz="8" w:color="auto"/>
              <w:right w:val="single" w:sz="8" w:color="auto"/>
            </w:tcBorders>
          </w:tcPr>
          <w:p>
            <w:pPr>
              <w:spacing w:after="0"/>
              <w:rPr>
                <w:sz w:val="22"/>
                <w:szCs w:val="22"/>
                <w:color w:val="auto"/>
              </w:rPr>
            </w:pPr>
          </w:p>
        </w:tc>
        <w:tc>
          <w:tcPr>
            <w:tcW w:w="3220" w:type="dxa"/>
            <w:vAlign w:val="bottom"/>
            <w:tcBorders>
              <w:top w:val="single" w:sz="8" w:color="auto"/>
              <w:right w:val="single" w:sz="8" w:color="auto"/>
            </w:tcBorders>
          </w:tcPr>
          <w:p>
            <w:pPr>
              <w:spacing w:after="0"/>
              <w:rPr>
                <w:sz w:val="22"/>
                <w:szCs w:val="22"/>
                <w:color w:val="auto"/>
              </w:rPr>
            </w:pPr>
          </w:p>
        </w:tc>
        <w:tc>
          <w:tcPr>
            <w:tcW w:w="31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9"/>
              </w:rPr>
              <w:t>Performance Percentage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900" w:type="dxa"/>
            <w:vAlign w:val="bottom"/>
            <w:tcBorders>
              <w:right w:val="single" w:sz="8" w:color="auto"/>
            </w:tcBorders>
            <w:gridSpan w:val="2"/>
          </w:tcPr>
          <w:p>
            <w:pPr>
              <w:jc w:val="center"/>
              <w:ind w:right="1186"/>
              <w:spacing w:after="0" w:line="216" w:lineRule="exact"/>
              <w:rPr>
                <w:sz w:val="20"/>
                <w:szCs w:val="20"/>
                <w:color w:val="auto"/>
              </w:rPr>
            </w:pPr>
            <w:r>
              <w:rPr>
                <w:rFonts w:ascii="Arial" w:cs="Arial" w:eastAsia="Arial" w:hAnsi="Arial"/>
                <w:sz w:val="19"/>
                <w:szCs w:val="19"/>
                <w:b w:val="1"/>
                <w:bCs w:val="1"/>
                <w:color w:val="auto"/>
              </w:rPr>
              <w:t>Score</w:t>
            </w:r>
          </w:p>
        </w:tc>
      </w:tr>
      <w:tr>
        <w:trPr>
          <w:trHeight w:val="203"/>
        </w:trPr>
        <w:tc>
          <w:tcPr>
            <w:tcW w:w="338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9"/>
                <w:szCs w:val="19"/>
                <w:b w:val="1"/>
                <w:bCs w:val="1"/>
                <w:color w:val="auto"/>
                <w:w w:val="99"/>
              </w:rPr>
              <w:t>Degree of Performance Attainment</w:t>
            </w:r>
          </w:p>
        </w:tc>
        <w:tc>
          <w:tcPr>
            <w:tcW w:w="32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9"/>
                <w:szCs w:val="19"/>
                <w:b w:val="1"/>
                <w:bCs w:val="1"/>
                <w:color w:val="auto"/>
                <w:w w:val="99"/>
              </w:rPr>
              <w:t>TSR Relative Ranking</w:t>
            </w:r>
          </w:p>
        </w:tc>
        <w:tc>
          <w:tcPr>
            <w:tcW w:w="1260" w:type="dxa"/>
            <w:vAlign w:val="bottom"/>
          </w:tcPr>
          <w:p>
            <w:pPr>
              <w:ind w:left="1100"/>
              <w:spacing w:after="0" w:line="196" w:lineRule="exact"/>
              <w:rPr>
                <w:sz w:val="20"/>
                <w:szCs w:val="20"/>
                <w:color w:val="auto"/>
              </w:rPr>
            </w:pPr>
            <w:r>
              <w:rPr>
                <w:rFonts w:ascii="Arial" w:cs="Arial" w:eastAsia="Arial" w:hAnsi="Arial"/>
                <w:sz w:val="19"/>
                <w:szCs w:val="19"/>
                <w:b w:val="1"/>
                <w:bCs w:val="1"/>
                <w:color w:val="auto"/>
                <w:w w:val="88"/>
              </w:rPr>
              <w:t>(“</w:t>
            </w:r>
          </w:p>
        </w:tc>
        <w:tc>
          <w:tcPr>
            <w:tcW w:w="6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9"/>
                <w:szCs w:val="19"/>
                <w:b w:val="1"/>
                <w:bCs w:val="1"/>
                <w:color w:val="auto"/>
                <w:w w:val="97"/>
              </w:rPr>
              <w:t>Payout</w:t>
            </w:r>
          </w:p>
        </w:tc>
        <w:tc>
          <w:tcPr>
            <w:tcW w:w="1280" w:type="dxa"/>
            <w:vAlign w:val="bottom"/>
            <w:tcBorders>
              <w:right w:val="single" w:sz="8" w:color="auto"/>
            </w:tcBorders>
          </w:tcPr>
          <w:p>
            <w:pPr>
              <w:spacing w:after="0" w:line="196" w:lineRule="exact"/>
              <w:rPr>
                <w:sz w:val="20"/>
                <w:szCs w:val="20"/>
                <w:color w:val="auto"/>
              </w:rPr>
            </w:pPr>
            <w:r>
              <w:rPr>
                <w:rFonts w:ascii="Arial" w:cs="Arial" w:eastAsia="Arial" w:hAnsi="Arial"/>
                <w:sz w:val="19"/>
                <w:szCs w:val="19"/>
                <w:b w:val="1"/>
                <w:bCs w:val="1"/>
                <w:color w:val="auto"/>
              </w:rPr>
              <w:t>”)</w:t>
            </w:r>
          </w:p>
        </w:tc>
      </w:tr>
      <w:tr>
        <w:trPr>
          <w:trHeight w:val="48"/>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7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Maximum</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≥75</w:t>
            </w:r>
            <w:r>
              <w:rPr>
                <w:rFonts w:ascii="Arial" w:cs="Arial" w:eastAsia="Arial" w:hAnsi="Arial"/>
                <w:sz w:val="24"/>
                <w:szCs w:val="24"/>
                <w:color w:val="auto"/>
                <w:w w:val="96"/>
                <w:vertAlign w:val="superscript"/>
              </w:rPr>
              <w:t>th</w:t>
            </w:r>
            <w:r>
              <w:rPr>
                <w:rFonts w:ascii="Arial" w:cs="Arial" w:eastAsia="Arial" w:hAnsi="Arial"/>
                <w:sz w:val="19"/>
                <w:szCs w:val="19"/>
                <w:color w:val="auto"/>
                <w:w w:val="96"/>
              </w:rPr>
              <w:t xml:space="preserve"> percentile</w:t>
            </w: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200%</w:t>
            </w:r>
          </w:p>
        </w:tc>
        <w:tc>
          <w:tcPr>
            <w:tcW w:w="1280" w:type="dxa"/>
            <w:vAlign w:val="bottom"/>
            <w:tcBorders>
              <w:bottom w:val="single" w:sz="8" w:color="auto"/>
              <w:right w:val="single" w:sz="8" w:color="auto"/>
            </w:tcBorders>
          </w:tcPr>
          <w:p>
            <w:pPr>
              <w:spacing w:after="0"/>
              <w:rPr>
                <w:sz w:val="24"/>
                <w:szCs w:val="24"/>
                <w:color w:val="auto"/>
              </w:rPr>
            </w:pPr>
          </w:p>
        </w:tc>
      </w:tr>
      <w:tr>
        <w:trPr>
          <w:trHeight w:val="27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Target</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50</w:t>
            </w:r>
            <w:r>
              <w:rPr>
                <w:rFonts w:ascii="Arial" w:cs="Arial" w:eastAsia="Arial" w:hAnsi="Arial"/>
                <w:sz w:val="24"/>
                <w:szCs w:val="24"/>
                <w:color w:val="auto"/>
                <w:w w:val="96"/>
                <w:vertAlign w:val="superscript"/>
              </w:rPr>
              <w:t>th</w:t>
            </w:r>
            <w:r>
              <w:rPr>
                <w:rFonts w:ascii="Arial" w:cs="Arial" w:eastAsia="Arial" w:hAnsi="Arial"/>
                <w:sz w:val="19"/>
                <w:szCs w:val="19"/>
                <w:color w:val="auto"/>
                <w:w w:val="96"/>
              </w:rPr>
              <w:t xml:space="preserve"> percentile</w:t>
            </w: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rPr>
              <w:t>100%</w:t>
            </w:r>
          </w:p>
        </w:tc>
        <w:tc>
          <w:tcPr>
            <w:tcW w:w="1280" w:type="dxa"/>
            <w:vAlign w:val="bottom"/>
            <w:tcBorders>
              <w:bottom w:val="single" w:sz="8" w:color="auto"/>
              <w:right w:val="single" w:sz="8" w:color="auto"/>
            </w:tcBorders>
          </w:tcPr>
          <w:p>
            <w:pPr>
              <w:spacing w:after="0"/>
              <w:rPr>
                <w:sz w:val="24"/>
                <w:szCs w:val="24"/>
                <w:color w:val="auto"/>
              </w:rPr>
            </w:pPr>
          </w:p>
        </w:tc>
      </w:tr>
      <w:tr>
        <w:trPr>
          <w:trHeight w:val="27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Threshold</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25</w:t>
            </w:r>
            <w:r>
              <w:rPr>
                <w:rFonts w:ascii="Arial" w:cs="Arial" w:eastAsia="Arial" w:hAnsi="Arial"/>
                <w:sz w:val="24"/>
                <w:szCs w:val="24"/>
                <w:color w:val="auto"/>
                <w:w w:val="96"/>
                <w:vertAlign w:val="superscript"/>
              </w:rPr>
              <w:t>th</w:t>
            </w:r>
            <w:r>
              <w:rPr>
                <w:rFonts w:ascii="Arial" w:cs="Arial" w:eastAsia="Arial" w:hAnsi="Arial"/>
                <w:sz w:val="19"/>
                <w:szCs w:val="19"/>
                <w:color w:val="auto"/>
                <w:w w:val="96"/>
              </w:rPr>
              <w:t xml:space="preserve"> percentile</w:t>
            </w: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w w:val="99"/>
              </w:rPr>
              <w:t>50%</w:t>
            </w:r>
          </w:p>
        </w:tc>
        <w:tc>
          <w:tcPr>
            <w:tcW w:w="1280" w:type="dxa"/>
            <w:vAlign w:val="bottom"/>
            <w:tcBorders>
              <w:bottom w:val="single" w:sz="8" w:color="auto"/>
              <w:right w:val="single" w:sz="8" w:color="auto"/>
            </w:tcBorders>
          </w:tcPr>
          <w:p>
            <w:pPr>
              <w:spacing w:after="0"/>
              <w:rPr>
                <w:sz w:val="24"/>
                <w:szCs w:val="24"/>
                <w:color w:val="auto"/>
              </w:rPr>
            </w:pPr>
          </w:p>
        </w:tc>
      </w:tr>
      <w:tr>
        <w:trPr>
          <w:trHeight w:val="27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Less than Threshold</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Below 25</w:t>
            </w:r>
            <w:r>
              <w:rPr>
                <w:rFonts w:ascii="Arial" w:cs="Arial" w:eastAsia="Arial" w:hAnsi="Arial"/>
                <w:sz w:val="24"/>
                <w:szCs w:val="24"/>
                <w:color w:val="auto"/>
                <w:w w:val="98"/>
                <w:vertAlign w:val="superscript"/>
              </w:rPr>
              <w:t>th</w:t>
            </w:r>
            <w:r>
              <w:rPr>
                <w:rFonts w:ascii="Arial" w:cs="Arial" w:eastAsia="Arial" w:hAnsi="Arial"/>
                <w:sz w:val="19"/>
                <w:szCs w:val="19"/>
                <w:color w:val="auto"/>
                <w:w w:val="98"/>
              </w:rPr>
              <w:t xml:space="preserve"> percentile</w:t>
            </w:r>
          </w:p>
        </w:tc>
        <w:tc>
          <w:tcPr>
            <w:tcW w:w="1880" w:type="dxa"/>
            <w:vAlign w:val="bottom"/>
            <w:tcBorders>
              <w:bottom w:val="single" w:sz="8" w:color="auto"/>
            </w:tcBorders>
            <w:gridSpan w:val="2"/>
          </w:tcPr>
          <w:p>
            <w:pPr>
              <w:jc w:val="center"/>
              <w:ind w:left="1166"/>
              <w:spacing w:after="0"/>
              <w:rPr>
                <w:sz w:val="20"/>
                <w:szCs w:val="20"/>
                <w:color w:val="auto"/>
              </w:rPr>
            </w:pPr>
            <w:r>
              <w:rPr>
                <w:rFonts w:ascii="Arial" w:cs="Arial" w:eastAsia="Arial" w:hAnsi="Arial"/>
                <w:sz w:val="19"/>
                <w:szCs w:val="19"/>
                <w:color w:val="auto"/>
                <w:w w:val="94"/>
              </w:rPr>
              <w:t>0%</w:t>
            </w:r>
          </w:p>
        </w:tc>
        <w:tc>
          <w:tcPr>
            <w:tcW w:w="1280" w:type="dxa"/>
            <w:vAlign w:val="bottom"/>
            <w:tcBorders>
              <w:bottom w:val="single" w:sz="8" w:color="auto"/>
              <w:right w:val="single" w:sz="8" w:color="auto"/>
            </w:tcBorders>
          </w:tcPr>
          <w:p>
            <w:pPr>
              <w:spacing w:after="0"/>
              <w:rPr>
                <w:sz w:val="24"/>
                <w:szCs w:val="24"/>
                <w:color w:val="auto"/>
              </w:rPr>
            </w:pPr>
          </w:p>
        </w:tc>
      </w:tr>
    </w:tbl>
    <w:p>
      <w:pPr>
        <w:spacing w:after="0" w:line="3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Following the last day of the Performance Period, the Committee shall determine the actual Payout percentage for the rTSR PSUs. The number of rTSR PSUs that become “Earned PSUs” for the Performance Period shall be equal to (x) the number of Target rTSR PSUs multiplied by (y) the applicable Payout percentage earned (calculated as set forth above), rounded up to the nearest whole unit.</w:t>
      </w:r>
    </w:p>
    <w:p>
      <w:pPr>
        <w:sectPr>
          <w:pgSz w:w="11900" w:h="16838" w:orient="portrait"/>
          <w:cols w:equalWidth="0" w:num="1">
            <w:col w:w="11240"/>
          </w:cols>
          <w:pgMar w:left="320" w:top="1440"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Exhibit D</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0"/>
          <w:szCs w:val="20"/>
          <w:b w:val="1"/>
          <w:bCs w:val="1"/>
          <w:u w:val="single" w:color="auto"/>
          <w:color w:val="auto"/>
        </w:rPr>
        <w:t>PERFORMANCE GOALS</w:t>
      </w:r>
    </w:p>
    <w:p>
      <w:pPr>
        <w:spacing w:after="0" w:line="108" w:lineRule="exact"/>
        <w:rPr>
          <w:sz w:val="20"/>
          <w:szCs w:val="20"/>
          <w:color w:val="auto"/>
        </w:rPr>
      </w:pPr>
    </w:p>
    <w:p>
      <w:pPr>
        <w:ind w:left="4500"/>
        <w:spacing w:after="0"/>
        <w:rPr>
          <w:sz w:val="20"/>
          <w:szCs w:val="20"/>
          <w:color w:val="auto"/>
        </w:rPr>
      </w:pPr>
      <w:r>
        <w:rPr>
          <w:rFonts w:ascii="Arial" w:cs="Arial" w:eastAsia="Arial" w:hAnsi="Arial"/>
          <w:sz w:val="20"/>
          <w:szCs w:val="20"/>
          <w:b w:val="1"/>
          <w:bCs w:val="1"/>
          <w:u w:val="single" w:color="auto"/>
          <w:color w:val="auto"/>
        </w:rPr>
        <w:t>(Absolute TSR Modifier)</w:t>
      </w:r>
    </w:p>
    <w:p>
      <w:pPr>
        <w:spacing w:after="0" w:line="200" w:lineRule="exact"/>
        <w:rPr>
          <w:sz w:val="20"/>
          <w:szCs w:val="20"/>
          <w:color w:val="auto"/>
        </w:rPr>
      </w:pPr>
    </w:p>
    <w:p>
      <w:pPr>
        <w:spacing w:after="0" w:line="2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Participant may earn an Absolute TSR Multiplier based on the Company’s achievement of certain “</w:t>
      </w:r>
      <w:r>
        <w:rPr>
          <w:rFonts w:ascii="Arial" w:cs="Arial" w:eastAsia="Arial" w:hAnsi="Arial"/>
          <w:sz w:val="20"/>
          <w:szCs w:val="20"/>
          <w:u w:val="single" w:color="auto"/>
          <w:color w:val="auto"/>
        </w:rPr>
        <w:t>Share Price Hurdles</w:t>
      </w:r>
      <w:r>
        <w:rPr>
          <w:rFonts w:ascii="Arial" w:cs="Arial" w:eastAsia="Arial" w:hAnsi="Arial"/>
          <w:sz w:val="20"/>
          <w:szCs w:val="20"/>
          <w:color w:val="auto"/>
        </w:rPr>
        <w:t>” during the Absolute TSR Performance Period, as provided in the following table. If none of the Share Price Hurdles are achieved during the Absolute TSR Performance Period, no Multiplier PSUs will be earned.</w:t>
      </w:r>
    </w:p>
    <w:p>
      <w:pPr>
        <w:spacing w:after="0" w:line="203"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 xml:space="preserve">Achievement of Share Price Hurdle. </w:t>
      </w:r>
      <w:r>
        <w:rPr>
          <w:rFonts w:ascii="Arial" w:cs="Arial" w:eastAsia="Arial" w:hAnsi="Arial"/>
          <w:sz w:val="20"/>
          <w:szCs w:val="20"/>
          <w:color w:val="auto"/>
        </w:rPr>
        <w:t>A Share Price Hurdle is achieved if and when the closing sales price of the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reported on the primary exchange on which the Common Stock is listed and traded (the “</w:t>
      </w:r>
      <w:r>
        <w:rPr>
          <w:rFonts w:ascii="Arial" w:cs="Arial" w:eastAsia="Arial" w:hAnsi="Arial"/>
          <w:sz w:val="20"/>
          <w:szCs w:val="20"/>
          <w:u w:val="single" w:color="auto"/>
          <w:color w:val="auto"/>
        </w:rPr>
        <w:t>Share Price</w:t>
      </w:r>
      <w:r>
        <w:rPr>
          <w:rFonts w:ascii="Arial" w:cs="Arial" w:eastAsia="Arial" w:hAnsi="Arial"/>
          <w:sz w:val="20"/>
          <w:szCs w:val="20"/>
          <w:color w:val="auto"/>
        </w:rPr>
        <w:t>”) equals or exceeds the specified “</w:t>
      </w:r>
      <w:r>
        <w:rPr>
          <w:rFonts w:ascii="Arial" w:cs="Arial" w:eastAsia="Arial" w:hAnsi="Arial"/>
          <w:sz w:val="20"/>
          <w:szCs w:val="20"/>
          <w:u w:val="single" w:color="auto"/>
          <w:color w:val="auto"/>
        </w:rPr>
        <w:t>Target Share Price</w:t>
      </w:r>
      <w:r>
        <w:rPr>
          <w:rFonts w:ascii="Arial" w:cs="Arial" w:eastAsia="Arial" w:hAnsi="Arial"/>
          <w:sz w:val="20"/>
          <w:szCs w:val="20"/>
          <w:color w:val="auto"/>
        </w:rPr>
        <w:t>” relating to such Share Price Hurdle provided in the table below for a period of twenty consecutive trading days at any time over the Absolute TSR Performance Period.</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purposes of the Share Price Hurdles, each Target Share Price is determined based on the cumulative Share Price growth over an “</w:t>
      </w:r>
      <w:r>
        <w:rPr>
          <w:rFonts w:ascii="Arial" w:cs="Arial" w:eastAsia="Arial" w:hAnsi="Arial"/>
          <w:sz w:val="20"/>
          <w:szCs w:val="20"/>
          <w:u w:val="single" w:color="auto"/>
          <w:color w:val="auto"/>
        </w:rPr>
        <w:t>Entry Point</w:t>
      </w:r>
      <w:r>
        <w:rPr>
          <w:rFonts w:ascii="Arial" w:cs="Arial" w:eastAsia="Arial" w:hAnsi="Arial"/>
          <w:sz w:val="20"/>
          <w:szCs w:val="20"/>
          <w:color w:val="auto"/>
        </w:rPr>
        <w:t>” price equal to the average Share Price over the twenty trading days immediately prior to the Date of Grant ($27.5445).</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Absolute TSR Performance Hurdles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80" w:type="dxa"/>
            <w:vAlign w:val="bottom"/>
            <w:tcBorders>
              <w:top w:val="single" w:sz="8" w:color="auto"/>
              <w:left w:val="single" w:sz="8" w:color="auto"/>
              <w:right w:val="single" w:sz="8" w:color="auto"/>
            </w:tcBorders>
          </w:tcPr>
          <w:p>
            <w:pPr>
              <w:spacing w:after="0"/>
              <w:rPr>
                <w:sz w:val="21"/>
                <w:szCs w:val="21"/>
                <w:color w:val="auto"/>
              </w:rPr>
            </w:pPr>
          </w:p>
        </w:tc>
        <w:tc>
          <w:tcPr>
            <w:tcW w:w="3220" w:type="dxa"/>
            <w:vAlign w:val="bottom"/>
            <w:tcBorders>
              <w:top w:val="single" w:sz="8" w:color="auto"/>
              <w:right w:val="single" w:sz="8" w:color="auto"/>
            </w:tcBorders>
          </w:tcPr>
          <w:p>
            <w:pPr>
              <w:jc w:val="right"/>
              <w:ind w:right="546"/>
              <w:spacing w:after="0"/>
              <w:rPr>
                <w:sz w:val="20"/>
                <w:szCs w:val="20"/>
                <w:color w:val="auto"/>
              </w:rPr>
            </w:pPr>
            <w:r>
              <w:rPr>
                <w:rFonts w:ascii="Arial" w:cs="Arial" w:eastAsia="Arial" w:hAnsi="Arial"/>
                <w:sz w:val="19"/>
                <w:szCs w:val="19"/>
                <w:b w:val="1"/>
                <w:bCs w:val="1"/>
                <w:color w:val="auto"/>
              </w:rPr>
              <w:t>Target Share Price for</w:t>
            </w:r>
          </w:p>
        </w:tc>
        <w:tc>
          <w:tcPr>
            <w:tcW w:w="3160" w:type="dxa"/>
            <w:vAlign w:val="bottom"/>
            <w:tcBorders>
              <w:top w:val="single" w:sz="8" w:color="auto"/>
              <w:right w:val="single" w:sz="8" w:color="auto"/>
            </w:tcBorders>
          </w:tcPr>
          <w:p>
            <w:pPr>
              <w:spacing w:after="0"/>
              <w:rPr>
                <w:sz w:val="21"/>
                <w:szCs w:val="21"/>
                <w:color w:val="auto"/>
              </w:rPr>
            </w:pPr>
          </w:p>
        </w:tc>
      </w:tr>
      <w:tr>
        <w:trPr>
          <w:trHeight w:val="284"/>
        </w:trPr>
        <w:tc>
          <w:tcPr>
            <w:tcW w:w="33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9"/>
                <w:szCs w:val="19"/>
                <w:b w:val="1"/>
                <w:bCs w:val="1"/>
                <w:color w:val="auto"/>
              </w:rPr>
              <w:t>Cumulative Share Price Growth</w:t>
            </w:r>
          </w:p>
        </w:tc>
        <w:tc>
          <w:tcPr>
            <w:tcW w:w="3220" w:type="dxa"/>
            <w:vAlign w:val="bottom"/>
            <w:tcBorders>
              <w:bottom w:val="single" w:sz="8" w:color="auto"/>
              <w:right w:val="single" w:sz="8" w:color="auto"/>
            </w:tcBorders>
          </w:tcPr>
          <w:p>
            <w:pPr>
              <w:jc w:val="right"/>
              <w:ind w:right="686"/>
              <w:spacing w:after="0"/>
              <w:rPr>
                <w:sz w:val="20"/>
                <w:szCs w:val="20"/>
                <w:color w:val="auto"/>
              </w:rPr>
            </w:pPr>
            <w:r>
              <w:rPr>
                <w:rFonts w:ascii="Arial" w:cs="Arial" w:eastAsia="Arial" w:hAnsi="Arial"/>
                <w:sz w:val="19"/>
                <w:szCs w:val="19"/>
                <w:b w:val="1"/>
                <w:bCs w:val="1"/>
                <w:color w:val="auto"/>
              </w:rPr>
              <w:t>Share Price Hurdle</w:t>
            </w:r>
          </w:p>
        </w:tc>
        <w:tc>
          <w:tcPr>
            <w:tcW w:w="31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9"/>
                <w:szCs w:val="19"/>
                <w:b w:val="1"/>
                <w:bCs w:val="1"/>
                <w:color w:val="auto"/>
              </w:rPr>
              <w:t>Absolute TSR Multiplier</w:t>
            </w:r>
          </w:p>
        </w:tc>
      </w:tr>
      <w:tr>
        <w:trPr>
          <w:trHeight w:val="256"/>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50%</w:t>
            </w:r>
          </w:p>
        </w:tc>
        <w:tc>
          <w:tcPr>
            <w:tcW w:w="3220" w:type="dxa"/>
            <w:vAlign w:val="bottom"/>
            <w:tcBorders>
              <w:right w:val="single" w:sz="8" w:color="auto"/>
            </w:tcBorders>
          </w:tcPr>
          <w:p>
            <w:pPr>
              <w:jc w:val="right"/>
              <w:ind w:right="946"/>
              <w:spacing w:after="0"/>
              <w:rPr>
                <w:sz w:val="20"/>
                <w:szCs w:val="20"/>
                <w:color w:val="auto"/>
              </w:rPr>
            </w:pPr>
            <w:r>
              <w:rPr>
                <w:rFonts w:ascii="Arial" w:cs="Arial" w:eastAsia="Arial" w:hAnsi="Arial"/>
                <w:sz w:val="19"/>
                <w:szCs w:val="19"/>
                <w:color w:val="auto"/>
              </w:rPr>
              <w:t>$41.32</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1.5X</w:t>
            </w:r>
          </w:p>
        </w:tc>
      </w:tr>
      <w:tr>
        <w:trPr>
          <w:trHeight w:val="21"/>
        </w:trPr>
        <w:tc>
          <w:tcPr>
            <w:tcW w:w="3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65%</w:t>
            </w:r>
          </w:p>
        </w:tc>
        <w:tc>
          <w:tcPr>
            <w:tcW w:w="3220" w:type="dxa"/>
            <w:vAlign w:val="bottom"/>
            <w:tcBorders>
              <w:right w:val="single" w:sz="8" w:color="auto"/>
            </w:tcBorders>
          </w:tcPr>
          <w:p>
            <w:pPr>
              <w:jc w:val="right"/>
              <w:ind w:right="946"/>
              <w:spacing w:after="0"/>
              <w:rPr>
                <w:sz w:val="20"/>
                <w:szCs w:val="20"/>
                <w:color w:val="auto"/>
              </w:rPr>
            </w:pPr>
            <w:r>
              <w:rPr>
                <w:rFonts w:ascii="Arial" w:cs="Arial" w:eastAsia="Arial" w:hAnsi="Arial"/>
                <w:sz w:val="19"/>
                <w:szCs w:val="19"/>
                <w:color w:val="auto"/>
              </w:rPr>
              <w:t>$45.45</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1.75X</w:t>
            </w:r>
          </w:p>
        </w:tc>
      </w:tr>
      <w:tr>
        <w:trPr>
          <w:trHeight w:val="21"/>
        </w:trPr>
        <w:tc>
          <w:tcPr>
            <w:tcW w:w="3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80%</w:t>
            </w:r>
          </w:p>
        </w:tc>
        <w:tc>
          <w:tcPr>
            <w:tcW w:w="3220" w:type="dxa"/>
            <w:vAlign w:val="bottom"/>
            <w:tcBorders>
              <w:right w:val="single" w:sz="8" w:color="auto"/>
            </w:tcBorders>
          </w:tcPr>
          <w:p>
            <w:pPr>
              <w:jc w:val="right"/>
              <w:ind w:right="946"/>
              <w:spacing w:after="0"/>
              <w:rPr>
                <w:sz w:val="20"/>
                <w:szCs w:val="20"/>
                <w:color w:val="auto"/>
              </w:rPr>
            </w:pPr>
            <w:r>
              <w:rPr>
                <w:rFonts w:ascii="Arial" w:cs="Arial" w:eastAsia="Arial" w:hAnsi="Arial"/>
                <w:sz w:val="19"/>
                <w:szCs w:val="19"/>
                <w:color w:val="auto"/>
              </w:rPr>
              <w:t>$49.58</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2.0X</w:t>
            </w:r>
          </w:p>
        </w:tc>
      </w:tr>
      <w:tr>
        <w:trPr>
          <w:trHeight w:val="21"/>
        </w:trPr>
        <w:tc>
          <w:tcPr>
            <w:tcW w:w="3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100%</w:t>
            </w:r>
          </w:p>
        </w:tc>
        <w:tc>
          <w:tcPr>
            <w:tcW w:w="3220" w:type="dxa"/>
            <w:vAlign w:val="bottom"/>
            <w:tcBorders>
              <w:right w:val="single" w:sz="8" w:color="auto"/>
            </w:tcBorders>
          </w:tcPr>
          <w:p>
            <w:pPr>
              <w:jc w:val="right"/>
              <w:ind w:right="946"/>
              <w:spacing w:after="0"/>
              <w:rPr>
                <w:sz w:val="20"/>
                <w:szCs w:val="20"/>
                <w:color w:val="auto"/>
              </w:rPr>
            </w:pPr>
            <w:r>
              <w:rPr>
                <w:rFonts w:ascii="Arial" w:cs="Arial" w:eastAsia="Arial" w:hAnsi="Arial"/>
                <w:sz w:val="19"/>
                <w:szCs w:val="19"/>
                <w:color w:val="auto"/>
              </w:rPr>
              <w:t>≥$55.09</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2.5X*</w:t>
            </w:r>
          </w:p>
        </w:tc>
      </w:tr>
      <w:tr>
        <w:trPr>
          <w:trHeight w:val="21"/>
        </w:trPr>
        <w:tc>
          <w:tcPr>
            <w:tcW w:w="3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*Subject to Multiplier PSU Cap</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Each Share Price Hurdle represents a “cliff” performance requirement, and there will be no interpolation between hurdles.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Once a Share Price Hurdle is achieved, it remains achieved and the corresponding Absolute TSR Multiplier will be earned, even if the Share Price falls below the related Target Share Price later in the Absolute TSR Performance Period. Notwithstanding the foregoing, if the average Share Price over the twenty trading days immediately prior to the end of the Absolute TSR Performance Period is below the lowest Share Price Hurdle (i.e., below the </w:t>
      </w:r>
      <w:r>
        <w:rPr>
          <w:rFonts w:ascii="Arial" w:cs="Arial" w:eastAsia="Arial" w:hAnsi="Arial"/>
          <w:sz w:val="18"/>
          <w:szCs w:val="18"/>
          <w:color w:val="auto"/>
        </w:rPr>
        <w:t>$41.32</w:t>
      </w:r>
      <w:r>
        <w:rPr>
          <w:rFonts w:ascii="Arial" w:cs="Arial" w:eastAsia="Arial" w:hAnsi="Arial"/>
          <w:sz w:val="20"/>
          <w:szCs w:val="20"/>
          <w:color w:val="auto"/>
        </w:rPr>
        <w:t xml:space="preserve"> Share Price Hurdle), then any Share Price Hurdles previously achieved will be invalidated and no Absolute TSR Multiplier will be earned.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Calculation of Multiplier PSUs. </w:t>
      </w:r>
      <w:r>
        <w:rPr>
          <w:rFonts w:ascii="Arial" w:cs="Arial" w:eastAsia="Arial" w:hAnsi="Arial"/>
          <w:sz w:val="20"/>
          <w:szCs w:val="20"/>
          <w:color w:val="auto"/>
        </w:rPr>
        <w:t>In the event that one or more Absolute TSR Multipliers are earned, as described above, the</w:t>
      </w:r>
      <w:r>
        <w:rPr>
          <w:rFonts w:ascii="Arial" w:cs="Arial" w:eastAsia="Arial" w:hAnsi="Arial"/>
          <w:sz w:val="20"/>
          <w:szCs w:val="20"/>
          <w:b w:val="1"/>
          <w:bCs w:val="1"/>
          <w:color w:val="auto"/>
        </w:rPr>
        <w:t xml:space="preserve"> </w:t>
      </w:r>
      <w:r>
        <w:rPr>
          <w:rFonts w:ascii="Arial" w:cs="Arial" w:eastAsia="Arial" w:hAnsi="Arial"/>
          <w:sz w:val="20"/>
          <w:szCs w:val="20"/>
          <w:color w:val="auto"/>
        </w:rPr>
        <w:t>number of Multiplier PSUs earned by the Participant shall be equal to the excess of (a) the product obtained by multiplying the highest Absolute TSR Multiplier earned by the number of the Participant’s Earned PSUs for the Performance Period,</w:t>
      </w:r>
    </w:p>
    <w:p>
      <w:pPr>
        <w:sectPr>
          <w:pgSz w:w="11900" w:h="16838" w:orient="portrait"/>
          <w:cols w:equalWidth="0" w:num="1">
            <w:col w:w="11240"/>
          </w:cols>
          <w:pgMar w:left="320" w:top="1412"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20"/>
          <w:szCs w:val="20"/>
          <w:color w:val="auto"/>
        </w:rPr>
        <w:t>over (b) the number of the Participant’s Earned PSUs for the Performance Period, rounded up to the nearest whole unit and subject to the Multiplier PSU Cap described below.</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Multiplier PSU Cap. </w:t>
      </w:r>
      <w:r>
        <w:rPr>
          <w:rFonts w:ascii="Arial" w:cs="Arial" w:eastAsia="Arial" w:hAnsi="Arial"/>
          <w:sz w:val="20"/>
          <w:szCs w:val="20"/>
          <w:color w:val="auto"/>
        </w:rPr>
        <w:t>In the event that the highest Absolute TSR Multiplier has been achieved (i.e., 2.5x) and the Share Price at</w:t>
      </w:r>
      <w:r>
        <w:rPr>
          <w:rFonts w:ascii="Arial" w:cs="Arial" w:eastAsia="Arial" w:hAnsi="Arial"/>
          <w:sz w:val="20"/>
          <w:szCs w:val="20"/>
          <w:b w:val="1"/>
          <w:bCs w:val="1"/>
          <w:color w:val="auto"/>
        </w:rPr>
        <w:t xml:space="preserve"> </w:t>
      </w:r>
      <w:r>
        <w:rPr>
          <w:rFonts w:ascii="Arial" w:cs="Arial" w:eastAsia="Arial" w:hAnsi="Arial"/>
          <w:sz w:val="20"/>
          <w:szCs w:val="20"/>
          <w:color w:val="auto"/>
        </w:rPr>
        <w:t>the end of the Absolute TSR Performance Period (the “</w:t>
      </w:r>
      <w:r>
        <w:rPr>
          <w:rFonts w:ascii="Arial" w:cs="Arial" w:eastAsia="Arial" w:hAnsi="Arial"/>
          <w:sz w:val="20"/>
          <w:szCs w:val="20"/>
          <w:u w:val="single" w:color="auto"/>
          <w:color w:val="auto"/>
        </w:rPr>
        <w:t>Ending Price</w:t>
      </w:r>
      <w:r>
        <w:rPr>
          <w:rFonts w:ascii="Arial" w:cs="Arial" w:eastAsia="Arial" w:hAnsi="Arial"/>
          <w:sz w:val="20"/>
          <w:szCs w:val="20"/>
          <w:color w:val="auto"/>
        </w:rPr>
        <w:t>”) is above the Target Share Price for the highest Share Price Hurdle (i.e., above $55.09) (the “</w:t>
      </w:r>
      <w:r>
        <w:rPr>
          <w:rFonts w:ascii="Arial" w:cs="Arial" w:eastAsia="Arial" w:hAnsi="Arial"/>
          <w:sz w:val="20"/>
          <w:szCs w:val="20"/>
          <w:u w:val="single" w:color="auto"/>
          <w:color w:val="auto"/>
        </w:rPr>
        <w:t>Highest Hurdle Price</w:t>
      </w:r>
      <w:r>
        <w:rPr>
          <w:rFonts w:ascii="Arial" w:cs="Arial" w:eastAsia="Arial" w:hAnsi="Arial"/>
          <w:sz w:val="20"/>
          <w:szCs w:val="20"/>
          <w:color w:val="auto"/>
        </w:rPr>
        <w:t>”), the number of Multiplier PSUs earned by the Participant shall be reduced and shall be equal to the following, rounded up to the nearest whole unit: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Earned Multiplier PSUs (prior to adjustment for Multiplier PSU Cap) * Highest Hurdle Price ($55.09)</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Ending Price</w:t>
      </w:r>
    </w:p>
    <w:p>
      <w:pPr>
        <w:spacing w:after="0" w:line="238"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Following the last day of the Absolute TSR Performance Period, the Committee shall determine whether any Absolute TSR Multipliers were achieved and will approve the final number Multiplier PSUs earned, taking into account the Multiplier PSU Cap, if applicable, and rounding to the nearest whole unit.</w:t>
      </w:r>
    </w:p>
    <w:p>
      <w:pPr>
        <w:sectPr>
          <w:pgSz w:w="11900" w:h="16838" w:orient="portrait"/>
          <w:cols w:equalWidth="0" w:num="1">
            <w:col w:w="11240"/>
          </w:cols>
          <w:pgMar w:left="320" w:top="141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PERFORMANCE STOCK UNIT AGREEMENT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NATIONAL VISION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2017 OMNIBUS INCENTIVE PLAN</w:t>
      </w:r>
    </w:p>
    <w:p>
      <w:pPr>
        <w:spacing w:after="0" w:line="198"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0"/>
          <w:szCs w:val="20"/>
          <w:color w:val="auto"/>
        </w:rPr>
        <w:t>Pursuant to the Performance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delivered to the Participant (as defined in the Grant Notice), and subject to the terms of this Performance Stock Unit Agreement (this “</w:t>
      </w:r>
      <w:r>
        <w:rPr>
          <w:rFonts w:ascii="Arial" w:cs="Arial" w:eastAsia="Arial" w:hAnsi="Arial"/>
          <w:sz w:val="20"/>
          <w:szCs w:val="20"/>
          <w:u w:val="single" w:color="auto"/>
          <w:color w:val="auto"/>
        </w:rPr>
        <w:t>Performance Stock Unit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 the National Vision Holdings, Inc. 2017 Omnibus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National Vision Holdings,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agree as follows. Capitalized terms not otherwise defined herein shall have the same meaning as set forth in the Plan.</w:t>
      </w:r>
    </w:p>
    <w:p>
      <w:pPr>
        <w:spacing w:after="0" w:line="166" w:lineRule="exact"/>
        <w:rPr>
          <w:sz w:val="20"/>
          <w:szCs w:val="20"/>
          <w:color w:val="auto"/>
        </w:rPr>
      </w:pPr>
    </w:p>
    <w:p>
      <w:pPr>
        <w:jc w:val="both"/>
        <w:ind w:firstLine="1304"/>
        <w:spacing w:after="0" w:line="254" w:lineRule="auto"/>
        <w:tabs>
          <w:tab w:leader="none" w:pos="1516"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Performance Stock Units</w:t>
      </w:r>
      <w:r>
        <w:rPr>
          <w:rFonts w:ascii="Arial" w:cs="Arial" w:eastAsia="Arial" w:hAnsi="Arial"/>
          <w:sz w:val="20"/>
          <w:szCs w:val="20"/>
          <w:color w:val="auto"/>
        </w:rPr>
        <w:t>. Subject to the terms and conditions set forth herein and in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Participant the number of Performance Stock Units provided in the Grant Notice (with each Performance Stock Unit representing the right to receive one share of Common Stock upon the vesting of such Performance Stock Unit).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72" w:lineRule="exact"/>
        <w:rPr>
          <w:rFonts w:ascii="Arial" w:cs="Arial" w:eastAsia="Arial" w:hAnsi="Arial"/>
          <w:sz w:val="20"/>
          <w:szCs w:val="20"/>
          <w:color w:val="auto"/>
        </w:rPr>
      </w:pPr>
    </w:p>
    <w:p>
      <w:pPr>
        <w:ind w:firstLine="1304"/>
        <w:spacing w:after="0" w:line="288" w:lineRule="auto"/>
        <w:tabs>
          <w:tab w:leader="none" w:pos="1529"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color w:val="auto"/>
        </w:rPr>
        <w:t>. Subject to the conditions contained herein and in the Plan, the Performance Stock Units shall vest</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restrictions on such Performance Stock Units shall lapse as provided in the Grant Notice.</w:t>
      </w:r>
    </w:p>
    <w:p>
      <w:pPr>
        <w:spacing w:after="0" w:line="136" w:lineRule="exact"/>
        <w:rPr>
          <w:rFonts w:ascii="Arial" w:cs="Arial" w:eastAsia="Arial" w:hAnsi="Arial"/>
          <w:sz w:val="20"/>
          <w:szCs w:val="20"/>
          <w:color w:val="auto"/>
        </w:rPr>
      </w:pPr>
    </w:p>
    <w:p>
      <w:pPr>
        <w:jc w:val="both"/>
        <w:ind w:firstLine="1304"/>
        <w:spacing w:after="0" w:line="263" w:lineRule="auto"/>
        <w:tabs>
          <w:tab w:leader="none" w:pos="1543"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Settlement of Performance Stock Units</w:t>
      </w:r>
      <w:r>
        <w:rPr>
          <w:rFonts w:ascii="Arial" w:cs="Arial" w:eastAsia="Arial" w:hAnsi="Arial"/>
          <w:sz w:val="20"/>
          <w:szCs w:val="20"/>
          <w:color w:val="auto"/>
        </w:rPr>
        <w:t>. The provisions of Section 9(d)(ii) of the Plan are incorporated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herein by reference and made a part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will settlement of a Performance Stock Unit occur more than thirty (30) days following the expiration of its Restricted Period.</w:t>
      </w:r>
    </w:p>
    <w:p>
      <w:pPr>
        <w:spacing w:after="0" w:line="175" w:lineRule="exact"/>
        <w:rPr>
          <w:rFonts w:ascii="Arial" w:cs="Arial" w:eastAsia="Arial" w:hAnsi="Arial"/>
          <w:sz w:val="20"/>
          <w:szCs w:val="20"/>
          <w:color w:val="auto"/>
        </w:rPr>
      </w:pPr>
    </w:p>
    <w:p>
      <w:pPr>
        <w:ind w:left="1520" w:hanging="216"/>
        <w:spacing w:after="0"/>
        <w:tabs>
          <w:tab w:leader="none" w:pos="1520"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w:t>
      </w:r>
    </w:p>
    <w:p>
      <w:pPr>
        <w:spacing w:after="0" w:line="231" w:lineRule="exact"/>
        <w:rPr>
          <w:sz w:val="20"/>
          <w:szCs w:val="20"/>
          <w:color w:val="auto"/>
        </w:rPr>
      </w:pPr>
    </w:p>
    <w:p>
      <w:pPr>
        <w:ind w:right="20" w:firstLine="1304"/>
        <w:spacing w:after="0" w:line="271" w:lineRule="auto"/>
        <w:tabs>
          <w:tab w:leader="none" w:pos="1602"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w:t>
      </w:r>
      <w:r>
        <w:rPr>
          <w:rFonts w:ascii="Arial" w:cs="Arial" w:eastAsia="Arial" w:hAnsi="Arial"/>
          <w:sz w:val="20"/>
          <w:szCs w:val="20"/>
          <w:color w:val="auto"/>
        </w:rPr>
        <w:t>” as used in this Performance Stock Unit Agreement with reference to employment shall include the Company and its Subsidiaries.</w:t>
      </w:r>
    </w:p>
    <w:p>
      <w:pPr>
        <w:spacing w:after="0" w:line="169" w:lineRule="exact"/>
        <w:rPr>
          <w:rFonts w:ascii="Arial" w:cs="Arial" w:eastAsia="Arial" w:hAnsi="Arial"/>
          <w:sz w:val="20"/>
          <w:szCs w:val="20"/>
          <w:color w:val="auto"/>
        </w:rPr>
      </w:pPr>
    </w:p>
    <w:p>
      <w:pPr>
        <w:jc w:val="both"/>
        <w:ind w:firstLine="1304"/>
        <w:spacing w:after="0" w:line="252" w:lineRule="auto"/>
        <w:tabs>
          <w:tab w:leader="none" w:pos="1647"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Good Reason</w:t>
      </w:r>
      <w:r>
        <w:rPr>
          <w:rFonts w:ascii="Arial" w:cs="Arial" w:eastAsia="Arial" w:hAnsi="Arial"/>
          <w:sz w:val="20"/>
          <w:szCs w:val="20"/>
          <w:color w:val="auto"/>
        </w:rPr>
        <w:t>” as used in this Performance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w:t>
      </w:r>
    </w:p>
    <w:p>
      <w:pPr>
        <w:sectPr>
          <w:pgSz w:w="11900" w:h="16838" w:orient="portrait"/>
          <w:cols w:equalWidth="0" w:num="1">
            <w:col w:w="11240"/>
          </w:cols>
          <w:pgMar w:left="320" w:top="1412" w:right="339" w:bottom="1440" w:gutter="0" w:footer="0" w:header="0"/>
        </w:sectPr>
      </w:pPr>
    </w:p>
    <w:bookmarkStart w:id="48" w:name="page49"/>
    <w:bookmarkEnd w:id="48"/>
    <w:p>
      <w:pPr>
        <w:spacing w:after="0" w:line="286" w:lineRule="auto"/>
        <w:rPr>
          <w:sz w:val="20"/>
          <w:szCs w:val="20"/>
          <w:color w:val="auto"/>
        </w:rPr>
      </w:pPr>
      <w:r>
        <w:rPr>
          <w:rFonts w:ascii="Arial" w:cs="Arial" w:eastAsia="Arial" w:hAnsi="Arial"/>
          <w:sz w:val="20"/>
          <w:szCs w:val="20"/>
          <w:color w:val="auto"/>
        </w:rPr>
        <w:t>Reason as a result of the event. No Good Reason will exist if the Company cures any of the foregoing within thirty (30) days after the Participant claims Good Reason.</w:t>
      </w:r>
    </w:p>
    <w:p>
      <w:pPr>
        <w:spacing w:after="0" w:line="140" w:lineRule="exact"/>
        <w:rPr>
          <w:sz w:val="20"/>
          <w:szCs w:val="20"/>
          <w:color w:val="auto"/>
        </w:rPr>
      </w:pPr>
    </w:p>
    <w:p>
      <w:pPr>
        <w:jc w:val="both"/>
        <w:ind w:firstLine="1304"/>
        <w:spacing w:after="0" w:line="259" w:lineRule="auto"/>
        <w:tabs>
          <w:tab w:leader="none" w:pos="1605" w:val="left"/>
        </w:tabs>
        <w:numPr>
          <w:ilvl w:val="0"/>
          <w:numId w:val="21"/>
        </w:numPr>
        <w:rPr>
          <w:rFonts w:ascii="Arial" w:cs="Arial" w:eastAsia="Arial" w:hAnsi="Arial"/>
          <w:sz w:val="20"/>
          <w:szCs w:val="20"/>
          <w:color w:val="auto"/>
        </w:rPr>
      </w:pPr>
      <w:r>
        <w:rPr>
          <w:rFonts w:ascii="Arial" w:cs="Arial" w:eastAsia="Arial" w:hAnsi="Arial"/>
          <w:sz w:val="20"/>
          <w:szCs w:val="20"/>
          <w:color w:val="auto"/>
        </w:rPr>
        <w:t>Whenever the word “</w:t>
      </w:r>
      <w:r>
        <w:rPr>
          <w:rFonts w:ascii="Arial" w:cs="Arial" w:eastAsia="Arial" w:hAnsi="Arial"/>
          <w:sz w:val="20"/>
          <w:szCs w:val="20"/>
          <w:u w:val="single" w:color="auto"/>
          <w:color w:val="auto"/>
        </w:rPr>
        <w:t>Participant</w:t>
      </w:r>
      <w:r>
        <w:rPr>
          <w:rFonts w:ascii="Arial" w:cs="Arial" w:eastAsia="Arial" w:hAnsi="Arial"/>
          <w:sz w:val="20"/>
          <w:szCs w:val="20"/>
          <w:color w:val="auto"/>
        </w:rPr>
        <w:t>” is used in any provision of this Performance Stock Unit Agreement under circumstances where the provision should logically be construed to apply to the executors, the administrators, or the person or persons to whom the Performance Stock Units may be transferred by will or by the laws of descent and distribution, the word “Participant” shall be deemed to include such person or persons.</w:t>
      </w:r>
    </w:p>
    <w:p>
      <w:pPr>
        <w:spacing w:after="0" w:line="180" w:lineRule="exact"/>
        <w:rPr>
          <w:sz w:val="20"/>
          <w:szCs w:val="20"/>
          <w:color w:val="auto"/>
        </w:rPr>
      </w:pPr>
    </w:p>
    <w:p>
      <w:pPr>
        <w:jc w:val="both"/>
        <w:ind w:firstLine="1304"/>
        <w:spacing w:after="0" w:line="255" w:lineRule="auto"/>
        <w:tabs>
          <w:tab w:leader="none" w:pos="1516"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Performance Stock Units are not transferable by the Participant except to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Transferees 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82" w:lineRule="exact"/>
        <w:rPr>
          <w:rFonts w:ascii="Arial" w:cs="Arial" w:eastAsia="Arial" w:hAnsi="Arial"/>
          <w:sz w:val="20"/>
          <w:szCs w:val="20"/>
          <w:color w:val="auto"/>
        </w:rPr>
      </w:pPr>
    </w:p>
    <w:p>
      <w:pPr>
        <w:jc w:val="both"/>
        <w:ind w:firstLine="1304"/>
        <w:spacing w:after="0" w:line="255" w:lineRule="auto"/>
        <w:tabs>
          <w:tab w:leader="none" w:pos="1516"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Stockholder</w:t>
      </w:r>
      <w:r>
        <w:rPr>
          <w:rFonts w:ascii="Arial" w:cs="Arial" w:eastAsia="Arial" w:hAnsi="Arial"/>
          <w:sz w:val="20"/>
          <w:szCs w:val="20"/>
          <w:color w:val="auto"/>
        </w:rPr>
        <w:t>. The Participant or a Permitted Transferee of the Performance Stock Units shall have</w:t>
      </w:r>
      <w:r>
        <w:rPr>
          <w:rFonts w:ascii="Arial" w:cs="Arial" w:eastAsia="Arial" w:hAnsi="Arial"/>
          <w:sz w:val="20"/>
          <w:szCs w:val="20"/>
          <w:b w:val="1"/>
          <w:bCs w:val="1"/>
          <w:color w:val="auto"/>
        </w:rPr>
        <w:t xml:space="preserve"> </w:t>
      </w:r>
      <w:r>
        <w:rPr>
          <w:rFonts w:ascii="Arial" w:cs="Arial" w:eastAsia="Arial" w:hAnsi="Arial"/>
          <w:sz w:val="20"/>
          <w:szCs w:val="20"/>
          <w:color w:val="auto"/>
        </w:rPr>
        <w:t>no rights as a stockholder with respect to any share of Common Stock underlying a Performance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83" w:lineRule="exact"/>
        <w:rPr>
          <w:rFonts w:ascii="Arial" w:cs="Arial" w:eastAsia="Arial" w:hAnsi="Arial"/>
          <w:sz w:val="20"/>
          <w:szCs w:val="20"/>
          <w:color w:val="auto"/>
        </w:rPr>
      </w:pPr>
    </w:p>
    <w:p>
      <w:pPr>
        <w:ind w:left="1520" w:hanging="216"/>
        <w:spacing w:after="0"/>
        <w:tabs>
          <w:tab w:leader="none" w:pos="1520"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Tax Withholding</w:t>
      </w:r>
      <w:r>
        <w:rPr>
          <w:rFonts w:ascii="Arial" w:cs="Arial" w:eastAsia="Arial" w:hAnsi="Arial"/>
          <w:sz w:val="20"/>
          <w:szCs w:val="20"/>
          <w:color w:val="auto"/>
        </w:rPr>
        <w:t>. The provisions of Section 14(d) of the Plan are incorporated herein by reference and made</w:t>
      </w:r>
    </w:p>
    <w:p>
      <w:pPr>
        <w:spacing w:after="0" w:line="3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 part hereof.</w:t>
      </w:r>
    </w:p>
    <w:p>
      <w:pPr>
        <w:spacing w:after="0" w:line="195" w:lineRule="exact"/>
        <w:rPr>
          <w:rFonts w:ascii="Arial" w:cs="Arial" w:eastAsia="Arial" w:hAnsi="Arial"/>
          <w:sz w:val="20"/>
          <w:szCs w:val="20"/>
          <w:color w:val="auto"/>
        </w:rPr>
      </w:pPr>
    </w:p>
    <w:p>
      <w:pPr>
        <w:jc w:val="both"/>
        <w:ind w:firstLine="1304"/>
        <w:spacing w:after="0" w:line="251" w:lineRule="auto"/>
        <w:tabs>
          <w:tab w:leader="none" w:pos="1529"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color w:val="auto"/>
        </w:rPr>
        <w:t>. Every notice or other communication relating to this Performance Stock Unit Agreement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6" w:lineRule="exact"/>
        <w:rPr>
          <w:rFonts w:ascii="Arial" w:cs="Arial" w:eastAsia="Arial" w:hAnsi="Arial"/>
          <w:sz w:val="20"/>
          <w:szCs w:val="20"/>
          <w:color w:val="auto"/>
        </w:rPr>
      </w:pPr>
    </w:p>
    <w:p>
      <w:pPr>
        <w:ind w:firstLine="1304"/>
        <w:spacing w:after="0" w:line="288" w:lineRule="auto"/>
        <w:tabs>
          <w:tab w:leader="none" w:pos="1570"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Performance Stock Unit Agreement does not confer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any right to continue as an employee or service provider to the Company.</w:t>
      </w:r>
    </w:p>
    <w:p>
      <w:pPr>
        <w:spacing w:after="0" w:line="136" w:lineRule="exact"/>
        <w:rPr>
          <w:rFonts w:ascii="Arial" w:cs="Arial" w:eastAsia="Arial" w:hAnsi="Arial"/>
          <w:sz w:val="20"/>
          <w:szCs w:val="20"/>
          <w:color w:val="auto"/>
        </w:rPr>
      </w:pPr>
    </w:p>
    <w:p>
      <w:pPr>
        <w:ind w:firstLine="1304"/>
        <w:spacing w:after="0" w:line="288" w:lineRule="auto"/>
        <w:tabs>
          <w:tab w:leader="none" w:pos="1680"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Performance Stock Unit Agreement shall be binding upon the heirs, executors,</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administrators and successors of the parties hereto.</w:t>
      </w:r>
    </w:p>
    <w:p>
      <w:pPr>
        <w:spacing w:after="0" w:line="136" w:lineRule="exact"/>
        <w:rPr>
          <w:rFonts w:ascii="Arial" w:cs="Arial" w:eastAsia="Arial" w:hAnsi="Arial"/>
          <w:sz w:val="20"/>
          <w:szCs w:val="20"/>
          <w:color w:val="auto"/>
        </w:rPr>
      </w:pPr>
    </w:p>
    <w:p>
      <w:pPr>
        <w:ind w:right="20" w:firstLine="1304"/>
        <w:spacing w:after="0" w:line="288" w:lineRule="auto"/>
        <w:tabs>
          <w:tab w:leader="none" w:pos="1625"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and Amendments</w:t>
      </w:r>
      <w:r>
        <w:rPr>
          <w:rFonts w:ascii="Arial" w:cs="Arial" w:eastAsia="Arial" w:hAnsi="Arial"/>
          <w:sz w:val="20"/>
          <w:szCs w:val="20"/>
          <w:color w:val="auto"/>
        </w:rPr>
        <w:t>. Except as otherwise set forth in Section 13 of the Plan, any waiver, alteration,</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or modification of any of the terms of this</w:t>
      </w:r>
    </w:p>
    <w:p>
      <w:pPr>
        <w:sectPr>
          <w:pgSz w:w="11900" w:h="16838" w:orient="portrait"/>
          <w:cols w:equalWidth="0" w:num="1">
            <w:col w:w="11240"/>
          </w:cols>
          <w:pgMar w:left="320" w:top="1414" w:right="339" w:bottom="1440" w:gutter="0" w:footer="0" w:header="0"/>
        </w:sectPr>
      </w:pPr>
    </w:p>
    <w:bookmarkStart w:id="49" w:name="page50"/>
    <w:bookmarkEnd w:id="49"/>
    <w:p>
      <w:pPr>
        <w:jc w:val="both"/>
        <w:spacing w:after="0" w:line="254" w:lineRule="auto"/>
        <w:rPr>
          <w:sz w:val="20"/>
          <w:szCs w:val="20"/>
          <w:color w:val="auto"/>
        </w:rPr>
      </w:pPr>
      <w:r>
        <w:rPr>
          <w:rFonts w:ascii="Arial" w:cs="Arial" w:eastAsia="Arial" w:hAnsi="Arial"/>
          <w:sz w:val="20"/>
          <w:szCs w:val="20"/>
          <w:color w:val="auto"/>
        </w:rPr>
        <w:t xml:space="preserve">Performance Stock Unit Agreement shall be valid only if made in writing and signed by the parties 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5" w:lineRule="exact"/>
        <w:rPr>
          <w:sz w:val="20"/>
          <w:szCs w:val="20"/>
          <w:color w:val="auto"/>
        </w:rPr>
      </w:pPr>
    </w:p>
    <w:p>
      <w:pPr>
        <w:jc w:val="both"/>
        <w:ind w:firstLine="1304"/>
        <w:spacing w:after="0" w:line="255" w:lineRule="auto"/>
        <w:tabs>
          <w:tab w:leader="none" w:pos="1639"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Performance Stock Unit Agreement shall be construed and interpreted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182" w:lineRule="exact"/>
        <w:rPr>
          <w:rFonts w:ascii="Arial" w:cs="Arial" w:eastAsia="Arial" w:hAnsi="Arial"/>
          <w:sz w:val="20"/>
          <w:szCs w:val="20"/>
          <w:color w:val="auto"/>
        </w:rPr>
      </w:pPr>
    </w:p>
    <w:p>
      <w:pPr>
        <w:jc w:val="both"/>
        <w:ind w:firstLine="1304"/>
        <w:spacing w:after="0" w:line="263" w:lineRule="auto"/>
        <w:tabs>
          <w:tab w:leader="none" w:pos="1626"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terms and provisions of the Plan are incorporated herein by reference. In the event of a conflict or</w:t>
      </w:r>
      <w:r>
        <w:rPr>
          <w:rFonts w:ascii="Arial" w:cs="Arial" w:eastAsia="Arial" w:hAnsi="Arial"/>
          <w:sz w:val="20"/>
          <w:szCs w:val="20"/>
          <w:b w:val="1"/>
          <w:bCs w:val="1"/>
          <w:color w:val="auto"/>
        </w:rPr>
        <w:t xml:space="preserve"> </w:t>
      </w:r>
      <w:r>
        <w:rPr>
          <w:rFonts w:ascii="Arial" w:cs="Arial" w:eastAsia="Arial" w:hAnsi="Arial"/>
          <w:sz w:val="20"/>
          <w:szCs w:val="20"/>
          <w:color w:val="auto"/>
        </w:rPr>
        <w:t>inconsistency between the terms and provisions of the Plan and the provisions of this Performance Stock Unit Agreement (including the Grant Notice), the Plan shall govern and control.</w:t>
      </w:r>
    </w:p>
    <w:p>
      <w:pPr>
        <w:sectPr>
          <w:pgSz w:w="11900" w:h="16838" w:orient="portrait"/>
          <w:cols w:equalWidth="0" w:num="1">
            <w:col w:w="11240"/>
          </w:cols>
          <w:pgMar w:left="320" w:top="141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NATIONAL VISION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2017 OMNIBUS INCENTIVE PLAN</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National Vision Holdings, Inc.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2017 Omnibus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Participant Name</w:t>
      </w:r>
      <w:r>
        <w:rPr>
          <w:rFonts w:ascii="Arial" w:cs="Arial" w:eastAsia="Arial" w:hAnsi="Arial"/>
          <w:sz w:val="19"/>
          <w:szCs w:val="19"/>
          <w:color w:val="auto"/>
        </w:rPr>
        <w:t>]</w:t>
      </w:r>
    </w:p>
    <w:p>
      <w:pPr>
        <w:spacing w:after="0" w:line="229"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Date of Grant</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Grant Date</w:t>
      </w:r>
      <w:r>
        <w:rPr>
          <w:rFonts w:ascii="Arial" w:cs="Arial" w:eastAsia="Arial" w:hAnsi="Arial"/>
          <w:sz w:val="19"/>
          <w:szCs w:val="19"/>
          <w:color w:val="auto"/>
        </w:rPr>
        <w:t>]</w:t>
      </w:r>
    </w:p>
    <w:p>
      <w:pPr>
        <w:spacing w:after="0" w:line="216" w:lineRule="exact"/>
        <w:rPr>
          <w:sz w:val="20"/>
          <w:szCs w:val="20"/>
          <w:color w:val="auto"/>
        </w:rPr>
      </w:pPr>
    </w:p>
    <w:p>
      <w:pPr>
        <w:spacing w:after="0"/>
        <w:tabs>
          <w:tab w:leader="none" w:pos="3480" w:val="left"/>
        </w:tabs>
        <w:rPr>
          <w:sz w:val="20"/>
          <w:szCs w:val="20"/>
          <w:color w:val="auto"/>
        </w:rPr>
      </w:pPr>
      <w:r>
        <w:rPr>
          <w:rFonts w:ascii="Arial" w:cs="Arial" w:eastAsia="Arial" w:hAnsi="Arial"/>
          <w:sz w:val="20"/>
          <w:szCs w:val="20"/>
          <w:b w:val="1"/>
          <w:bCs w:val="1"/>
          <w:color w:val="auto"/>
        </w:rPr>
        <w:t>Number of Restricted Stock Units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Quantity Granted</w:t>
      </w:r>
      <w:r>
        <w:rPr>
          <w:rFonts w:ascii="Arial" w:cs="Arial" w:eastAsia="Arial" w:hAnsi="Arial"/>
          <w:sz w:val="19"/>
          <w:szCs w:val="19"/>
          <w:color w:val="auto"/>
        </w:rPr>
        <w:t>]</w:t>
      </w:r>
    </w:p>
    <w:p>
      <w:pPr>
        <w:spacing w:after="0" w:line="229" w:lineRule="exact"/>
        <w:rPr>
          <w:sz w:val="20"/>
          <w:szCs w:val="20"/>
          <w:color w:val="auto"/>
        </w:rPr>
      </w:pPr>
    </w:p>
    <w:p>
      <w:pPr>
        <w:jc w:val="both"/>
        <w:ind w:left="1960" w:hanging="3239"/>
        <w:spacing w:after="0" w:line="235" w:lineRule="auto"/>
        <w:tabs>
          <w:tab w:leader="none" w:pos="194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Provided the Participant has not undergone a Termination at the time of each applicable vesting date (or event) (each, a “</w:t>
      </w:r>
      <w:r>
        <w:rPr>
          <w:rFonts w:ascii="Arial" w:cs="Arial" w:eastAsia="Arial" w:hAnsi="Arial"/>
          <w:sz w:val="20"/>
          <w:szCs w:val="20"/>
          <w:u w:val="single" w:color="auto"/>
          <w:color w:val="auto"/>
        </w:rPr>
        <w:t>Vesting Date</w:t>
      </w:r>
      <w:r>
        <w:rPr>
          <w:rFonts w:ascii="Arial" w:cs="Arial" w:eastAsia="Arial" w:hAnsi="Arial"/>
          <w:sz w:val="20"/>
          <w:szCs w:val="20"/>
          <w:color w:val="auto"/>
        </w:rPr>
        <w:t>”), the Restricted Stock Units will vest in full on the first (1</w:t>
      </w:r>
      <w:r>
        <w:rPr>
          <w:rFonts w:ascii="Arial" w:cs="Arial" w:eastAsia="Arial" w:hAnsi="Arial"/>
          <w:sz w:val="25"/>
          <w:szCs w:val="25"/>
          <w:color w:val="auto"/>
          <w:vertAlign w:val="superscript"/>
        </w:rPr>
        <w:t>st</w:t>
      </w:r>
      <w:r>
        <w:rPr>
          <w:rFonts w:ascii="Arial" w:cs="Arial" w:eastAsia="Arial" w:hAnsi="Arial"/>
          <w:sz w:val="20"/>
          <w:szCs w:val="20"/>
          <w:color w:val="auto"/>
        </w:rPr>
        <w:t>) anniversary of the Date of Grant.</w:t>
      </w:r>
    </w:p>
    <w:p>
      <w:pPr>
        <w:spacing w:after="0" w:line="202" w:lineRule="exact"/>
        <w:rPr>
          <w:sz w:val="20"/>
          <w:szCs w:val="20"/>
          <w:color w:val="auto"/>
        </w:rPr>
      </w:pPr>
    </w:p>
    <w:p>
      <w:pPr>
        <w:jc w:val="both"/>
        <w:ind w:left="3580"/>
        <w:spacing w:after="0" w:line="255" w:lineRule="auto"/>
        <w:rPr>
          <w:sz w:val="20"/>
          <w:szCs w:val="20"/>
          <w:color w:val="auto"/>
        </w:rPr>
      </w:pPr>
      <w:r>
        <w:rPr>
          <w:rFonts w:ascii="Arial" w:cs="Arial" w:eastAsia="Arial" w:hAnsi="Arial"/>
          <w:sz w:val="20"/>
          <w:szCs w:val="20"/>
          <w:color w:val="auto"/>
        </w:rPr>
        <w:t>In the event that the Participant undergoes a Termination for any reason, (i) all vesting with respect to such Restricted Stock Units shall cease and (ii) all unvested Restricted Stock Units shall be forfeited by the Participant for no consideration as of the date of such Termination.</w:t>
      </w:r>
    </w:p>
    <w:p>
      <w:pPr>
        <w:spacing w:after="0" w:line="184" w:lineRule="exact"/>
        <w:rPr>
          <w:sz w:val="20"/>
          <w:szCs w:val="20"/>
          <w:color w:val="auto"/>
        </w:rPr>
      </w:pPr>
    </w:p>
    <w:p>
      <w:pPr>
        <w:jc w:val="both"/>
        <w:ind w:left="3580"/>
        <w:spacing w:after="0" w:line="252" w:lineRule="auto"/>
        <w:rPr>
          <w:sz w:val="20"/>
          <w:szCs w:val="20"/>
          <w:color w:val="auto"/>
        </w:rPr>
      </w:pPr>
      <w:r>
        <w:rPr>
          <w:rFonts w:ascii="Arial" w:cs="Arial" w:eastAsia="Arial" w:hAnsi="Arial"/>
          <w:sz w:val="20"/>
          <w:szCs w:val="20"/>
          <w:color w:val="auto"/>
        </w:rPr>
        <w:t>Notwithstanding the foregoing, in the event of the Participant’s Termination due to Retirement, a number of Restricted Stock Units shall vest equal to the number of Restricted Stock Units that would have become vested on the next Vesting Date following the date of such Termination multiplied by a fraction, the numerator of which is the number of days that the Participant is employed by the Service Recipient from the most recent Vesting Date to the date of Termination and the denominator of which shall equal three hundred and sixty-five (365) (rounded down to the nearest whole Restricted Stock Unit).</w:t>
      </w:r>
    </w:p>
    <w:p>
      <w:pPr>
        <w:spacing w:after="0" w:line="188" w:lineRule="exact"/>
        <w:rPr>
          <w:sz w:val="20"/>
          <w:szCs w:val="20"/>
          <w:color w:val="auto"/>
        </w:rPr>
      </w:pPr>
    </w:p>
    <w:p>
      <w:pPr>
        <w:jc w:val="both"/>
        <w:ind w:left="3580"/>
        <w:spacing w:after="0" w:line="262" w:lineRule="auto"/>
        <w:rPr>
          <w:sz w:val="20"/>
          <w:szCs w:val="20"/>
          <w:color w:val="auto"/>
        </w:rPr>
      </w:pPr>
      <w:r>
        <w:rPr>
          <w:rFonts w:ascii="Arial" w:cs="Arial" w:eastAsia="Arial" w:hAnsi="Arial"/>
          <w:sz w:val="20"/>
          <w:szCs w:val="20"/>
          <w:color w:val="auto"/>
        </w:rPr>
        <w:t>In addition, in the event (i) of a Qualifying Termination within the two (2)-year period following a Change in Control or (ii) that the Participant undergoes a Termination as a result of the Participant’s death or Disability, the Participant shall fully vest in the</w:t>
      </w:r>
    </w:p>
    <w:p>
      <w:pPr>
        <w:sectPr>
          <w:pgSz w:w="11900" w:h="16838" w:orient="portrait"/>
          <w:cols w:equalWidth="0" w:num="1">
            <w:col w:w="11240"/>
          </w:cols>
          <w:pgMar w:left="320" w:top="11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color w:val="auto"/>
        </w:rPr>
        <w:t>Participant’s Restricted Stock Units to the extent not then vested or previously forfeited.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to appear on following page</w:t>
      </w:r>
      <w:r>
        <w:rPr>
          <w:rFonts w:ascii="Arial" w:cs="Arial" w:eastAsia="Arial" w:hAnsi="Arial"/>
          <w:sz w:val="20"/>
          <w:szCs w:val="20"/>
          <w:color w:val="auto"/>
        </w:rPr>
        <w:t>]</w:t>
      </w:r>
    </w:p>
    <w:p>
      <w:pPr>
        <w:sectPr>
          <w:pgSz w:w="11900" w:h="16838" w:orient="portrait"/>
          <w:cols w:equalWidth="0" w:num="1">
            <w:col w:w="10080"/>
          </w:cols>
          <w:pgMar w:left="1440" w:top="1414" w:right="379" w:bottom="1440" w:gutter="0" w:footer="0" w:header="0"/>
        </w:sectPr>
      </w:pPr>
    </w:p>
    <w:bookmarkStart w:id="52" w:name="page53"/>
    <w:bookmarkEnd w:id="52"/>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1179195</wp:posOffset>
            </wp:positionV>
            <wp:extent cx="16459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hanging="652"/>
        <w:spacing w:after="0" w:line="228" w:lineRule="auto"/>
        <w:tabs>
          <w:tab w:leader="none" w:pos="381" w:val="left"/>
        </w:tabs>
        <w:numPr>
          <w:ilvl w:val="0"/>
          <w:numId w:val="24"/>
        </w:numPr>
        <w:rPr>
          <w:rFonts w:ascii="Arial" w:cs="Arial" w:eastAsia="Arial" w:hAnsi="Arial"/>
          <w:sz w:val="26"/>
          <w:szCs w:val="26"/>
          <w:color w:val="auto"/>
          <w:vertAlign w:val="superscript"/>
        </w:rPr>
      </w:pPr>
      <w:r>
        <w:rPr>
          <w:rFonts w:ascii="Arial" w:cs="Arial" w:eastAsia="Arial" w:hAnsi="Arial"/>
          <w:sz w:val="20"/>
          <w:szCs w:val="20"/>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Restricted Stock Unit Award</w:t>
      </w:r>
      <w:r>
        <w:rPr>
          <w:rFonts w:ascii="Arial" w:cs="Arial" w:eastAsia="Arial" w:hAnsi="Arial"/>
          <w:sz w:val="16"/>
          <w:szCs w:val="16"/>
          <w:color w:val="auto"/>
        </w:rPr>
        <w:t>]</w:t>
      </w:r>
    </w:p>
    <w:p>
      <w:pPr>
        <w:sectPr>
          <w:pgSz w:w="11900" w:h="16838" w:orient="portrait"/>
          <w:cols w:equalWidth="0" w:num="1">
            <w:col w:w="11240"/>
          </w:cols>
          <w:pgMar w:left="320" w:top="144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NATIONAL VISION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2017 OMNIBUS INCENTIVE PLAN</w:t>
      </w:r>
    </w:p>
    <w:p>
      <w:pPr>
        <w:spacing w:after="0" w:line="198"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delivered to the Participant (as defined in the Grant Notice), and subject to the terms of this Restricted Stock Unit Agreement (this “</w:t>
      </w: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and the National Vision Holdings, Inc. 2017 Omnibus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National Vision Holdings,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agree as follows. Capitalized terms not otherwise defined herein shall have the same meaning as set forth in the Plan.</w:t>
      </w:r>
    </w:p>
    <w:p>
      <w:pPr>
        <w:spacing w:after="0" w:line="166" w:lineRule="exact"/>
        <w:rPr>
          <w:sz w:val="20"/>
          <w:szCs w:val="20"/>
          <w:color w:val="auto"/>
        </w:rPr>
      </w:pPr>
    </w:p>
    <w:p>
      <w:pPr>
        <w:jc w:val="both"/>
        <w:ind w:firstLine="1304"/>
        <w:spacing w:after="0" w:line="254" w:lineRule="auto"/>
        <w:tabs>
          <w:tab w:leader="none" w:pos="1529" w:val="left"/>
        </w:tabs>
        <w:numPr>
          <w:ilvl w:val="0"/>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Stock Units</w:t>
      </w:r>
      <w:r>
        <w:rPr>
          <w:rFonts w:ascii="Arial" w:cs="Arial" w:eastAsia="Arial" w:hAnsi="Arial"/>
          <w:sz w:val="20"/>
          <w:szCs w:val="20"/>
          <w:color w:val="auto"/>
        </w:rPr>
        <w:t>. Subject to the terms and conditions set forth herein and in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Participant the number of Restricted Stock Units provided in the Grant Notice (with each Restricted Stock Unit representing the right to receive one share of Common Stock upon the vesting of such Restricted Stock Unit).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72" w:lineRule="exact"/>
        <w:rPr>
          <w:rFonts w:ascii="Arial" w:cs="Arial" w:eastAsia="Arial" w:hAnsi="Arial"/>
          <w:sz w:val="20"/>
          <w:szCs w:val="20"/>
          <w:color w:val="auto"/>
        </w:rPr>
      </w:pPr>
    </w:p>
    <w:p>
      <w:pPr>
        <w:jc w:val="both"/>
        <w:ind w:firstLine="1304"/>
        <w:spacing w:after="0" w:line="260" w:lineRule="auto"/>
        <w:tabs>
          <w:tab w:leader="none" w:pos="1516" w:val="left"/>
        </w:tabs>
        <w:numPr>
          <w:ilvl w:val="0"/>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color w:val="auto"/>
        </w:rPr>
        <w:t>. Subject to the conditions contained herein and in the Plan, the Restricted Stock Units shall vest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restrictions on such Restricted Stock Units shall lapse as provided in the Grant Notice. With respect to any Restricted Stock Unit, the period of time that commences on the Date of Grant and ends on the applicable Vesting Date, or, if earlier, the date of any Termination that results in vesting of such Restricted Stock Unit, shall be its Restricted Period.</w:t>
      </w:r>
    </w:p>
    <w:p>
      <w:pPr>
        <w:spacing w:after="0" w:line="164" w:lineRule="exact"/>
        <w:rPr>
          <w:rFonts w:ascii="Arial" w:cs="Arial" w:eastAsia="Arial" w:hAnsi="Arial"/>
          <w:sz w:val="20"/>
          <w:szCs w:val="20"/>
          <w:color w:val="auto"/>
        </w:rPr>
      </w:pPr>
    </w:p>
    <w:p>
      <w:pPr>
        <w:jc w:val="both"/>
        <w:ind w:firstLine="1304"/>
        <w:spacing w:after="0" w:line="270" w:lineRule="auto"/>
        <w:tabs>
          <w:tab w:leader="none" w:pos="1529" w:val="left"/>
        </w:tabs>
        <w:numPr>
          <w:ilvl w:val="0"/>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Settlement of Restricted Stock Units</w:t>
      </w:r>
      <w:r>
        <w:rPr>
          <w:rFonts w:ascii="Arial" w:cs="Arial" w:eastAsia="Arial" w:hAnsi="Arial"/>
          <w:sz w:val="20"/>
          <w:szCs w:val="20"/>
          <w:color w:val="auto"/>
        </w:rPr>
        <w:t>. The provisions of Section 9(d)(ii) of the Plan are incorporated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reference and made a part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will settlement of a Restricted Stock Unit occur more than thirty (30) days following the expiration of its Restricted Period.</w:t>
      </w:r>
    </w:p>
    <w:p>
      <w:pPr>
        <w:spacing w:after="0" w:line="155" w:lineRule="exact"/>
        <w:rPr>
          <w:rFonts w:ascii="Arial" w:cs="Arial" w:eastAsia="Arial" w:hAnsi="Arial"/>
          <w:sz w:val="20"/>
          <w:szCs w:val="20"/>
          <w:color w:val="auto"/>
        </w:rPr>
      </w:pPr>
    </w:p>
    <w:p>
      <w:pPr>
        <w:ind w:left="1520" w:hanging="216"/>
        <w:spacing w:after="0"/>
        <w:tabs>
          <w:tab w:leader="none" w:pos="1520" w:val="left"/>
        </w:tabs>
        <w:numPr>
          <w:ilvl w:val="0"/>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w:t>
      </w:r>
    </w:p>
    <w:p>
      <w:pPr>
        <w:spacing w:after="0" w:line="231" w:lineRule="exact"/>
        <w:rPr>
          <w:sz w:val="20"/>
          <w:szCs w:val="20"/>
          <w:color w:val="auto"/>
        </w:rPr>
      </w:pPr>
    </w:p>
    <w:p>
      <w:pPr>
        <w:ind w:right="20" w:firstLine="1304"/>
        <w:spacing w:after="0" w:line="271" w:lineRule="auto"/>
        <w:tabs>
          <w:tab w:leader="none" w:pos="1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w:t>
      </w:r>
      <w:r>
        <w:rPr>
          <w:rFonts w:ascii="Arial" w:cs="Arial" w:eastAsia="Arial" w:hAnsi="Arial"/>
          <w:sz w:val="20"/>
          <w:szCs w:val="20"/>
          <w:color w:val="auto"/>
        </w:rPr>
        <w:t>” as used in this Restricted Stock Unit Agreement with reference to employment shall include the Company and its Subsidiaries.</w:t>
      </w:r>
    </w:p>
    <w:p>
      <w:pPr>
        <w:spacing w:after="0" w:line="169" w:lineRule="exact"/>
        <w:rPr>
          <w:rFonts w:ascii="Arial" w:cs="Arial" w:eastAsia="Arial" w:hAnsi="Arial"/>
          <w:sz w:val="20"/>
          <w:szCs w:val="20"/>
          <w:color w:val="auto"/>
        </w:rPr>
      </w:pPr>
    </w:p>
    <w:p>
      <w:pPr>
        <w:jc w:val="both"/>
        <w:ind w:firstLine="1304"/>
        <w:spacing w:after="0" w:line="254" w:lineRule="auto"/>
        <w:tabs>
          <w:tab w:leader="none" w:pos="1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Good Reason</w:t>
      </w:r>
      <w:r>
        <w:rPr>
          <w:rFonts w:ascii="Arial" w:cs="Arial" w:eastAsia="Arial" w:hAnsi="Arial"/>
          <w:sz w:val="20"/>
          <w:szCs w:val="20"/>
          <w:color w:val="auto"/>
        </w:rPr>
        <w:t>” as used in this Restricted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w:t>
      </w:r>
    </w:p>
    <w:p>
      <w:pPr>
        <w:sectPr>
          <w:pgSz w:w="11900" w:h="16838" w:orient="portrait"/>
          <w:cols w:equalWidth="0" w:num="1">
            <w:col w:w="11240"/>
          </w:cols>
          <w:pgMar w:left="320" w:top="1412" w:right="339" w:bottom="1440" w:gutter="0" w:footer="0" w:header="0"/>
        </w:sectPr>
      </w:pPr>
    </w:p>
    <w:bookmarkStart w:id="54" w:name="page55"/>
    <w:bookmarkEnd w:id="54"/>
    <w:p>
      <w:pPr>
        <w:jc w:val="both"/>
        <w:spacing w:after="0" w:line="262" w:lineRule="auto"/>
        <w:rPr>
          <w:sz w:val="20"/>
          <w:szCs w:val="20"/>
          <w:color w:val="auto"/>
        </w:rPr>
      </w:pPr>
      <w:r>
        <w:rPr>
          <w:rFonts w:ascii="Arial" w:cs="Arial" w:eastAsia="Arial" w:hAnsi="Arial"/>
          <w:sz w:val="20"/>
          <w:szCs w:val="20"/>
          <w:color w:val="auto"/>
        </w:rPr>
        <w:t>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pacing w:after="0" w:line="178" w:lineRule="exact"/>
        <w:rPr>
          <w:sz w:val="20"/>
          <w:szCs w:val="20"/>
          <w:color w:val="auto"/>
        </w:rPr>
      </w:pPr>
    </w:p>
    <w:p>
      <w:pPr>
        <w:jc w:val="both"/>
        <w:ind w:firstLine="1304"/>
        <w:spacing w:after="0" w:line="259" w:lineRule="auto"/>
        <w:tabs>
          <w:tab w:leader="none" w:pos="1619" w:val="left"/>
        </w:tabs>
        <w:numPr>
          <w:ilvl w:val="0"/>
          <w:numId w:val="27"/>
        </w:numPr>
        <w:rPr>
          <w:rFonts w:ascii="Arial" w:cs="Arial" w:eastAsia="Arial" w:hAnsi="Arial"/>
          <w:sz w:val="20"/>
          <w:szCs w:val="20"/>
          <w:color w:val="auto"/>
        </w:rPr>
      </w:pPr>
      <w:r>
        <w:rPr>
          <w:rFonts w:ascii="Arial" w:cs="Arial" w:eastAsia="Arial" w:hAnsi="Arial"/>
          <w:sz w:val="20"/>
          <w:szCs w:val="20"/>
          <w:color w:val="auto"/>
        </w:rPr>
        <w:t>Whenever the word “</w:t>
      </w:r>
      <w:r>
        <w:rPr>
          <w:rFonts w:ascii="Arial" w:cs="Arial" w:eastAsia="Arial" w:hAnsi="Arial"/>
          <w:sz w:val="20"/>
          <w:szCs w:val="20"/>
          <w:u w:val="single" w:color="auto"/>
          <w:color w:val="auto"/>
        </w:rPr>
        <w:t>Participant</w:t>
      </w:r>
      <w:r>
        <w:rPr>
          <w:rFonts w:ascii="Arial" w:cs="Arial" w:eastAsia="Arial" w:hAnsi="Arial"/>
          <w:sz w:val="20"/>
          <w:szCs w:val="20"/>
          <w:color w:val="auto"/>
        </w:rPr>
        <w:t>” is used in any provision of this Restricted Stock Unit Agreement under circumstances where the provision should logically be construed to apply to the executors, the administrators, or the person or persons to whom the Restricted Stock Units may be transferred by will or by the laws of descent and distribution, the word “</w:t>
      </w:r>
      <w:r>
        <w:rPr>
          <w:rFonts w:ascii="Arial" w:cs="Arial" w:eastAsia="Arial" w:hAnsi="Arial"/>
          <w:sz w:val="20"/>
          <w:szCs w:val="20"/>
          <w:u w:val="single" w:color="auto"/>
          <w:color w:val="auto"/>
        </w:rPr>
        <w:t>Participant</w:t>
      </w:r>
      <w:r>
        <w:rPr>
          <w:rFonts w:ascii="Arial" w:cs="Arial" w:eastAsia="Arial" w:hAnsi="Arial"/>
          <w:sz w:val="20"/>
          <w:szCs w:val="20"/>
          <w:color w:val="auto"/>
        </w:rPr>
        <w:t>” shall be deemed to include such person or persons.</w:t>
      </w:r>
    </w:p>
    <w:p>
      <w:pPr>
        <w:spacing w:after="0" w:line="168" w:lineRule="exact"/>
        <w:rPr>
          <w:rFonts w:ascii="Arial" w:cs="Arial" w:eastAsia="Arial" w:hAnsi="Arial"/>
          <w:sz w:val="20"/>
          <w:szCs w:val="20"/>
          <w:color w:val="auto"/>
        </w:rPr>
      </w:pPr>
    </w:p>
    <w:p>
      <w:pPr>
        <w:ind w:firstLine="1304"/>
        <w:spacing w:after="0" w:line="286" w:lineRule="auto"/>
        <w:tabs>
          <w:tab w:leader="none" w:pos="16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as used in this Restricted Stock Unit Agreement shall mean a Participant’s Termination by the Service Recipient without Cause or by the Participant with Good Reason.</w:t>
      </w:r>
    </w:p>
    <w:p>
      <w:pPr>
        <w:spacing w:after="0" w:line="140" w:lineRule="exact"/>
        <w:rPr>
          <w:rFonts w:ascii="Arial" w:cs="Arial" w:eastAsia="Arial" w:hAnsi="Arial"/>
          <w:sz w:val="20"/>
          <w:szCs w:val="20"/>
          <w:color w:val="auto"/>
        </w:rPr>
      </w:pPr>
    </w:p>
    <w:p>
      <w:pPr>
        <w:jc w:val="both"/>
        <w:ind w:firstLine="1304"/>
        <w:spacing w:after="0" w:line="259" w:lineRule="auto"/>
        <w:tabs>
          <w:tab w:leader="none" w:pos="1597"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Retirement</w:t>
      </w:r>
      <w:r>
        <w:rPr>
          <w:rFonts w:ascii="Arial" w:cs="Arial" w:eastAsia="Arial" w:hAnsi="Arial"/>
          <w:sz w:val="20"/>
          <w:szCs w:val="20"/>
          <w:color w:val="auto"/>
        </w:rPr>
        <w:t>” as used in this Restricted Stock Unit Agreement shall mean the Participant’s voluntary resignation from employment, other than while grounds for Cause exist, when (i) (x) the Participant’s age is at least sixty (60) years old and (y) the Participant’s number of years of service with the Company and its predecessors is at least ten (10) years or (ii) the Participant’s age is at least sixty five (65) years old.</w:t>
      </w:r>
    </w:p>
    <w:p>
      <w:pPr>
        <w:spacing w:after="0" w:line="180" w:lineRule="exact"/>
        <w:rPr>
          <w:sz w:val="20"/>
          <w:szCs w:val="20"/>
          <w:color w:val="auto"/>
        </w:rPr>
      </w:pPr>
    </w:p>
    <w:p>
      <w:pPr>
        <w:jc w:val="both"/>
        <w:ind w:firstLine="1304"/>
        <w:spacing w:after="0" w:line="255" w:lineRule="auto"/>
        <w:tabs>
          <w:tab w:leader="none" w:pos="1529"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Restricted Stock Units are not transferable by the Participant except to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82" w:lineRule="exact"/>
        <w:rPr>
          <w:rFonts w:ascii="Arial" w:cs="Arial" w:eastAsia="Arial" w:hAnsi="Arial"/>
          <w:sz w:val="20"/>
          <w:szCs w:val="20"/>
          <w:color w:val="auto"/>
        </w:rPr>
      </w:pPr>
    </w:p>
    <w:p>
      <w:pPr>
        <w:jc w:val="both"/>
        <w:ind w:firstLine="1304"/>
        <w:spacing w:after="0" w:line="255" w:lineRule="auto"/>
        <w:tabs>
          <w:tab w:leader="none" w:pos="1516"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Stockholder</w:t>
      </w:r>
      <w:r>
        <w:rPr>
          <w:rFonts w:ascii="Arial" w:cs="Arial" w:eastAsia="Arial" w:hAnsi="Arial"/>
          <w:sz w:val="20"/>
          <w:szCs w:val="20"/>
          <w:color w:val="auto"/>
        </w:rPr>
        <w:t>. The Participant or a Permitted Transferee of the Restricted Stock Units shall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rights as a stockholder with respect to any share of Common Stock underlying a Restricted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83" w:lineRule="exact"/>
        <w:rPr>
          <w:rFonts w:ascii="Arial" w:cs="Arial" w:eastAsia="Arial" w:hAnsi="Arial"/>
          <w:sz w:val="20"/>
          <w:szCs w:val="20"/>
          <w:color w:val="auto"/>
        </w:rPr>
      </w:pPr>
    </w:p>
    <w:p>
      <w:pPr>
        <w:ind w:left="1520" w:hanging="216"/>
        <w:spacing w:after="0"/>
        <w:tabs>
          <w:tab w:leader="none" w:pos="1520"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Tax Withholding</w:t>
      </w:r>
      <w:r>
        <w:rPr>
          <w:rFonts w:ascii="Arial" w:cs="Arial" w:eastAsia="Arial" w:hAnsi="Arial"/>
          <w:sz w:val="20"/>
          <w:szCs w:val="20"/>
          <w:color w:val="auto"/>
        </w:rPr>
        <w:t>. The provisions of Section 14(d) of the Plan are incorporated herein by reference and made</w:t>
      </w:r>
    </w:p>
    <w:p>
      <w:pPr>
        <w:spacing w:after="0" w:line="3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 part hereof.</w:t>
      </w:r>
    </w:p>
    <w:p>
      <w:pPr>
        <w:spacing w:after="0" w:line="195" w:lineRule="exact"/>
        <w:rPr>
          <w:rFonts w:ascii="Arial" w:cs="Arial" w:eastAsia="Arial" w:hAnsi="Arial"/>
          <w:sz w:val="20"/>
          <w:szCs w:val="20"/>
          <w:color w:val="auto"/>
        </w:rPr>
      </w:pPr>
    </w:p>
    <w:p>
      <w:pPr>
        <w:jc w:val="both"/>
        <w:ind w:firstLine="1304"/>
        <w:spacing w:after="0" w:line="252" w:lineRule="auto"/>
        <w:tabs>
          <w:tab w:leader="none" w:pos="1543"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color w:val="auto"/>
        </w:rPr>
        <w:t>. Every notice or other communication relating to this Restricted Stock Unit Agreement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w:t>
      </w:r>
    </w:p>
    <w:p>
      <w:pPr>
        <w:sectPr>
          <w:pgSz w:w="11900" w:h="16838" w:orient="portrait"/>
          <w:cols w:equalWidth="0" w:num="1">
            <w:col w:w="11240"/>
          </w:cols>
          <w:pgMar w:left="320" w:top="1414" w:right="33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20"/>
          <w:szCs w:val="20"/>
          <w:color w:val="auto"/>
        </w:rPr>
        <w:t>Participant and any third-party plan administrator shall be mailed, delivered, transmitted or sent in accordance with the procedures established by such third-party plan administrator and communicated to the Participant from time to time.</w:t>
      </w:r>
    </w:p>
    <w:p>
      <w:pPr>
        <w:spacing w:after="0" w:line="138" w:lineRule="exact"/>
        <w:rPr>
          <w:sz w:val="20"/>
          <w:szCs w:val="20"/>
          <w:color w:val="auto"/>
        </w:rPr>
      </w:pPr>
    </w:p>
    <w:p>
      <w:pPr>
        <w:ind w:right="20" w:firstLine="1304"/>
        <w:spacing w:after="0" w:line="288" w:lineRule="auto"/>
        <w:tabs>
          <w:tab w:leader="none" w:pos="1516"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Restricted Stock Unit Agreement does not confer upon the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any right to continue as an employee or service provider to the Company.</w:t>
      </w:r>
    </w:p>
    <w:p>
      <w:pPr>
        <w:spacing w:after="0" w:line="136" w:lineRule="exact"/>
        <w:rPr>
          <w:rFonts w:ascii="Arial" w:cs="Arial" w:eastAsia="Arial" w:hAnsi="Arial"/>
          <w:sz w:val="20"/>
          <w:szCs w:val="20"/>
          <w:color w:val="auto"/>
        </w:rPr>
      </w:pPr>
    </w:p>
    <w:p>
      <w:pPr>
        <w:ind w:firstLine="1304"/>
        <w:spacing w:after="0" w:line="288" w:lineRule="auto"/>
        <w:tabs>
          <w:tab w:leader="none" w:pos="1693"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Restricted Stock Unit Agreement shall be binding upon the heirs, executors,</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administrators and successors of the parties hereto.</w:t>
      </w:r>
    </w:p>
    <w:p>
      <w:pPr>
        <w:spacing w:after="0" w:line="150" w:lineRule="exact"/>
        <w:rPr>
          <w:rFonts w:ascii="Arial" w:cs="Arial" w:eastAsia="Arial" w:hAnsi="Arial"/>
          <w:sz w:val="20"/>
          <w:szCs w:val="20"/>
          <w:color w:val="auto"/>
        </w:rPr>
      </w:pPr>
    </w:p>
    <w:p>
      <w:pPr>
        <w:jc w:val="both"/>
        <w:ind w:firstLine="1304"/>
        <w:spacing w:after="0" w:line="254" w:lineRule="auto"/>
        <w:tabs>
          <w:tab w:leader="none" w:pos="1625"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and Amendments</w:t>
      </w:r>
      <w:r>
        <w:rPr>
          <w:rFonts w:ascii="Arial" w:cs="Arial" w:eastAsia="Arial" w:hAnsi="Arial"/>
          <w:sz w:val="20"/>
          <w:szCs w:val="20"/>
          <w:color w:val="auto"/>
        </w:rPr>
        <w:t>. Except as otherwise set forth in Section 13 of the Plan, any waiver, alteration,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amendment or modification of any of the terms of this Restricted Stock Unit Agreement shall be valid only if made in writing and signed by the parties 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3" w:lineRule="exact"/>
        <w:rPr>
          <w:rFonts w:ascii="Arial" w:cs="Arial" w:eastAsia="Arial" w:hAnsi="Arial"/>
          <w:sz w:val="20"/>
          <w:szCs w:val="20"/>
          <w:color w:val="auto"/>
        </w:rPr>
      </w:pPr>
    </w:p>
    <w:p>
      <w:pPr>
        <w:jc w:val="both"/>
        <w:ind w:firstLine="1304"/>
        <w:spacing w:after="0" w:line="258" w:lineRule="auto"/>
        <w:tabs>
          <w:tab w:leader="none" w:pos="1626"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Restricted Stock Unit Agreement shall be construed and interpreted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67" w:lineRule="exact"/>
        <w:rPr>
          <w:rFonts w:ascii="Arial" w:cs="Arial" w:eastAsia="Arial" w:hAnsi="Arial"/>
          <w:sz w:val="20"/>
          <w:szCs w:val="20"/>
          <w:color w:val="auto"/>
        </w:rPr>
      </w:pPr>
    </w:p>
    <w:p>
      <w:pPr>
        <w:jc w:val="both"/>
        <w:ind w:firstLine="1304"/>
        <w:spacing w:after="0" w:line="263" w:lineRule="auto"/>
        <w:tabs>
          <w:tab w:leader="none" w:pos="1626"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terms and provisions of the Plan are incorporated herein by reference. In the event of a conflict or</w:t>
      </w:r>
      <w:r>
        <w:rPr>
          <w:rFonts w:ascii="Arial" w:cs="Arial" w:eastAsia="Arial" w:hAnsi="Arial"/>
          <w:sz w:val="20"/>
          <w:szCs w:val="20"/>
          <w:b w:val="1"/>
          <w:bCs w:val="1"/>
          <w:color w:val="auto"/>
        </w:rPr>
        <w:t xml:space="preserve"> </w:t>
      </w:r>
      <w:r>
        <w:rPr>
          <w:rFonts w:ascii="Arial" w:cs="Arial" w:eastAsia="Arial" w:hAnsi="Arial"/>
          <w:sz w:val="20"/>
          <w:szCs w:val="20"/>
          <w:color w:val="auto"/>
        </w:rPr>
        <w:t>inconsistency between the terms and provisions of the Plan and the provisions of this Restricted Stock Unit Agreement (including the Grant Notice), the Plan shall govern and control.</w:t>
      </w:r>
    </w:p>
    <w:p>
      <w:pPr>
        <w:spacing w:after="0" w:line="175" w:lineRule="exact"/>
        <w:rPr>
          <w:rFonts w:ascii="Arial" w:cs="Arial" w:eastAsia="Arial" w:hAnsi="Arial"/>
          <w:sz w:val="20"/>
          <w:szCs w:val="20"/>
          <w:color w:val="auto"/>
        </w:rPr>
      </w:pPr>
    </w:p>
    <w:p>
      <w:pPr>
        <w:ind w:left="1640" w:hanging="336"/>
        <w:spacing w:after="0"/>
        <w:tabs>
          <w:tab w:leader="none" w:pos="1640"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w:t>
      </w:r>
    </w:p>
    <w:p>
      <w:pPr>
        <w:spacing w:after="0" w:line="217" w:lineRule="exact"/>
        <w:rPr>
          <w:rFonts w:ascii="Arial" w:cs="Arial" w:eastAsia="Arial" w:hAnsi="Arial"/>
          <w:sz w:val="20"/>
          <w:szCs w:val="20"/>
          <w:color w:val="auto"/>
        </w:rPr>
      </w:pPr>
    </w:p>
    <w:p>
      <w:pPr>
        <w:jc w:val="both"/>
        <w:ind w:firstLine="1547"/>
        <w:spacing w:after="0" w:line="254" w:lineRule="auto"/>
        <w:tabs>
          <w:tab w:leader="none" w:pos="1943" w:val="left"/>
        </w:tabs>
        <w:numPr>
          <w:ilvl w:val="1"/>
          <w:numId w:val="29"/>
        </w:numPr>
        <w:rPr>
          <w:rFonts w:ascii="Arial" w:cs="Arial" w:eastAsia="Arial" w:hAnsi="Arial"/>
          <w:sz w:val="20"/>
          <w:szCs w:val="20"/>
          <w:color w:val="010000"/>
        </w:rPr>
      </w:pPr>
      <w:r>
        <w:rPr>
          <w:rFonts w:ascii="Arial" w:cs="Arial" w:eastAsia="Arial" w:hAnsi="Arial"/>
          <w:sz w:val="20"/>
          <w:szCs w:val="20"/>
          <w:color w:val="auto"/>
        </w:rPr>
        <w:t>This Restricted Stock Unit Agreement is intended to be exempt from or comply with the provisions of Section 409A of the Code and the regulations promulgated thereunder, and shall be interpreted consistent with such intent. Without limiting the foregoing, the Committee will have the right to amend the terms and conditions of this Restricted Stock Unit Agreement in any respect as may be necessary or appropriate to comply with Section 409A of the Code or any regulations promulgated thereunder, including, without limitation, by delaying the issuance of the shares of Common Stock contemplated hereunder.</w:t>
      </w:r>
    </w:p>
    <w:p>
      <w:pPr>
        <w:spacing w:after="0" w:line="186" w:lineRule="exact"/>
        <w:rPr>
          <w:rFonts w:ascii="Arial" w:cs="Arial" w:eastAsia="Arial" w:hAnsi="Arial"/>
          <w:sz w:val="20"/>
          <w:szCs w:val="20"/>
          <w:color w:val="010000"/>
        </w:rPr>
      </w:pPr>
    </w:p>
    <w:p>
      <w:pPr>
        <w:jc w:val="both"/>
        <w:ind w:firstLine="1547"/>
        <w:spacing w:after="0" w:line="254" w:lineRule="auto"/>
        <w:tabs>
          <w:tab w:leader="none" w:pos="1943" w:val="left"/>
        </w:tabs>
        <w:numPr>
          <w:ilvl w:val="1"/>
          <w:numId w:val="29"/>
        </w:numPr>
        <w:rPr>
          <w:rFonts w:ascii="Arial" w:cs="Arial" w:eastAsia="Arial" w:hAnsi="Arial"/>
          <w:sz w:val="20"/>
          <w:szCs w:val="20"/>
          <w:color w:val="010000"/>
        </w:rPr>
      </w:pPr>
      <w:r>
        <w:rPr>
          <w:rFonts w:ascii="Arial" w:cs="Arial" w:eastAsia="Arial" w:hAnsi="Arial"/>
          <w:sz w:val="20"/>
          <w:szCs w:val="20"/>
          <w:color w:val="auto"/>
        </w:rPr>
        <w:t>Notwithstanding any other provision of this Restricted Stock Unit Agreement to the contrary, if the Participant is a “specified employee” within the meaning of Section 409A of the Code, and is subject to U.S. federal income tax, no payments in respect of any Restricted Stock Unit that is “deferred compensation” subject to Section 409A of the Code and which would otherwise be payable upon the Participant’s “separation from service” (as defined in Section 409A of the Code) will be made to the Participant prior to the date that is six (6) months after the date of the Participant’s “separation from service” or, if earlier, the</w:t>
      </w:r>
    </w:p>
    <w:p>
      <w:pPr>
        <w:sectPr>
          <w:pgSz w:w="11900" w:h="16838" w:orient="portrait"/>
          <w:cols w:equalWidth="0" w:num="1">
            <w:col w:w="11240"/>
          </w:cols>
          <w:pgMar w:left="320" w:top="1414" w:right="339" w:bottom="1440" w:gutter="0" w:footer="0" w:header="0"/>
        </w:sectPr>
      </w:pPr>
    </w:p>
    <w:bookmarkStart w:id="56" w:name="page57"/>
    <w:bookmarkEnd w:id="56"/>
    <w:p>
      <w:pPr>
        <w:jc w:val="both"/>
        <w:spacing w:after="0" w:line="252" w:lineRule="auto"/>
        <w:rPr>
          <w:sz w:val="20"/>
          <w:szCs w:val="20"/>
          <w:color w:val="auto"/>
        </w:rPr>
      </w:pPr>
      <w:r>
        <w:rPr>
          <w:rFonts w:ascii="Arial" w:cs="Arial" w:eastAsia="Arial" w:hAnsi="Arial"/>
          <w:sz w:val="20"/>
          <w:szCs w:val="20"/>
          <w:color w:val="auto"/>
        </w:rPr>
        <w:t>Participant’s date of death. Following any applicable six (6)-month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this Agreement, and the Company will not be liable to any Participant for any payment made under this Plan that is determined to result in an additional tax, penalty or interest under Section 409A of the Code, nor for reporting in good faith any payment made under this Agreement as an amount includible in gross income under Section 409A of the Code. Each payment in a series of payments hereunder will be deemed to be a separate payment for the purposes of Section 409A of the Code.</w:t>
      </w:r>
    </w:p>
    <w:p>
      <w:pPr>
        <w:sectPr>
          <w:pgSz w:w="11900" w:h="16838" w:orient="portrait"/>
          <w:cols w:equalWidth="0" w:num="1">
            <w:col w:w="11240"/>
          </w:cols>
          <w:pgMar w:left="320" w:top="141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Alex Wilkes, certify that:</w:t>
      </w:r>
    </w:p>
    <w:p>
      <w:pPr>
        <w:spacing w:after="0" w:line="25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April 4, 2026 of National Vision Holdings,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Laden, certify that:</w:t>
      </w:r>
    </w:p>
    <w:p>
      <w:pPr>
        <w:spacing w:after="0" w:line="25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April 4, 2026 of National Vision Holdings,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2026</w:t>
      </w:r>
    </w:p>
    <w:p>
      <w:pPr>
        <w:spacing w:after="0" w:line="29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17780</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connection with the Quarterly Report of National Vision Holdings, Inc. (the “Company”) on Form 10-Q for the quarterly period ended April 4, 2026 filed with the Securities and Exchange Commission on the date hereof (the “Report”), I, Alex Wilkes,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2026</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connection with the Quarterly Report of National Vision Holdings, Inc. (the “Company”) on Form 10-Q for the quarterly period ended April 4, 2026 filed with the Securities and Exchange Commission on the date hereof (the “Report”), I, Christopher Laden, Senior Vice President, Chief Financial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2026</w:t>
      </w:r>
    </w:p>
    <w:p>
      <w:pPr>
        <w:spacing w:after="0" w:line="29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lvl w:ilvl="1">
      <w:lvlJc w:val="left"/>
      <w:lvlText w:val="(%2)"/>
      <w:numFmt w:val="decimal"/>
      <w:start w:val="1"/>
    </w:lvl>
  </w:abstractNum>
  <w:abstractNum w:abstractNumId="6">
    <w:nsid w:val="62BBD95A"/>
    <w:multiLevelType w:val="hybridMultilevel"/>
    <w:lvl w:ilvl="0">
      <w:lvlJc w:val="left"/>
      <w:lvlText w:val="%1."/>
      <w:numFmt w:val="decimal"/>
      <w:start w:val="3"/>
    </w:lvl>
    <w:lvl w:ilvl="1">
      <w:lvlJc w:val="left"/>
      <w:lvlText w:val="%2"/>
      <w:numFmt w:val="decimal"/>
      <w:start w:val="1"/>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3"/>
    </w:lvl>
  </w:abstractNum>
  <w:abstractNum w:abstractNumId="15">
    <w:nsid w:val="8EDBDAB"/>
    <w:multiLevelType w:val="hybridMultilevel"/>
    <w:lvl w:ilvl="0">
      <w:lvlJc w:val="left"/>
      <w:lvlText w:val="(†)"/>
      <w:numFmt w:val="bullet"/>
      <w:start w:val="1"/>
    </w:lvl>
    <w:lvl w:ilvl="1">
      <w:lvlJc w:val="left"/>
      <w:lvlText w:val="%2"/>
      <w:numFmt w:val="decimal"/>
      <w:start w:val="104"/>
    </w:lvl>
  </w:abstractNum>
  <w:abstractNum w:abstractNumId="16">
    <w:nsid w:val="79838CB2"/>
    <w:multiLevelType w:val="hybridMultilevel"/>
    <w:lvl w:ilvl="0">
      <w:lvlJc w:val="left"/>
      <w:lvlText w:val="(%1)"/>
      <w:numFmt w:val="lowerRoman"/>
      <w:start w:val="10"/>
    </w:lvl>
  </w:abstractNum>
  <w:abstractNum w:abstractNumId="17">
    <w:nsid w:val="4353D0CD"/>
    <w:multiLevelType w:val="hybridMultilevel"/>
    <w:lvl w:ilvl="0">
      <w:lvlJc w:val="left"/>
      <w:lvlText w:val="1"/>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3"/>
    </w:lvl>
  </w:abstractNum>
  <w:abstractNum w:abstractNumId="21">
    <w:nsid w:val="71F32454"/>
    <w:multiLevelType w:val="hybridMultilevel"/>
    <w:lvl w:ilvl="0">
      <w:lvlJc w:val="left"/>
      <w:lvlText w:val="%1."/>
      <w:numFmt w:val="decimal"/>
      <w:start w:val="5"/>
    </w:lvl>
  </w:abstractNum>
  <w:abstractNum w:abstractNumId="22">
    <w:nsid w:val="2CA88611"/>
    <w:multiLevelType w:val="hybridMultilevel"/>
    <w:lvl w:ilvl="0">
      <w:lvlJc w:val="left"/>
      <w:lvlText w:val="%1."/>
      <w:numFmt w:val="decimal"/>
      <w:start w:val="12"/>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3"/>
    </w:lvl>
  </w:abstractNum>
  <w:abstractNum w:abstractNumId="27">
    <w:nsid w:val="1E7FF521"/>
    <w:multiLevelType w:val="hybridMultilevel"/>
    <w:lvl w:ilvl="0">
      <w:lvlJc w:val="left"/>
      <w:lvlText w:val="%1."/>
      <w:numFmt w:val="decimal"/>
      <w:start w:val="5"/>
    </w:lvl>
  </w:abstractNum>
  <w:abstractNum w:abstractNumId="28">
    <w:nsid w:val="7C3DBD3D"/>
    <w:multiLevelType w:val="hybridMultilevel"/>
    <w:lvl w:ilvl="0">
      <w:lvlJc w:val="left"/>
      <w:lvlText w:val="%1."/>
      <w:numFmt w:val="decimal"/>
      <w:start w:val="9"/>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5" Type="http://schemas.openxmlformats.org/officeDocument/2006/relationships/hyperlink" Target="https://www.sec.gov/Archives/edgar/data/1710155/000171015521000036/nationalvision-thirdamende.htm" TargetMode="External"/><Relationship Id="rId56" Type="http://schemas.openxmlformats.org/officeDocument/2006/relationships/hyperlink" Target="https://www.sec.gov/Archives/edgar/data/1710155/000171015523000063/ex31eye-bylawamendmentsno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2026-05-14T07:40:17Z</dcterms:created>
  <dcterms:modified xsi:type="dcterms:W3CDTF">2026-05-14T07:40:17Z</dcterms:modified>
</cp:coreProperties>
</file>