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UNITED STATES</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SECURITIES AND EXCHANGE COMMISSION</w:t>
      </w:r>
    </w:p>
    <w:p>
      <w:pPr>
        <w:pStyle w:val="TextBody"/>
        <w:bidi w:val="0"/>
        <w:spacing w:lineRule="auto" w:line="276" w:before="0" w:after="6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 xml:space="preserve">FORM 10-Q </w:t>
      </w:r>
    </w:p>
    <w:p>
      <w:pPr>
        <w:pStyle w:val="TextBody"/>
        <w:bidi w:val="0"/>
        <w:spacing w:lineRule="auto" w:line="276" w:before="100" w:after="12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40" w:before="0" w:after="0"/>
        <w:jc w:val="left"/>
        <w:rPr/>
      </w:pPr>
      <w:r>
        <w:rPr>
          <w:color w:val="000000"/>
        </w:rPr>
        <w:t xml:space="preserve">☒ </w:t>
      </w:r>
      <w:r>
        <w:rPr>
          <w:rFonts w:ascii="Arial;sans-serif" w:hAnsi="Arial;sans-serif"/>
          <w:b/>
          <w:color w:val="000000"/>
          <w:sz w:val="22"/>
        </w:rPr>
        <w:t>QUARTERLY REPORT PURSUANT TO SECTION 13 OR 15(d) OF THE SECURITIES EXCHANGE ACT OF 1934</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 xml:space="preserve">For the quarterly period ended July 4, 2026 </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40" w:before="0" w:after="0"/>
        <w:jc w:val="left"/>
        <w:rPr/>
      </w:pPr>
      <w:r>
        <w:rPr>
          <w:color w:val="000000"/>
        </w:rPr>
        <w:t xml:space="preserve">☐ </w:t>
      </w:r>
      <w:r>
        <w:rPr>
          <w:rFonts w:ascii="Arial;sans-serif" w:hAnsi="Arial;sans-serif"/>
          <w:b/>
          <w:color w:val="000000"/>
          <w:sz w:val="22"/>
        </w:rPr>
        <w:t>TRANSITION REPORT PURSUANT TO SECTION 13 OR 15(d) OF THE SECURITIES EXCHANGE ACT OF 1934</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 xml:space="preserve">Commission file number 001-38257 </w:t>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National Vision Holdings, Inc.</w:t>
      </w:r>
    </w:p>
    <w:p>
      <w:pPr>
        <w:pStyle w:val="TextBody"/>
        <w:bidi w:val="0"/>
        <w:spacing w:lineRule="auto" w:line="276" w:before="0" w:after="6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76" w:before="0" w:after="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tbl>
      <w:tblPr>
        <w:tblW w:w="5155" w:type="dxa"/>
        <w:jc w:val="center"/>
        <w:tblInd w:w="0" w:type="dxa"/>
        <w:tblLayout w:type="fixed"/>
        <w:tblCellMar>
          <w:top w:w="28" w:type="dxa"/>
          <w:left w:w="28" w:type="dxa"/>
          <w:bottom w:w="28" w:type="dxa"/>
          <w:right w:w="28" w:type="dxa"/>
        </w:tblCellMar>
      </w:tblPr>
      <w:tblGrid>
        <w:gridCol w:w="1176"/>
        <w:gridCol w:w="1032"/>
        <w:gridCol w:w="1046"/>
        <w:gridCol w:w="109"/>
        <w:gridCol w:w="109"/>
        <w:gridCol w:w="109"/>
        <w:gridCol w:w="459"/>
        <w:gridCol w:w="459"/>
        <w:gridCol w:w="656"/>
      </w:tblGrid>
      <w:tr>
        <w:trPr/>
        <w:tc>
          <w:tcPr>
            <w:tcW w:w="117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46-4841717</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6000 Avalon Boulevard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Suite 6240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30009</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(770) 822</w:t>
        <w:noBreakHyphen/>
        <w:t xml:space="preserve">3600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2435 Commerce Ave Building 2200 Duluth, Georgia 30096</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12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9817" w:type="dxa"/>
        <w:jc w:val="center"/>
        <w:tblInd w:w="0" w:type="dxa"/>
        <w:tblLayout w:type="fixed"/>
        <w:tblCellMar>
          <w:top w:w="28" w:type="dxa"/>
          <w:left w:w="28" w:type="dxa"/>
          <w:bottom w:w="28" w:type="dxa"/>
          <w:right w:w="28" w:type="dxa"/>
        </w:tblCellMar>
      </w:tblPr>
      <w:tblGrid>
        <w:gridCol w:w="1285"/>
        <w:gridCol w:w="1129"/>
        <w:gridCol w:w="1140"/>
        <w:gridCol w:w="109"/>
        <w:gridCol w:w="109"/>
        <w:gridCol w:w="109"/>
        <w:gridCol w:w="554"/>
        <w:gridCol w:w="554"/>
        <w:gridCol w:w="556"/>
        <w:gridCol w:w="109"/>
        <w:gridCol w:w="109"/>
        <w:gridCol w:w="109"/>
        <w:gridCol w:w="1154"/>
        <w:gridCol w:w="1154"/>
        <w:gridCol w:w="1637"/>
      </w:tblGrid>
      <w:tr>
        <w:trPr/>
        <w:tc>
          <w:tcPr>
            <w:tcW w:w="12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EYE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w:t>
            </w:r>
          </w:p>
        </w:tc>
      </w:tr>
    </w:tbl>
    <w:p>
      <w:pPr>
        <w:pStyle w:val="TextBody"/>
        <w:bidi w:val="0"/>
        <w:spacing w:lineRule="auto" w:line="276" w:before="0" w:after="100"/>
        <w:jc w:val="left"/>
        <w:rPr>
          <w:rFonts w:ascii="Arial;sans-serif" w:hAnsi="Arial;sans-serif"/>
          <w:b w:val="false"/>
          <w:color w:val="000000"/>
          <w:sz w:val="17"/>
        </w:rPr>
      </w:pPr>
      <w:r>
        <w:rPr>
          <w:rFonts w:ascii="Arial;sans-serif" w:hAnsi="Arial;sans-serif"/>
          <w:b w:val="false"/>
          <w:color w:val="000000"/>
          <w:sz w:val="17"/>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76" w:before="0" w:after="100"/>
        <w:jc w:val="left"/>
        <w:rPr>
          <w:rFonts w:ascii="Arial;sans-serif" w:hAnsi="Arial;sans-serif"/>
          <w:b w:val="false"/>
          <w:color w:val="000000"/>
          <w:sz w:val="17"/>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lineRule="auto" w:line="276" w:before="0" w:after="0"/>
        <w:jc w:val="left"/>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39" w:type="dxa"/>
        <w:jc w:val="left"/>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09"/>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Arial;sans-serif" w:hAnsi="Arial;sans-serif"/>
          <w:b w:val="false"/>
          <w:color w:val="000000"/>
          <w:sz w:val="17"/>
        </w:rPr>
      </w:pPr>
      <w:r>
        <w:rPr>
          <w:rFonts w:ascii="Arial;sans-serif" w:hAnsi="Arial;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0" w:after="100"/>
        <w:jc w:val="left"/>
        <w:rPr>
          <w:rFonts w:ascii="Arial;sans-serif" w:hAnsi="Arial;sans-serif"/>
          <w:b w:val="false"/>
          <w:color w:val="000000"/>
          <w:sz w:val="17"/>
        </w:rPr>
      </w:pPr>
      <w:r>
        <w:rPr>
          <w:rFonts w:ascii="Arial;sans-serif" w:hAnsi="Arial;sans-serif"/>
          <w:b w:val="false"/>
          <w:color w:val="000000"/>
          <w:sz w:val="17"/>
        </w:rPr>
        <w:t>Indicate by check mark whether the registrant is a shell company (as defined in Rule 12b-2 of the Exchange Act). Yes  ☐  No  ☒</w:t>
      </w:r>
    </w:p>
    <w:p>
      <w:pPr>
        <w:pStyle w:val="TextBody"/>
        <w:bidi w:val="0"/>
        <w:spacing w:lineRule="auto" w:line="276" w:before="0" w:after="0"/>
        <w:jc w:val="left"/>
        <w:rPr>
          <w:rFonts w:ascii="Arial;sans-serif" w:hAnsi="Arial;sans-serif"/>
          <w:b w:val="false"/>
          <w:color w:val="000000"/>
          <w:sz w:val="17"/>
        </w:rPr>
      </w:pPr>
      <w:r>
        <w:rPr>
          <w:rFonts w:ascii="Arial;sans-serif" w:hAnsi="Arial;sans-serif"/>
          <w:b w:val="false"/>
          <w:color w:val="000000"/>
          <w:sz w:val="17"/>
        </w:rPr>
        <w:t xml:space="preserve">Indicate the number of shares outstanding of each of the issuer’s classes of common stock, as of the latest practicable date. </w:t>
      </w:r>
    </w:p>
    <w:tbl>
      <w:tblPr>
        <w:tblW w:w="5590" w:type="dxa"/>
        <w:jc w:val="left"/>
        <w:tblInd w:w="0" w:type="dxa"/>
        <w:tblLayout w:type="fixed"/>
        <w:tblCellMar>
          <w:top w:w="28" w:type="dxa"/>
          <w:left w:w="28" w:type="dxa"/>
          <w:bottom w:w="28" w:type="dxa"/>
          <w:right w:w="28" w:type="dxa"/>
        </w:tblCellMar>
      </w:tblPr>
      <w:tblGrid>
        <w:gridCol w:w="976"/>
        <w:gridCol w:w="858"/>
        <w:gridCol w:w="865"/>
        <w:gridCol w:w="109"/>
        <w:gridCol w:w="109"/>
        <w:gridCol w:w="109"/>
        <w:gridCol w:w="750"/>
        <w:gridCol w:w="750"/>
        <w:gridCol w:w="1064"/>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Outstanding at July 31, 2026</w:t>
            </w:r>
          </w:p>
        </w:tc>
      </w:tr>
      <w:tr>
        <w:trPr/>
        <w:tc>
          <w:tcPr>
            <w:tcW w:w="2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79,069,313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0" w:after="200"/>
        <w:jc w:val="center"/>
        <w:rPr>
          <w:rFonts w:ascii="Arial;sans-serif" w:hAnsi="Arial;sans-serif"/>
          <w:b/>
          <w:color w:val="000000"/>
          <w:sz w:val="22"/>
        </w:rPr>
      </w:pPr>
      <w:r>
        <w:rPr>
          <w:rFonts w:ascii="Arial;sans-serif" w:hAnsi="Arial;sans-serif"/>
          <w:b/>
          <w:color w:val="000000"/>
          <w:sz w:val="22"/>
        </w:rPr>
        <w:t>NATIONAL VISION HOLDINGS, INC. AND SUBSIDIARIES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632"/>
        <w:gridCol w:w="558"/>
        <w:gridCol w:w="558"/>
        <w:gridCol w:w="558"/>
        <w:gridCol w:w="558"/>
        <w:gridCol w:w="558"/>
        <w:gridCol w:w="2192"/>
        <w:gridCol w:w="1988"/>
        <w:gridCol w:w="1998"/>
        <w:gridCol w:w="176"/>
        <w:gridCol w:w="176"/>
        <w:gridCol w:w="253"/>
      </w:tblGrid>
      <w:tr>
        <w:trPr/>
        <w:tc>
          <w:tcPr>
            <w:tcW w:w="63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Page</w:t>
            </w:r>
          </w:p>
        </w:tc>
      </w:tr>
      <w:tr>
        <w:trPr/>
        <w:tc>
          <w:tcPr>
            <w:tcW w:w="960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0">
              <w:r>
                <w:rPr>
                  <w:rStyle w:val="InternetLink"/>
                  <w:rFonts w:ascii="Arial;sans-serif" w:hAnsi="Arial;sans-serif"/>
                  <w:b w:val="false"/>
                  <w:color w:val="0000FF"/>
                  <w:sz w:val="20"/>
                  <w:u w:val="single"/>
                </w:rPr>
                <w:t>SPECIAL NOTE REGARDING FORWARD-LOOKING STATEMENTS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0">
              <w:r>
                <w:rPr>
                  <w:rStyle w:val="InternetLink"/>
                  <w:rFonts w:ascii="Arial;sans-serif" w:hAnsi="Arial;sans-serif"/>
                  <w:b w:val="false"/>
                  <w:color w:val="0000FF"/>
                  <w:sz w:val="20"/>
                  <w:u w:val="single"/>
                </w:rPr>
                <w:t>3</w:t>
              </w:r>
            </w:hyperlink>
          </w:p>
        </w:tc>
      </w:tr>
      <w:tr>
        <w:trPr/>
        <w:tc>
          <w:tcPr>
            <w:tcW w:w="960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3">
              <w:r>
                <w:rPr>
                  <w:rStyle w:val="InternetLink"/>
                  <w:rFonts w:ascii="Arial;sans-serif" w:hAnsi="Arial;sans-serif"/>
                  <w:b w:val="false"/>
                  <w:color w:val="0000FF"/>
                  <w:sz w:val="20"/>
                  <w:u w:val="single"/>
                </w:rPr>
                <w:t>PART I – FINANCIAL INFORMATION</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3">
              <w:r>
                <w:rPr>
                  <w:rStyle w:val="InternetLink"/>
                  <w:rFonts w:ascii="Arial;sans-serif" w:hAnsi="Arial;sans-serif"/>
                  <w:b w:val="false"/>
                  <w:color w:val="0000FF"/>
                  <w:sz w:val="20"/>
                  <w:u w:val="single"/>
                </w:rPr>
                <w:t>5</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16">
              <w:r>
                <w:rPr>
                  <w:rStyle w:val="InternetLink"/>
                  <w:rFonts w:ascii="Arial;sans-serif" w:hAnsi="Arial;sans-serif"/>
                  <w:b w:val="false"/>
                  <w:color w:val="0000FF"/>
                  <w:sz w:val="20"/>
                  <w:u w:val="single"/>
                </w:rPr>
                <w:t>Item 1.</w:t>
              </w:r>
            </w:hyperlink>
          </w:p>
        </w:tc>
        <w:tc>
          <w:tcPr>
            <w:tcW w:w="61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16">
              <w:r>
                <w:rPr>
                  <w:rStyle w:val="InternetLink"/>
                  <w:rFonts w:ascii="Arial;sans-serif" w:hAnsi="Arial;sans-serif"/>
                  <w:b w:val="false"/>
                  <w:color w:val="0000FF"/>
                  <w:sz w:val="20"/>
                  <w:u w:val="single"/>
                </w:rPr>
                <w:t>Financial Statements (Unaudited)</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6">
              <w:r>
                <w:rPr>
                  <w:rStyle w:val="InternetLink"/>
                  <w:rFonts w:ascii="Arial;sans-serif" w:hAnsi="Arial;sans-serif"/>
                  <w:b w:val="false"/>
                  <w:color w:val="0000FF"/>
                  <w:sz w:val="20"/>
                  <w:u w:val="single"/>
                </w:rPr>
                <w:t>5</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147bc11510cb4c68964f758e8d3d02b1_19">
              <w:r>
                <w:rPr>
                  <w:rStyle w:val="InternetLink"/>
                  <w:rFonts w:ascii="Arial;sans-serif" w:hAnsi="Arial;sans-serif"/>
                  <w:b w:val="false"/>
                  <w:color w:val="0000FF"/>
                  <w:sz w:val="20"/>
                  <w:u w:val="single"/>
                </w:rPr>
                <w:t>Condensed Consolidated Balance Sheets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9">
              <w:r>
                <w:rPr>
                  <w:rStyle w:val="InternetLink"/>
                  <w:rFonts w:ascii="Arial;sans-serif" w:hAnsi="Arial;sans-serif"/>
                  <w:b w:val="false"/>
                  <w:color w:val="0000FF"/>
                  <w:sz w:val="20"/>
                  <w:u w:val="single"/>
                </w:rPr>
                <w:t>5</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22">
              <w:r>
                <w:rPr>
                  <w:rStyle w:val="InternetLink"/>
                  <w:rFonts w:ascii="Arial;sans-serif" w:hAnsi="Arial;sans-serif"/>
                  <w:b w:val="false"/>
                  <w:color w:val="0000FF"/>
                  <w:sz w:val="20"/>
                  <w:u w:val="single"/>
                </w:rPr>
                <w:t>Condensed Consolidated Statements of Operations and Comprehensive Income</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22">
              <w:r>
                <w:rPr>
                  <w:rStyle w:val="InternetLink"/>
                  <w:rFonts w:ascii="Arial;sans-serif" w:hAnsi="Arial;sans-serif"/>
                  <w:b w:val="false"/>
                  <w:color w:val="0000FF"/>
                  <w:sz w:val="20"/>
                  <w:u w:val="single"/>
                </w:rPr>
                <w:t>6</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147bc11510cb4c68964f758e8d3d02b1_25">
              <w:r>
                <w:rPr>
                  <w:rStyle w:val="InternetLink"/>
                  <w:rFonts w:ascii="Arial;sans-serif" w:hAnsi="Arial;sans-serif"/>
                  <w:b w:val="false"/>
                  <w:color w:val="0000FF"/>
                  <w:sz w:val="20"/>
                  <w:u w:val="single"/>
                </w:rPr>
                <w:t>Condensed Consolidated Statements of Stockholders’ Equity</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25">
              <w:r>
                <w:rPr>
                  <w:rStyle w:val="InternetLink"/>
                  <w:rFonts w:ascii="Arial;sans-serif" w:hAnsi="Arial;sans-serif"/>
                  <w:b w:val="false"/>
                  <w:color w:val="0000FF"/>
                  <w:sz w:val="20"/>
                  <w:u w:val="single"/>
                </w:rPr>
                <w:t>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147bc11510cb4c68964f758e8d3d02b1_28">
              <w:r>
                <w:rPr>
                  <w:rStyle w:val="InternetLink"/>
                  <w:rFonts w:ascii="Arial;sans-serif" w:hAnsi="Arial;sans-serif"/>
                  <w:b w:val="false"/>
                  <w:color w:val="0000FF"/>
                  <w:sz w:val="20"/>
                  <w:u w:val="single"/>
                </w:rPr>
                <w:t>Condensed Consolidated Statements of Cash Flows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28">
              <w:r>
                <w:rPr>
                  <w:rStyle w:val="InternetLink"/>
                  <w:rFonts w:ascii="Arial;sans-serif" w:hAnsi="Arial;sans-serif"/>
                  <w:b w:val="false"/>
                  <w:color w:val="0000FF"/>
                  <w:sz w:val="20"/>
                  <w:u w:val="single"/>
                </w:rPr>
                <w:t>8</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147bc11510cb4c68964f758e8d3d02b1_31">
              <w:r>
                <w:rPr>
                  <w:rStyle w:val="InternetLink"/>
                  <w:rFonts w:ascii="Arial;sans-serif" w:hAnsi="Arial;sans-serif"/>
                  <w:b w:val="false"/>
                  <w:color w:val="0000FF"/>
                  <w:sz w:val="20"/>
                  <w:u w:val="single"/>
                </w:rPr>
                <w:t>Notes to Condensed Consolidated Financial Statements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31">
              <w:r>
                <w:rPr>
                  <w:rStyle w:val="InternetLink"/>
                  <w:rFonts w:ascii="Arial;sans-serif" w:hAnsi="Arial;sans-serif"/>
                  <w:b w:val="false"/>
                  <w:color w:val="0000FF"/>
                  <w:sz w:val="20"/>
                  <w:u w:val="single"/>
                </w:rPr>
                <w:t>9</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91">
              <w:r>
                <w:rPr>
                  <w:rStyle w:val="InternetLink"/>
                  <w:rFonts w:ascii="Arial;sans-serif" w:hAnsi="Arial;sans-serif"/>
                  <w:b w:val="false"/>
                  <w:color w:val="0000FF"/>
                  <w:sz w:val="20"/>
                  <w:u w:val="single"/>
                </w:rPr>
                <w:t>Item 2.</w:t>
              </w:r>
            </w:hyperlink>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91">
              <w:r>
                <w:rPr>
                  <w:rStyle w:val="InternetLink"/>
                  <w:rFonts w:ascii="Arial;sans-serif" w:hAnsi="Arial;sans-serif"/>
                  <w:b w:val="false"/>
                  <w:color w:val="0000FF"/>
                  <w:sz w:val="20"/>
                  <w:u w:val="single"/>
                </w:rPr>
                <w:t>Management’s Discussion and Analysis of Financial Condition and Results of Operations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91">
              <w:r>
                <w:rPr>
                  <w:rStyle w:val="InternetLink"/>
                  <w:rFonts w:ascii="Arial;sans-serif" w:hAnsi="Arial;sans-serif"/>
                  <w:b w:val="false"/>
                  <w:color w:val="0000FF"/>
                  <w:sz w:val="20"/>
                  <w:u w:val="single"/>
                </w:rPr>
                <w:t>21</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27">
              <w:r>
                <w:rPr>
                  <w:rStyle w:val="InternetLink"/>
                  <w:rFonts w:ascii="Arial;sans-serif" w:hAnsi="Arial;sans-serif"/>
                  <w:b w:val="false"/>
                  <w:color w:val="0000FF"/>
                  <w:sz w:val="20"/>
                  <w:u w:val="single"/>
                </w:rPr>
                <w:t>Item 3.</w:t>
              </w:r>
            </w:hyperlink>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27">
              <w:r>
                <w:rPr>
                  <w:rStyle w:val="InternetLink"/>
                  <w:rFonts w:ascii="Arial;sans-serif" w:hAnsi="Arial;sans-serif"/>
                  <w:b w:val="false"/>
                  <w:color w:val="0000FF"/>
                  <w:sz w:val="20"/>
                  <w:u w:val="single"/>
                </w:rPr>
                <w:t>Quantitative and Qualitative Disclosures About Market Risk</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27">
              <w:r>
                <w:rPr>
                  <w:rStyle w:val="InternetLink"/>
                  <w:rFonts w:ascii="Arial;sans-serif" w:hAnsi="Arial;sans-serif"/>
                  <w:b w:val="false"/>
                  <w:color w:val="0000FF"/>
                  <w:sz w:val="20"/>
                  <w:u w:val="single"/>
                </w:rPr>
                <w:t>35</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33">
              <w:r>
                <w:rPr>
                  <w:rStyle w:val="InternetLink"/>
                  <w:rFonts w:ascii="Arial;sans-serif" w:hAnsi="Arial;sans-serif"/>
                  <w:b w:val="false"/>
                  <w:color w:val="0000FF"/>
                  <w:sz w:val="20"/>
                  <w:u w:val="single"/>
                </w:rPr>
                <w:t>Item 4.</w:t>
              </w:r>
            </w:hyperlink>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33">
              <w:r>
                <w:rPr>
                  <w:rStyle w:val="InternetLink"/>
                  <w:rFonts w:ascii="Arial;sans-serif" w:hAnsi="Arial;sans-serif"/>
                  <w:b w:val="false"/>
                  <w:color w:val="0000FF"/>
                  <w:sz w:val="20"/>
                  <w:u w:val="single"/>
                </w:rPr>
                <w:t>Controls and Procedures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33">
              <w:r>
                <w:rPr>
                  <w:rStyle w:val="InternetLink"/>
                  <w:rFonts w:ascii="Arial;sans-serif" w:hAnsi="Arial;sans-serif"/>
                  <w:b w:val="false"/>
                  <w:color w:val="0000FF"/>
                  <w:sz w:val="20"/>
                  <w:u w:val="single"/>
                </w:rPr>
                <w:t>35</w:t>
              </w:r>
            </w:hyperlink>
          </w:p>
        </w:tc>
      </w:tr>
      <w:tr>
        <w:trPr/>
        <w:tc>
          <w:tcPr>
            <w:tcW w:w="960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36">
              <w:r>
                <w:rPr>
                  <w:rStyle w:val="InternetLink"/>
                  <w:rFonts w:ascii="Arial;sans-serif" w:hAnsi="Arial;sans-serif"/>
                  <w:b w:val="false"/>
                  <w:color w:val="0000FF"/>
                  <w:sz w:val="20"/>
                  <w:u w:val="single"/>
                </w:rPr>
                <w:t>PART II – OTHER INFORMATION</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36">
              <w:r>
                <w:rPr>
                  <w:rStyle w:val="InternetLink"/>
                  <w:rFonts w:ascii="Arial;sans-serif" w:hAnsi="Arial;sans-serif"/>
                  <w:b w:val="false"/>
                  <w:color w:val="0000FF"/>
                  <w:sz w:val="20"/>
                  <w:u w:val="single"/>
                </w:rPr>
                <w:t>37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39">
              <w:r>
                <w:rPr>
                  <w:rStyle w:val="InternetLink"/>
                  <w:rFonts w:ascii="Arial;sans-serif" w:hAnsi="Arial;sans-serif"/>
                  <w:b w:val="false"/>
                  <w:color w:val="0000FF"/>
                  <w:sz w:val="20"/>
                  <w:u w:val="single"/>
                </w:rPr>
                <w:t>Item 1.</w:t>
              </w:r>
            </w:hyperlink>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39">
              <w:r>
                <w:rPr>
                  <w:rStyle w:val="InternetLink"/>
                  <w:rFonts w:ascii="Arial;sans-serif" w:hAnsi="Arial;sans-serif"/>
                  <w:b w:val="false"/>
                  <w:color w:val="0000FF"/>
                  <w:sz w:val="20"/>
                  <w:u w:val="single"/>
                </w:rPr>
                <w:t>Legal Proceedings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39">
              <w:r>
                <w:rPr>
                  <w:rStyle w:val="InternetLink"/>
                  <w:rFonts w:ascii="Arial;sans-serif" w:hAnsi="Arial;sans-serif"/>
                  <w:b w:val="false"/>
                  <w:color w:val="0000FF"/>
                  <w:sz w:val="20"/>
                  <w:u w:val="single"/>
                </w:rPr>
                <w:t>37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42">
              <w:r>
                <w:rPr>
                  <w:rStyle w:val="InternetLink"/>
                  <w:rFonts w:ascii="Arial;sans-serif" w:hAnsi="Arial;sans-serif"/>
                  <w:b w:val="false"/>
                  <w:color w:val="0000FF"/>
                  <w:sz w:val="20"/>
                  <w:u w:val="single"/>
                </w:rPr>
                <w:t>Item 1A.</w:t>
              </w:r>
            </w:hyperlink>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42">
              <w:r>
                <w:rPr>
                  <w:rStyle w:val="InternetLink"/>
                  <w:rFonts w:ascii="Arial;sans-serif" w:hAnsi="Arial;sans-serif"/>
                  <w:b w:val="false"/>
                  <w:color w:val="0000FF"/>
                  <w:sz w:val="20"/>
                  <w:u w:val="single"/>
                </w:rPr>
                <w:t>Risk Factors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42">
              <w:r>
                <w:rPr>
                  <w:rStyle w:val="InternetLink"/>
                  <w:rFonts w:ascii="Arial;sans-serif" w:hAnsi="Arial;sans-serif"/>
                  <w:b w:val="false"/>
                  <w:color w:val="0000FF"/>
                  <w:sz w:val="20"/>
                  <w:u w:val="single"/>
                </w:rPr>
                <w:t>37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45">
              <w:r>
                <w:rPr>
                  <w:rStyle w:val="InternetLink"/>
                  <w:rFonts w:ascii="Arial;sans-serif" w:hAnsi="Arial;sans-serif"/>
                  <w:b w:val="false"/>
                  <w:color w:val="0000FF"/>
                  <w:sz w:val="20"/>
                  <w:u w:val="single"/>
                </w:rPr>
                <w:t>Item 2.</w:t>
              </w:r>
            </w:hyperlink>
          </w:p>
        </w:tc>
        <w:tc>
          <w:tcPr>
            <w:tcW w:w="61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145">
              <w:r>
                <w:rPr>
                  <w:rStyle w:val="InternetLink"/>
                  <w:rFonts w:ascii="Arial;sans-serif" w:hAnsi="Arial;sans-serif"/>
                  <w:b w:val="false"/>
                  <w:color w:val="0000FF"/>
                  <w:sz w:val="20"/>
                  <w:u w:val="single"/>
                </w:rPr>
                <w:t>Unregistered Sales of Equity Securities and Use of Proceeds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45">
              <w:r>
                <w:rPr>
                  <w:rStyle w:val="InternetLink"/>
                  <w:rFonts w:ascii="Arial;sans-serif" w:hAnsi="Arial;sans-serif"/>
                  <w:b w:val="false"/>
                  <w:color w:val="0000FF"/>
                  <w:sz w:val="20"/>
                  <w:u w:val="single"/>
                </w:rPr>
                <w:t>37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51">
              <w:r>
                <w:rPr>
                  <w:rStyle w:val="InternetLink"/>
                  <w:rFonts w:ascii="Arial;sans-serif" w:hAnsi="Arial;sans-serif"/>
                  <w:b w:val="false"/>
                  <w:color w:val="0000FF"/>
                  <w:sz w:val="20"/>
                  <w:u w:val="single"/>
                </w:rPr>
                <w:t>Item 3.</w:t>
              </w:r>
            </w:hyperlink>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51">
              <w:r>
                <w:rPr>
                  <w:rStyle w:val="InternetLink"/>
                  <w:rFonts w:ascii="Arial;sans-serif" w:hAnsi="Arial;sans-serif"/>
                  <w:b w:val="false"/>
                  <w:color w:val="0000FF"/>
                  <w:sz w:val="20"/>
                  <w:u w:val="single"/>
                </w:rPr>
                <w:t>Defaults Upon Senior Securities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51">
              <w:r>
                <w:rPr>
                  <w:rStyle w:val="InternetLink"/>
                  <w:rFonts w:ascii="Arial;sans-serif" w:hAnsi="Arial;sans-serif"/>
                  <w:b w:val="false"/>
                  <w:color w:val="0000FF"/>
                  <w:sz w:val="20"/>
                  <w:u w:val="single"/>
                </w:rPr>
                <w:t>37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54">
              <w:r>
                <w:rPr>
                  <w:rStyle w:val="InternetLink"/>
                  <w:rFonts w:ascii="Arial;sans-serif" w:hAnsi="Arial;sans-serif"/>
                  <w:b w:val="false"/>
                  <w:color w:val="0000FF"/>
                  <w:sz w:val="20"/>
                  <w:u w:val="single"/>
                </w:rPr>
                <w:t>Item 4.</w:t>
              </w:r>
            </w:hyperlink>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54">
              <w:r>
                <w:rPr>
                  <w:rStyle w:val="InternetLink"/>
                  <w:rFonts w:ascii="Arial;sans-serif" w:hAnsi="Arial;sans-serif"/>
                  <w:b w:val="false"/>
                  <w:color w:val="0000FF"/>
                  <w:sz w:val="20"/>
                  <w:u w:val="single"/>
                </w:rPr>
                <w:t>Mine Safety Disclosures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54">
              <w:r>
                <w:rPr>
                  <w:rStyle w:val="InternetLink"/>
                  <w:rFonts w:ascii="Arial;sans-serif" w:hAnsi="Arial;sans-serif"/>
                  <w:b w:val="false"/>
                  <w:color w:val="0000FF"/>
                  <w:sz w:val="20"/>
                  <w:u w:val="single"/>
                </w:rPr>
                <w:t>37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57">
              <w:r>
                <w:rPr>
                  <w:rStyle w:val="InternetLink"/>
                  <w:rFonts w:ascii="Arial;sans-serif" w:hAnsi="Arial;sans-serif"/>
                  <w:b w:val="false"/>
                  <w:color w:val="0000FF"/>
                  <w:sz w:val="20"/>
                  <w:u w:val="single"/>
                </w:rPr>
                <w:t>Item 5.</w:t>
              </w:r>
            </w:hyperlink>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57">
              <w:r>
                <w:rPr>
                  <w:rStyle w:val="InternetLink"/>
                  <w:rFonts w:ascii="Arial;sans-serif" w:hAnsi="Arial;sans-serif"/>
                  <w:b w:val="false"/>
                  <w:color w:val="0000FF"/>
                  <w:sz w:val="20"/>
                  <w:u w:val="single"/>
                </w:rPr>
                <w:t>Other Information</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57">
              <w:r>
                <w:rPr>
                  <w:rStyle w:val="InternetLink"/>
                  <w:rFonts w:ascii="Arial;sans-serif" w:hAnsi="Arial;sans-serif"/>
                  <w:b w:val="false"/>
                  <w:color w:val="0000FF"/>
                  <w:sz w:val="20"/>
                  <w:u w:val="single"/>
                </w:rPr>
                <w:t>37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63">
              <w:r>
                <w:rPr>
                  <w:rStyle w:val="InternetLink"/>
                  <w:rFonts w:ascii="Arial;sans-serif" w:hAnsi="Arial;sans-serif"/>
                  <w:b w:val="false"/>
                  <w:color w:val="0000FF"/>
                  <w:sz w:val="20"/>
                  <w:u w:val="single"/>
                </w:rPr>
                <w:t>Item 6.</w:t>
              </w:r>
            </w:hyperlink>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63">
              <w:r>
                <w:rPr>
                  <w:rStyle w:val="InternetLink"/>
                  <w:rFonts w:ascii="Arial;sans-serif" w:hAnsi="Arial;sans-serif"/>
                  <w:b w:val="false"/>
                  <w:color w:val="0000FF"/>
                  <w:sz w:val="20"/>
                  <w:u w:val="single"/>
                </w:rPr>
                <w:t>Exhibits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63">
              <w:r>
                <w:rPr>
                  <w:rStyle w:val="InternetLink"/>
                  <w:rFonts w:ascii="Arial;sans-serif" w:hAnsi="Arial;sans-serif"/>
                  <w:b w:val="false"/>
                  <w:color w:val="0000FF"/>
                  <w:sz w:val="20"/>
                  <w:u w:val="single"/>
                </w:rPr>
                <w:t>38</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7bc11510cb4c68964f758e8d3d02b1_166">
              <w:r>
                <w:rPr>
                  <w:rStyle w:val="InternetLink"/>
                  <w:rFonts w:ascii="Arial;sans-serif" w:hAnsi="Arial;sans-serif"/>
                  <w:b w:val="false"/>
                  <w:color w:val="0000FF"/>
                  <w:sz w:val="20"/>
                  <w:u w:val="single"/>
                </w:rPr>
                <w:t>Signatures</w:t>
              </w:r>
            </w:hyperlink>
          </w:p>
        </w:tc>
        <w:tc>
          <w:tcPr>
            <w:tcW w:w="60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7bc11510cb4c68964f758e8d3d02b1_166">
              <w:r>
                <w:rPr>
                  <w:rStyle w:val="InternetLink"/>
                  <w:rFonts w:ascii="Arial;sans-serif" w:hAnsi="Arial;sans-serif"/>
                  <w:b w:val="false"/>
                  <w:color w:val="0000FF"/>
                  <w:sz w:val="20"/>
                  <w:u w:val="single"/>
                </w:rPr>
                <w:t>39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Words such as “believes,” “expects,” “may,” “will,” “should,” “could,” “seeks,” “intends,” “plans,” “estimates,” “anticipates,” or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pStyle w:val="TextBody"/>
        <w:bidi w:val="0"/>
        <w:spacing w:lineRule="auto" w:line="276" w:before="0" w:after="0"/>
        <w:jc w:val="left"/>
        <w:rPr/>
      </w:pPr>
      <w:r>
        <w:rPr>
          <w:rFonts w:ascii="Arial;sans-serif" w:hAnsi="Arial;sans-serif"/>
          <w:b w:val="false"/>
          <w:color w:val="000000"/>
          <w:sz w:val="20"/>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January 3, 2026 (the “2025 Annual Report on Form 10-K”), as filed with the Securities and Exchange Commission (the “SEC”), as such risk factors may be updated from time to time in our periodic filings with the SEC, which are accessible on the SEC’s website at www.sec.gov, and also include, but are not limited to, market volatility, an overall decline in the health of the economy, global macroeconomic conditions and other factors that may affect consumer spending or behavior; our ability to successfully implement our strategic initiatives, or anticipate the impact of important strategic initiatives; our ability to recruit and retain vision care professionals for in-store roles or to provide remote care offerings; our ability to compete in the highly competitive optical retail industry; our ability to maintain, protect, and enhance the value of our owned brands</w:t>
      </w:r>
      <w:r>
        <w:rPr>
          <w:rFonts w:ascii="Arial;sans-serif" w:hAnsi="Arial;sans-serif"/>
          <w:b w:val="false"/>
          <w:color w:val="008080"/>
          <w:sz w:val="20"/>
        </w:rPr>
        <w:t xml:space="preserve">; </w:t>
      </w:r>
      <w:r>
        <w:rPr>
          <w:rFonts w:ascii="Arial;sans-serif" w:hAnsi="Arial;sans-serif"/>
          <w:b w:val="false"/>
          <w:color w:val="000000"/>
          <w:sz w:val="20"/>
        </w:rPr>
        <w:t>the success of our marketing, advertising and promotional efforts; our ability to open and operate new stores (including as a result of store conversions) in a timely and cost-effective manner or to successfully enter new markets; our ability to increase sales in existing stores and to successfully reinvest in existing stores; our ability to successfully implement our pricing strategies; changes in the cost of inputs, and factors such as wage rate increases, inflation, cost increases, tariffs and related measures, increases in the price of raw materials and energy prices; significant capital requirements to fund our expanding business including updating our Enterprise Resource Planning (“ERP”) and Customer Relationship Management (“CRM”), and other technological, systems and capabilities; the potential for our growth strategies to strain our existing resources and cause the performance of our existing stores to suffer; risks associated with leasing substantial amounts of space, including future increases in occupancy costs; our ability to successfully manage the distinct risks faced by our e-commerce and omni-channel business; our ability to retain our existing senior management team, attract qualified new personnel or successfully implement our succession plans; seasonal fluctuations in our operating results and inventory levels; the potential impacts of catastrophic events, including changing climate and weather patterns leading to severe weather and natural disasters; the potential for certain technological advances, greater availability of, or increased consumer preferences for, vision correction alternatives to prescription eyeglasses or contact lenses, or future drug development for the correction of vision-related problems to reduce the demand for our products; our ability to successfully manage our inventory balances and inventory shrinkage; the potential for the loss of, or disruption in the operations of, one or more of our distribution centers or optical laboratories, which would impact our ability to process and fulfill customer orders and deliver our products in a timely manner, or at all, or result in quality issues; the performance of our Host brands and our ability to maintain or extend our operating relationships with our Host partners; sustainability issues, including those related to climate change; our ability to develop, maintain and extend relationships with managed vision care companies, vision insurance providers and other third-party payors; our reliance on third-party coverage and reimbursement, including government programs, for an increasing portion of our revenues; risks associated with vendors from whom our products and certain services are sourced and our dependence on a limited number of suppliers; changes in U.S. or international laws, including tariffs, affecting our ability to source merchandise and services internationally; the impact of any significant failure, inadequacy, interruption or security breach affecting our information technology systems, or those of our vendors; our ability to comply with state, local and federal vision care and healthcare laws and regulations, as well as managed vision care laws and regulations; liability stemming from rapidly changing and increasingly stringent laws, regulations, contractual obligations, and industry standards relating to privacy, data security and data protection; product liability, product recall or personal injury issues; our ability to comply with laws, regulations and enforcement activities or changes in statutory, regulatory, accounting and other legal requirements; the outcome of legal proceedings relating to our business operations; the protection and validity of our intellectual property; risks related to our indebtedness; changes in interest rates; restrictions in our credit agreement that limit our flexibility in operating our business; and risks related to owning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Website Disclosure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before="0" w:after="12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National Vision Holdings,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16"/>
        <w:gridCol w:w="2091"/>
        <w:gridCol w:w="2103"/>
        <w:gridCol w:w="211"/>
        <w:gridCol w:w="1021"/>
        <w:gridCol w:w="109"/>
        <w:gridCol w:w="109"/>
        <w:gridCol w:w="109"/>
        <w:gridCol w:w="109"/>
        <w:gridCol w:w="217"/>
        <w:gridCol w:w="1050"/>
        <w:gridCol w:w="160"/>
      </w:tblGrid>
      <w:tr>
        <w:trPr/>
        <w:tc>
          <w:tcPr>
            <w:tcW w:w="29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 except share data</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January 3, 2026</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ASSETS </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225,722 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700,642 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 and trade names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1,757,956 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1,983,678 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payables and accrued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 and finance lease obligations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obligations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412,408 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and finance lease obligations, less current portion and debt discount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obligations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701,737 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Commitments and contingencies (See Note 7)</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Common stock, $0.01 par value; 200,000,000 shares authorized; 87,474,699 and 86,278,538 shares issued as of July 4, 2026 and January 3, 2026, respectively; 79,058,038 and 79,416,050 shares outstanding as of July 4, 2026 and January 3, 2026,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Treasury stock, at cost; 8,416,661 and 6,862,488 shares as of July 4, 2026 and January 3, 2026,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869,533 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1,983,493 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1,983,678 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and Comprehensive Income (Unaudited)</w:t>
      </w:r>
    </w:p>
    <w:tbl>
      <w:tblPr>
        <w:tblW w:w="10205" w:type="dxa"/>
        <w:jc w:val="center"/>
        <w:tblInd w:w="0" w:type="dxa"/>
        <w:tblLayout w:type="fixed"/>
        <w:tblCellMar>
          <w:top w:w="28" w:type="dxa"/>
          <w:left w:w="28" w:type="dxa"/>
          <w:bottom w:w="28" w:type="dxa"/>
          <w:right w:w="28" w:type="dxa"/>
        </w:tblCellMar>
      </w:tblPr>
      <w:tblGrid>
        <w:gridCol w:w="1713"/>
        <w:gridCol w:w="1295"/>
        <w:gridCol w:w="1303"/>
        <w:gridCol w:w="211"/>
        <w:gridCol w:w="856"/>
        <w:gridCol w:w="109"/>
        <w:gridCol w:w="109"/>
        <w:gridCol w:w="109"/>
        <w:gridCol w:w="109"/>
        <w:gridCol w:w="225"/>
        <w:gridCol w:w="915"/>
        <w:gridCol w:w="116"/>
        <w:gridCol w:w="109"/>
        <w:gridCol w:w="109"/>
        <w:gridCol w:w="109"/>
        <w:gridCol w:w="211"/>
        <w:gridCol w:w="856"/>
        <w:gridCol w:w="109"/>
        <w:gridCol w:w="109"/>
        <w:gridCol w:w="109"/>
        <w:gridCol w:w="109"/>
        <w:gridCol w:w="224"/>
        <w:gridCol w:w="913"/>
        <w:gridCol w:w="168"/>
      </w:tblGrid>
      <w:tr>
        <w:trPr/>
        <w:tc>
          <w:tcPr>
            <w:tcW w:w="17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1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394,589 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807,354 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sales of services and plans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486,423 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1,042,685 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996,747 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applicable to revenue (exclusive of depreciation and amortization):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plans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applicable to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200,371 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405,561 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operating expenses </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269,603 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548,600 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Earnings per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Comprehensive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hedge instruments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provision of unrealized gain on hedge instruments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(Unaudited)</w:t>
      </w:r>
    </w:p>
    <w:tbl>
      <w:tblPr>
        <w:tblW w:w="10205" w:type="dxa"/>
        <w:jc w:val="center"/>
        <w:tblInd w:w="0" w:type="dxa"/>
        <w:tblLayout w:type="fixed"/>
        <w:tblCellMar>
          <w:top w:w="28" w:type="dxa"/>
          <w:left w:w="28" w:type="dxa"/>
          <w:bottom w:w="28" w:type="dxa"/>
          <w:right w:w="28" w:type="dxa"/>
        </w:tblCellMar>
      </w:tblPr>
      <w:tblGrid>
        <w:gridCol w:w="855"/>
        <w:gridCol w:w="528"/>
        <w:gridCol w:w="529"/>
        <w:gridCol w:w="375"/>
        <w:gridCol w:w="376"/>
        <w:gridCol w:w="241"/>
        <w:gridCol w:w="222"/>
        <w:gridCol w:w="507"/>
        <w:gridCol w:w="114"/>
        <w:gridCol w:w="211"/>
        <w:gridCol w:w="856"/>
        <w:gridCol w:w="109"/>
        <w:gridCol w:w="385"/>
        <w:gridCol w:w="880"/>
        <w:gridCol w:w="200"/>
        <w:gridCol w:w="228"/>
        <w:gridCol w:w="928"/>
        <w:gridCol w:w="118"/>
        <w:gridCol w:w="211"/>
        <w:gridCol w:w="867"/>
        <w:gridCol w:w="109"/>
        <w:gridCol w:w="231"/>
        <w:gridCol w:w="944"/>
        <w:gridCol w:w="181"/>
      </w:tblGrid>
      <w:tr>
        <w:trPr/>
        <w:tc>
          <w:tcPr>
            <w:tcW w:w="85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Three and Six Months Ended July 4, 2026</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w:t>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Additional </w:t>
              <w:br/>
              <w:t xml:space="preserve">Paid-In </w:t>
              <w:br/>
              <w:t>Capital</w:t>
            </w:r>
          </w:p>
        </w:tc>
        <w:tc>
          <w:tcPr>
            <w:tcW w:w="146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Accumulated</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Other</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Comprehensive </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Income (Loss)</w:t>
            </w:r>
          </w:p>
        </w:tc>
        <w:tc>
          <w:tcPr>
            <w:tcW w:w="127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Retained Earnings</w:t>
            </w:r>
          </w:p>
        </w:tc>
        <w:tc>
          <w:tcPr>
            <w:tcW w:w="118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Treasury</w:t>
              <w:br/>
              <w:t>Stock</w:t>
            </w:r>
          </w:p>
        </w:tc>
        <w:tc>
          <w:tcPr>
            <w:tcW w:w="13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Total </w:t>
              <w:br/>
              <w:t xml:space="preserve">Stockholders’ </w:t>
              <w:br/>
              <w:t xml:space="preserve">Equity </w:t>
            </w:r>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46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27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18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3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Balances at January 3, 2026</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79,416 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255,717 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869,533 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Issuance of common stock </w:t>
            </w:r>
            <w:r>
              <w:rPr>
                <w:rFonts w:ascii="Arial;sans-serif" w:hAnsi="Arial;sans-serif"/>
                <w:b w:val="false"/>
                <w:color w:val="000000"/>
                <w:sz w:val="13"/>
              </w:rPr>
              <w:t>(1)</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hedge instruments, net of tax</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Balances at April 4, 2026</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80,115 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286,898 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(231,444)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898,006 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Issuance of common stock </w:t>
            </w:r>
            <w:r>
              <w:rPr>
                <w:rFonts w:ascii="Arial;sans-serif" w:hAnsi="Arial;sans-serif"/>
                <w:b w:val="false"/>
                <w:color w:val="000000"/>
                <w:sz w:val="13"/>
              </w:rPr>
              <w:t>(1)</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hedge instruments, net of tax</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Balances at July 4, 2026</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79,058 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299,314 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896,996 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Consists primarily of the vesting of shares issued under the Company’s stock incentive plans and Associate Share Purchase Plan.</w:t>
            </w:r>
          </w:p>
        </w:tc>
      </w:tr>
    </w:tbl>
    <w:p>
      <w:pPr>
        <w:pStyle w:val="TextBody"/>
        <w:bidi w:val="0"/>
        <w:spacing w:before="100" w:after="120"/>
        <w:jc w:val="center"/>
        <w:rPr/>
      </w:pPr>
      <w:r>
        <w:rPr/>
      </w:r>
    </w:p>
    <w:tbl>
      <w:tblPr>
        <w:tblW w:w="10212" w:type="dxa"/>
        <w:jc w:val="center"/>
        <w:tblInd w:w="0" w:type="dxa"/>
        <w:tblLayout w:type="fixed"/>
        <w:tblCellMar>
          <w:top w:w="28" w:type="dxa"/>
          <w:left w:w="28" w:type="dxa"/>
          <w:bottom w:w="28" w:type="dxa"/>
          <w:right w:w="28" w:type="dxa"/>
        </w:tblCellMar>
      </w:tblPr>
      <w:tblGrid>
        <w:gridCol w:w="685"/>
        <w:gridCol w:w="325"/>
        <w:gridCol w:w="326"/>
        <w:gridCol w:w="375"/>
        <w:gridCol w:w="376"/>
        <w:gridCol w:w="241"/>
        <w:gridCol w:w="211"/>
        <w:gridCol w:w="481"/>
        <w:gridCol w:w="109"/>
        <w:gridCol w:w="211"/>
        <w:gridCol w:w="856"/>
        <w:gridCol w:w="109"/>
        <w:gridCol w:w="423"/>
        <w:gridCol w:w="814"/>
        <w:gridCol w:w="219"/>
        <w:gridCol w:w="211"/>
        <w:gridCol w:w="856"/>
        <w:gridCol w:w="109"/>
        <w:gridCol w:w="211"/>
        <w:gridCol w:w="856"/>
        <w:gridCol w:w="109"/>
        <w:gridCol w:w="231"/>
        <w:gridCol w:w="939"/>
        <w:gridCol w:w="121"/>
        <w:gridCol w:w="109"/>
        <w:gridCol w:w="109"/>
        <w:gridCol w:w="109"/>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Three and Six Months Ended 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w:t>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Additional </w:t>
              <w:br/>
              <w:t xml:space="preserve">Paid-In </w:t>
              <w:br/>
              <w:t>Capital</w:t>
            </w:r>
          </w:p>
        </w:tc>
        <w:tc>
          <w:tcPr>
            <w:tcW w:w="14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Accumulated</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Other</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Comprehensive </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Income (Loss)</w:t>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Retained Earnings</w:t>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Treasury</w:t>
              <w:br/>
              <w:t>Stock</w:t>
            </w:r>
          </w:p>
        </w:tc>
        <w:tc>
          <w:tcPr>
            <w:tcW w:w="12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Total </w:t>
              <w:br/>
              <w:t xml:space="preserve">Stockholders’ </w:t>
              <w:br/>
              <w:t xml:space="preserve">Equity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4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2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Balances at December 28, 2024</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78,775 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816,333 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Issuance of common stock </w:t>
            </w:r>
            <w:r>
              <w:rPr>
                <w:rFonts w:ascii="Arial;sans-serif" w:hAnsi="Arial;sans-serif"/>
                <w:b w:val="false"/>
                <w:color w:val="000000"/>
                <w:sz w:val="13"/>
              </w:rPr>
              <w:t>(1)</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hedge instruments, net of tax</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Balances at March 29, 2025</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79,050 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836,160 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Issuance of common stock </w:t>
            </w:r>
            <w:r>
              <w:rPr>
                <w:rFonts w:ascii="Arial;sans-serif" w:hAnsi="Arial;sans-serif"/>
                <w:b w:val="false"/>
                <w:color w:val="000000"/>
                <w:sz w:val="13"/>
              </w:rPr>
              <w:t>(1)</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hedge instruments, net of tax</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Balances at June 28, 2025</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79,175 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850,581 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04"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Consists primarily of the vesting of shares issued under the Company’s stock incentive plans and Associate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tbl>
      <w:tblPr>
        <w:tblW w:w="10031" w:type="dxa"/>
        <w:jc w:val="left"/>
        <w:tblInd w:w="0" w:type="dxa"/>
        <w:tblLayout w:type="fixed"/>
        <w:tblCellMar>
          <w:top w:w="28" w:type="dxa"/>
          <w:left w:w="28" w:type="dxa"/>
          <w:bottom w:w="28" w:type="dxa"/>
          <w:right w:w="28" w:type="dxa"/>
        </w:tblCellMar>
      </w:tblPr>
      <w:tblGrid>
        <w:gridCol w:w="2594"/>
        <w:gridCol w:w="2277"/>
        <w:gridCol w:w="2283"/>
        <w:gridCol w:w="230"/>
        <w:gridCol w:w="821"/>
        <w:gridCol w:w="119"/>
        <w:gridCol w:w="109"/>
        <w:gridCol w:w="109"/>
        <w:gridCol w:w="109"/>
        <w:gridCol w:w="261"/>
        <w:gridCol w:w="929"/>
        <w:gridCol w:w="190"/>
      </w:tblGrid>
      <w:tr>
        <w:trPr/>
        <w:tc>
          <w:tcPr>
            <w:tcW w:w="2594"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discount and deferred financing costs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cloud computing implementation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Asset impairment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expense (benefit)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 and lease liabilities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and unearned revenue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(20,401)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69,815 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86,500 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(34,759)</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(32,924)</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on long-term debt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(91,399)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on long-term debt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finance lease obligations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 activities</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(38,045)</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(78,825)</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(2,989)</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(25,249)</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year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75,237 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 (See Note 2)</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37,313 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49,988 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disclosure information:</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taxes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accrued at the end of the period</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outflows - operating leases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acquired under operating leases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condensed consolidated financial statements.</w:t>
      </w:r>
    </w:p>
    <w:p>
      <w:pPr>
        <w:pStyle w:val="TextBody"/>
        <w:bidi w:val="0"/>
        <w:spacing w:before="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Index to Notes to Condensed Consolidated Financial Statements</w:t>
      </w:r>
    </w:p>
    <w:p>
      <w:pPr>
        <w:pStyle w:val="TextBody"/>
        <w:bidi w:val="0"/>
        <w:spacing w:before="0" w:after="0"/>
        <w:jc w:val="left"/>
        <w:rPr/>
      </w:pPr>
      <w:r>
        <w:rPr/>
      </w:r>
    </w:p>
    <w:p>
      <w:pPr>
        <w:pStyle w:val="TextBody"/>
        <w:bidi w:val="0"/>
        <w:spacing w:before="0" w:after="0"/>
        <w:jc w:val="left"/>
        <w:rPr/>
      </w:pPr>
      <w:r>
        <w:rPr/>
      </w:r>
    </w:p>
    <w:tbl>
      <w:tblPr>
        <w:tblW w:w="5445" w:type="dxa"/>
        <w:jc w:val="left"/>
        <w:tblInd w:w="0" w:type="dxa"/>
        <w:tblLayout w:type="fixed"/>
        <w:tblCellMar>
          <w:top w:w="28" w:type="dxa"/>
          <w:left w:w="28" w:type="dxa"/>
          <w:bottom w:w="28" w:type="dxa"/>
          <w:right w:w="28" w:type="dxa"/>
        </w:tblCellMar>
      </w:tblPr>
      <w:tblGrid>
        <w:gridCol w:w="1753"/>
        <w:gridCol w:w="1542"/>
        <w:gridCol w:w="1549"/>
        <w:gridCol w:w="176"/>
        <w:gridCol w:w="176"/>
        <w:gridCol w:w="249"/>
      </w:tblGrid>
      <w:tr>
        <w:trPr/>
        <w:tc>
          <w:tcPr>
            <w:tcW w:w="175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Page</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37">
              <w:r>
                <w:rPr>
                  <w:rStyle w:val="InternetLink"/>
                  <w:rFonts w:ascii="Arial;sans-serif" w:hAnsi="Arial;sans-serif"/>
                  <w:b w:val="false"/>
                  <w:color w:val="0000FF"/>
                  <w:sz w:val="20"/>
                  <w:u w:val="single"/>
                </w:rPr>
                <w:t>1. Description of Business and Basis of Presentation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37">
              <w:r>
                <w:rPr>
                  <w:rStyle w:val="InternetLink"/>
                  <w:rFonts w:ascii="Arial;sans-serif" w:hAnsi="Arial;sans-serif"/>
                  <w:b w:val="false"/>
                  <w:color w:val="0000FF"/>
                  <w:sz w:val="20"/>
                  <w:u w:val="single"/>
                </w:rPr>
                <w:t>10</w:t>
              </w:r>
            </w:hyperlink>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43">
              <w:r>
                <w:rPr>
                  <w:rStyle w:val="InternetLink"/>
                  <w:rFonts w:ascii="Arial;sans-serif" w:hAnsi="Arial;sans-serif"/>
                  <w:b w:val="false"/>
                  <w:color w:val="0000FF"/>
                  <w:sz w:val="20"/>
                  <w:u w:val="single"/>
                </w:rPr>
                <w:t>2. Details of Certain Balance Sheet Accounts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43">
              <w:r>
                <w:rPr>
                  <w:rStyle w:val="InternetLink"/>
                  <w:rFonts w:ascii="Arial;sans-serif" w:hAnsi="Arial;sans-serif"/>
                  <w:b w:val="false"/>
                  <w:color w:val="0000FF"/>
                  <w:sz w:val="20"/>
                  <w:u w:val="single"/>
                </w:rPr>
                <w:t>13</w:t>
              </w:r>
            </w:hyperlink>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47bc11510cb4c68964f758e8d3d02b1_49">
              <w:r>
                <w:rPr>
                  <w:rStyle w:val="InternetLink"/>
                  <w:rFonts w:ascii="Arial;sans-serif" w:hAnsi="Arial;sans-serif"/>
                  <w:b w:val="false"/>
                  <w:color w:val="0000FF"/>
                  <w:sz w:val="20"/>
                  <w:u w:val="single"/>
                </w:rPr>
                <w:t>3. Fair Value Measurement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49">
              <w:r>
                <w:rPr>
                  <w:rStyle w:val="InternetLink"/>
                  <w:rFonts w:ascii="Arial;sans-serif" w:hAnsi="Arial;sans-serif"/>
                  <w:b w:val="false"/>
                  <w:color w:val="0000FF"/>
                  <w:sz w:val="20"/>
                  <w:u w:val="single"/>
                </w:rPr>
                <w:t>13</w:t>
              </w:r>
            </w:hyperlink>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47bc11510cb4c68964f758e8d3d02b1_55">
              <w:r>
                <w:rPr>
                  <w:rStyle w:val="InternetLink"/>
                  <w:rFonts w:ascii="Arial;sans-serif" w:hAnsi="Arial;sans-serif"/>
                  <w:b w:val="false"/>
                  <w:color w:val="0000FF"/>
                  <w:sz w:val="20"/>
                  <w:u w:val="single"/>
                </w:rPr>
                <w:t>4. Debt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55">
              <w:r>
                <w:rPr>
                  <w:rStyle w:val="InternetLink"/>
                  <w:rFonts w:ascii="Arial;sans-serif" w:hAnsi="Arial;sans-serif"/>
                  <w:b w:val="false"/>
                  <w:color w:val="0000FF"/>
                  <w:sz w:val="20"/>
                  <w:u w:val="single"/>
                </w:rPr>
                <w:t>14</w:t>
              </w:r>
            </w:hyperlink>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61">
              <w:r>
                <w:rPr>
                  <w:rStyle w:val="InternetLink"/>
                  <w:rFonts w:ascii="Arial;sans-serif" w:hAnsi="Arial;sans-serif"/>
                  <w:b w:val="false"/>
                  <w:color w:val="0000FF"/>
                  <w:sz w:val="20"/>
                  <w:u w:val="single"/>
                </w:rPr>
                <w:t>5. Interest Rate Derivatives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61">
              <w:r>
                <w:rPr>
                  <w:rStyle w:val="InternetLink"/>
                  <w:rFonts w:ascii="Arial;sans-serif" w:hAnsi="Arial;sans-serif"/>
                  <w:b w:val="false"/>
                  <w:color w:val="0000FF"/>
                  <w:sz w:val="20"/>
                  <w:u w:val="single"/>
                </w:rPr>
                <w:t>15</w:t>
              </w:r>
            </w:hyperlink>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64">
              <w:r>
                <w:rPr>
                  <w:rStyle w:val="InternetLink"/>
                  <w:rFonts w:ascii="Arial;sans-serif" w:hAnsi="Arial;sans-serif"/>
                  <w:b w:val="false"/>
                  <w:color w:val="0000FF"/>
                  <w:sz w:val="20"/>
                  <w:u w:val="single"/>
                </w:rPr>
                <w:t>6. Revenue from Contracts with Customers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64">
              <w:r>
                <w:rPr>
                  <w:rStyle w:val="InternetLink"/>
                  <w:rFonts w:ascii="Arial;sans-serif" w:hAnsi="Arial;sans-serif"/>
                  <w:b w:val="false"/>
                  <w:color w:val="0000FF"/>
                  <w:sz w:val="20"/>
                  <w:u w:val="single"/>
                </w:rPr>
                <w:t>15</w:t>
              </w:r>
            </w:hyperlink>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73">
              <w:r>
                <w:rPr>
                  <w:rStyle w:val="InternetLink"/>
                  <w:rFonts w:ascii="Arial;sans-serif" w:hAnsi="Arial;sans-serif"/>
                  <w:b w:val="false"/>
                  <w:color w:val="0000FF"/>
                  <w:sz w:val="20"/>
                  <w:u w:val="single"/>
                </w:rPr>
                <w:t>7. Commitments and Contingencies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73">
              <w:r>
                <w:rPr>
                  <w:rStyle w:val="InternetLink"/>
                  <w:rFonts w:ascii="Arial;sans-serif" w:hAnsi="Arial;sans-serif"/>
                  <w:b w:val="false"/>
                  <w:color w:val="0000FF"/>
                  <w:sz w:val="20"/>
                  <w:u w:val="single"/>
                </w:rPr>
                <w:t>16</w:t>
              </w:r>
            </w:hyperlink>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79">
              <w:r>
                <w:rPr>
                  <w:rStyle w:val="InternetLink"/>
                  <w:rFonts w:ascii="Arial;sans-serif" w:hAnsi="Arial;sans-serif"/>
                  <w:b w:val="false"/>
                  <w:color w:val="0000FF"/>
                  <w:sz w:val="20"/>
                  <w:u w:val="single"/>
                </w:rPr>
                <w:t>8. Segment Reporting</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79">
              <w:r>
                <w:rPr>
                  <w:rStyle w:val="InternetLink"/>
                  <w:rFonts w:ascii="Arial;sans-serif" w:hAnsi="Arial;sans-serif"/>
                  <w:b w:val="false"/>
                  <w:color w:val="0000FF"/>
                  <w:sz w:val="20"/>
                  <w:u w:val="single"/>
                </w:rPr>
                <w:t>17</w:t>
              </w:r>
            </w:hyperlink>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47bc11510cb4c68964f758e8d3d02b1_85">
              <w:r>
                <w:rPr>
                  <w:rStyle w:val="InternetLink"/>
                  <w:rFonts w:ascii="Arial;sans-serif" w:hAnsi="Arial;sans-serif"/>
                  <w:b w:val="false"/>
                  <w:color w:val="000080"/>
                  <w:sz w:val="20"/>
                  <w:u w:val="single"/>
                </w:rPr>
                <w:t>9. Earnings</w:t>
              </w:r>
            </w:hyperlink>
            <w:hyperlink w:anchor="i147bc11510cb4c68964f758e8d3d02b1_85">
              <w:r>
                <w:rPr>
                  <w:rStyle w:val="InternetLink"/>
                  <w:rFonts w:ascii="Arial;sans-serif" w:hAnsi="Arial;sans-serif"/>
                  <w:b w:val="false"/>
                  <w:color w:val="000080"/>
                  <w:sz w:val="20"/>
                  <w:u w:val="single"/>
                </w:rPr>
                <w:t xml:space="preserve"> Per Share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85">
              <w:r>
                <w:rPr>
                  <w:rStyle w:val="InternetLink"/>
                  <w:rFonts w:ascii="Arial;sans-serif" w:hAnsi="Arial;sans-serif"/>
                  <w:b w:val="false"/>
                  <w:color w:val="0000FF"/>
                  <w:sz w:val="20"/>
                  <w:u w:val="single"/>
                </w:rPr>
                <w:t>19</w:t>
              </w:r>
            </w:hyperlink>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47bc11510cb4c68964f758e8d3d02b1_88">
              <w:r>
                <w:rPr>
                  <w:rStyle w:val="InternetLink"/>
                  <w:rFonts w:ascii="Arial;sans-serif" w:hAnsi="Arial;sans-serif"/>
                  <w:b w:val="false"/>
                  <w:color w:val="0000FF"/>
                  <w:sz w:val="20"/>
                  <w:u w:val="single"/>
                </w:rPr>
                <w:t>10. Accumulated Other Comprehensive Income (Loss)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88">
              <w:r>
                <w:rPr>
                  <w:rStyle w:val="InternetLink"/>
                  <w:rFonts w:ascii="Arial;sans-serif" w:hAnsi="Arial;sans-serif"/>
                  <w:b w:val="false"/>
                  <w:color w:val="0000FF"/>
                  <w:sz w:val="20"/>
                  <w:u w:val="single"/>
                </w:rPr>
                <w:t>19</w:t>
              </w:r>
            </w:hyperlink>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47bc11510cb4c68964f758e8d3d02b1_549755815461">
              <w:r>
                <w:rPr>
                  <w:rStyle w:val="InternetLink"/>
                  <w:rFonts w:ascii="Arial;sans-serif" w:hAnsi="Arial;sans-serif"/>
                  <w:b w:val="false"/>
                  <w:color w:val="000080"/>
                  <w:sz w:val="20"/>
                  <w:u w:val="single"/>
                </w:rPr>
                <w:t>1</w:t>
              </w:r>
            </w:hyperlink>
            <w:hyperlink w:anchor="i147bc11510cb4c68964f758e8d3d02b1_549755815461">
              <w:r>
                <w:rPr>
                  <w:rStyle w:val="InternetLink"/>
                  <w:rFonts w:ascii="Arial;sans-serif" w:hAnsi="Arial;sans-serif"/>
                  <w:b w:val="false"/>
                  <w:color w:val="000080"/>
                  <w:sz w:val="20"/>
                  <w:u w:val="single"/>
                </w:rPr>
                <w:t>1. Restructuring</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7bc11510cb4c68964f758e8d3d02b1_549755815461">
              <w:r>
                <w:rPr>
                  <w:rStyle w:val="InternetLink"/>
                  <w:rFonts w:ascii="Arial;sans-serif" w:hAnsi="Arial;sans-serif"/>
                  <w:b w:val="false"/>
                  <w:color w:val="0000FF"/>
                  <w:sz w:val="20"/>
                  <w:u w:val="single"/>
                </w:rPr>
                <w:t>19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1. Business and Significant Accounting Policies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Nature of Operations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(the “U.S.”). We operated 1,281 and 1,250 retail optical locations in the U.S. and its territories as of July 4, 2026 and January 3, 2026, respectively, through our four store brands, including America’s Best Contacts and Eyeglasses (“America’s Best”), Eyeglass World (“EGW”), Vista Optical locations on select U.S. Army/Air Force military bases (“Military”) and within select Fred Meyer stores. Additionally, we operate omni-channel websites for our America’s Best, Eyeglass World and Military brands, as well as a dedicated e-commerce website.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also operate a specialized health maintenance organization (“HMO”) that is licensed as a single-service health plan under California law. The HMO issues individual vision plans in connection with our America’s Best operations in California.</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Basis of Presentation and Principles of Consolidation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These condensed consolidated financial statements reflect all normal and recurring adjustments which are, in the opinion of management, necessary to present fairly the Company’s consolidated results of the interim period.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January 3, 2026 included in the Company’s Annual Report on Form 10-K filed with the Securities and Exchange Commission on March 4, 2026 (the “2025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six months ended July 4, 2026.</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condensed consolidated financial statements include our accounts and those of our wholly-owned subsidiaries. All intercompany balances and transactions have been eliminated in consolidation.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Company has consolidated certain entities meeting the definition of a variable interest entity (“VIE”) as the Company concluded that it is the primary beneficiary of the entities under the provisions of Accounting Standards Codification 810, Consolidation. As of July 4, 2026, the variable interest entities include 27 professional corporations. The total assets of the consolidated VIEs included in the accompanying Condensed Consolidated Balance Sheets as of July 4, 2026 and January 3, 2026, were $5.6 million and $4.6 million, respectively, and the total liabilities of the consolidated VIEs were $5.5 million and $6.9 million, respectively.</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Fiscal Year</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fiscal year consists of 52 or 53 weeks ending on the Saturday closest to December 31. Fiscal year 2026 contains 52 weeks and will end on January 2, 2027. Fiscal year 2025 contained 53 weeks and ended on January 3, 2026. All three and six month periods presented herein contain 13 and 26 weeks. All references to years and quarters relate to fiscal periods rather than calendar periods.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Seasonality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consolidated results of operations for the three and six months ended July 4, 2026 and June 28, 2025, are not necessarily indicative of the results to be expected for the full fiscal year due to seasonality and uncertainty of general economic conditions that may impact our key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CARES Act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Accounts receivable, net on the Condensed Consolidated Balance Sheets as of January 3, 2026 includes a $9.0 million receivable under the Coronavirus Aid, Relief, and Economic Security (“CARES”) Act. During the six months ended July 4, 2026, the Company received the full payment of these CARES Act credits.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Use of Estimates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Severance Benefits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recognized $0.1 million and $2.2 million during the three and six months ended July 4, 2026, respectively, and $2.1 million during the six months ended June 28, 2025, related to severance benefits for certain associates in the Corporate and other category within Selling, general and administrative expenses in the Condensed Consolidated Statements of Operations and Comprehensive Income. These charges were recognized in accordance with FASB guidance on employers’ accounting for postemployment benefits and guidance on accounting for costs associated with exit or disposal activities, as appropriate. Refer to Note 11. “Restructuring” for information on employee termination benefits related to the Eyeglass World lab optimization initiative.</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During the six months ended July 4, 2026, we granted performance stock units to certain employees. The number of shares issued will be determined based on the level of achievement of predefined performance and market conditions, including adjusted operating income, return on invested capital, relative total shareholder return versus a peer group and an absolute total shareholder return feature, with a performance period of three years and a requisite service period of three to five years. We recognize compensation expense on performance stock units ratably over the requisite performance period of the award to the extent management views the performance goals as probable of attainment. We recognize compensation expense for the fair value of the relative total shareholder return versus the peer group component and the absolute total shareholder return component over the requisite service period of such awards using a Monte Carlo simulation.</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Asset Impairment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recognized $2.5 million of impairment charges during the three and six months ended July 4, 2026 related to the Eyeglass World lab optimization initiative, compared to $0.5 million of impairment charges related to tangible long-lived store assets and Right of Use (“ROU”) assets for the six months ended June 28, 2025. The impairments were recognized in Corporate and other, and are reflected in Asset impairment in the Condensed Consolidated Statements of Operations and Comprehensive Income. Refer to Note 11. “Restructuring” for information on the Eyeglass World lab optimization initiative and to Note 3. “Fair Value Measurement” for additional information on impairment charges.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Impairments of tangible long-lived store assets and ROU assets during the six months ended June 28, 2025 were primarily driven by lower than projected customer sales volume and profitability in certain stores and other entity-specific assumptions. We considered multiple factors including, but not limited to, forecasted scenarios related to store performance and the likelihood that these scenarios would be ultimately realized and the remaining useful lives of the assets.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effective tax rate for the three months ended July 4, 2026 was 30.9%, reflecting our statutory federal and state rate of 25.1%, non-deductible compensation expense and the effects of other permanent items. Our effective tax rate for the six months ended July 4, 2026 was 27.8%, reflecting our statutory federal and state rate of 25.1%, non-deductible compensation expense, partially offset by the discrete benefit of permanent adjustments related to equity compensation.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Our effective tax rate for the three months ended June 28, 2025 was 28.7%, reflecting our statutory federal and state rate of 25.2% and effects of permanent items. Our effective tax rate for the six months ended June 28, 2025 was 32.2%,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reflecting our statutory federal and state rate of 25.2%, discrete effects of permanent adjustments related to equity compensation and other effects of permanent items.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Share Repurchases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Effective March 2, 2026, the Board authorized the Company to repurchase up to $50 million aggregate amount of shares of the Company’s common stock until December 28, 2030. During the three months ended July 4, 2026, the Company repurchased approximately 1.2 million shares for $20.0 million. As of July 4, 2026, the authorization has remaining capacity of $30.0 million.</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Investments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During fiscal years 2023 through 2025, the Company completed a series of investments in an entity specializing in applying artificial intelligence-powered screening and diagnostic tools to retinal imaging, including $3.3 million in the equity of the entity, which was valued at cost, and $2.5 million in a convertible promissory note, which was valued using the fair value option. The investments were recognized in Other assets in the Consolidated Balance Sheets and in Other within the investing section of the Consolidated Statements of Cash Flows.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the fourth quarter of fiscal year 2025, the investee entered into an agreement and plan of merger pursuant to which it would be acquired by the Company's co-preferred investor in the entity. The transaction closed during the second quarter of fiscal year 2026. In connection with the sale, the Company received cash proceeds of $3.3 million related to its equity investment and $2.5 million related to its convertible promissory note. Because the proceeds received were equal to the carrying values of the respective investments immediately prior to closing, no gain or loss was recognized on the transaction. Following the closing of the transaction, the Company no longer holds an investment in the entity.</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IEEPA Tariff Refunds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On February 20, 2026, the U.S. Supreme Court invalidated tariffs imposed under the International Emergency Economic Powers Act ("IEEPA"). The President immediately introduced new tariffs under different statutory authority, though the scope, duration, and the likelihood and outcome of further legal challenges to these tariffs remain uncertain. On June 16, 2026, the Company filed a claim with U.S. Customs and Border Protection seeking refunds of approximately $4.8 million of IEEPA tariffs previously paid by the Company. As of July 4, 2026, the Company had not received any refunds related to the claim. Due to the uncertainty regarding the timing and amount of any refunds to be received, the Company has not recognized any potential IEEPA tariff refunds in its Condensed Consolidated Financial Statements as of July 4, 2026. Subsequent to July 4, 2026, the Company has received refunds totaling approximately $0.9 million. The Company continues to monitor developments related to the refund process and the potential impacts on its financial condition and results of operations.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Adoption of Current Accounting Pronouncements</w:t>
      </w:r>
    </w:p>
    <w:p>
      <w:pPr>
        <w:pStyle w:val="TextBody"/>
        <w:bidi w:val="0"/>
        <w:spacing w:lineRule="auto" w:line="288" w:before="0" w:after="120"/>
        <w:jc w:val="left"/>
        <w:rPr/>
      </w:pPr>
      <w:r>
        <w:rPr>
          <w:rFonts w:ascii="Arial;sans-serif" w:hAnsi="Arial;sans-serif"/>
          <w:b w:val="false"/>
          <w:i/>
          <w:color w:val="000000"/>
          <w:sz w:val="20"/>
        </w:rPr>
        <w:t xml:space="preserve">Credit Losses for Accounts Receivable and Contract Assets. </w:t>
      </w:r>
      <w:r>
        <w:rPr>
          <w:rFonts w:ascii="Arial;sans-serif" w:hAnsi="Arial;sans-serif"/>
          <w:b w:val="false"/>
          <w:color w:val="000000"/>
          <w:sz w:val="20"/>
        </w:rPr>
        <w:t>In July 2025, the FASB issued ASU 2025-05, Financial Instruments-Credit Losses (Topic 326): Measurement of Credit Losses for Accounts Receivable and Contract Assets. This update provides a practical expedient which allows an entity to assume that, for purposes of estimating expected credit losses related to an asset, current conditions as of a balance sheet date do not change for the remaining life of the asset. This guidance is effective for fiscal years beginning after December 15, 2025, and interim reporting periods within those annual reporting periods, with early adoption permitted. The Company adopted this new guidance in the first quarter of 2026. The adoption of ASU 2025</w:t>
        <w:noBreakHyphen/>
        <w:t>05 did not have a material impact on the Company’s allowance for credit losses or its consolidated financial statements.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Future Adoption of Accounting Pronouncements</w:t>
      </w:r>
    </w:p>
    <w:p>
      <w:pPr>
        <w:pStyle w:val="TextBody"/>
        <w:bidi w:val="0"/>
        <w:spacing w:lineRule="auto" w:line="288" w:before="0" w:after="120"/>
        <w:jc w:val="left"/>
        <w:rPr/>
      </w:pPr>
      <w:r>
        <w:rPr>
          <w:rFonts w:ascii="Arial;sans-serif" w:hAnsi="Arial;sans-serif"/>
          <w:b w:val="false"/>
          <w:i/>
          <w:color w:val="000000"/>
          <w:sz w:val="20"/>
        </w:rPr>
        <w:t>Expense Disaggregation Disclosures</w:t>
      </w:r>
      <w:r>
        <w:rPr>
          <w:rFonts w:ascii="Arial;sans-serif" w:hAnsi="Arial;sans-serif"/>
          <w:b w:val="false"/>
          <w:color w:val="000000"/>
          <w:sz w:val="20"/>
        </w:rPr>
        <w:t>. In November 2024, the FASB issued ASU 2024-03, Income Statement – Reporting Comprehensive Income (Topic 220-40): Expense Disaggregation Disclosures (“ASU 2024-03”). This update requires, among other things, more detailed disclosure about types of expenses in commonly presented expense captions such as cost of sales and Selling, general, and administrative (“SG&amp;A”), and is intended to improve the disclosures about an entity’s expenses including purchases of inventory, employee compensation, depreciation and amortization. ASU 2024-03 is effective for fiscal years beginning after December 15, 2026, and interim periods within fiscal years beginning after December 15, 2027. The Company is currently evaluating the impact of the guidance on the consolidated financial statements and disclosures.</w:t>
      </w:r>
    </w:p>
    <w:p>
      <w:pPr>
        <w:pStyle w:val="TextBody"/>
        <w:bidi w:val="0"/>
        <w:spacing w:lineRule="auto" w:line="288" w:before="0" w:after="120"/>
        <w:jc w:val="left"/>
        <w:rPr/>
      </w:pPr>
      <w:r>
        <w:rPr>
          <w:rFonts w:ascii="Arial;sans-serif" w:hAnsi="Arial;sans-serif"/>
          <w:b w:val="false"/>
          <w:i/>
          <w:color w:val="000000"/>
          <w:sz w:val="20"/>
        </w:rPr>
        <w:t>Derivatives and Hedging</w:t>
      </w:r>
      <w:r>
        <w:rPr>
          <w:rFonts w:ascii="Arial;sans-serif" w:hAnsi="Arial;sans-serif"/>
          <w:b w:val="false"/>
          <w:color w:val="000000"/>
          <w:sz w:val="20"/>
        </w:rPr>
        <w:t>. In November 2025, the FASB issued ASU 2025-09, Derivatives and Hedging (Topic 815), to more closely align financial reporting with the economics of an entity’s risk management activities. The effective date for this standard is for fiscal years beginning after December 15, 2026 and interim periods within those fiscal years. Early adoption is permitted. The amendments in this ASU should be applied prospectively with an option to adopt the amendments for hedging relationships existing as of the date of adoption. The Company is currently evaluating the impact of the guidance on the consolidated financial statements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pPr>
      <w:r>
        <w:rPr>
          <w:rFonts w:ascii="Arial;sans-serif" w:hAnsi="Arial;sans-serif"/>
          <w:b w:val="false"/>
          <w:i/>
          <w:color w:val="000000"/>
          <w:sz w:val="20"/>
        </w:rPr>
        <w:t xml:space="preserve">Intangibles - Internal-Use Software. </w:t>
      </w:r>
      <w:r>
        <w:rPr>
          <w:rFonts w:ascii="Arial;sans-serif" w:hAnsi="Arial;sans-serif"/>
          <w:b w:val="false"/>
          <w:color w:val="000000"/>
          <w:sz w:val="20"/>
        </w:rPr>
        <w:t>In September 2025, the FASB issued ASU 2025-06, Intangibles - Goodwill and Other Internal-Use Software (Subtopic 350-40), which updates the accounting guidance for internal-use software costs. The amendments remove references to software development project stages and align the guidance with current software development practices. The standard is effective for fiscal years beginning after December 15, 2027, including interim periods within those fiscal years, with early adoption permitted. The Company is currently evaluating the impact of this ASU on its consolidated financial statements and disclosures.</w:t>
      </w:r>
    </w:p>
    <w:p>
      <w:pPr>
        <w:pStyle w:val="TextBody"/>
        <w:bidi w:val="0"/>
        <w:spacing w:lineRule="auto" w:line="288" w:before="0" w:after="120"/>
        <w:jc w:val="left"/>
        <w:rPr/>
      </w:pPr>
      <w:r>
        <w:rPr>
          <w:rFonts w:ascii="Arial;sans-serif" w:hAnsi="Arial;sans-serif"/>
          <w:b w:val="false"/>
          <w:i/>
          <w:color w:val="000000"/>
          <w:sz w:val="20"/>
        </w:rPr>
        <w:t>Interim Reporting</w:t>
      </w:r>
      <w:r>
        <w:rPr>
          <w:rFonts w:ascii="Arial;sans-serif" w:hAnsi="Arial;sans-serif"/>
          <w:b w:val="false"/>
          <w:color w:val="000000"/>
          <w:sz w:val="20"/>
        </w:rPr>
        <w:t>. In December 2025, the FASB issued ASU 2025-11, Interim Reporting (Topic 270): Narrow-Scope Improvements (“ASU 2025-11”).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standard is effective for fiscal years beginning after December 15, 2027, including interim periods within those fiscal years, and permits prospective or full retrospective adoption. The Company is currently evaluating the impact of the guidance on the consolidated financial statements and disclosures.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FASB issued other accounting guidance during the period that is not currently applicable or expected to have a material impact on the Company’s financial statements, and therefore, is not described above.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2. Details of Certain Balance Sheet Accounts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provides a reconciliation of cash and cash equivalents reported within the Condensed Consolidated Balance Sheets to the total of Cash, cash equivalents and restricted cash shown in the Condensed Consolidated Statement of Cash Flows:</w:t>
      </w:r>
    </w:p>
    <w:tbl>
      <w:tblPr>
        <w:tblW w:w="7870" w:type="dxa"/>
        <w:jc w:val="left"/>
        <w:tblInd w:w="0" w:type="dxa"/>
        <w:tblLayout w:type="fixed"/>
        <w:tblCellMar>
          <w:top w:w="28" w:type="dxa"/>
          <w:left w:w="28" w:type="dxa"/>
          <w:bottom w:w="28" w:type="dxa"/>
          <w:right w:w="28" w:type="dxa"/>
        </w:tblCellMar>
      </w:tblPr>
      <w:tblGrid>
        <w:gridCol w:w="1686"/>
        <w:gridCol w:w="1480"/>
        <w:gridCol w:w="1485"/>
        <w:gridCol w:w="257"/>
        <w:gridCol w:w="919"/>
        <w:gridCol w:w="133"/>
        <w:gridCol w:w="122"/>
        <w:gridCol w:w="122"/>
        <w:gridCol w:w="122"/>
        <w:gridCol w:w="292"/>
        <w:gridCol w:w="1040"/>
        <w:gridCol w:w="212"/>
      </w:tblGrid>
      <w:tr>
        <w:trPr/>
        <w:tc>
          <w:tcPr>
            <w:tcW w:w="168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w:t>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48,471 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cash included in Other assets </w:t>
            </w:r>
            <w:r>
              <w:rPr>
                <w:rFonts w:ascii="Arial;sans-serif" w:hAnsi="Arial;sans-serif"/>
                <w:b w:val="false"/>
                <w:color w:val="000000"/>
                <w:sz w:val="13"/>
              </w:rPr>
              <w:t>(1)</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37,313 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49,988 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870"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 Restricted cash relates to regulatory requirements associated with our FirstSight operations.</w:t>
            </w:r>
          </w:p>
        </w:tc>
      </w:tr>
    </w:tbl>
    <w:p>
      <w:pPr>
        <w:pStyle w:val="TextBody"/>
        <w:bidi w:val="0"/>
        <w:spacing w:before="0" w:after="20"/>
        <w:jc w:val="left"/>
        <w:rPr/>
      </w:pPr>
      <w:r>
        <w:rPr/>
      </w:r>
    </w:p>
    <w:p>
      <w:pPr>
        <w:pStyle w:val="TextBody"/>
        <w:bidi w:val="0"/>
        <w:spacing w:lineRule="auto" w:line="288" w:before="0" w:after="20"/>
        <w:jc w:val="left"/>
        <w:rPr>
          <w:rFonts w:ascii="Arial;sans-serif" w:hAnsi="Arial;sans-serif"/>
          <w:b w:val="false"/>
          <w:color w:val="000000"/>
          <w:sz w:val="20"/>
        </w:rPr>
      </w:pPr>
      <w:r>
        <w:rPr>
          <w:rFonts w:ascii="Arial;sans-serif" w:hAnsi="Arial;sans-serif"/>
          <w:b w:val="false"/>
          <w:color w:val="000000"/>
          <w:sz w:val="20"/>
        </w:rPr>
        <w:t>The following tables provide additional details of Inventories, net as of the dates shown below:</w:t>
      </w:r>
    </w:p>
    <w:p>
      <w:pPr>
        <w:pStyle w:val="TextBody"/>
        <w:bidi w:val="0"/>
        <w:spacing w:before="0" w:after="20"/>
        <w:jc w:val="left"/>
        <w:rPr/>
      </w:pPr>
      <w:r>
        <w:rPr/>
      </w:r>
    </w:p>
    <w:tbl>
      <w:tblPr>
        <w:tblW w:w="10205" w:type="dxa"/>
        <w:jc w:val="left"/>
        <w:tblInd w:w="0" w:type="dxa"/>
        <w:tblLayout w:type="fixed"/>
        <w:tblCellMar>
          <w:top w:w="28" w:type="dxa"/>
          <w:left w:w="28" w:type="dxa"/>
          <w:bottom w:w="28" w:type="dxa"/>
          <w:right w:w="28" w:type="dxa"/>
        </w:tblCellMar>
      </w:tblPr>
      <w:tblGrid>
        <w:gridCol w:w="1791"/>
        <w:gridCol w:w="1574"/>
        <w:gridCol w:w="1562"/>
        <w:gridCol w:w="381"/>
        <w:gridCol w:w="1547"/>
        <w:gridCol w:w="196"/>
        <w:gridCol w:w="196"/>
        <w:gridCol w:w="196"/>
        <w:gridCol w:w="196"/>
        <w:gridCol w:w="483"/>
        <w:gridCol w:w="1723"/>
        <w:gridCol w:w="360"/>
      </w:tblGrid>
      <w:tr>
        <w:trPr/>
        <w:tc>
          <w:tcPr>
            <w:tcW w:w="17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July 4, 2026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January 3, 2026</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Inventories, net:</w:t>
            </w:r>
          </w:p>
        </w:tc>
        <w:tc>
          <w:tcPr>
            <w:tcW w:w="2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Raw materials and work in process </w:t>
            </w:r>
            <w:r>
              <w:rPr>
                <w:rFonts w:ascii="Arial;sans-serif" w:hAnsi="Arial;sans-serif"/>
                <w:b w:val="false"/>
                <w:color w:val="000000"/>
                <w:sz w:val="13"/>
              </w:rPr>
              <w:t>(1)</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65,775 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122,592 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89,318 </w:t>
            </w:r>
          </w:p>
        </w:tc>
        <w:tc>
          <w:tcPr>
            <w:tcW w:w="3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Arial;sans-serif" w:hAnsi="Arial;sans-serif"/>
                <w:b w:val="false"/>
                <w:color w:val="000000"/>
                <w:sz w:val="18"/>
              </w:rPr>
            </w:pPr>
            <w:r>
              <w:rPr>
                <w:rFonts w:ascii="Arial;sans-serif" w:hAnsi="Arial;sans-serif"/>
                <w:b w:val="false"/>
                <w:color w:val="000000"/>
                <w:sz w:val="18"/>
              </w:rPr>
              <w:t>(1)Due to the immaterial amount of estimated work in process and the short lead times for the conversion of raw materials to finished goods, the Company does not separately present raw materials and work in process.</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3. Fair Value Measurement</w:t>
      </w:r>
    </w:p>
    <w:p>
      <w:pPr>
        <w:pStyle w:val="TextBody"/>
        <w:bidi w:val="0"/>
        <w:spacing w:lineRule="auto" w:line="288" w:before="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Recurring fair value measurements</w:t>
      </w:r>
    </w:p>
    <w:p>
      <w:pPr>
        <w:pStyle w:val="TextBody"/>
        <w:bidi w:val="0"/>
        <w:spacing w:lineRule="auto" w:line="288" w:before="0" w:after="120"/>
        <w:jc w:val="left"/>
        <w:rPr>
          <w:rFonts w:ascii="Arial;sans-serif" w:hAnsi="Arial;sans-serif"/>
          <w:b w:val="false"/>
          <w:color w:val="000000"/>
          <w:sz w:val="20"/>
          <w:u w:val="single"/>
        </w:rPr>
      </w:pPr>
      <w:r>
        <w:rPr>
          <w:rFonts w:ascii="Arial;sans-serif" w:hAnsi="Arial;sans-serif"/>
          <w:b w:val="false"/>
          <w:color w:val="000000"/>
          <w:sz w:val="20"/>
          <w:u w:val="single"/>
        </w:rPr>
        <w:t>Interest Rate Derivatives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Derivative assets and liabilities are recognized at fair value, which reflects the estimated amounts the Company would receive or pay to settle the interest rate derivatives prior to their contractual expiration dates. The fair value is based on information that is model-driven based on regression analysis and whose inputs were observable (Level 2 inputs) such as Term Secured Overnight Financing Rate (“Term SOFR”) forward rates. See Note 5. “Interest Rate Derivatives” for further details.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Non-recurring fair value measurements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These non-recurring fair value measurements are classified as Level 3 measurements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u w:val="single"/>
        </w:rPr>
      </w:pPr>
      <w:r>
        <w:rPr>
          <w:rFonts w:ascii="Arial;sans-serif" w:hAnsi="Arial;sans-serif"/>
          <w:b w:val="false"/>
          <w:color w:val="000000"/>
          <w:sz w:val="20"/>
          <w:u w:val="single"/>
        </w:rPr>
        <w:t>Long-lived Store and ROU Store Assets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Company recognized $2.5 million of impairment charges during the three and six months ended July 4, 2026, related to the Eyeglass World lab optimization initiative. Refer to Note 11. “Restructuring” for additional information. The fair value of the impaired equipment was determined using a market approach based on market information for comparable used equipment, adjusted as necessary to reflect the age, condition, functionality, and marketability of the specific assets. Significant judgment was required in estimating the recoverable values of the assets, and changes in market conditions or assumptions could result in different fair value measurement. The estimated remaining fair value of the assets impaired during the six months ended July 4, 2026 was $0.7 million.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recognized $0.5 million related to tangible long-lived store assets and ROU assets for the six months ended June 28, 2025. The cash flows used in estimating fair value were discounted using a market rate of 10.5% during the six months ended June 28, 2025. A decrease in the estimated cash flows would lead to a lower fair value measurement, as would an increase in the discount rate. The estimated remaining fair value of the store assets impaired during the six months ended June 28, 2025 was $0.5 million. Substantially all of the remaining fair value of the impaired store assets represents the fair value of ROU assets.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Additional fair value information</w:t>
      </w:r>
    </w:p>
    <w:p>
      <w:pPr>
        <w:pStyle w:val="TextBody"/>
        <w:bidi w:val="0"/>
        <w:spacing w:lineRule="auto" w:line="288" w:before="0" w:after="120"/>
        <w:jc w:val="left"/>
        <w:rPr>
          <w:rFonts w:ascii="Arial;sans-serif" w:hAnsi="Arial;sans-serif"/>
          <w:b w:val="false"/>
          <w:color w:val="000000"/>
          <w:sz w:val="20"/>
          <w:u w:val="single"/>
        </w:rPr>
      </w:pPr>
      <w:r>
        <w:rPr>
          <w:rFonts w:ascii="Arial;sans-serif" w:hAnsi="Arial;sans-serif"/>
          <w:b w:val="false"/>
          <w:color w:val="000000"/>
          <w:sz w:val="20"/>
          <w:u w:val="single"/>
        </w:rPr>
        <w:t>Term Loan A and Revolving Loans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Since the borrowings under first lien term loan (“Term Loan A”) and revolving credit loans (the “Revolving Loans”) utilize variable interest rate setting mechanisms such as Term SOFR, the fair values of these borrowings are deemed to approximate the carrying values. We also considered the effect of our own credit risk on the fair values of Term Loan A and Revolving Loans. Refer to Note 4. “Debt” for more information on these borrowings.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4. Debt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debt consists of the following:</w:t>
      </w:r>
    </w:p>
    <w:tbl>
      <w:tblPr>
        <w:tblW w:w="10205" w:type="dxa"/>
        <w:jc w:val="left"/>
        <w:tblInd w:w="0" w:type="dxa"/>
        <w:tblLayout w:type="fixed"/>
        <w:tblCellMar>
          <w:top w:w="28" w:type="dxa"/>
          <w:left w:w="28" w:type="dxa"/>
          <w:bottom w:w="28" w:type="dxa"/>
          <w:right w:w="28" w:type="dxa"/>
        </w:tblCellMar>
      </w:tblPr>
      <w:tblGrid>
        <w:gridCol w:w="2637"/>
        <w:gridCol w:w="2284"/>
        <w:gridCol w:w="2291"/>
        <w:gridCol w:w="211"/>
        <w:gridCol w:w="856"/>
        <w:gridCol w:w="109"/>
        <w:gridCol w:w="109"/>
        <w:gridCol w:w="109"/>
        <w:gridCol w:w="109"/>
        <w:gridCol w:w="257"/>
        <w:gridCol w:w="1043"/>
        <w:gridCol w:w="190"/>
      </w:tblGrid>
      <w:tr>
        <w:trPr/>
        <w:tc>
          <w:tcPr>
            <w:tcW w:w="263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January 3, 2026</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A, due June 13, 2028</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237,625 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Revolving Loans, due June 13, 2028 (aggregate principal amount $300 million)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before unamortized discount and issuance costs</w:t>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237,625 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Unamortized discount and issuance costs - Term Loan 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less debt discount and issuance costs</w:t>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230,090 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236,488 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 noncurrent portion</w:t>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216,840 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223,238 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and finance lease obligations, less current portion, discount, and issuance costs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221,292 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229,327 </w:t>
            </w:r>
          </w:p>
        </w:tc>
        <w:tc>
          <w:tcPr>
            <w:tcW w:w="19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Scheduled annual maturities of debt are as follows: </w:t>
      </w:r>
    </w:p>
    <w:tbl>
      <w:tblPr>
        <w:tblW w:w="4360" w:type="dxa"/>
        <w:jc w:val="left"/>
        <w:tblInd w:w="0" w:type="dxa"/>
        <w:tblLayout w:type="fixed"/>
        <w:tblCellMar>
          <w:top w:w="28" w:type="dxa"/>
          <w:left w:w="28" w:type="dxa"/>
          <w:bottom w:w="28" w:type="dxa"/>
          <w:right w:w="28" w:type="dxa"/>
        </w:tblCellMar>
      </w:tblPr>
      <w:tblGrid>
        <w:gridCol w:w="1001"/>
        <w:gridCol w:w="878"/>
        <w:gridCol w:w="880"/>
        <w:gridCol w:w="109"/>
        <w:gridCol w:w="109"/>
        <w:gridCol w:w="109"/>
        <w:gridCol w:w="220"/>
        <w:gridCol w:w="894"/>
        <w:gridCol w:w="160"/>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In thousands</w:t>
            </w:r>
          </w:p>
        </w:tc>
      </w:tr>
      <w:tr>
        <w:trPr/>
        <w:tc>
          <w:tcPr>
            <w:tcW w:w="27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 remainder of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231,000 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Arial;sans-serif" w:hAnsi="Arial;sans-serif"/>
          <w:b w:val="false"/>
          <w:color w:val="000000"/>
          <w:sz w:val="20"/>
        </w:rPr>
        <w:t>We were in compliance with</w:t>
      </w:r>
      <w:r>
        <w:rPr>
          <w:color w:val="000000"/>
          <w:shd w:fill="FFFFFF" w:val="clear"/>
        </w:rPr>
        <w:t xml:space="preserve"> </w:t>
      </w:r>
      <w:r>
        <w:rPr>
          <w:rFonts w:ascii="Arial;sans-serif" w:hAnsi="Arial;sans-serif"/>
          <w:b w:val="false"/>
          <w:color w:val="000000"/>
          <w:sz w:val="20"/>
          <w:shd w:fill="FFFFFF" w:val="clear"/>
        </w:rPr>
        <w:t>all covenants related to our debt as of July 4, 2026.</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2025 Notes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During fiscal year 2025, the Company fully repaid the 2.50% convertible senior notes due on May 15, 2025 (“2025`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recognized the following in Interest expense, net in the Condensed Consolidated Statements of Operations and Comprehensive Income, related to the 2025 Notes:</w:t>
      </w:r>
    </w:p>
    <w:tbl>
      <w:tblPr>
        <w:tblW w:w="7045" w:type="dxa"/>
        <w:jc w:val="left"/>
        <w:tblInd w:w="0" w:type="dxa"/>
        <w:tblLayout w:type="fixed"/>
        <w:tblCellMar>
          <w:top w:w="28" w:type="dxa"/>
          <w:left w:w="28" w:type="dxa"/>
          <w:bottom w:w="28" w:type="dxa"/>
          <w:right w:w="28" w:type="dxa"/>
        </w:tblCellMar>
      </w:tblPr>
      <w:tblGrid>
        <w:gridCol w:w="1022"/>
        <w:gridCol w:w="898"/>
        <w:gridCol w:w="900"/>
        <w:gridCol w:w="109"/>
        <w:gridCol w:w="109"/>
        <w:gridCol w:w="506"/>
        <w:gridCol w:w="1153"/>
        <w:gridCol w:w="261"/>
        <w:gridCol w:w="109"/>
        <w:gridCol w:w="109"/>
        <w:gridCol w:w="163"/>
        <w:gridCol w:w="163"/>
        <w:gridCol w:w="163"/>
        <w:gridCol w:w="343"/>
        <w:gridCol w:w="786"/>
        <w:gridCol w:w="251"/>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Contractual 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5. Interest Rate Derivatives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December 2025, we entered into an interest rate swap agreement to help manage interest rate exposure by economically converting a portion of our variable-rate debt to fixed-rate debt. Under the interest rate swap agreement, we receive a floating interest rate of the one-month SOFR and pay a fixed interest rate of 3.43% on $100 million of notional amount. We designated the interest rate swap as the hedging instrument in an effective hedge accounting relationship.</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recognized gains on the change in fair value of the interest rate swap of $0.2 million and $0.7 million in Other comprehensive income (loss) during the three and six months ended July 4, 2026, respectively. A net gain of $0.1 million and $0.1 million was reclassified from Accumulated other comprehensive income (loss) into Interest expense, net, during the three and six months ended July 4, 2026, respectively.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of July 4, 2026, the Company expects to reclassify $0.3 million of unrealized gains on the derivative, net of tax, from AOCI into earnings in the next 12 months. Cash flows related to derivatives are included in the operating section of the Condensed Consolidated Statements of Cash Flows. See Note 10. “Accumulated Other Comprehensive Income (Loss)” for further details.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cash flow hedge position related to derivatives designated as hedging instruments under ASC 815 is as follows:</w:t>
      </w:r>
    </w:p>
    <w:tbl>
      <w:tblPr>
        <w:tblW w:w="10205" w:type="dxa"/>
        <w:jc w:val="left"/>
        <w:tblInd w:w="0" w:type="dxa"/>
        <w:tblLayout w:type="fixed"/>
        <w:tblCellMar>
          <w:top w:w="28" w:type="dxa"/>
          <w:left w:w="28" w:type="dxa"/>
          <w:bottom w:w="28" w:type="dxa"/>
          <w:right w:w="28" w:type="dxa"/>
        </w:tblCellMar>
      </w:tblPr>
      <w:tblGrid>
        <w:gridCol w:w="1460"/>
        <w:gridCol w:w="1233"/>
        <w:gridCol w:w="1235"/>
        <w:gridCol w:w="109"/>
        <w:gridCol w:w="109"/>
        <w:gridCol w:w="109"/>
        <w:gridCol w:w="918"/>
        <w:gridCol w:w="918"/>
        <w:gridCol w:w="920"/>
        <w:gridCol w:w="109"/>
        <w:gridCol w:w="109"/>
        <w:gridCol w:w="109"/>
        <w:gridCol w:w="211"/>
        <w:gridCol w:w="481"/>
        <w:gridCol w:w="109"/>
        <w:gridCol w:w="109"/>
        <w:gridCol w:w="109"/>
        <w:gridCol w:w="109"/>
        <w:gridCol w:w="387"/>
        <w:gridCol w:w="884"/>
        <w:gridCol w:w="200"/>
        <w:gridCol w:w="109"/>
        <w:gridCol w:w="159"/>
      </w:tblGrid>
      <w:tr>
        <w:trPr/>
        <w:tc>
          <w:tcPr>
            <w:tcW w:w="146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 January 3, 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Payables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derivative liabilities or assets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6. Revenue from Contracts with Customers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majority of our revenues are recognized either at the point of sale or upon delivery and customer acceptance. We obtain consideration from our customers at the time of sale in cash, credit card, or on account with managed care payors having terms generally between 14 and 120 days, with most paying within 60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and 2) eye exams. Revenues recognized over time primarily include product protection plans (i.e., warranties) and eye care club memberships.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disaggregation of revenues depicts our revenue based on the timing of revenue recognition:</w:t>
      </w:r>
    </w:p>
    <w:tbl>
      <w:tblPr>
        <w:tblW w:w="9721" w:type="dxa"/>
        <w:jc w:val="left"/>
        <w:tblInd w:w="0" w:type="dxa"/>
        <w:tblLayout w:type="fixed"/>
        <w:tblCellMar>
          <w:top w:w="28" w:type="dxa"/>
          <w:left w:w="28" w:type="dxa"/>
          <w:bottom w:w="28" w:type="dxa"/>
          <w:right w:w="28" w:type="dxa"/>
        </w:tblCellMar>
      </w:tblPr>
      <w:tblGrid>
        <w:gridCol w:w="1272"/>
        <w:gridCol w:w="1117"/>
        <w:gridCol w:w="1120"/>
        <w:gridCol w:w="211"/>
        <w:gridCol w:w="856"/>
        <w:gridCol w:w="109"/>
        <w:gridCol w:w="109"/>
        <w:gridCol w:w="109"/>
        <w:gridCol w:w="109"/>
        <w:gridCol w:w="239"/>
        <w:gridCol w:w="972"/>
        <w:gridCol w:w="123"/>
        <w:gridCol w:w="109"/>
        <w:gridCol w:w="109"/>
        <w:gridCol w:w="109"/>
        <w:gridCol w:w="211"/>
        <w:gridCol w:w="1021"/>
        <w:gridCol w:w="109"/>
        <w:gridCol w:w="109"/>
        <w:gridCol w:w="109"/>
        <w:gridCol w:w="109"/>
        <w:gridCol w:w="238"/>
        <w:gridCol w:w="968"/>
        <w:gridCol w:w="17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 recognized at a point in time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454,709 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933,237 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 recognized over 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net revenue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486,423 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1,042,685 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996,747 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Refer to Note 8. “Segment Reporting” for the Company’s disaggregation of net revenue. As our operating segments are aligned by similar economic factors, trends and customers, the reportable segment view best depicts how the nature, amount and uncertainty of revenue and cash flows are affected by economic factors.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$2.7 million and $4.5 million during the three months ended July 4, 2026 and June 28, 2025, respectively, and $3.1 million and $7.7 million during the six months ended July 4, 2026 and June 28, 2025, respectively.</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Unsatisfied Performance Obligations (Contract Liabilities)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During the three months ended July 4, 2026 and June 28, 2025, we recognized $23.7 million and $22.9 million, respectively, of deferred revenues outstanding at the beginning of each respective period. During the six months ended July 4, 2026 and June 28, 2025, we recognized $41.9 million and $40.7 million, respectively, of deferred revenues outstanding at the beginning of each respective period.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deferred revenue balance as of July 4, 2026 and January 3, 2026 was $87.8 million and $87.1 million, respectively. Deferred revenue recorded as of July 4, 2026 is expected to be reflected in future operating results as follows:</w:t>
      </w:r>
    </w:p>
    <w:tbl>
      <w:tblPr>
        <w:tblW w:w="4361" w:type="dxa"/>
        <w:jc w:val="left"/>
        <w:tblInd w:w="0" w:type="dxa"/>
        <w:tblLayout w:type="fixed"/>
        <w:tblCellMar>
          <w:top w:w="28" w:type="dxa"/>
          <w:left w:w="28" w:type="dxa"/>
          <w:bottom w:w="28" w:type="dxa"/>
          <w:right w:w="28" w:type="dxa"/>
        </w:tblCellMar>
      </w:tblPr>
      <w:tblGrid>
        <w:gridCol w:w="999"/>
        <w:gridCol w:w="875"/>
        <w:gridCol w:w="885"/>
        <w:gridCol w:w="109"/>
        <w:gridCol w:w="109"/>
        <w:gridCol w:w="109"/>
        <w:gridCol w:w="241"/>
        <w:gridCol w:w="858"/>
        <w:gridCol w:w="176"/>
      </w:tblGrid>
      <w:tr>
        <w:trPr/>
        <w:tc>
          <w:tcPr>
            <w:tcW w:w="9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 remainder of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42,483 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87,815 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7. Commitments and Contingencies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are currently and may in the future become subject to various claims and pending or threatened lawsuits in the ordinary course of our business.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On May 23, 2024, a stockholder derivative complaint was filed by a stockholder in the Delaware Court of Chancery, purportedly on behalf of the Company (the “Derivative Action”). The Derivative Action alleges violations of Sections 10(b) and 20(a) of the Securities Exchange Act of 1934, as amended (the “Exchange Act”), and Rule 10b-5 thereunder, for materially false and misleading statements made between May 2021 and May 2022, and names certain of the Company’s officers, including our former Chief Executive Officer and former Chief Operating Officer, and the Company’s directors who were members of the Company’s Board of Directors during the relevant time period as defendants. The Derivative Action alleges claims for breach of fiduciary duty, unjust enrichment, and violations of the Exchange Act and seeks to recover damages on behalf of the Company. On July 24, 2024, the Company along with the named defendants, filed a motion to dismiss the complaint. On September 9, 2024, the plaintiff filed an amended complaint. Defendants filed a motion to dismiss the amended complaint on October 31, 2024. The plaintiff filed an opposition to the motion to dismiss on December 16, 2024, and the defendants filed a reply brief on January 15, 2025. Oral argument on the motion to dismiss was held on October 28, 2025. On February 11, 2026, the court granted the motion to dismiss. An appeal was not filed during the 30-day appeal period, which expired on March 13, 2026, and the matter is now closed.</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8. Segment Reporting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Company’s operating segments were determined on the same basis as used by the Chief Operating Decision Maker (“CODM”) to evaluate performance internally. Our CODM is our chief executive officer. Our operations consist primarily of one reportable segment: the Owned &amp; Host segment. Our owned brands consist of our America’s Best and Eyeglass World operating segments. In America’s Best stores, vision care services are provided by optometrists employed either by us or by independent professional corporations. Eyeglass World locations have on-site laboratories and offer eye exams, provided by optometrists employed either by us or by independent professional corporations. Our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addition to our single reportable segment, the results of our dedicated e-commerce website and FirstSight, which sells single-service health plans in connection with the operations of America’s Best operations in California, are presented in the “corporate and other” category. The Company concluded that our dedicated e-commerce website meets the criteria to be an operating segment but does not meet the quantitative thresholds for separate disclosure as a reportable segment. Further, in 2025, the Company concluded that FirstSight does not meet the criteria to be an operating segment. Its results are not separately provided to the CODM, and therefore, they are also included in the “corporate and other” category. Prior-period information has been recast to reflect the segment presentation.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“corporate and other” category also includes corporate overhead support expenses as well certain non-cash charges, including asset impairment, stock-based compensation expense, and the impact of certain events, gains, or losses excluded from the assessment of segment performance.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Other adjustments to reportable segment results represent adjustments necessary for the presentation of consolidated financial results in accordance with U.S. GAAP, specifically effects of the change in unearned and deferred revenue during the period.</w:t>
      </w:r>
    </w:p>
    <w:p>
      <w:pPr>
        <w:pStyle w:val="TextBody"/>
        <w:bidi w:val="0"/>
        <w:spacing w:lineRule="auto" w:line="288" w:before="0" w:after="120"/>
        <w:jc w:val="left"/>
        <w:rPr/>
      </w:pPr>
      <w:r>
        <w:rPr>
          <w:rFonts w:ascii="Arial;sans-serif" w:hAnsi="Arial;sans-serif"/>
          <w:b w:val="false"/>
          <w:color w:val="000000"/>
          <w:sz w:val="20"/>
        </w:rPr>
        <w:t>The operating segments identified above are the business activities of the Company for which discrete financial information is available and for which operating results are regularly provided to, and reviewed by, our CODM to allocate resources and assess performance. The Company considers each of our brands to be an operating segment and has further concluded that presenting the results of our reportable segment provides meaningful information consistent with the objectives of ASC 280, </w:t>
      </w:r>
      <w:r>
        <w:rPr>
          <w:rFonts w:ascii="Arial;sans-serif" w:hAnsi="Arial;sans-serif"/>
          <w:b w:val="false"/>
          <w:i/>
          <w:color w:val="000000"/>
          <w:sz w:val="20"/>
        </w:rPr>
        <w:t>Segment Reporting</w:t>
      </w:r>
      <w:r>
        <w:rPr>
          <w:rFonts w:ascii="Arial;sans-serif" w:hAnsi="Arial;sans-serif"/>
          <w:b w:val="false"/>
          <w:color w:val="000000"/>
          <w:sz w:val="20"/>
        </w:rPr>
        <w: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CODM uses segment EBITDA, calculated as net revenue, less costs applicable to revenue, less SG&amp;A expenses, to evaluate the performance, and make decisions about the allocation of resources to segments predominantly in the annual budget and forecasting process. The CODM considers budget-to-actual variances on a monthly and quarterly basis when making decisions about the allocation of resources to each segment. Consistent with what the CODM reviews, depreciation and amortization and interest expense, net are excluded from segment EBITDA.</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Reportable segment information is presented on the same basis as our consolidated financial statements, except for net revenue and associated costs applicable to revenue, which exclude the effects of unearned and deferred revenue, consistent with what the CODM regularly reviews. Asset information is not included in the following summary since the CODM does not regularly review such information for the reportable segment.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is a summary of certain financial data for our Owned &amp; Host reportable segment, and other categories, and includes a reconciliation to the Company’s consolidated earnings before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26"/>
        <w:gridCol w:w="1346"/>
        <w:gridCol w:w="1349"/>
        <w:gridCol w:w="211"/>
        <w:gridCol w:w="856"/>
        <w:gridCol w:w="109"/>
        <w:gridCol w:w="109"/>
        <w:gridCol w:w="109"/>
        <w:gridCol w:w="109"/>
        <w:gridCol w:w="224"/>
        <w:gridCol w:w="912"/>
        <w:gridCol w:w="115"/>
        <w:gridCol w:w="109"/>
        <w:gridCol w:w="109"/>
        <w:gridCol w:w="109"/>
        <w:gridCol w:w="211"/>
        <w:gridCol w:w="856"/>
        <w:gridCol w:w="109"/>
        <w:gridCol w:w="109"/>
        <w:gridCol w:w="109"/>
        <w:gridCol w:w="109"/>
        <w:gridCol w:w="224"/>
        <w:gridCol w:w="910"/>
        <w:gridCol w:w="166"/>
      </w:tblGrid>
      <w:tr>
        <w:trPr/>
        <w:tc>
          <w:tcPr>
            <w:tcW w:w="162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4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 &amp; Host 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796,818 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 of services and plans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Owned &amp; Host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481,829 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474,152 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989,133 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Less: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Owned &amp; Host costs applicable to revenue (exclusive of depreciation and amortization)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 and plans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 &amp; Host SG&amp;A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369,044 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43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43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Owned &amp; Host segment EBITDA</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99,795 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224,474 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Effects of unearned and 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12,239 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33,804 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presents a reconciliation of revenue:</w:t>
      </w:r>
    </w:p>
    <w:tbl>
      <w:tblPr>
        <w:tblW w:w="9932" w:type="dxa"/>
        <w:jc w:val="left"/>
        <w:tblInd w:w="0" w:type="dxa"/>
        <w:tblLayout w:type="fixed"/>
        <w:tblCellMar>
          <w:top w:w="28" w:type="dxa"/>
          <w:left w:w="28" w:type="dxa"/>
          <w:bottom w:w="28" w:type="dxa"/>
          <w:right w:w="28" w:type="dxa"/>
        </w:tblCellMar>
      </w:tblPr>
      <w:tblGrid>
        <w:gridCol w:w="1348"/>
        <w:gridCol w:w="1184"/>
        <w:gridCol w:w="1188"/>
        <w:gridCol w:w="211"/>
        <w:gridCol w:w="856"/>
        <w:gridCol w:w="109"/>
        <w:gridCol w:w="109"/>
        <w:gridCol w:w="109"/>
        <w:gridCol w:w="109"/>
        <w:gridCol w:w="239"/>
        <w:gridCol w:w="972"/>
        <w:gridCol w:w="123"/>
        <w:gridCol w:w="109"/>
        <w:gridCol w:w="109"/>
        <w:gridCol w:w="109"/>
        <w:gridCol w:w="211"/>
        <w:gridCol w:w="1021"/>
        <w:gridCol w:w="109"/>
        <w:gridCol w:w="109"/>
        <w:gridCol w:w="109"/>
        <w:gridCol w:w="109"/>
        <w:gridCol w:w="238"/>
        <w:gridCol w:w="968"/>
        <w:gridCol w:w="17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 &amp; Host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474,152 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989,133 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Corporate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Effects of unearned and 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consolidated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486,423 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1,042,685 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996,747 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9. Earnings Per Share</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reconciliation of the numerators and denominators of the basic and diluted earnings per share (“EPS”) calculations is as follows:</w:t>
      </w:r>
    </w:p>
    <w:tbl>
      <w:tblPr>
        <w:tblW w:w="10205" w:type="dxa"/>
        <w:jc w:val="left"/>
        <w:tblInd w:w="0" w:type="dxa"/>
        <w:tblLayout w:type="fixed"/>
        <w:tblCellMar>
          <w:top w:w="28" w:type="dxa"/>
          <w:left w:w="28" w:type="dxa"/>
          <w:bottom w:w="28" w:type="dxa"/>
          <w:right w:w="28" w:type="dxa"/>
        </w:tblCellMar>
      </w:tblPr>
      <w:tblGrid>
        <w:gridCol w:w="1705"/>
        <w:gridCol w:w="1407"/>
        <w:gridCol w:w="1416"/>
        <w:gridCol w:w="221"/>
        <w:gridCol w:w="790"/>
        <w:gridCol w:w="114"/>
        <w:gridCol w:w="109"/>
        <w:gridCol w:w="109"/>
        <w:gridCol w:w="109"/>
        <w:gridCol w:w="256"/>
        <w:gridCol w:w="785"/>
        <w:gridCol w:w="132"/>
        <w:gridCol w:w="109"/>
        <w:gridCol w:w="109"/>
        <w:gridCol w:w="109"/>
        <w:gridCol w:w="221"/>
        <w:gridCol w:w="790"/>
        <w:gridCol w:w="114"/>
        <w:gridCol w:w="109"/>
        <w:gridCol w:w="109"/>
        <w:gridCol w:w="109"/>
        <w:gridCol w:w="239"/>
        <w:gridCol w:w="851"/>
        <w:gridCol w:w="183"/>
      </w:tblGrid>
      <w:tr>
        <w:trPr/>
        <w:tc>
          <w:tcPr>
            <w:tcW w:w="170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Basic</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Dilutive effect of share-based awards </w:t>
            </w:r>
            <w:r>
              <w:rPr>
                <w:rFonts w:ascii="Arial;sans-serif" w:hAnsi="Arial;sans-serif"/>
                <w:b w:val="false"/>
                <w:color w:val="000000"/>
                <w:sz w:val="13"/>
              </w:rPr>
              <w:t>(1)</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Diluted</w:t>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80,597 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81,045 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79,658 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Earnings per share: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Anti-dilutive securities excluded from diluted weighted average common shares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2"/>
              </w:rPr>
              <w:t>(1)</w:t>
            </w:r>
            <w:r>
              <w:rPr>
                <w:color w:val="000000"/>
              </w:rPr>
              <w:t xml:space="preserve"> </w:t>
            </w:r>
            <w:r>
              <w:rPr>
                <w:rFonts w:ascii="Arial;sans-serif" w:hAnsi="Arial;sans-serif"/>
                <w:b w:val="false"/>
                <w:i/>
                <w:color w:val="000000"/>
                <w:sz w:val="18"/>
              </w:rPr>
              <w:t>Represents the dilutive impact of RSUs, PSUs and stock options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10. Accumulated Other Comprehensive Income (Loss)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Changes in the fair value of the Company’s cash flow hedge derivative instruments from their inception are recorded in Accumulated other comprehensive income (loss) if the instruments are deemed to be highly effective as cash flow hedges. The following table presents the changes in Accumulated other comprehensive income (loss), net of tax.</w:t>
      </w:r>
    </w:p>
    <w:tbl>
      <w:tblPr>
        <w:tblW w:w="10205" w:type="dxa"/>
        <w:jc w:val="left"/>
        <w:tblInd w:w="0" w:type="dxa"/>
        <w:tblLayout w:type="fixed"/>
        <w:tblCellMar>
          <w:top w:w="28" w:type="dxa"/>
          <w:left w:w="28" w:type="dxa"/>
          <w:bottom w:w="28" w:type="dxa"/>
          <w:right w:w="28" w:type="dxa"/>
        </w:tblCellMar>
      </w:tblPr>
      <w:tblGrid>
        <w:gridCol w:w="1988"/>
        <w:gridCol w:w="1656"/>
        <w:gridCol w:w="1659"/>
        <w:gridCol w:w="433"/>
        <w:gridCol w:w="988"/>
        <w:gridCol w:w="223"/>
        <w:gridCol w:w="109"/>
        <w:gridCol w:w="1476"/>
        <w:gridCol w:w="109"/>
        <w:gridCol w:w="109"/>
        <w:gridCol w:w="109"/>
        <w:gridCol w:w="267"/>
        <w:gridCol w:w="672"/>
        <w:gridCol w:w="138"/>
        <w:gridCol w:w="109"/>
        <w:gridCol w:w="160"/>
      </w:tblGrid>
      <w:tr>
        <w:trPr/>
        <w:tc>
          <w:tcPr>
            <w:tcW w:w="1988"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Six Months Ended</w:t>
            </w:r>
          </w:p>
        </w:tc>
        <w:tc>
          <w:tcPr>
            <w:tcW w:w="1673" w:type="dxa"/>
            <w:gridSpan w:val="8"/>
            <w:tcBorders/>
          </w:tcPr>
          <w:p>
            <w:pPr>
              <w:pStyle w:val="TableContents"/>
              <w:bidi w:val="0"/>
              <w:spacing w:before="0" w:after="283"/>
              <w:jc w:val="left"/>
              <w:rPr>
                <w:sz w:val="4"/>
                <w:szCs w:val="4"/>
              </w:rPr>
            </w:pPr>
            <w:r>
              <w:rPr>
                <w:sz w:val="4"/>
                <w:szCs w:val="4"/>
              </w:rPr>
            </w:r>
          </w:p>
        </w:tc>
      </w:tr>
      <w:tr>
        <w:trPr/>
        <w:tc>
          <w:tcPr>
            <w:tcW w:w="5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hedging activity:</w:t>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w:t>
            </w:r>
          </w:p>
        </w:tc>
        <w:tc>
          <w:tcPr>
            <w:tcW w:w="1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 of other comprehensive income (loss) before reclassification</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Amount reclassified from AOCI (AOCL) into interest expense</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effect of amount reclassified from AOCI (AOCL) into interest expense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current period other comprehensive income (loss), net of tax</w:t>
            </w:r>
          </w:p>
        </w:tc>
        <w:tc>
          <w:tcPr>
            <w:tcW w:w="1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4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See Note 5. “Interest Rate Derivatives” for a description of the Company’s use of cash flow hedging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11. Restructuring</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Eyeglass World Lab Optimization Initiative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During the three months ended July 4, 2026, the Company initiated an Eyeglass World lab optimization initiative designed to optimize certain in-store laboratory functions by transitioning in-store lab surfacing activities to the Company's central laboratory operations. As a result of this transition, the Company eliminated certain positions within the affected in-store laboratories, impaired certain laboratory equipment and wrote off inventory that is no longer expected to be utilized in operations.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Company expects substantially all activities under the plan to be completed within one year and does not expect to incur any material additional costs. Total costs associated with the plan are expected to be approximately $3.0 million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$4.0 million, consisting primarily of non-cash equipment impairment charges, inventory write-offs, and employee termination benefits. The Company will continue to evaluate the impact of the transition and may incur additional costs as the plan is executed.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presents the charges recognized related to the plan and their classification within the Condensed Consolidated Statements of Operations and Comprehensive Income for the three and six months ended July 4,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3"/>
        <w:gridCol w:w="820"/>
        <w:gridCol w:w="823"/>
        <w:gridCol w:w="1257"/>
        <w:gridCol w:w="1252"/>
        <w:gridCol w:w="1254"/>
        <w:gridCol w:w="758"/>
        <w:gridCol w:w="2322"/>
        <w:gridCol w:w="391"/>
        <w:gridCol w:w="109"/>
        <w:gridCol w:w="109"/>
        <w:gridCol w:w="157"/>
      </w:tblGrid>
      <w:tr>
        <w:trPr/>
        <w:tc>
          <w:tcPr>
            <w:tcW w:w="95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3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Statement Classification</w:t>
            </w:r>
          </w:p>
        </w:tc>
        <w:tc>
          <w:tcPr>
            <w:tcW w:w="34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Three and Six Months Ended July 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Employee termination benefits</w:t>
            </w:r>
          </w:p>
        </w:tc>
        <w:tc>
          <w:tcPr>
            <w:tcW w:w="37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of services and plans</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3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Inventory write-off</w:t>
            </w:r>
          </w:p>
        </w:tc>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of products applicable to revenue</w:t>
            </w:r>
          </w:p>
        </w:tc>
        <w:tc>
          <w:tcPr>
            <w:tcW w:w="3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Costs</w:t>
            </w:r>
          </w:p>
        </w:tc>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restructuring charges</w:t>
            </w:r>
          </w:p>
        </w:tc>
        <w:tc>
          <w:tcPr>
            <w:tcW w:w="3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3,076 </w:t>
            </w:r>
          </w:p>
        </w:tc>
        <w:tc>
          <w:tcPr>
            <w:tcW w:w="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of July 4, 2026, the full amount of $0.1 million of the restructuring-related employee termination benefits had been accrued and is recorded in Other payables and accrued expenses within the Condensed Consolidated Balance Sheets. These charges were recognized in accordance with FASB guidance on accounting for costs associated with exit or disposal activities. All expenses were recognized in the Corporate and Other category.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March 4, 2026 (the “2025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 of the 2025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are one of the largest optical retailers in the U.S. and a leader in the value segment of the U.S. optical retail industry. We believe that vision is central to quality of life and that people deserve to see their best to live their best. Our mission is to make quality eye care and eyewear more affordable and accessible. We achieve this by providing eye exams, eyeglasses and contact lenses to consumers across the nation. Our range of quality product offerings at multiple price points makes us an attractive destination for consumers of all income levels. As of July 4, 2026, we reach our customers through a diverse portfolio of 1,281 retail stores across four brands, our associated omni-channel consumer websites and our dedicated e-commerce consumer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Brand and Segment Information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of July 4, 2026, our operations consisted of one reportable segment.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Owned &amp; Host - As of July 4, 2026, our owned brands consisted of 1,069 America’s Best Contacts and Eyeglasses (“America’s Best”) retail stores and 122 Eyeglass World retail stores. Our Host brands consisted of 72 Vista Optical locations on select military bases and 18 Vista Optical locations within select Fred Meyer stores as of July 4, 2026. All brands utilize our centralized laboratories. This segment also includes sales from our America’s Best, Eyeglass World, and Military omni-channel websites.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consolidated results also include the following: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Corporate and other — Our corporate and other category includes the results of our dedicated e-commerce website, which sells contact lenses and optical accessory products to retail customers, and recognizes revenue when products have been delivered to the customer, and our managed care business conducted by FirstSight, our wholly-owned subsidiary that is licensed as a single-service health plan under California law, which issues individual vision plans in connection with our America’s Best operations in California. Our “corporate and other” category also includes unallocated corporate overhead expenses, which are a component of Selling, general and administrative expenses (“SG&amp;A”) and are comprised of various home office expenses such as payroll, occupancy costs and consulting and professional fees. Corporate overhead expenses also include field services for our four retail brands. Other expenses included in this category include certain non-cash charges, including asset impairment, stock-based compensation expense, and the impact of certain events, gains, or losses excluded from the assessment of segment performance.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Effects of unearned and deferred revenue — Reportable segment information is presented on the same basis as our condensed consolidated financial statements, except reportable segment revenues and associated costs applicable to revenue which exclude the effects of unearned and deferred revenue, consistent with what our chief operating decision maker (“CODM”) regularly reviews. We present the effects of unearned and deferred revenues separately from our reportable segment information. See Note 8. “Segment Reporting” in our condensed consolidated financial statements. Deferred revenue represents the timing difference between the point of sale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between the point of sale transaction and delivery/customer acceptance, and includes sales of prescription eyewear during approximately the last two weeks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Trends and Other Factors Affecting Our Business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continue to focus on the rapid modernization of our business in the context of contemporary consumer needs and wants. Our strategy is focused around creating a more joyful consumer experience with refreshed merchandising, updated marketing and brand assets, new in-store technologies to support the customer journey, and an updated pricing architecture, all of which allow us to better serve our existing customers and expand our target consumer demographics. These consumer-facing strategies are paired with an increased focus on cost optimization and operating margin expansion, all of which are intended to drive the outcome of a stronger core business and improved operating results.</w:t>
      </w:r>
    </w:p>
    <w:p>
      <w:pPr>
        <w:pStyle w:val="TextBody"/>
        <w:bidi w:val="0"/>
        <w:spacing w:lineRule="auto" w:line="288" w:before="0" w:after="120"/>
        <w:jc w:val="left"/>
        <w:rPr/>
      </w:pPr>
      <w:r>
        <w:rPr>
          <w:rFonts w:ascii="Arial;sans-serif" w:hAnsi="Arial;sans-serif"/>
          <w:b w:val="false"/>
          <w:color w:val="000000"/>
          <w:sz w:val="20"/>
        </w:rPr>
        <w:t xml:space="preserve">The overall economic environment continues to be uncertain and macroeconomic factors that may affect customer spending patterns, and thereby our results of operations, include trade restrictions such as sanctions, tariffs, reciprocal and retaliatory tariffs, and other tariff-related measures; inflation; employment rates; business conditions; changes in the housing market; the availability of credit; interest rates; tax rates and policies; fuel and energy costs; and overall consumer confidence in future economic conditions, as well as global political, socio-economic, cultural, and geopolitical uncertainty. </w:t>
      </w:r>
      <w:r>
        <w:rPr>
          <w:rFonts w:ascii="Arial;sans-serif" w:hAnsi="Arial;sans-serif"/>
          <w:b w:val="false"/>
          <w:color w:val="000000"/>
          <w:sz w:val="20"/>
          <w:shd w:fill="FFFFFF" w:val="clear"/>
        </w:rPr>
        <w:t>T</w:t>
      </w:r>
      <w:r>
        <w:rPr>
          <w:rFonts w:ascii="Arial;sans-serif" w:hAnsi="Arial;sans-serif"/>
          <w:b w:val="false"/>
          <w:color w:val="000000"/>
          <w:sz w:val="20"/>
        </w:rPr>
        <w:t>he effects of the current macroeconomic environment and geopolitical uncertainty have resulted in reduced customer demand and have caused shifts in consumer behaviors and preferences, which impact the demand for our products and which are expected to continue. As a result, the predictability of recurring purchase behavior for the future remains uncertain, primarily for the cash pay consumer.</w:t>
      </w:r>
    </w:p>
    <w:p>
      <w:pPr>
        <w:pStyle w:val="TextBody"/>
        <w:bidi w:val="0"/>
        <w:spacing w:lineRule="auto" w:line="268" w:before="0" w:after="0"/>
        <w:jc w:val="left"/>
        <w:rPr/>
      </w:pPr>
      <w:r>
        <w:rPr>
          <w:rFonts w:ascii="Arial;sans-serif" w:hAnsi="Arial;sans-serif"/>
          <w:b w:val="false"/>
          <w:color w:val="000000"/>
          <w:sz w:val="20"/>
        </w:rPr>
        <w:t>The United States has made changes to U.S. trade policy, including increasing tariffs on imports, in some cases significantly, and potentially negotiating or terminating existing trade agreements. For example, on April 2, 2025, the United States announced a new universal baseline tariff of 10%, plus an additional country-specific tariff for select trading partners, on all U.S. imports pursuant to the International Emergency Economic Powers Act (“IEEPA”). Additionally, on September 24, 2025, the U.S. Department of Commerce Bureau of Industry and Security announced the initiation of an investigation into the effects on U.S. national security of imports of personal protective equipment, medical consumables, and medical equipment, including devices, which could result in the imposition of tariffs or other import restrictions. On February 20, 2026, the U.S. Supreme Court declared that tariffs imposed under IEEPA on April 2, 2025 (and the subsequent modifications) were invalid as they exceeded the President’s authority. Subsequently, the Administration announced a 10% temporary tariff on U.S. imports pursuant to Section 122 of the Trade Act of 1974 (the “Act”), effective February 24, 2026. The Section 122 tariffs expired on July 24, 2026 under the statute and are being challenged in court. In March 2026, the Office of the United States Trade Representative (“USTR”) launched two sets of investigations under Section 301 of the Act, targeting forced labor compliance practices of 60 countries/regions and excess manufacturing capacity of 16 countries/regions. On July 23, 2026, USTR announced the imposition of 10% to 12.5% of Section 301 tariffs on numerous imports, with some carve outs, from the 60 economies subject to the forced labor related investigations, effective July 24, 2026. Multiple additional pending Section 301 and Section 232 investigations may result in additional tariffs being imposed on imports from various trading partners. On July 1, 2026, USTR announced that the United States would not renew the United States-Mexico-Canada Agreement in its current form, triggering annual reviews of and ongoing negotiations of the relevant terms for the next decade. On June 2, 2026, the U.S. government appealed the Court of International Trade’s (“CIT”) refund order to the U.S. Court of Appeals for the Federal Circuit, challenging, among other matters, the scope of the IEEPA refund relief and whether refunds may be required for importers that were not parties to the litigation or for certain finally liquidated entries. Subsequently, the CIT issued orders in various cases where importers filed for IEEPA refunds, directing U.S. Customs and Border Protection (“CBP”) to reliquidate the relevant entries and refund IEEPA tariffs. CBP has indicated that it is implementing a process to issue refunds on finally liquidated entries to importers who have obtained such orders from the CIT. On June 16, 2026, the Company filed claims with CBP seeking refunds of approximately $4.8 million of tariffs previously paid under IEEPA that the Company did not believe were subject to the most recent appeal process. These actions, and retaliatory tariffs imposed by other countries on U.S. exports, have led to significant volatility and uncertainty in global markets, which is continuing. Additionally, the U.S. government has announced and rescinded multiple tariffs on several foreign jurisdictions, which has increased uncertainty regarding the ultimate effect of the tariffs on economic conditions. Less than 10% of our costs applicable to revenue are directly subject to tariffs on products from China. In Mexico, where our exposure relates to our outsourcing relationship with our third-party laboratory, we have mitigation plans in place, and we estimate that less than 1% of our costs applicable to revenue are subject to tariffs in Mexico. We are continuing to evaluate these developments, including resulting impacts on our supply chain, commodity costs, and consumer spending, and our ability to offset a portion of these costs to mitigate the impact on our business, consolidated resu</w:t>
      </w:r>
      <w:r>
        <w:rPr>
          <w:rFonts w:ascii="Arial;sans-serif" w:hAnsi="Arial;sans-serif"/>
          <w:b w:val="false"/>
          <w:color w:val="000000"/>
          <w:sz w:val="20"/>
          <w:shd w:fill="FFFFFF" w:val="clear"/>
        </w:rPr>
        <w:t>lts of operations, and financial condition.</w:t>
      </w:r>
    </w:p>
    <w:p>
      <w:pPr>
        <w:pStyle w:val="TextBody"/>
        <w:bidi w:val="0"/>
        <w:spacing w:lineRule="auto" w:line="288" w:before="0" w:after="120"/>
        <w:jc w:val="left"/>
        <w:rPr/>
      </w:pPr>
      <w:r>
        <w:rPr>
          <w:rFonts w:ascii="Arial;sans-serif" w:hAnsi="Arial;sans-serif"/>
          <w:b w:val="false"/>
          <w:color w:val="000000"/>
          <w:sz w:val="20"/>
          <w:shd w:fill="FFFFFF" w:val="clear"/>
        </w:rPr>
        <w:t xml:space="preserve">Inflation has resulted in increased costs and greater profitability pressure. We have experienced wage rate pressure and increases in raw materials prices, which we expect to continue. Inflationary pressures, including elevated wages, reduced consumer confidence and changing preferences, and increased raw material costs could impact our profitability and lead us to attempt to offset such increases through various pricing actions. We have historically employed a simple low price/high value strategy seeking to balance our pricing and growth in a way that consistently delivers savings to our customers. </w:t>
      </w:r>
      <w:r>
        <w:rPr>
          <w:rFonts w:ascii="Arial;sans-serif" w:hAnsi="Arial;sans-serif"/>
          <w:b w:val="false"/>
          <w:color w:val="000000"/>
          <w:sz w:val="20"/>
        </w:rPr>
        <w:t>We are continuing this commitment to value, while at the same time modernizing our pricing strategy to maximize that value across a broader range of consumers. We have taken and may continue to take pricing actions and introduce limited-time promotions or new offers designed to increase demand traffic, awareness and drive sales.</w:t>
      </w:r>
      <w:r>
        <w:rPr>
          <w:color w:val="000000"/>
          <w:shd w:fill="FFFFFF" w:val="clear"/>
        </w:rPr>
        <w:t xml:space="preserve"> </w:t>
      </w:r>
      <w:r>
        <w:rPr>
          <w:rFonts w:ascii="Arial;sans-serif" w:hAnsi="Arial;sans-serif"/>
          <w:b w:val="false"/>
          <w:color w:val="000000"/>
          <w:sz w:val="20"/>
          <w:shd w:fill="FFFFFF" w:val="clear"/>
        </w:rPr>
        <w:t>I</w:t>
      </w:r>
      <w:r>
        <w:rPr>
          <w:rFonts w:ascii="Arial;sans-serif" w:hAnsi="Arial;sans-serif"/>
          <w:b w:val="false"/>
          <w:color w:val="000000"/>
          <w:sz w:val="20"/>
        </w:rPr>
        <w:t xml:space="preserve">n fiscal 2025, we implemented price increases to each of our America’s Best and Eyeglass World opening offers and continued to evolve our product mix to include a greater percentage of frames at price points over $99. We believe that these changes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pPr>
      <w:r>
        <w:rPr>
          <w:rFonts w:ascii="Arial;sans-serif" w:hAnsi="Arial;sans-serif"/>
          <w:b w:val="false"/>
          <w:color w:val="000000"/>
          <w:sz w:val="20"/>
        </w:rPr>
        <w:t xml:space="preserve">enable us to continue to offer the best possible value and service to our customers at prices that allow </w:t>
      </w:r>
      <w:r>
        <w:rPr>
          <w:rFonts w:ascii="Arial;sans-serif" w:hAnsi="Arial;sans-serif"/>
          <w:b w:val="false"/>
          <w:color w:val="000000"/>
          <w:sz w:val="20"/>
          <w:shd w:fill="FFFFFF" w:val="clear"/>
        </w:rPr>
        <w:t>us to maintain our brands’ strong value propositions in the marketplace.</w:t>
      </w:r>
      <w:r>
        <w:rPr>
          <w:color w:val="000000"/>
        </w:rPr>
        <w:t xml:space="preserve"> </w:t>
      </w:r>
      <w:r>
        <w:rPr>
          <w:rFonts w:ascii="Arial;sans-serif" w:hAnsi="Arial;sans-serif"/>
          <w:b w:val="false"/>
          <w:color w:val="000000"/>
          <w:sz w:val="20"/>
        </w:rPr>
        <w:t>Several factors may impact the level of success of such actions and promotions, including consumer sentiment, macroeconomic conditions and marketing effectiveness, and as a result, if they do not meet our expectations, they could negatively impact our margins and profitability.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Additionally, our ability to continue to attract and retain qualified vision care professionals impacts exam capacity and our operations. We believe factors such as an increasingly challenging recruiting market (in particular for new graduates), preferences for adjusted work schedules, and the demand for optometrists exceeding supply in certain areas caused constraints in vision care professional availability, and therefore exam capacity in recent years, which may continue. As a result, recruiting and retaining optometrists has become more challenging and the costs to employ or retain optometrists have increased and may increase further, potentially materially. Further, a limited number of professional corporations or similar entities provide for the vision care services at a number of our retail locations, exposing us to some concentration risk. A material change in our relationship with vision care professionals, whether resulting from constraints in exam capacity,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From time to time, we may elect to make strategic changes to our doctor model or otherwise make changes to our relationships with one or more of these practices, which could also lead to any of these risks. We believe remote medicine not only helps provide more access to eye care for patients, but also helps address constraints in exam capacity.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anticipate continuing the investment in remote medicine, including hybrid remote, whereby optometrists in one store are able to see patients remotely in another store, adding select locations where feasible and advantageous and depending on the state-by-state regulatory environment. While the remote medicine has increased exam capacity, revenue and profitability, we have experienced higher costs applicable to revenue as a percentage of revenue, when compared with in-store exams.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Historically, our business has experienced seasonality in the first half of the year that we believe is primarily attributable to health insurance start/reset periods and predictable consumer propensity to seek eye care and eyewear.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the beginning of the second quarter, we made an important strategic move to re-platform AmericasBest.com. This is a key step in our unified commerce journey to strengthen our digital foundation, improve the customer experience, and, over time, better connect our online and store experiences. A re-platforming of this scale resets parts of the digital storefront and traffic was disrupted as search and social optimization resets. We managed the transition anchored in data, clear operating focus, discipline and a healthy sense of urgency and saw sequential improvement in the second quarter. We believe the impact of the re-platform to traffic is behind us; however, if remediation measures take longer than anticipated to fully materialize, we could continue to experience impacts to traffic and, as a result, our financial performance. By the end of the second quarter, all of our brand websites were successfully migrated to the new platform without any material disruptions.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Refer to Part I, Item 1A. “Risk Factors” in the Company’s 2025 Annual Report on Form 10-K for a more complete discussion of the risks we face.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How We Assess the Performance of Our Business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Net Revenue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Costs Applicable to Revenue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Selling, General and Administrative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SG&amp;A expenses generally fluctuate consistently with revenue due to the variable store, field office and corporate support costs; however, some fixed costs may decrease as a percentage of net revenue as our net revenues grow over time.</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New Store Openings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total number of new stores per year and the timing of store openings has had an impact, and we expect will continue to have an impact, on our results. We plan to open approximately 30 to 35 new stores in fiscal year 2026, primarily comprised of America’s Best stores and not inclusive of the addition of 20 Military stores in April 2026, to allow us to invest capital in existing operations to enhance the overall store experience. We are continuing to monitor and determine our plans for future new store openings at a level appropriate for incremental free cash flow generation.</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Adjusted Comparable Store Sales Growth</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at the point of sale; (ii) sales are adjusted for managed care insurance collection estimates; (iii) stores are added to the calculation during the 13th full fiscal month following the store’s opening; (iv) closed stores are removed from the calculation for time periods that are not comparable; (v) sales from partial months of operation are excluded when stores do not open or close on the first day of the month; (vi) when applicable, we adjust for the effect of the 53rd week; and (vii) in fiscal years following a 53-week fiscal year, there is a one week calendar shift to the comparable prior-year period. For the calculation of the adjusted comparable store sales growth for the three months ended July 4, 2026, we compared weeks 14 through 26 in fiscal 2026 against weeks 15 through 27 in fiscal 2025 and for the six months ended July 4, 2026, we compared weeks 1 through 26 in fiscal year 2026 against weeks 2 through 27 in fiscal year 2025.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Adjusted Operating Income, Adjusted Operating Margin, EBITDA, Adjusted EBITDA, Adjusted EBITDA Margin and Adjusted Diluted EPS (collectively, the “Company Non-GAAP Measures”)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below for definitions and reconciliations of the Company Non-GAAP Measures and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summarizes key components of our results of operations for the periods indicated, both in dollars and as a percentage of our net revenue.</w:t>
      </w:r>
    </w:p>
    <w:tbl>
      <w:tblPr>
        <w:tblW w:w="10205" w:type="dxa"/>
        <w:jc w:val="left"/>
        <w:tblInd w:w="0" w:type="dxa"/>
        <w:tblLayout w:type="fixed"/>
        <w:tblCellMar>
          <w:top w:w="28" w:type="dxa"/>
          <w:left w:w="28" w:type="dxa"/>
          <w:bottom w:w="28" w:type="dxa"/>
          <w:right w:w="28" w:type="dxa"/>
        </w:tblCellMar>
      </w:tblPr>
      <w:tblGrid>
        <w:gridCol w:w="1668"/>
        <w:gridCol w:w="1332"/>
        <w:gridCol w:w="1339"/>
        <w:gridCol w:w="367"/>
        <w:gridCol w:w="219"/>
        <w:gridCol w:w="577"/>
        <w:gridCol w:w="123"/>
        <w:gridCol w:w="123"/>
        <w:gridCol w:w="123"/>
        <w:gridCol w:w="388"/>
        <w:gridCol w:w="240"/>
        <w:gridCol w:w="594"/>
        <w:gridCol w:w="109"/>
        <w:gridCol w:w="109"/>
        <w:gridCol w:w="109"/>
        <w:gridCol w:w="367"/>
        <w:gridCol w:w="219"/>
        <w:gridCol w:w="577"/>
        <w:gridCol w:w="114"/>
        <w:gridCol w:w="114"/>
        <w:gridCol w:w="114"/>
        <w:gridCol w:w="383"/>
        <w:gridCol w:w="230"/>
        <w:gridCol w:w="667"/>
      </w:tblGrid>
      <w:tr>
        <w:trPr/>
        <w:tc>
          <w:tcPr>
            <w:tcW w:w="166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3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 except earnings per share, percentage and store data</w:t>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sales</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403,135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842,635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807,354</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sales of services and plans </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95,670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200,050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189,393</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w:t>
            </w:r>
          </w:p>
        </w:tc>
        <w:tc>
          <w:tcPr>
            <w:tcW w:w="11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498,805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1,042,685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996,747</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applicable to revenue (exclusive of depreciation and amortization):</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118,574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245,391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231,600</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plans</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89,798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182,117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173,961</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applicable to revenue</w:t>
            </w:r>
          </w:p>
        </w:tc>
        <w:tc>
          <w:tcPr>
            <w:tcW w:w="11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208,372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427,508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405,561</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243,432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499,524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502,699</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45,499</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operating expenses </w:t>
            </w:r>
          </w:p>
        </w:tc>
        <w:tc>
          <w:tcPr>
            <w:tcW w:w="11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269,131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548,636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548,600</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1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66,541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42,586</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8,782</w:t>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11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60,356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33,804</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10,893</w:t>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operating data:</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stores open at end of period</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stores opened during the period</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Operating Income</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87,034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65,076</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 EPS</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Diluted EPS</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EBITDA</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54,626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133,359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110,237</w:t>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Percentage of net revenue:</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applicable to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Operating Income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EBITDA</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Three Months Ended July 4, 2026 compared to Three Months Ended June 28, 2025</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Unless otherwise noted, the discussion below is based on results, substantially all of which are, attributable to our single reportable segment, Owned &amp; Host.</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Net revenue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presents, by segment and by brand, comparable store sales growth, stores open at the end of the period and net revenue for the three months ended July 4, 2026 compared to the three months ended June 28, 2025.</w:t>
      </w:r>
    </w:p>
    <w:tbl>
      <w:tblPr>
        <w:tblW w:w="10481" w:type="dxa"/>
        <w:jc w:val="left"/>
        <w:tblInd w:w="0" w:type="dxa"/>
        <w:tblLayout w:type="fixed"/>
        <w:tblCellMar>
          <w:top w:w="28" w:type="dxa"/>
          <w:left w:w="28" w:type="dxa"/>
          <w:bottom w:w="28" w:type="dxa"/>
          <w:right w:w="28" w:type="dxa"/>
        </w:tblCellMar>
      </w:tblPr>
      <w:tblGrid>
        <w:gridCol w:w="466"/>
        <w:gridCol w:w="344"/>
        <w:gridCol w:w="346"/>
        <w:gridCol w:w="109"/>
        <w:gridCol w:w="109"/>
        <w:gridCol w:w="109"/>
        <w:gridCol w:w="258"/>
        <w:gridCol w:w="252"/>
        <w:gridCol w:w="286"/>
        <w:gridCol w:w="109"/>
        <w:gridCol w:w="109"/>
        <w:gridCol w:w="109"/>
        <w:gridCol w:w="258"/>
        <w:gridCol w:w="252"/>
        <w:gridCol w:w="286"/>
        <w:gridCol w:w="109"/>
        <w:gridCol w:w="109"/>
        <w:gridCol w:w="109"/>
        <w:gridCol w:w="400"/>
        <w:gridCol w:w="246"/>
        <w:gridCol w:w="109"/>
        <w:gridCol w:w="109"/>
        <w:gridCol w:w="109"/>
        <w:gridCol w:w="109"/>
        <w:gridCol w:w="335"/>
        <w:gridCol w:w="311"/>
        <w:gridCol w:w="109"/>
        <w:gridCol w:w="109"/>
        <w:gridCol w:w="109"/>
        <w:gridCol w:w="109"/>
        <w:gridCol w:w="211"/>
        <w:gridCol w:w="856"/>
        <w:gridCol w:w="109"/>
        <w:gridCol w:w="322"/>
        <w:gridCol w:w="324"/>
        <w:gridCol w:w="286"/>
        <w:gridCol w:w="109"/>
        <w:gridCol w:w="109"/>
        <w:gridCol w:w="109"/>
        <w:gridCol w:w="211"/>
        <w:gridCol w:w="856"/>
        <w:gridCol w:w="109"/>
        <w:gridCol w:w="322"/>
        <w:gridCol w:w="324"/>
        <w:gridCol w:w="331"/>
      </w:tblGrid>
      <w:tr>
        <w:trPr/>
        <w:tc>
          <w:tcPr>
            <w:tcW w:w="46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Comparable store sales growth</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Stores open at end of period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Net revenue</w:t>
            </w:r>
            <w:r>
              <w:rPr>
                <w:rFonts w:ascii="Arial;sans-serif" w:hAnsi="Arial;sans-serif"/>
                <w:b/>
                <w:color w:val="000000"/>
                <w:sz w:val="13"/>
              </w:rPr>
              <w:t>(1)(2)</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 except percentage and store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 2025</w:t>
            </w:r>
          </w:p>
        </w:tc>
        <w:tc>
          <w:tcPr>
            <w:tcW w:w="210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28, 2025</w:t>
            </w:r>
          </w:p>
        </w:tc>
      </w:tr>
      <w:tr>
        <w:trPr/>
        <w:tc>
          <w:tcPr>
            <w:tcW w:w="11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Owned &amp; Host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 Best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Eyeglass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Fred Meyer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 &amp; Host segment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481,829 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Effects of unearned and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deferred and unearned revenue on comparable store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Comparable Store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(1) We calculate total comparable store sales based on consolidated net revenue excluding the impact of (i) Corporate and other revenue, (ii) sales from stores opened less than 13 months, (iii) stores closed in the periods presented, (iv) sales from partial months of operation when stores do not open or close on the first day of the month (v) if applicable, the impact of a 53rd week in a fiscal year, and (vi) in fiscal years following a 53-week fiscal year, there is a one week calendar shift to the comparable prior-year period. For the calculation of the adjusted comparable store sales growth in the second quarter of 2026, we compared weeks 14 through 26 in fiscal 2026 against weeks 15 through 27 in fiscal 2025. Brand-level comparable store sales growth is calculated based on point-of-sale revenues consistent with what the CODM reviews, and consistent with reportable segment revenues presented in Note 8. “Segment Reporting” in our unaudited condensed consolidated financial statements included in Part I. Item 1. of this Form 10-Q.</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(2) Percentages reflect line item as a percentage of net revenue, adjusted for rounding.</w:t>
      </w:r>
    </w:p>
    <w:p>
      <w:pPr>
        <w:pStyle w:val="TextBody"/>
        <w:bidi w:val="0"/>
        <w:spacing w:before="0" w:after="0"/>
        <w:jc w:val="left"/>
        <w:rPr/>
      </w:pPr>
      <w:r>
        <w:rPr/>
      </w:r>
    </w:p>
    <w:tbl>
      <w:tblPr>
        <w:tblW w:w="8249" w:type="dxa"/>
        <w:jc w:val="left"/>
        <w:tblInd w:w="0" w:type="dxa"/>
        <w:tblLayout w:type="fixed"/>
        <w:tblCellMar>
          <w:top w:w="28" w:type="dxa"/>
          <w:left w:w="28" w:type="dxa"/>
          <w:bottom w:w="28" w:type="dxa"/>
          <w:right w:w="28" w:type="dxa"/>
        </w:tblCellMar>
      </w:tblPr>
      <w:tblGrid>
        <w:gridCol w:w="1188"/>
        <w:gridCol w:w="1047"/>
        <w:gridCol w:w="1049"/>
        <w:gridCol w:w="575"/>
        <w:gridCol w:w="398"/>
        <w:gridCol w:w="398"/>
        <w:gridCol w:w="656"/>
        <w:gridCol w:w="398"/>
        <w:gridCol w:w="398"/>
        <w:gridCol w:w="211"/>
        <w:gridCol w:w="751"/>
        <w:gridCol w:w="109"/>
        <w:gridCol w:w="218"/>
        <w:gridCol w:w="218"/>
        <w:gridCol w:w="635"/>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Three Months Ended</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w:t>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14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Change</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r>
      <w:tr>
        <w:trPr/>
        <w:tc>
          <w:tcPr>
            <w:tcW w:w="3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net revenue</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498,805</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486,423</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product sales</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403,135</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394,589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As a percentage of total net revenue</w:t>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80.8%</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81.1%</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sales of services and plans</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95,670</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91,834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As a percentage of total net revenue</w:t>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19.2%</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18.9%</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Total net revenue of $498.8 million for the three months ended July 4, 2026 increased $12.4 million, or 2.5%, from $486.4 million for the three months ended June 28, 2025. The increase was primarily driven by new store sales, the timing of unearned revenue and Adjusted Comparable Store Sales Growth, partially offset by closed stores. Unearned and deferred revenue positively impacted net revenue by $5.7 million during the three months ended July 4, 2026 compared to the three months ended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Net product sales increased $8.5 million, or 2.2%, in the three months ended July 4, 2026 compared to the three months ended June 28, 2025, primarily due to pricing and product mix initiatives in eyeglass sales of $7.0 million and contact lens sales of $1.9 million.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Net sales of services and plans for the three months ended July 4, 2026 increased $3.8 million, or 4.2%, compared to the three months ended June 28, 2025, driven primarily by higher eye exam revenues of $3.8 million.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Comparable store sales growth and Adjusted Comparable Store Sales Growth for the three months ended July 4, 2026 were 3.4% and 2.2%, respectively, both reflecting a higher average ticket and continued strength in the managed care cohort, partially offset by lower customer traffic.</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the three months ended July 4, 2026, we opened nine America’s Best stores, and closed two America’s Best stores. Overall, store count grew 3.3% from June 28, 2025 to July 4, 2026.</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Costs applicable to revenue</w:t>
      </w:r>
    </w:p>
    <w:tbl>
      <w:tblPr>
        <w:tblW w:w="9287" w:type="dxa"/>
        <w:jc w:val="left"/>
        <w:tblInd w:w="0" w:type="dxa"/>
        <w:tblLayout w:type="fixed"/>
        <w:tblCellMar>
          <w:top w:w="28" w:type="dxa"/>
          <w:left w:w="28" w:type="dxa"/>
          <w:bottom w:w="28" w:type="dxa"/>
          <w:right w:w="28" w:type="dxa"/>
        </w:tblCellMar>
      </w:tblPr>
      <w:tblGrid>
        <w:gridCol w:w="1646"/>
        <w:gridCol w:w="1447"/>
        <w:gridCol w:w="1451"/>
        <w:gridCol w:w="211"/>
        <w:gridCol w:w="856"/>
        <w:gridCol w:w="286"/>
        <w:gridCol w:w="211"/>
        <w:gridCol w:w="856"/>
        <w:gridCol w:w="286"/>
        <w:gridCol w:w="211"/>
        <w:gridCol w:w="646"/>
        <w:gridCol w:w="109"/>
        <w:gridCol w:w="218"/>
        <w:gridCol w:w="218"/>
        <w:gridCol w:w="635"/>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Three Months Ended</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Change</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Change</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applicable to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208,372 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200,371 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As a percentage of total net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of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As a percentage of net product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29.4 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29.1 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of services and plans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As a percentage of net sales of services and plans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Costs applicable to revenue increased $8.0 million, or 4.0% in the three months ended July 4, 2026, compared to the three months ended June 28, 2025. As a percentage of net revenue, costs applicable to revenue increased 60 basis points and were primarily driven by a 50 basis-point decrease in eyeglass margin, reflecting a strategic mix shift toward higher-value product offerings, deleverage of optometrist-related costs of 30 basis points, and other mix effects of 30 basis points, partially offset by higher exam revenues of 50 basis points.</w: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Costs of products as a percentage of net product sales increased 30 basis points, primarily driven by lower eyeglass margin reflecting a strategic mix shift toward higher-value product offerings.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Costs of services and plans as a percentage of net sales of services and plans increased 60 basis points, primarily driven by deleverage of optometrist-related costs, partially offset by higher exam revenue.</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Selling, general and administrative</w:t>
      </w:r>
    </w:p>
    <w:tbl>
      <w:tblPr>
        <w:tblW w:w="7817" w:type="dxa"/>
        <w:jc w:val="left"/>
        <w:tblInd w:w="0" w:type="dxa"/>
        <w:tblLayout w:type="fixed"/>
        <w:tblCellMar>
          <w:top w:w="28" w:type="dxa"/>
          <w:left w:w="28" w:type="dxa"/>
          <w:bottom w:w="28" w:type="dxa"/>
          <w:right w:w="28" w:type="dxa"/>
        </w:tblCellMar>
      </w:tblPr>
      <w:tblGrid>
        <w:gridCol w:w="1070"/>
        <w:gridCol w:w="941"/>
        <w:gridCol w:w="943"/>
        <w:gridCol w:w="211"/>
        <w:gridCol w:w="856"/>
        <w:gridCol w:w="286"/>
        <w:gridCol w:w="211"/>
        <w:gridCol w:w="856"/>
        <w:gridCol w:w="286"/>
        <w:gridCol w:w="211"/>
        <w:gridCol w:w="706"/>
        <w:gridCol w:w="109"/>
        <w:gridCol w:w="248"/>
        <w:gridCol w:w="248"/>
        <w:gridCol w:w="635"/>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243,432 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247,167 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48.8 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50.8 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SG&amp;A of $243.4 million for the three months ended July 4, 2026 decreased $3.7 million, or 1.5%, compared to the three months ended June 28, 2025. As a percentage of net revenue, SG&amp;A decreased 200 basis points primarily driven by lower associate-related expenses, including variable incentive compensation, of 180 basis points, and lower advertising expense of 50 basis points, partially offset by higher occupancy expense of 40 basis points, primarily driven by new and acquired locations.</w: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Depreciation and amortization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Depreciation and amortization expense of $23.2 million for the three months ended July 4, 2026 increased $0.7 million, or 3.0%, from $22.5 million for the three months ended June 28, 2025, primarily related to assets in our existing stores and retail support centers, partially offset by lower depreciation associated with newer stores.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Asset Impairment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We recognized $2.5 million of impairment charges during the three months ended July 4, 2026. We did not recognize any impairment charges during the three months ended June 28, 2025. The impairment charges recognized in the current period were related to the write-down of store lab assets in connection with our Eyeglass World lab optimization initiative, which is intended to improve operational efficiency by reducing in-store lab activity and utilizing alternative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capabilities. Asset impairment expenses were recognized in Corporate and other. Refer to Note 11. “Restructuring” for information regarding this initiative, including expected future restructuring activities and related costs and Note 1. “Description of Business and Basis of Presentation” and Note 3. “Fair Value Measurement” for further details.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 xml:space="preserve">Interest expense, net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Interest expense, net, of $3.3 million for the three months ended July 4, 2026 decreased $0.9 million from $4.2 million for the three months ended June 28, 2025, primarily as a result of lower interest expense of $1.2 million resulting from lower outstanding debt balance, partially offset by lower interest income of $0.4 million.</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Income tax provision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Our effective tax rates for the three months ended July 4, 2026 and June 28, 2025 were 30.9% and 28.7%, respectively. The change in effective tax rates was primarily driven by the tax impacts of non-deductible compensation and other effects of permanent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Six Months Ended July 4, 2026 compared to Six Months Ended June 28, 2025</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Unless otherwise noted, the discussion below is based on results, substantially all of which are attributable to our single reportable segment, Owned &amp; Host.</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Net revenue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following presents, by segment and by brand, comparable store sales growth, stores open at the end of the period and net revenue for the six months ended July 4, 2026 compared to the six months ended June 28, 2025. </w:t>
      </w:r>
    </w:p>
    <w:tbl>
      <w:tblPr>
        <w:tblW w:w="10646" w:type="dxa"/>
        <w:jc w:val="left"/>
        <w:tblInd w:w="0" w:type="dxa"/>
        <w:tblLayout w:type="fixed"/>
        <w:tblCellMar>
          <w:top w:w="28" w:type="dxa"/>
          <w:left w:w="28" w:type="dxa"/>
          <w:bottom w:w="28" w:type="dxa"/>
          <w:right w:w="28" w:type="dxa"/>
        </w:tblCellMar>
      </w:tblPr>
      <w:tblGrid>
        <w:gridCol w:w="466"/>
        <w:gridCol w:w="344"/>
        <w:gridCol w:w="346"/>
        <w:gridCol w:w="109"/>
        <w:gridCol w:w="109"/>
        <w:gridCol w:w="109"/>
        <w:gridCol w:w="258"/>
        <w:gridCol w:w="252"/>
        <w:gridCol w:w="286"/>
        <w:gridCol w:w="109"/>
        <w:gridCol w:w="109"/>
        <w:gridCol w:w="109"/>
        <w:gridCol w:w="258"/>
        <w:gridCol w:w="252"/>
        <w:gridCol w:w="286"/>
        <w:gridCol w:w="109"/>
        <w:gridCol w:w="109"/>
        <w:gridCol w:w="109"/>
        <w:gridCol w:w="400"/>
        <w:gridCol w:w="246"/>
        <w:gridCol w:w="109"/>
        <w:gridCol w:w="109"/>
        <w:gridCol w:w="109"/>
        <w:gridCol w:w="109"/>
        <w:gridCol w:w="455"/>
        <w:gridCol w:w="191"/>
        <w:gridCol w:w="109"/>
        <w:gridCol w:w="109"/>
        <w:gridCol w:w="109"/>
        <w:gridCol w:w="109"/>
        <w:gridCol w:w="211"/>
        <w:gridCol w:w="1021"/>
        <w:gridCol w:w="109"/>
        <w:gridCol w:w="322"/>
        <w:gridCol w:w="324"/>
        <w:gridCol w:w="286"/>
        <w:gridCol w:w="109"/>
        <w:gridCol w:w="109"/>
        <w:gridCol w:w="109"/>
        <w:gridCol w:w="211"/>
        <w:gridCol w:w="856"/>
        <w:gridCol w:w="109"/>
        <w:gridCol w:w="322"/>
        <w:gridCol w:w="324"/>
        <w:gridCol w:w="331"/>
      </w:tblGrid>
      <w:tr>
        <w:trPr/>
        <w:tc>
          <w:tcPr>
            <w:tcW w:w="46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Comparable store sales growth</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Stores open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Net revenue</w:t>
            </w:r>
            <w:r>
              <w:rPr>
                <w:rFonts w:ascii="Arial;sans-serif" w:hAnsi="Arial;sans-serif"/>
                <w:b/>
                <w:color w:val="000000"/>
                <w:sz w:val="13"/>
              </w:rPr>
              <w:t>(1)(2)</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 except percentage and store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28, 2025</w:t>
            </w:r>
          </w:p>
        </w:tc>
      </w:tr>
      <w:tr>
        <w:trPr/>
        <w:tc>
          <w:tcPr>
            <w:tcW w:w="11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Owned &amp; Host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 Best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Eyeglass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Fred Meyer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 &amp; Host segment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989,133 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Effects of unearned and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deferred and unearned revenue on comparable store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Comparable Store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(1) We calculate total comparable store sales based on consolidated net revenue excluding the impact of (i) Corporate and other revenue, (ii) sales from stores opened less than 13 months, (iii) stores closed in the periods presented, (iv) sales from partial months of operation when stores do not open or close on the first day of the month (v) if applicable, the impact of a 53rd week in a fiscal year and (vi) in fiscal years following a 53-week fiscal year, there is a one week calendar shift to the comparable prior-year period. For the calculation of the adjusted comparable store sales growth in the six months ended July 4, 2026, we compared weeks 1 through 26 in fiscal 2026 against weeks 2 through 27 in fiscal 2025. Brand-level comparable store sales growth is calculated based on point-of-sale revenues consistent with what the CODM reviews, and consistent with reportable segment revenues presented in Note 8. “Segment Reporting” in our unaudited condensed consolidated financial statements included in Part I. Item 1. of this Form 10-Q.</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(2) Percentages reflect line item as a percentage of net revenue, adjusted for rounding.</w:t>
      </w:r>
    </w:p>
    <w:p>
      <w:pPr>
        <w:pStyle w:val="TextBody"/>
        <w:bidi w:val="0"/>
        <w:spacing w:before="0" w:after="0"/>
        <w:jc w:val="left"/>
        <w:rPr/>
      </w:pPr>
      <w:r>
        <w:rPr/>
      </w:r>
    </w:p>
    <w:tbl>
      <w:tblPr>
        <w:tblW w:w="8101" w:type="dxa"/>
        <w:jc w:val="left"/>
        <w:tblInd w:w="0" w:type="dxa"/>
        <w:tblLayout w:type="fixed"/>
        <w:tblCellMar>
          <w:top w:w="28" w:type="dxa"/>
          <w:left w:w="28" w:type="dxa"/>
          <w:bottom w:w="28" w:type="dxa"/>
          <w:right w:w="28" w:type="dxa"/>
        </w:tblCellMar>
      </w:tblPr>
      <w:tblGrid>
        <w:gridCol w:w="1188"/>
        <w:gridCol w:w="1047"/>
        <w:gridCol w:w="1049"/>
        <w:gridCol w:w="211"/>
        <w:gridCol w:w="1021"/>
        <w:gridCol w:w="109"/>
        <w:gridCol w:w="239"/>
        <w:gridCol w:w="972"/>
        <w:gridCol w:w="123"/>
        <w:gridCol w:w="211"/>
        <w:gridCol w:w="751"/>
        <w:gridCol w:w="109"/>
        <w:gridCol w:w="218"/>
        <w:gridCol w:w="218"/>
        <w:gridCol w:w="635"/>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Six Months Ended</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w:t>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Change</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w:t>
            </w:r>
          </w:p>
        </w:tc>
      </w:tr>
      <w:tr>
        <w:trPr/>
        <w:tc>
          <w:tcPr>
            <w:tcW w:w="3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net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996,747 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807,354 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As a percentage of total net revenue</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80.8%</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81.0%</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sales of services and plans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As a percentage of total net revenue</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19.2%</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19.0%</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Total net revenue of $1,042.7 million for the six months ended July 4, 2026 increased $45.9 million, or 4.6%, from $996.7 million for the six months ended June 28, 2025. The increase was primarily driven by Adjusted Comparable Store Sales Growth, new store sales and the timing of unearned revenue, partially offset by closed stores. Unearned and deferred revenue positively impacted net revenue by $16.0 million during the six months ended July 4, 2026 compared to the six months ended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Net product sales increased $35.3 million, or 4.4%, in the six months ended July 4, 2026 compared to the six months ended June 28, 2025, primarily due to pricing and product mix initiatives in eyeglass sales of $27.3 million and contact lens sales of $8.8 million.</w:t>
      </w:r>
    </w:p>
    <w:p>
      <w:pPr>
        <w:pStyle w:val="TextBody"/>
        <w:bidi w:val="0"/>
        <w:spacing w:lineRule="auto" w:line="288" w:before="0" w:after="120"/>
        <w:jc w:val="left"/>
        <w:rPr/>
      </w:pPr>
      <w:r>
        <w:rPr>
          <w:rFonts w:ascii="Arial;sans-serif" w:hAnsi="Arial;sans-serif"/>
          <w:b w:val="false"/>
          <w:color w:val="000000"/>
          <w:sz w:val="20"/>
        </w:rPr>
        <w:t>Net sales of services and plans for the six months ended July 4, 2026 increased $10.7 million, or 5.6%, compared to the six months ended June 28, 2025,</w:t>
      </w:r>
      <w:r>
        <w:rPr>
          <w:color w:val="EE2724"/>
        </w:rPr>
        <w:t xml:space="preserve"> </w:t>
      </w:r>
      <w:r>
        <w:rPr>
          <w:rFonts w:ascii="Arial;sans-serif" w:hAnsi="Arial;sans-serif"/>
          <w:b w:val="false"/>
          <w:color w:val="000000"/>
          <w:sz w:val="20"/>
        </w:rPr>
        <w:t>driven primarily by higher exam revenues of $9.4 million.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Comparable store sales growth and Adjusted Comparable Store Sales Growth for the six months ended July 4, 2026 were 3.9% and 3.4%, respectively, both reflecting a higher average ticket and continued strength in the Company’s managed care cohort, partially offset by lower customer traffic.</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During fiscal 2025, the Company entered into an amendment to its agreement with Army and Air Force Exchange Service (AAFES), extending the term of the agreement through January 2036. Subsequently, in February 2026, the Company and AAFES entered into an additional amendment providing for the operation by the Company of an additional 20 military stores located on AAFES bases, expanding the Company’s presence in two additional states. In the six months ended July 4, 2026, and in connection with this expansion, the Company purchased from U.S. Vision Corp. certain assets used in connection with the operation of those 20 additional military stores. Additionally, we opened 17 new America’s Best stores and closed five America’s Best stores and one Military store. Overall, store count grew 3.3% from June 28, 2025 to July 4, 2026 (24 net new America’s Best stores, 19 net new Military stores, and two net closures of Fred Meyer stores).</w:t>
      </w:r>
    </w:p>
    <w:p>
      <w:pPr>
        <w:pStyle w:val="TextBody"/>
        <w:bidi w:val="0"/>
        <w:spacing w:before="0" w:after="0"/>
        <w:jc w:val="left"/>
        <w:rPr/>
      </w:pPr>
      <w:r>
        <w:rPr/>
      </w:r>
    </w:p>
    <w:p>
      <w:pPr>
        <w:pStyle w:val="TextBody"/>
        <w:bidi w:val="0"/>
        <w:spacing w:lineRule="auto" w:line="268" w:before="0" w:after="120"/>
        <w:jc w:val="left"/>
        <w:rPr>
          <w:rFonts w:ascii="Arial;sans-serif" w:hAnsi="Arial;sans-serif"/>
          <w:b w:val="false"/>
          <w:i/>
          <w:color w:val="000000"/>
          <w:sz w:val="20"/>
        </w:rPr>
      </w:pPr>
      <w:r>
        <w:rPr>
          <w:rFonts w:ascii="Arial;sans-serif" w:hAnsi="Arial;sans-serif"/>
          <w:b w:val="false"/>
          <w:i/>
          <w:color w:val="000000"/>
          <w:sz w:val="20"/>
        </w:rPr>
        <w:t>Costs applicable to revenue</w:t>
      </w:r>
    </w:p>
    <w:p>
      <w:pPr>
        <w:pStyle w:val="TextBody"/>
        <w:bidi w:val="0"/>
        <w:spacing w:before="0" w:after="120"/>
        <w:jc w:val="left"/>
        <w:rPr/>
      </w:pPr>
      <w:r>
        <w:rPr/>
      </w:r>
    </w:p>
    <w:tbl>
      <w:tblPr>
        <w:tblW w:w="9392" w:type="dxa"/>
        <w:jc w:val="left"/>
        <w:tblInd w:w="0" w:type="dxa"/>
        <w:tblLayout w:type="fixed"/>
        <w:tblCellMar>
          <w:top w:w="28" w:type="dxa"/>
          <w:left w:w="28" w:type="dxa"/>
          <w:bottom w:w="28" w:type="dxa"/>
          <w:right w:w="28" w:type="dxa"/>
        </w:tblCellMar>
      </w:tblPr>
      <w:tblGrid>
        <w:gridCol w:w="1646"/>
        <w:gridCol w:w="1447"/>
        <w:gridCol w:w="1451"/>
        <w:gridCol w:w="211"/>
        <w:gridCol w:w="856"/>
        <w:gridCol w:w="286"/>
        <w:gridCol w:w="211"/>
        <w:gridCol w:w="856"/>
        <w:gridCol w:w="286"/>
        <w:gridCol w:w="211"/>
        <w:gridCol w:w="751"/>
        <w:gridCol w:w="109"/>
        <w:gridCol w:w="218"/>
        <w:gridCol w:w="218"/>
        <w:gridCol w:w="635"/>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Change</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Change</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applicable to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427,508 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405,561 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As a percentage of total net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40.7 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of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As a percentage of net product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29.1 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of services and plans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As a percentage of net sales of services and plans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Costs applicable to revenue increased $21.9 million, or 5.4%, in the six months ended July 4, 2026 compared to the six months ended June 28, 2025. As a percentage of net revenue, costs applicable to revenue increased 30 basis points and were primarily driven by a 60 basis-point decrease in eyeglass margin reflecting a strategic mix shift toward higher-value product offerings, partially offset by higher exam revenues of 30 basis points.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Costs of products as a percentage of net product sales increased 40 basis points, primarily driven by lower eyeglass margin reflecting a strategic mix shift toward higher-value product offerings.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Costs of services and plans as a percentage of net sales of services and plans decreased 90 basis points, primarily driven by higher exam revenue.</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Selling, general and administrative</w:t>
      </w:r>
    </w:p>
    <w:tbl>
      <w:tblPr>
        <w:tblW w:w="7817" w:type="dxa"/>
        <w:jc w:val="left"/>
        <w:tblInd w:w="0" w:type="dxa"/>
        <w:tblLayout w:type="fixed"/>
        <w:tblCellMar>
          <w:top w:w="28" w:type="dxa"/>
          <w:left w:w="28" w:type="dxa"/>
          <w:bottom w:w="28" w:type="dxa"/>
          <w:right w:w="28" w:type="dxa"/>
        </w:tblCellMar>
      </w:tblPr>
      <w:tblGrid>
        <w:gridCol w:w="1070"/>
        <w:gridCol w:w="941"/>
        <w:gridCol w:w="943"/>
        <w:gridCol w:w="211"/>
        <w:gridCol w:w="856"/>
        <w:gridCol w:w="286"/>
        <w:gridCol w:w="211"/>
        <w:gridCol w:w="856"/>
        <w:gridCol w:w="286"/>
        <w:gridCol w:w="211"/>
        <w:gridCol w:w="706"/>
        <w:gridCol w:w="109"/>
        <w:gridCol w:w="248"/>
        <w:gridCol w:w="248"/>
        <w:gridCol w:w="635"/>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Change</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SG&amp;A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499,524 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502,699 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47.9 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50.4 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SG&amp;A decreased $3.2 million, or 0.6%, in the six months ended July 4, 2026 compared to the six months ended June 28, 2025. SG&amp;A as a percentage of net revenue decreased 250 basis points primarily driven by lower associate-related expenses, including variable incentive compensation of 210 basis points and lower advertising expense of 60 basis points.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Depreciation and amortization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Depreciation and amortization expense of $46.7 million for the six months ended July 4, 2026 increased $1.2 million, or 2.6%, from $45.5 million for the six months ended June 28, 2025, primarily related to our existing stores and retail support centers, partially offset by lower depreciation associated with newer stores.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Asset impairment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recognized $2.5 million impairment charges during the six months ended July 4, 2026, related to Eyeglass World lab optimization activity. The impairment charges recognized in the current period were related to the write-down of store lab assets in connection with our Eyeglass World lab optimization initiative, which is intended to improve operational efficiency by reducing in-store lab activity and utilizing alternative production capabilities. Refer to Note 11. “Restructuring” for information regarding this initiative, including expected future restructuring activities and related costs. We recognized $0.5 million of impairment charges during the six months ended June 28, 2025, primarily for tangible long-lived assets and ROU assets associated with our retail stores. Asset impairment expenses were recognized in Corporate and other. See Note 1. “Description of Business and Basis of Presentation” and Note 3. “Fair Value Measurement” for further details.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Interest expense, net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Interest expense, net of $6.2 million for the six months ended July 4, 2026, decreased $2.6 million from $8.8 million for the six months ended June 28, 2025. The change was primarily a result of lower interest expense of $2.4 million resulting from lower outstanding debt balance.</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Income tax provision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effective tax rates for the six months ended July 4, 2026 and June 28, 2025 were 27.8% and 32.2%, respectively. The change in effective tax rates is primarily driven by the discrete benefit of permanent adjustments related to stock-based compensation, partially offset by non-deductible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Adjusted Operating Income, Adjusted Operating Margin, EBITDA, Adjusted EBITDA, Adjusted EBITDA Margin and Adjusted Diluted EPS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ERP and CRM implementation expenses, shareholder activism costs, severance and associate-related costs associated with organizational restructuring and certain other expenses.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define Adjusted Operating Margin as Adjusted Operating Income as a percentage of net revenue.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define EBITDA as net income (loss), plus interest expense (income), net, income tax provision (benefit) and depreciation and amortization.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define Adjusted EBITDA as 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costs, severance and associate-related costs associated with organizational restructuring and certain other expenses.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define Adjusted EBITDA Margin as Adjusted EBITDA as a percentage of net revenue.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2.50% convertible senior notes due on May 15, 2025 (”2025 Notes”) when not required under U.S. GAAP to be added back for diluted earnings (loss) per share, derivative fair value adjustments, ERP and CRM implementation expenses, shareholder activism, severance and associate-related costs associated with restructuring, and certain other expenses, less the tax effect of these adjustments, including tax expense (benefit) from stock-based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EBITDA and the Company Non-GAAP Measures can vary substantially in size from one period to the next, and certain types of expenses are non-recurring in nature and consequently may not have been incurred in any of the periods presented below.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presentations of these measures have limitations as analytical tools and should not be considered in isolation, or as a substitute for analysis of our results as reported under U.S. GAAP. Some of these limitations are: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they do not reflect costs or cash outlays for capital expenditures or contractual commitments;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they do not reflect changes in, or cash requirements for, our working capital needs;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EBITDA, Adjusted EBITDA and Adjusted Operating Income do not reflect the interest expense (income), net, or the cash requirements necessary to service interest or principal payments, on our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EBITDA, Adjusted EBITDA and Adjusted Operating Income do not reflect period to period changes in taxes, income tax provision or the cash necessary to pay income taxes;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they do not reflect the impact of earnings or charges resulting from matters we consider not to be indicative of our ongoing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although depreciation and amortization are non-cash charges, the assets being depreciated and amortized will often have to be replaced in the future, and EBITDA and Adjusted EBITDA do not reflect cash requirements for such replacements;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other companies in our industry may calculate these measures differently than we do, limiting their usefulness as comparative measures.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Because of these limitations, EBITDA and the Company Non-GAAP Measures should not be considered as measures of discretionary cash available to invest in business growth or to reduce indebtedness.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reconciles our Adjusted Operating Income, Adjusted Operating Margin, EBITDA, Adjusted EBITDA, and Adjusted EBITDA Margin to net income; and Adjusted Diluted EPS to diluted EPS for the periods presented:</w:t>
      </w:r>
    </w:p>
    <w:tbl>
      <w:tblPr>
        <w:tblW w:w="10205" w:type="dxa"/>
        <w:jc w:val="left"/>
        <w:tblInd w:w="0" w:type="dxa"/>
        <w:tblLayout w:type="fixed"/>
        <w:tblCellMar>
          <w:top w:w="28" w:type="dxa"/>
          <w:left w:w="28" w:type="dxa"/>
          <w:bottom w:w="28" w:type="dxa"/>
          <w:right w:w="28" w:type="dxa"/>
        </w:tblCellMar>
      </w:tblPr>
      <w:tblGrid>
        <w:gridCol w:w="956"/>
        <w:gridCol w:w="524"/>
        <w:gridCol w:w="526"/>
        <w:gridCol w:w="211"/>
        <w:gridCol w:w="751"/>
        <w:gridCol w:w="109"/>
        <w:gridCol w:w="218"/>
        <w:gridCol w:w="218"/>
        <w:gridCol w:w="286"/>
        <w:gridCol w:w="109"/>
        <w:gridCol w:w="109"/>
        <w:gridCol w:w="109"/>
        <w:gridCol w:w="211"/>
        <w:gridCol w:w="751"/>
        <w:gridCol w:w="109"/>
        <w:gridCol w:w="218"/>
        <w:gridCol w:w="218"/>
        <w:gridCol w:w="286"/>
        <w:gridCol w:w="109"/>
        <w:gridCol w:w="109"/>
        <w:gridCol w:w="109"/>
        <w:gridCol w:w="211"/>
        <w:gridCol w:w="751"/>
        <w:gridCol w:w="109"/>
        <w:gridCol w:w="218"/>
        <w:gridCol w:w="218"/>
        <w:gridCol w:w="286"/>
        <w:gridCol w:w="109"/>
        <w:gridCol w:w="109"/>
        <w:gridCol w:w="109"/>
        <w:gridCol w:w="211"/>
        <w:gridCol w:w="751"/>
        <w:gridCol w:w="109"/>
        <w:gridCol w:w="218"/>
        <w:gridCol w:w="218"/>
        <w:gridCol w:w="332"/>
      </w:tblGrid>
      <w:tr>
        <w:trPr/>
        <w:tc>
          <w:tcPr>
            <w:tcW w:w="9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7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(b)</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acquisition intangibles</w:t>
            </w:r>
            <w:r>
              <w:rPr>
                <w:color w:val="000000"/>
              </w:rPr>
              <w:t xml:space="preserve"> </w:t>
            </w:r>
            <w:r>
              <w:rPr>
                <w:rFonts w:ascii="Arial;sans-serif" w:hAnsi="Arial;sans-serif"/>
                <w:b w:val="false"/>
                <w:color w:val="000000"/>
                <w:sz w:val="13"/>
              </w:rPr>
              <w:t>(c)</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(f)</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Income / Adjusted Operating Margin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i/>
                <w:color w:val="000000"/>
                <w:sz w:val="18"/>
              </w:rPr>
              <w:t>Note: Percentages reflect line item as a percentage of net revenue, adjusted for rounding.</w:t>
            </w:r>
          </w:p>
          <w:p>
            <w:pPr>
              <w:pStyle w:val="TableContents"/>
              <w:bidi w:val="0"/>
              <w:spacing w:lineRule="auto" w:line="240" w:before="0" w:after="0"/>
              <w:jc w:val="left"/>
              <w:rPr>
                <w:color w:val="000000"/>
              </w:rPr>
            </w:pPr>
            <w:r>
              <w:rPr>
                <w:color w:val="000000"/>
              </w:rPr>
              <w:t> </w:t>
            </w:r>
            <w:r>
              <w:rPr>
                <w:rFonts w:ascii="Arial;sans-serif" w:hAnsi="Arial;sans-serif"/>
                <w:b w:val="false"/>
                <w:i/>
                <w:color w:val="000000"/>
                <w:sz w:val="18"/>
              </w:rPr>
              <w:t>Some of the percentage totals in the table above do not foot due to rounding differences.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tbl>
      <w:tblPr>
        <w:tblW w:w="10273" w:type="dxa"/>
        <w:jc w:val="left"/>
        <w:tblInd w:w="0" w:type="dxa"/>
        <w:tblLayout w:type="fixed"/>
        <w:tblCellMar>
          <w:top w:w="28" w:type="dxa"/>
          <w:left w:w="28" w:type="dxa"/>
          <w:bottom w:w="28" w:type="dxa"/>
          <w:right w:w="28" w:type="dxa"/>
        </w:tblCellMar>
      </w:tblPr>
      <w:tblGrid>
        <w:gridCol w:w="790"/>
        <w:gridCol w:w="325"/>
        <w:gridCol w:w="326"/>
        <w:gridCol w:w="211"/>
        <w:gridCol w:w="751"/>
        <w:gridCol w:w="109"/>
        <w:gridCol w:w="270"/>
        <w:gridCol w:w="271"/>
        <w:gridCol w:w="286"/>
        <w:gridCol w:w="109"/>
        <w:gridCol w:w="109"/>
        <w:gridCol w:w="109"/>
        <w:gridCol w:w="211"/>
        <w:gridCol w:w="751"/>
        <w:gridCol w:w="109"/>
        <w:gridCol w:w="218"/>
        <w:gridCol w:w="218"/>
        <w:gridCol w:w="286"/>
        <w:gridCol w:w="109"/>
        <w:gridCol w:w="109"/>
        <w:gridCol w:w="109"/>
        <w:gridCol w:w="211"/>
        <w:gridCol w:w="856"/>
        <w:gridCol w:w="109"/>
        <w:gridCol w:w="270"/>
        <w:gridCol w:w="271"/>
        <w:gridCol w:w="286"/>
        <w:gridCol w:w="109"/>
        <w:gridCol w:w="109"/>
        <w:gridCol w:w="109"/>
        <w:gridCol w:w="211"/>
        <w:gridCol w:w="856"/>
        <w:gridCol w:w="109"/>
        <w:gridCol w:w="270"/>
        <w:gridCol w:w="271"/>
        <w:gridCol w:w="286"/>
        <w:gridCol w:w="154"/>
      </w:tblGrid>
      <w:tr>
        <w:trPr/>
        <w:tc>
          <w:tcPr>
            <w:tcW w:w="7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Six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8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EBITDA</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(b)</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(f)</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EBITDA / Adjusted EBITDA Margin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19"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Note: Percentages reflect line item as a percentage of net revenue, adjusted for rounding.</w:t>
              <w:br/>
              <w:t>Some of the percentage totals in the table above may not foot due to rounding differences.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87"/>
        <w:gridCol w:w="1413"/>
        <w:gridCol w:w="1421"/>
        <w:gridCol w:w="269"/>
        <w:gridCol w:w="691"/>
        <w:gridCol w:w="139"/>
        <w:gridCol w:w="109"/>
        <w:gridCol w:w="109"/>
        <w:gridCol w:w="109"/>
        <w:gridCol w:w="300"/>
        <w:gridCol w:w="772"/>
        <w:gridCol w:w="155"/>
        <w:gridCol w:w="109"/>
        <w:gridCol w:w="109"/>
        <w:gridCol w:w="109"/>
        <w:gridCol w:w="269"/>
        <w:gridCol w:w="691"/>
        <w:gridCol w:w="139"/>
        <w:gridCol w:w="109"/>
        <w:gridCol w:w="109"/>
        <w:gridCol w:w="109"/>
        <w:gridCol w:w="296"/>
        <w:gridCol w:w="760"/>
        <w:gridCol w:w="222"/>
      </w:tblGrid>
      <w:tr>
        <w:trPr/>
        <w:tc>
          <w:tcPr>
            <w:tcW w:w="168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Asset impairment</w:t>
            </w:r>
            <w:r>
              <w:rPr>
                <w:color w:val="000000"/>
              </w:rPr>
              <w:t xml:space="preserve"> </w:t>
            </w:r>
            <w:r>
              <w:rPr>
                <w:rFonts w:ascii="Arial;sans-serif" w:hAnsi="Arial;sans-serif"/>
                <w:b w:val="false"/>
                <w:color w:val="000000"/>
                <w:sz w:val="13"/>
              </w:rPr>
              <w:t>(b)</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52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debt discount and deferred financing costs</w:t>
            </w:r>
            <w:r>
              <w:rPr>
                <w:color w:val="000000"/>
              </w:rPr>
              <w:t xml:space="preserve"> </w:t>
            </w:r>
            <w:r>
              <w:rPr>
                <w:rFonts w:ascii="Arial;sans-serif" w:hAnsi="Arial;sans-serif"/>
                <w:b w:val="false"/>
                <w:color w:val="000000"/>
                <w:sz w:val="13"/>
              </w:rPr>
              <w:t>(d)</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(e)</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(f)</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Tax effects </w:t>
            </w:r>
            <w:r>
              <w:rPr>
                <w:rFonts w:ascii="Arial;sans-serif" w:hAnsi="Arial;sans-serif"/>
                <w:b w:val="false"/>
                <w:color w:val="000000"/>
                <w:sz w:val="13"/>
              </w:rPr>
              <w:t>(g)</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Diluted EPS</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diluted shares outstanding</w:t>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80,597 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81,045 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79,658 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(a)Non-cash charges related to stock-based compensation programs, which may vary from period to period depending on the timing of awards and performance vesting conditions.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(b)Reflects write-off related to non-cash impairment charges of long-lived assets, primarily impairment of property and equipment related to the EGW lab optimization initiative for the three and six months ended July 4, 2026 and impairment of property, equipment and lease-related assets on closed or underperforming stores for the six months ended June 28, 2025. Refer to Note 11. “Restructuring” for more information on the EGW lab optimization initiative.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(c)Amortization of the increase in carrying values of finite-lived intangible assets resulting from the application of purchase accounting following the acquisition of the Company by affiliates of KKR &amp; Co. Inc.</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(d)Amortization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(e)Costs related to the Company’s ERP and CRM implementation.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(f)Other adjustments include amounts that management believes are not representative of our operating performance (amounts in brackets represent reductions in Adjusted Operating Income, Adjusted Diluted EPS and Adjusted EBITDA), which are primarily related to shareholder activism costs of $2.1 million for the six months ended June 28, 2025, severance and associate-related costs associated with organizational restructuring of $2.2 million and $2.1 million for the six months ended July 4, 2026 and June 28, 2025, respectively, and restructuring costs related to EGW lab optimization initiative of $0.6 million for the three and six months ended July 4, 2026 (see Note 11. “Restructuring”, for additional information), and other expenses and adjustments.</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 xml:space="preserve">(g)Represents the income tax effect of the total adjustments at our combined statutory federal and state income tax rates, including tax expense (benefit) from stock-based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loans in an aggregate principal amount of $300.0 million (the “Revolving Loans”)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modifications to our $231.0 million outstanding principal first lien term loan (“Term Loan A”) where possible, or entry into interest rate derivative agreements to moderate our exposure to fluctuations in interest rates underlying our variable rate debt.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ability to maintain sufficient liquidity may be affected by a number of factors, many of which are outside of our control. We primarily fund our working capital needs using cash provided by operations. Our working capital requirements for inventory will increase as we continue to open additional stores.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of July 4, 2026, we had $36.0 million in cash and cash equivalents, and $293.3 million of remaining availability under our Revolving Loans, net of $6.7 million in outstanding letters of credit.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of July 4, 2026, we had $231.0 million of Term Loan A outstanding under our credit agreement. We were in compliance with all covenants related to our debt as of July 4, 2026.</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During the fourth quarter of 2025, we entered into an interest rate swap with a notional amount of $100.0 million to mitigate the variability of cash flows associated with these interest payments. See Note 5. “Interest Rate Derivatives” for additional information.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summarizes cash flows provided by (used for) operating activities, investing activities and financing activities for the periods indicated:</w:t>
      </w:r>
    </w:p>
    <w:tbl>
      <w:tblPr>
        <w:tblW w:w="7991" w:type="dxa"/>
        <w:jc w:val="left"/>
        <w:tblInd w:w="0" w:type="dxa"/>
        <w:tblLayout w:type="fixed"/>
        <w:tblCellMar>
          <w:top w:w="28" w:type="dxa"/>
          <w:left w:w="28" w:type="dxa"/>
          <w:bottom w:w="28" w:type="dxa"/>
          <w:right w:w="28" w:type="dxa"/>
        </w:tblCellMar>
      </w:tblPr>
      <w:tblGrid>
        <w:gridCol w:w="1854"/>
        <w:gridCol w:w="1628"/>
        <w:gridCol w:w="1633"/>
        <w:gridCol w:w="230"/>
        <w:gridCol w:w="821"/>
        <w:gridCol w:w="119"/>
        <w:gridCol w:w="109"/>
        <w:gridCol w:w="109"/>
        <w:gridCol w:w="109"/>
        <w:gridCol w:w="247"/>
        <w:gridCol w:w="952"/>
        <w:gridCol w:w="180"/>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provided by (used for):</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(38,045)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(2,989)</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(25,249)</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left"/>
        <w:rPr>
          <w:rFonts w:ascii="Arial;sans-serif" w:hAnsi="Arial;sans-serif"/>
          <w:b w:val="false"/>
          <w:i/>
          <w:color w:val="000000"/>
          <w:sz w:val="20"/>
        </w:rPr>
      </w:pPr>
      <w:r>
        <w:rPr>
          <w:rFonts w:ascii="Arial;sans-serif" w:hAnsi="Arial;sans-serif"/>
          <w:b w:val="false"/>
          <w:i/>
          <w:color w:val="000000"/>
          <w:sz w:val="20"/>
        </w:rPr>
        <w:t>Net Cash Provided by Operating Activities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Cash flows provided by operating activities decreased by $16.7 million in the six months ended July 4, 2026 compared to the six months ended June 28, 2025, primarily driven by cash flow related to changes in working capital of $57.4 million, which were primarily impacted by increased inventory purchases driven by a shift toward a more premium product mix and incentive-based compensation payments, partially offset by decreased investments in cloud hosted software. These were partially offset by an increase in net income of $20.7 million and an increase in non-cash adjustments of $20.0 million.</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Net Cash Used for Investing Activities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Net cash used for investing activities increased by $1.8 million in the six months ended July 4, 2026 compared to the six months ended June 28, 2025. The year-over-year increase was primarily driven by investments in our retail support centers, partially offset by cash proceeds from the sale of an equity investment and a convertible promissory note investment. Refer to Note 1. “Description of Business and Basis of Presentation” for additional information regarding these investments.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Net Cash Used for Financing Activities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Net cash used for financing activities decreased by $40.8 million in the six months ended July 4, 2026 compared to the six months ended June 28, 2025, primarily as a result of the repayment of the 2025 Notes in the second quarter of 2025 partially offset by share repurchases as well as increased purchases of treasury stock to cover employee tax withholdings associated with stock-based compensation in the six months ended July 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There were no material changes outside the ordinary course of business in our material cash requirements and commercial commitments from those reported in the 2025 Annual Report on Form 10-K.</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2025 Annual Report on Form 10-K. We are not a party to any other material off-balance sheet arrangements.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Share Repurchase Authority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Effective March 2, 2026, the Board authorized the Company to repurchase up to $50 million aggregate amount of shares of the Company’s common stock until December 28, 2030. During the three months ended July 4, 2026, the Company repurchased approximately 1.2 million shares for $20.0 million. As of July 4, 2026, the authorization has remaining capacity of $30.0 million. The 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2025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2025 Annual Report on Form 10-K.</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Adoption of New Accounting Pronouncements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There have been no material changes due to recently issued or adopted accounting standards since those disclosed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significant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In December 2025, we entered into an interest rate swap agreement to help manage interest rate exposure by economically converting a portion of our variable-rate debt to fixed-rate debt. Our interest rate swap is intended to mitigate some of the effects of increases in interest rates. See Note 5. “Interest Rate Derivatives” to our condensed consolidated financial statements for more information on our interest rate swap.</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of July 4, 2026, our total borrowing consisted of $231.0 million of term loan borrowings subject to variable interest rates with a weighted average borrowing rate of 5.2%. After inclusion of the notional amount of $100.0 million of interest rate swaps fixing a portion of the variable rate debt, $131.0 million is subject to variable rates. Assuming an increase to market rates of 1.0% as of July 4, 2026, we would incur an annual increase to interest expense of approximately $1.3 million related to debt subject to variable rates. For more information about quantitative and qualitative disclosures about market risk, please see Item 7A. “Quantitative and Qualitative Disclosures About Market Risk” in Part II. of the 2025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July 4, 2026.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that term is defined in Rules 13a-15(f) and 15d-15(f) of the Exchange Act) that occurred during the second quarter of fiscal year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See Note 7. “Commitments and Contingencies” in our condensed consolidated financial statements included in Part I. Item 1. of this Form 10-Q for information regarding certain legal proceedings in which we are involved, which discussion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information regarding factors that could affect the Company’s results of operations, financial condition and liquidity, see the risk factors discussed in Part I. Item 1A. “Risk Factors” in our 2025 Annual Report on Form 10-K. There have been no material changes to the risk factors described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following table summarizes the repurchases of the Company’s common stock during the three months ended July 4, 2026.</w:t>
      </w:r>
    </w:p>
    <w:tbl>
      <w:tblPr>
        <w:tblW w:w="10205" w:type="dxa"/>
        <w:jc w:val="center"/>
        <w:tblInd w:w="0" w:type="dxa"/>
        <w:tblLayout w:type="fixed"/>
        <w:tblCellMar>
          <w:top w:w="28" w:type="dxa"/>
          <w:left w:w="28" w:type="dxa"/>
          <w:bottom w:w="28" w:type="dxa"/>
          <w:right w:w="28" w:type="dxa"/>
        </w:tblCellMar>
      </w:tblPr>
      <w:tblGrid>
        <w:gridCol w:w="429"/>
        <w:gridCol w:w="377"/>
        <w:gridCol w:w="381"/>
        <w:gridCol w:w="575"/>
        <w:gridCol w:w="575"/>
        <w:gridCol w:w="576"/>
        <w:gridCol w:w="327"/>
        <w:gridCol w:w="1005"/>
        <w:gridCol w:w="169"/>
        <w:gridCol w:w="913"/>
        <w:gridCol w:w="913"/>
        <w:gridCol w:w="916"/>
        <w:gridCol w:w="573"/>
        <w:gridCol w:w="2047"/>
        <w:gridCol w:w="429"/>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i/>
                <w:color w:val="000000"/>
                <w:sz w:val="20"/>
              </w:rPr>
            </w:pPr>
            <w:r>
              <w:rPr>
                <w:rFonts w:ascii="Arial;sans-serif" w:hAnsi="Arial;sans-serif"/>
                <w:b w:val="false"/>
                <w:i/>
                <w:color w:val="000000"/>
                <w:sz w:val="20"/>
              </w:rPr>
              <w:t>In thousands, except per share amounts</w:t>
            </w:r>
          </w:p>
        </w:tc>
      </w:tr>
      <w:tr>
        <w:trPr/>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Period</w:t>
            </w:r>
          </w:p>
        </w:tc>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Total Number of Shares Purchased </w:t>
            </w:r>
            <w:r>
              <w:rPr>
                <w:rFonts w:ascii="Arial;sans-serif" w:hAnsi="Arial;sans-serif"/>
                <w:b/>
                <w:color w:val="000000"/>
                <w:sz w:val="13"/>
              </w:rPr>
              <w:t>(1)</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Average Price Paid per Share </w:t>
            </w:r>
            <w:r>
              <w:rPr>
                <w:rFonts w:ascii="Arial;sans-serif" w:hAnsi="Arial;sans-serif"/>
                <w:b/>
                <w:color w:val="000000"/>
                <w:sz w:val="13"/>
              </w:rPr>
              <w:t>(1)</w:t>
            </w:r>
          </w:p>
        </w:tc>
        <w:tc>
          <w:tcPr>
            <w:tcW w:w="27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Total Number of Shares Purchased as Part of Publicly Announced Plans or Programs </w:t>
            </w:r>
            <w:r>
              <w:rPr>
                <w:rFonts w:ascii="Arial;sans-serif" w:hAnsi="Arial;sans-serif"/>
                <w:b/>
                <w:color w:val="000000"/>
                <w:sz w:val="13"/>
              </w:rPr>
              <w:t>(1)</w:t>
            </w:r>
          </w:p>
        </w:tc>
        <w:tc>
          <w:tcPr>
            <w:tcW w:w="30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Approximate Dollar Value of Shares that May Yet Be Purchased Under the Plans or Programs </w:t>
            </w:r>
            <w:r>
              <w:rPr>
                <w:rFonts w:ascii="Arial;sans-serif" w:hAnsi="Arial;sans-serif"/>
                <w:b/>
                <w:color w:val="000000"/>
                <w:sz w:val="13"/>
              </w:rPr>
              <w:t>(1)</w:t>
            </w:r>
          </w:p>
        </w:tc>
      </w:tr>
      <w:tr>
        <w:trPr/>
        <w:tc>
          <w:tcPr>
            <w:tcW w:w="11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5, 2026 – May 2, 2026</w:t>
            </w:r>
          </w:p>
        </w:tc>
        <w:tc>
          <w:tcPr>
            <w:tcW w:w="1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7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3, 2026 – June 6, 2026</w:t>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29,977 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7, 2026 – July 4, 2026</w:t>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29,977 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72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w:t>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w:t>
            </w:r>
          </w:p>
        </w:tc>
        <w:tc>
          <w:tcPr>
            <w:tcW w:w="5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29,977 </w:t>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Information regarding the Company’s share repurchases can be found in Note 1, Description of Business and Basis of Presentation, in the condensed consolidated financial statements included in Part I. Item 1. of this Form 10-Q. Effective March 2, 2026, the Company’s Board of Directors authorized the Company to repurchase up to $50 million aggregate amount of shares of the Company’s common stock. The share repurchase authorization expires on December 28, 2030. Following repurchases in the second quarter of fiscal year 2026, $30.0 million remains available under the share repurchase authorization. The timing and amounts of any such repurchases will depend on a variety of factors, including the market price of the Company’s shares and general market and economic conditions.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 During the three months ended July 4, 2026, none of the Company’s directors or officers (as defined in Rule 16a-1(f) of the Exchange Act) adopted, terminated or modified a “Rule 10b5-1 trading arrangement” or “non-Rule 10b5-1 trading arrangement” (as such terms are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120"/>
        <w:jc w:val="center"/>
        <w:rPr>
          <w:rFonts w:ascii="Arial;sans-serif" w:hAnsi="Arial;sans-serif"/>
          <w:b/>
          <w:color w:val="000000"/>
          <w:sz w:val="20"/>
          <w:u w:val="single"/>
        </w:rPr>
      </w:pPr>
      <w:r>
        <w:rPr>
          <w:rFonts w:ascii="Arial;sans-serif" w:hAnsi="Arial;sans-serif"/>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2743"/>
        <w:gridCol w:w="2560"/>
        <w:gridCol w:w="363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Description</w:t>
            </w:r>
          </w:p>
        </w:tc>
      </w:tr>
      <w:tr>
        <w:trPr/>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Third Amended and Restated Certificate of Incorporation of National Vision Holdings, Inc. - incorporated herein by reference to Exhibit 3.1 to the Company’s Current Report on Form 8-K filed on June 10, 2021.</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Fourth Amended and Restated Bylaws of National Vision Holdings, Inc. - incorporated herein by reference to Exhibit 3.1 to the Company’s Current Report on Form 8-K filed on December 12, 2023.</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nvhisoxcerts311xq22026.htm">
              <w:r>
                <w:rPr>
                  <w:rStyle w:val="InternetLink"/>
                  <w:rFonts w:ascii="Arial;sans-serif" w:hAnsi="Arial;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Certification of Periodic Report by Chief Executive Officer under Section 302 of the Sarbanes-Oxley Act of 2002 (filed herewith).</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nvhisoxcerts312xq22026.htm">
              <w:r>
                <w:rPr>
                  <w:rStyle w:val="InternetLink"/>
                  <w:rFonts w:ascii="Arial;sans-serif" w:hAnsi="Arial;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Certification of Periodic Report by Chief Financial Officer under Section 302 of the Sarbanes-Oxley Act of 2002 (filed herewith).</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nvhisoxcerts321xq22026.htm">
              <w:r>
                <w:rPr>
                  <w:rStyle w:val="InternetLink"/>
                  <w:rFonts w:ascii="Arial;sans-serif" w:hAnsi="Arial;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Certification of Chief Executive Officer Pursuant to 18 U.S.C. Section 1350 as Adopted Pursuant to Section 906 of the Sarbanes-Oxley Act of 2002 (furnished herewith).</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nvhisoxcerts322xq22026.htm">
              <w:r>
                <w:rPr>
                  <w:rStyle w:val="InternetLink"/>
                  <w:rFonts w:ascii="Arial;sans-serif" w:hAnsi="Arial;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Certification of Chief Financial Officer Pursuant to 18 U.S.C. Section 1350 as Adopted Pursuant to Section 906 of the Sarbanes-Oxley Act of 2002 (furnished herewith).</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Inline XBRL document.</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cover page of the Company’s Quarterly Report on Form 10-Q for the quarter ended July 4, 2026, formatted in Inline XBRL (included within the Exhibit 101 attachments).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47bc11510cb4c68964f758e8d3d02b1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411" w:type="dxa"/>
        <w:jc w:val="left"/>
        <w:tblInd w:w="0" w:type="dxa"/>
        <w:tblLayout w:type="fixed"/>
        <w:tblCellMar>
          <w:top w:w="28" w:type="dxa"/>
          <w:left w:w="28" w:type="dxa"/>
          <w:bottom w:w="28" w:type="dxa"/>
          <w:right w:w="28" w:type="dxa"/>
        </w:tblCellMar>
      </w:tblPr>
      <w:tblGrid>
        <w:gridCol w:w="787"/>
        <w:gridCol w:w="692"/>
        <w:gridCol w:w="695"/>
        <w:gridCol w:w="421"/>
        <w:gridCol w:w="421"/>
        <w:gridCol w:w="421"/>
        <w:gridCol w:w="1153"/>
        <w:gridCol w:w="1153"/>
        <w:gridCol w:w="1668"/>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Vision Holdings, Inc.</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August 13, 2026</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Alex Wilkes</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Alex Wilkes</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Executive Officer</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August 13, 2026</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Christopher Laden</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Christopher Laden</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Chief Financial Officer</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xml:space="preserve">(Principal Financial and Accounting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CERTIFICATION OF PERIODIC REPORT UNDER SECTION 302 OF</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 Alex Wilkes,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1.I have reviewed this quarterly report on Form 10-Q for the quarterly period ended July 4, 2026 of National Vision Holdings, Inc.;</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shd w:fill="FFFFFF" w:val="clear"/>
        </w:rPr>
        <w:t xml:space="preserve">4.The registrant’s other certifying officer and I are responsible for establishing and maintaining disclosure controls and procedures (as defined in Exchange Act Rules 13a-15(e) and 15d-15(e)) </w:t>
      </w:r>
      <w:r>
        <w:rPr>
          <w:rFonts w:ascii="Arial;sans-serif" w:hAnsi="Arial;sans-serif"/>
          <w:b w:val="false"/>
          <w:color w:val="000000"/>
          <w:sz w:val="20"/>
        </w:rPr>
        <w:t>and internal control over financial reporting (as defined in Exchange Act Rules 13a-15(f) and 15d-15(f))</w:t>
      </w:r>
      <w:r>
        <w:rPr>
          <w:color w:val="000000"/>
          <w:shd w:fill="FFFFFF" w:val="clear"/>
        </w:rPr>
        <w:t xml:space="preserve"> </w:t>
      </w:r>
      <w:r>
        <w:rPr>
          <w:rFonts w:ascii="Arial;sans-serif" w:hAnsi="Arial;sans-serif"/>
          <w:b w:val="false"/>
          <w:color w:val="000000"/>
          <w:sz w:val="20"/>
          <w:shd w:fill="FFFFFF" w:val="clear"/>
        </w:rPr>
        <w:t>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pPr>
      <w:r>
        <w:rPr>
          <w:rFonts w:ascii="Arial;sans-serif" w:hAnsi="Arial;sans-serif"/>
          <w:b w:val="false"/>
          <w:color w:val="000000"/>
          <w:sz w:val="20"/>
          <w:shd w:fill="FFFFFF" w:val="clear"/>
        </w:rPr>
        <w:t>(b)</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Date: August 13,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264" w:type="dxa"/>
        <w:jc w:val="center"/>
        <w:tblInd w:w="0" w:type="dxa"/>
        <w:tblLayout w:type="fixed"/>
        <w:tblCellMar>
          <w:top w:w="28" w:type="dxa"/>
          <w:left w:w="28" w:type="dxa"/>
          <w:bottom w:w="28" w:type="dxa"/>
          <w:right w:w="28" w:type="dxa"/>
        </w:tblCellMar>
      </w:tblPr>
      <w:tblGrid>
        <w:gridCol w:w="124"/>
        <w:gridCol w:w="109"/>
        <w:gridCol w:w="109"/>
        <w:gridCol w:w="849"/>
        <w:gridCol w:w="849"/>
        <w:gridCol w:w="8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Alex Wilkes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Alex Wilkes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shd w:fill="FFFFFF" w:val="clear"/>
        </w:rPr>
      </w:pPr>
      <w:r>
        <w:rPr>
          <w:rFonts w:ascii="Arial;sans-serif" w:hAnsi="Arial;sans-serif"/>
          <w:b/>
          <w:color w:val="000000"/>
          <w:sz w:val="20"/>
          <w:shd w:fill="FFFFFF" w:val="clear"/>
        </w:rPr>
        <w:t>Exhibit 31.2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CERTIFICATION OF PERIODIC REPORT UNDER SECTION 302 OF</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 Christopher Laden,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1.I have reviewed this quarterly report on Form 10-Q for the quarterly period ended July 4, 2026 of National Vision Holdings, Inc.;</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shd w:fill="FFFFFF" w:val="clear"/>
        </w:rPr>
        <w:t xml:space="preserve">4.The registrant’s other certifying officer and I are responsible for establishing and maintaining disclosure controls and procedures (as defined in Exchange Act Rules 13a-15(e) and 15d-15(e)) </w:t>
      </w:r>
      <w:r>
        <w:rPr>
          <w:rFonts w:ascii="Arial;sans-serif" w:hAnsi="Arial;sans-serif"/>
          <w:b w:val="false"/>
          <w:color w:val="000000"/>
          <w:sz w:val="20"/>
        </w:rPr>
        <w:t>and internal control over financial reporting (as defined in Exchange Act Rules 13a-15(f) and 15d-15(f))</w:t>
      </w:r>
      <w:r>
        <w:rPr>
          <w:color w:val="000000"/>
          <w:shd w:fill="FFFFFF" w:val="clear"/>
        </w:rPr>
        <w:t xml:space="preserve"> </w:t>
      </w:r>
      <w:r>
        <w:rPr>
          <w:rFonts w:ascii="Arial;sans-serif" w:hAnsi="Arial;sans-serif"/>
          <w:b w:val="false"/>
          <w:color w:val="000000"/>
          <w:sz w:val="20"/>
          <w:shd w:fill="FFFFFF" w:val="clear"/>
        </w:rPr>
        <w:t>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pPr>
      <w:r>
        <w:rPr>
          <w:rFonts w:ascii="Arial;sans-serif" w:hAnsi="Arial;sans-serif"/>
          <w:b w:val="false"/>
          <w:color w:val="000000"/>
          <w:sz w:val="20"/>
          <w:shd w:fill="FFFFFF" w:val="clear"/>
        </w:rPr>
        <w:t>(b)</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Date: August 13, 2026 </w:t>
      </w:r>
    </w:p>
    <w:p>
      <w:pPr>
        <w:pStyle w:val="TextBody"/>
        <w:bidi w:val="0"/>
        <w:spacing w:before="0" w:after="0"/>
        <w:jc w:val="left"/>
        <w:rPr/>
      </w:pPr>
      <w:r>
        <w:rPr/>
      </w:r>
    </w:p>
    <w:tbl>
      <w:tblPr>
        <w:tblW w:w="4584" w:type="dxa"/>
        <w:jc w:val="center"/>
        <w:tblInd w:w="0" w:type="dxa"/>
        <w:tblLayout w:type="fixed"/>
        <w:tblCellMar>
          <w:top w:w="28" w:type="dxa"/>
          <w:left w:w="28" w:type="dxa"/>
          <w:bottom w:w="28" w:type="dxa"/>
          <w:right w:w="28" w:type="dxa"/>
        </w:tblCellMar>
      </w:tblPr>
      <w:tblGrid>
        <w:gridCol w:w="124"/>
        <w:gridCol w:w="109"/>
        <w:gridCol w:w="109"/>
        <w:gridCol w:w="1288"/>
        <w:gridCol w:w="1288"/>
        <w:gridCol w:w="129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Laden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Christopher Laden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shd w:fill="FFFFFF" w:val="clear"/>
        </w:rPr>
      </w:pPr>
      <w:r>
        <w:rPr>
          <w:rFonts w:ascii="Arial;sans-serif" w:hAnsi="Arial;sans-serif"/>
          <w:b/>
          <w:color w:val="000000"/>
          <w:sz w:val="20"/>
          <w:shd w:fill="FFFFFF" w:val="clear"/>
        </w:rPr>
        <w:t>Exhibit 32.1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CERTIFICATION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18 U.S.C. SECTION 1350</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 ADOPTED PURSUANT TO SECTION 906</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connection with the Quarterly Report of National Vision Holdings, Inc. (the “Company”) on Form 10-Q for the quarterly period ended July 4, 2026 filed with the Securities and Exchange Commission on the date hereof (the “Report”), I, Alex Wilkes, Chief Executive Officer of the Company, do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Date: August 13, 2026</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p>
    <w:tbl>
      <w:tblPr>
        <w:tblW w:w="3264" w:type="dxa"/>
        <w:jc w:val="center"/>
        <w:tblInd w:w="0" w:type="dxa"/>
        <w:tblLayout w:type="fixed"/>
        <w:tblCellMar>
          <w:top w:w="28" w:type="dxa"/>
          <w:left w:w="28" w:type="dxa"/>
          <w:bottom w:w="28" w:type="dxa"/>
          <w:right w:w="28" w:type="dxa"/>
        </w:tblCellMar>
      </w:tblPr>
      <w:tblGrid>
        <w:gridCol w:w="124"/>
        <w:gridCol w:w="109"/>
        <w:gridCol w:w="109"/>
        <w:gridCol w:w="849"/>
        <w:gridCol w:w="849"/>
        <w:gridCol w:w="8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Alex Wilkes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Alex Wilkes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shd w:fill="FFFFFF" w:val="clear"/>
        </w:rPr>
      </w:pPr>
      <w:r>
        <w:rPr>
          <w:rFonts w:ascii="Arial;sans-serif" w:hAnsi="Arial;sans-serif"/>
          <w:b/>
          <w:color w:val="000000"/>
          <w:sz w:val="20"/>
          <w:shd w:fill="FFFFFF" w:val="clear"/>
        </w:rPr>
        <w:t>Exhibit 32.2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CERTIFICATION PURSUANT TO</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18 U.S.C. SECTION 1350</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 ADOPTED PURSUANT TO SECTION 906</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connection with the Quarterly Report of National Vision Holdings, Inc. (the “Company”) on Form 10-Q for the quarterly period ended July 4, 2026 filed with the Securities and Exchange Commission on the date hereof (the “Report”), I, Christopher Laden, Senior Vice President, Chief Financial Officer of the Company, do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Date: August 13, 2026</w:t>
      </w:r>
    </w:p>
    <w:p>
      <w:pPr>
        <w:pStyle w:val="TextBody"/>
        <w:bidi w:val="0"/>
        <w:spacing w:before="0" w:after="0"/>
        <w:jc w:val="left"/>
        <w:rPr/>
      </w:pPr>
      <w:r>
        <w:rPr/>
      </w:r>
    </w:p>
    <w:tbl>
      <w:tblPr>
        <w:tblW w:w="4584" w:type="dxa"/>
        <w:jc w:val="center"/>
        <w:tblInd w:w="0" w:type="dxa"/>
        <w:tblLayout w:type="fixed"/>
        <w:tblCellMar>
          <w:top w:w="28" w:type="dxa"/>
          <w:left w:w="28" w:type="dxa"/>
          <w:bottom w:w="28" w:type="dxa"/>
          <w:right w:w="28" w:type="dxa"/>
        </w:tblCellMar>
      </w:tblPr>
      <w:tblGrid>
        <w:gridCol w:w="124"/>
        <w:gridCol w:w="109"/>
        <w:gridCol w:w="109"/>
        <w:gridCol w:w="1288"/>
        <w:gridCol w:w="1288"/>
        <w:gridCol w:w="129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Laden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Christopher Laden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10155/000171015521000036/nationalvision-thirdamende.htm" TargetMode="External"/><Relationship Id="rId3" Type="http://schemas.openxmlformats.org/officeDocument/2006/relationships/hyperlink" Target="https://www.sec.gov/Archives/edgar/data/1710155/000171015523000063/ex31eye-bylawamendmentsnov.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21564</Words>
  <Characters>119042</Characters>
  <CharactersWithSpaces>139073</CharactersWithSpaces>
  <Paragraphs>2732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