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0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8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29, 2024</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5"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4" w:lineRule="exact"/>
        <w:rPr>
          <w:sz w:val="24"/>
          <w:szCs w:val="24"/>
          <w:color w:val="auto"/>
        </w:rPr>
      </w:pPr>
    </w:p>
    <w:p>
      <w:pPr>
        <w:ind w:left="4100"/>
        <w:spacing w:after="0"/>
        <w:tabs>
          <w:tab w:leader="none" w:pos="66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001-38257</w:t>
      </w:r>
    </w:p>
    <w:p>
      <w:pPr>
        <w:spacing w:after="0" w:line="11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30"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7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46-4841717</w:t>
            </w:r>
          </w:p>
        </w:tc>
      </w:tr>
      <w:tr>
        <w:trPr>
          <w:trHeight w:val="208"/>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760" w:type="dxa"/>
            <w:vAlign w:val="bottom"/>
          </w:tcPr>
          <w:p>
            <w:pPr>
              <w:jc w:val="center"/>
              <w:ind w:left="145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2760" w:type="dxa"/>
            <w:vAlign w:val="bottom"/>
          </w:tcPr>
          <w:p>
            <w:pPr>
              <w:jc w:val="center"/>
              <w:ind w:left="147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70"/>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w w:val="99"/>
              </w:rPr>
              <w:t>2435 Commerce Ave</w:t>
            </w:r>
          </w:p>
        </w:tc>
        <w:tc>
          <w:tcPr>
            <w:tcW w:w="2760" w:type="dxa"/>
            <w:vAlign w:val="bottom"/>
          </w:tcPr>
          <w:p>
            <w:pPr>
              <w:spacing w:after="0"/>
              <w:rPr>
                <w:sz w:val="23"/>
                <w:szCs w:val="23"/>
                <w:color w:val="auto"/>
              </w:rPr>
            </w:pPr>
          </w:p>
        </w:tc>
      </w:tr>
      <w:tr>
        <w:trPr>
          <w:trHeight w:val="216"/>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Building 2200</w:t>
            </w:r>
          </w:p>
        </w:tc>
        <w:tc>
          <w:tcPr>
            <w:tcW w:w="27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30096</w:t>
            </w:r>
          </w:p>
        </w:tc>
      </w:tr>
      <w:tr>
        <w:trPr>
          <w:trHeight w:val="216"/>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Duluth, Georgia</w:t>
            </w:r>
          </w:p>
        </w:tc>
        <w:tc>
          <w:tcPr>
            <w:tcW w:w="2760" w:type="dxa"/>
            <w:vAlign w:val="bottom"/>
          </w:tcPr>
          <w:p>
            <w:pPr>
              <w:jc w:val="center"/>
              <w:ind w:left="1479"/>
              <w:spacing w:after="0"/>
              <w:rPr>
                <w:sz w:val="20"/>
                <w:szCs w:val="20"/>
                <w:color w:val="auto"/>
              </w:rPr>
            </w:pPr>
            <w:r>
              <w:rPr>
                <w:rFonts w:ascii="Times New Roman" w:cs="Times New Roman" w:eastAsia="Times New Roman" w:hAnsi="Times New Roman"/>
                <w:sz w:val="16"/>
                <w:szCs w:val="16"/>
                <w:color w:val="auto"/>
              </w:rPr>
              <w:t>(Zip Code)</w:t>
            </w:r>
          </w:p>
        </w:tc>
      </w:tr>
      <w:tr>
        <w:trPr>
          <w:trHeight w:val="216"/>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760" w:type="dxa"/>
            <w:vAlign w:val="bottom"/>
          </w:tcPr>
          <w:p>
            <w:pPr>
              <w:spacing w:after="0"/>
              <w:rPr>
                <w:sz w:val="18"/>
                <w:szCs w:val="18"/>
                <w:color w:val="auto"/>
              </w:rPr>
            </w:pPr>
          </w:p>
        </w:tc>
      </w:tr>
    </w:tbl>
    <w:p>
      <w:pPr>
        <w:spacing w:after="0" w:line="51" w:lineRule="exact"/>
        <w:rPr>
          <w:sz w:val="24"/>
          <w:szCs w:val="24"/>
          <w:color w:val="auto"/>
        </w:rPr>
      </w:pPr>
    </w:p>
    <w:p>
      <w:pPr>
        <w:jc w:val="center"/>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67" w:lineRule="exact"/>
        <w:rPr>
          <w:sz w:val="24"/>
          <w:szCs w:val="24"/>
          <w:color w:val="auto"/>
        </w:rPr>
      </w:pPr>
    </w:p>
    <w:tbl>
      <w:tblPr>
        <w:tblLayout w:type="fixed"/>
        <w:tblInd w:w="920" w:type="dxa"/>
        <w:tblCellMar>
          <w:top w:w="0" w:type="dxa"/>
          <w:left w:w="0" w:type="dxa"/>
          <w:bottom w:w="0" w:type="dxa"/>
          <w:right w:w="0" w:type="dxa"/>
        </w:tblCellMar>
      </w:tblPr>
      <w:tr>
        <w:trPr>
          <w:trHeight w:val="215"/>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EYE</w:t>
            </w:r>
          </w:p>
        </w:tc>
        <w:tc>
          <w:tcPr>
            <w:tcW w:w="120" w:type="dxa"/>
            <w:vAlign w:val="bottom"/>
          </w:tcPr>
          <w:p>
            <w:pPr>
              <w:spacing w:after="0"/>
              <w:rPr>
                <w:sz w:val="17"/>
                <w:szCs w:val="17"/>
                <w:color w:val="auto"/>
              </w:rPr>
            </w:pPr>
          </w:p>
        </w:tc>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Nasdaq</w:t>
            </w:r>
          </w:p>
        </w:tc>
      </w:tr>
    </w:tbl>
    <w:p>
      <w:pPr>
        <w:spacing w:after="0" w:line="181" w:lineRule="exact"/>
        <w:rPr>
          <w:sz w:val="24"/>
          <w:szCs w:val="24"/>
          <w:color w:val="auto"/>
        </w:rPr>
      </w:pPr>
    </w:p>
    <w:p>
      <w:pPr>
        <w:ind w:right="380"/>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2" w:lineRule="exact"/>
        <w:rPr>
          <w:sz w:val="24"/>
          <w:szCs w:val="24"/>
          <w:color w:val="auto"/>
        </w:rPr>
      </w:pPr>
    </w:p>
    <w:tbl>
      <w:tblPr>
        <w:tblLayout w:type="fixed"/>
        <w:tblInd w:w="1800" w:type="dxa"/>
        <w:tblCellMar>
          <w:top w:w="0" w:type="dxa"/>
          <w:left w:w="0" w:type="dxa"/>
          <w:bottom w:w="0" w:type="dxa"/>
          <w:right w:w="0" w:type="dxa"/>
        </w:tblCellMar>
      </w:tblPr>
      <w:tr>
        <w:trPr>
          <w:trHeight w:val="239"/>
        </w:trPr>
        <w:tc>
          <w:tcPr>
            <w:tcW w:w="168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Large accelerated filer</w:t>
            </w:r>
          </w:p>
        </w:tc>
        <w:tc>
          <w:tcPr>
            <w:tcW w:w="11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72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7"/>
        </w:trPr>
        <w:tc>
          <w:tcPr>
            <w:tcW w:w="168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Non-accelerated filer</w:t>
            </w:r>
          </w:p>
        </w:tc>
        <w:tc>
          <w:tcPr>
            <w:tcW w:w="11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72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16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72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1"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86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the number of shares outstanding of each of the issuer’s classes of common stock, as of the latest practicable date.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4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at July 26, 2024</w:t>
            </w:r>
          </w:p>
        </w:tc>
      </w:tr>
      <w:tr>
        <w:trPr>
          <w:trHeight w:val="207"/>
        </w:trPr>
        <w:tc>
          <w:tcPr>
            <w:tcW w:w="4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420" w:type="dxa"/>
            <w:vAlign w:val="bottom"/>
          </w:tcPr>
          <w:p>
            <w:pPr>
              <w:spacing w:after="0"/>
              <w:rPr>
                <w:sz w:val="17"/>
                <w:szCs w:val="17"/>
                <w:color w:val="auto"/>
              </w:rPr>
            </w:pPr>
          </w:p>
        </w:tc>
        <w:tc>
          <w:tcPr>
            <w:tcW w:w="4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78,635,532</w:t>
            </w:r>
          </w:p>
        </w:tc>
      </w:tr>
      <w:tr>
        <w:trPr>
          <w:trHeight w:val="127"/>
        </w:trPr>
        <w:tc>
          <w:tcPr>
            <w:tcW w:w="49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4920" w:type="dxa"/>
            <w:vAlign w:val="bottom"/>
            <w:tcBorders>
              <w:bottom w:val="single" w:sz="8" w:color="auto"/>
            </w:tcBorders>
          </w:tcPr>
          <w:p>
            <w:pPr>
              <w:spacing w:after="0"/>
              <w:rPr>
                <w:sz w:val="11"/>
                <w:szCs w:val="11"/>
                <w:color w:val="auto"/>
              </w:rPr>
            </w:pPr>
          </w:p>
        </w:tc>
      </w:tr>
      <w:tr>
        <w:trPr>
          <w:trHeight w:val="41"/>
        </w:trPr>
        <w:tc>
          <w:tcPr>
            <w:tcW w:w="49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r>
      <w:tr>
        <w:trPr>
          <w:trHeight w:val="857"/>
        </w:trPr>
        <w:tc>
          <w:tcPr>
            <w:tcW w:w="49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NATIONAL VISION HOLDINGS, INC. AND SUBSIDIARIES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Page</w:t>
            </w:r>
          </w:p>
        </w:tc>
      </w:tr>
      <w:tr>
        <w:trPr>
          <w:trHeight w:val="229"/>
        </w:trPr>
        <w:tc>
          <w:tcPr>
            <w:tcW w:w="180" w:type="dxa"/>
            <w:vAlign w:val="bottom"/>
          </w:tcPr>
          <w:p>
            <w:pPr>
              <w:spacing w:after="0"/>
              <w:rPr>
                <w:sz w:val="19"/>
                <w:szCs w:val="19"/>
                <w:color w:val="auto"/>
              </w:rPr>
            </w:pP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w:t>
            </w:r>
          </w:p>
        </w:tc>
        <w:tc>
          <w:tcPr>
            <w:tcW w:w="560" w:type="dxa"/>
            <w:vAlign w:val="bottom"/>
          </w:tcPr>
          <w:p>
            <w:pPr>
              <w:spacing w:after="0"/>
              <w:rPr>
                <w:sz w:val="19"/>
                <w:szCs w:val="19"/>
                <w:color w:val="auto"/>
              </w:rPr>
            </w:pPr>
          </w:p>
        </w:tc>
      </w:tr>
      <w:tr>
        <w:trPr>
          <w:trHeight w:val="250"/>
        </w:trPr>
        <w:tc>
          <w:tcPr>
            <w:tcW w:w="180" w:type="dxa"/>
            <w:vAlign w:val="bottom"/>
          </w:tcPr>
          <w:p>
            <w:pPr>
              <w:spacing w:after="0"/>
              <w:rPr>
                <w:sz w:val="21"/>
                <w:szCs w:val="21"/>
                <w:color w:val="auto"/>
              </w:rPr>
            </w:pPr>
          </w:p>
        </w:tc>
        <w:tc>
          <w:tcPr>
            <w:tcW w:w="29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2360" w:type="dxa"/>
            <w:vAlign w:val="bottom"/>
            <w:tcBorders>
              <w:top w:val="single" w:sz="8" w:color="0000FF"/>
            </w:tcBorders>
            <w:gridSpan w:val="6"/>
          </w:tcPr>
          <w:p>
            <w:pPr>
              <w:spacing w:after="0"/>
              <w:rPr>
                <w:sz w:val="21"/>
                <w:szCs w:val="21"/>
                <w:color w:val="auto"/>
              </w:rPr>
            </w:pPr>
          </w:p>
        </w:tc>
        <w:tc>
          <w:tcPr>
            <w:tcW w:w="4980" w:type="dxa"/>
            <w:vAlign w:val="bottom"/>
            <w:gridSpan w:val="6"/>
          </w:tcPr>
          <w:p>
            <w:pPr>
              <w:spacing w:after="0"/>
              <w:rPr>
                <w:sz w:val="21"/>
                <w:szCs w:val="21"/>
                <w:color w:val="auto"/>
              </w:rPr>
            </w:pPr>
          </w:p>
        </w:tc>
        <w:tc>
          <w:tcPr>
            <w:tcW w:w="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5</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980" w:type="dxa"/>
            <w:vAlign w:val="bottom"/>
            <w:gridSpan w:val="8"/>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7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Income</w:t>
            </w:r>
          </w:p>
        </w:tc>
        <w:tc>
          <w:tcPr>
            <w:tcW w:w="3200" w:type="dxa"/>
            <w:vAlign w:val="bottom"/>
            <w:gridSpan w:val="2"/>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4520" w:type="dxa"/>
            <w:vAlign w:val="bottom"/>
            <w:gridSpan w:val="3"/>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5200" w:type="dxa"/>
            <w:vAlign w:val="bottom"/>
            <w:gridSpan w:val="7"/>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8</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920" w:type="dxa"/>
            <w:vAlign w:val="bottom"/>
            <w:gridSpan w:val="5"/>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25</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38</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580" w:type="dxa"/>
            <w:vAlign w:val="bottom"/>
            <w:tcBorders>
              <w:left w:val="single" w:sz="8" w:color="0000FF"/>
            </w:tcBorders>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39</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39</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39</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300" w:type="dxa"/>
            <w:vAlign w:val="bottom"/>
          </w:tcPr>
          <w:p>
            <w:pPr>
              <w:spacing w:after="0"/>
              <w:rPr>
                <w:sz w:val="21"/>
                <w:szCs w:val="21"/>
                <w:color w:val="auto"/>
              </w:rPr>
            </w:pP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39</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300" w:type="dxa"/>
            <w:vAlign w:val="bottom"/>
          </w:tcPr>
          <w:p>
            <w:pPr>
              <w:spacing w:after="0"/>
              <w:rPr>
                <w:sz w:val="21"/>
                <w:szCs w:val="21"/>
                <w:color w:val="auto"/>
              </w:rPr>
            </w:pP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39</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39</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6600" w:type="dxa"/>
            <w:vAlign w:val="bottom"/>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40</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7160" w:type="dxa"/>
            <w:vAlign w:val="bottom"/>
            <w:gridSpan w:val="11"/>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40</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7600" w:type="dxa"/>
            <w:vAlign w:val="bottom"/>
            <w:gridSpan w:val="1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41</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160" w:type="dxa"/>
            <w:vAlign w:val="bottom"/>
            <w:gridSpan w:val="1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42</w:t>
            </w:r>
          </w:p>
        </w:tc>
        <w:tc>
          <w:tcPr>
            <w:tcW w:w="560" w:type="dxa"/>
            <w:vAlign w:val="bottom"/>
          </w:tcPr>
          <w:p>
            <w:pPr>
              <w:spacing w:after="0"/>
              <w:rPr>
                <w:sz w:val="21"/>
                <w:szCs w:val="21"/>
                <w:color w:val="auto"/>
              </w:rPr>
            </w:pPr>
          </w:p>
        </w:tc>
      </w:tr>
      <w:tr>
        <w:trPr>
          <w:trHeight w:val="1134"/>
        </w:trPr>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in Part I, Item 1A - “Risk Factors” in the Company’s Annual Report on Form 10-K for the year ended December 30, 2023 (the “2023 Annual Report on Form 10-K”), as filed with the Securities and Exchange Commission (the “SEC”), as such risk factors may be updated from time to time in our periodic filings with the SEC, which are accessible on the SEC’s website at www.sec.gov, and also include, but are not limited to, the termination of our partnership with Walmart, including the transition period and other wind down activities, will have an impact on our business, revenues, profitability and cash flows, which impact could be material; market volatility, an overall decline in the health of the economy and other factors impacting consumer spending, including inflation, uncertainty in financial markets, recessionary conditions, escalated interest rates, the timing and issuance of tax refunds, governmental instability, war and natural disasters, may affect consumer purchases, which could reduce demand for our products and materially harm our sales, profitability and financial condition; failure to recruit and retain vision care professionals for in-store roles or to provide remote care offerings could adversely affect our business, financial condition and results of operations; the optical retail industry is highly competitive, and if we do not compete successfully, our business may be adversely impacted; if we fail to open and operate new stores in a timely and cost-effective manner or fail to successfully enter new markets, our financial performance could be materially and adversely affected; if the performance of our Host brands declines or we are unable to maintain or extend our operating relationships with our Host partners, our business, profitability and cash flows may be adversely affected and we may be required to incur impairment charges; we are a low-cost provider and our business model relies on the low-cost of inputs and factors such as wage rate increases, inflation, cost increases, increases in the price of raw materials and energy prices could have a material adverse effect on our business, financial condition and results of operations; we require significant capital to fund our expanding business, including updating our Enterprise Resource Planning (“ERP”) and Customer Relationship Management (“CRM”), and other technological, systems and capabilities; our growth strategy could strain our existing resources and cause the performance of our existing stores to suffer; our success depends upon our marketing, advertising and promotional efforts and if we are unable to implement them successfully or efficiently, or if our competitors are more effective than we are, we may experience a material adverse effect on our business, financial condition and results of operations; we are subject to risks associated with leasing substantial amounts of space, including future increases in occupancy costs; certain technological advances, greater availability of, or increased consumer preferences for, vision correction alternatives to prescription eyeglasses or contact lenses, or future drug development for the correction of vision-related problems may reduce the demand for our products and adversely impact our business and profitability; if we fail to retain our existing senior management team or attract qualified new personnel such failure could have a material adverse effect on our business, financial condition and results of operations; our profitability and cash flows may be negatively affected if we are not successful in managing our inventory balances and inventory shrinkage; our operating results and inventory levels fluctuate on a seasonal basis; our e-commerce and omni-channel business faces distinct risks, and our failure to successfully manage those risks could have a negative impact on our profitability; we depend on our distribution centers and/or optical laboratories; we may incur losses arising from our investments in technological innovators in the optical retail industry, including artificial intelligence, which would negatively affect our financial results; ESG issues, including those related to climate change, could have a material adverse effect on our business, financial condition and results of operations; changing climate and weather patterns leading to severe weather and disasters may cause significant business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both"/>
        <w:spacing w:after="0" w:line="252" w:lineRule="auto"/>
        <w:rPr>
          <w:sz w:val="20"/>
          <w:szCs w:val="20"/>
          <w:color w:val="auto"/>
        </w:rPr>
      </w:pPr>
      <w:r>
        <w:rPr>
          <w:rFonts w:ascii="Times New Roman" w:cs="Times New Roman" w:eastAsia="Times New Roman" w:hAnsi="Times New Roman"/>
          <w:sz w:val="18"/>
          <w:szCs w:val="18"/>
          <w:color w:val="auto"/>
        </w:rPr>
        <w:t>interruptions and expenditures; future operational success depends on our ability to develop, maintain and extend relationships with managed vision care companies, vision insurance providers and other third-party payors; we face risks associated with vendors from whom our products are sourced and are dependent on a limited number of suppliers; we rely heavily on our information technology systems, as well as those of our vendors, for our business to effectively operate and to safeguard confidential information; any significant failure, inadequacy, interruption or security breach could adversely affect our business, financial condition and operations; we rely on third-party coverage and reimbursement, including government programs, for an increasing portion of our revenues, the future reduction of which could adversely affect our results of operations; we are subject to extensive state, local and federal vision care and healthcare laws and regulations and failure to adhere to such laws and regulations would adversely affect our business; we are subject to managed vision care laws and regulations; we are subject to rapidly changing and increasingly stringent laws, regulations, contractual obligations, and industry standards relating to privacy, data security and data protection which could subject us to liabilities that adversely affect our business, operations and financial performance; we could be adversely affected by product liability, product recall or personal injury issues; failure to comply with laws, regulations and enforcement activities or changes in statutory, regulatory, accounting and other legal requirements could potentially impact our operating and financial results; adverse judgments or settlements resulting from legal proceedings relating to our business operations could materially adversely affect our business, financial condition and results of operations; we may not be able to adequately protect our intellectual property, which could harm the value of our brand and adversely affect our business; we have a significant amount of indebtedness which could adversely affect our business and financial position, including limiting our business flexibility and preventing us from meeting our debt obligations; a change in interest rates may adversely affect our business; our credit agreement contains restrictions that limit our flexibility in operating our business; conversion of the 2025 Notes could dilute the ownership interest of existing stockholders or may otherwise depress the price of our common stock; and risks related to owning our common stock, including our ability to comply with requirements to design and implement and maintain effective internal controls.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references to “we,” “us,” “our,” or the “Company” in this Form 10-Q mean National Vision Holdings, Inc. and its subsidiaries, unless the context otherwise requires. References to “eye care practitioners” in this Form 10-Q mean optometrists and ophthalmologists and references to “vision care professionals” mean optometrists (including optometrists employed by us or by professional corporations owned by eye care practitioners with which we have arrangements) and opticians.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National Vision Holdings, Inc. when you enroll your e-mail address by visiting the “Email Alerts” page of the Investor Resources section of our website at www.nationalvision.com/investors. The contents of our website are not, however, a part of this Form 10-Q.</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par value</w:t>
            </w:r>
          </w:p>
        </w:tc>
        <w:tc>
          <w:tcPr>
            <w:tcW w:w="340" w:type="dxa"/>
            <w:vAlign w:val="bottom"/>
          </w:tcPr>
          <w:p>
            <w:pPr>
              <w:spacing w:after="0"/>
              <w:rPr>
                <w:sz w:val="17"/>
                <w:szCs w:val="17"/>
                <w:color w:val="auto"/>
              </w:rPr>
            </w:pPr>
          </w:p>
        </w:tc>
        <w:tc>
          <w:tcPr>
            <w:tcW w:w="19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17"/>
                <w:szCs w:val="17"/>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680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June 29, 2024</w:t>
            </w:r>
          </w:p>
        </w:tc>
        <w:tc>
          <w:tcPr>
            <w:tcW w:w="240" w:type="dxa"/>
            <w:vAlign w:val="bottom"/>
          </w:tcPr>
          <w:p>
            <w:pPr>
              <w:spacing w:after="0"/>
              <w:rPr>
                <w:sz w:val="21"/>
                <w:szCs w:val="21"/>
                <w:color w:val="auto"/>
              </w:rPr>
            </w:pPr>
          </w:p>
        </w:tc>
        <w:tc>
          <w:tcPr>
            <w:tcW w:w="1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09"/>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149,896</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86,854</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119,908</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40,012</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396,670</w:t>
            </w:r>
          </w:p>
        </w:tc>
        <w:tc>
          <w:tcPr>
            <w:tcW w:w="0" w:type="dxa"/>
            <w:vAlign w:val="bottom"/>
          </w:tcPr>
          <w:p>
            <w:pPr>
              <w:spacing w:after="0"/>
              <w:rPr>
                <w:sz w:val="1"/>
                <w:szCs w:val="1"/>
                <w:color w:val="auto"/>
              </w:rPr>
            </w:pPr>
          </w:p>
        </w:tc>
      </w:tr>
      <w:tr>
        <w:trPr>
          <w:trHeight w:val="203"/>
        </w:trPr>
        <w:tc>
          <w:tcPr>
            <w:tcW w:w="6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360,187</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717,544</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20,173</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 of use assets</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406,275</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28,336</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34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noncurrent assets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1,781,898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1,775,841</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2,146,300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2,172,511</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67,556</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123,288</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48,117</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62,867</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 and finance lease obligations</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10,480</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85,090</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34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663,161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397,700</w:t>
            </w:r>
          </w:p>
        </w:tc>
        <w:tc>
          <w:tcPr>
            <w:tcW w:w="0" w:type="dxa"/>
            <w:vAlign w:val="bottom"/>
          </w:tcPr>
          <w:p>
            <w:pPr>
              <w:spacing w:after="0"/>
              <w:rPr>
                <w:sz w:val="1"/>
                <w:szCs w:val="1"/>
                <w:color w:val="auto"/>
              </w:rPr>
            </w:pPr>
          </w:p>
        </w:tc>
      </w:tr>
      <w:tr>
        <w:trPr>
          <w:trHeight w:val="162"/>
        </w:trPr>
        <w:tc>
          <w:tcPr>
            <w:tcW w:w="6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and finance lease obligations, less current portion and debt discount</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450,771</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376,814</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21,459</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82,459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87,884</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945,393</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11)</w:t>
            </w: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 shares authorized; 85,267 and 84,831 shares issued</w:t>
            </w:r>
          </w:p>
        </w:tc>
        <w:tc>
          <w:tcPr>
            <w:tcW w:w="3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as of June 29, 2024 and December 30, 2023, respectively; 78,628 and 78,311 shares</w:t>
            </w:r>
          </w:p>
        </w:tc>
        <w:tc>
          <w:tcPr>
            <w:tcW w:w="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June 29, 2024 and December 30, 2023, respectively</w:t>
            </w:r>
          </w:p>
        </w:tc>
        <w:tc>
          <w:tcPr>
            <w:tcW w:w="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788,967</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254,616</w:t>
            </w:r>
          </w:p>
        </w:tc>
        <w:tc>
          <w:tcPr>
            <w:tcW w:w="0" w:type="dxa"/>
            <w:vAlign w:val="bottom"/>
          </w:tcPr>
          <w:p>
            <w:pPr>
              <w:spacing w:after="0"/>
              <w:rPr>
                <w:sz w:val="1"/>
                <w:szCs w:val="1"/>
                <w:color w:val="auto"/>
              </w:rPr>
            </w:pPr>
          </w:p>
        </w:tc>
      </w:tr>
      <w:tr>
        <w:trPr>
          <w:trHeight w:val="175"/>
        </w:trPr>
        <w:tc>
          <w:tcPr>
            <w:tcW w:w="6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Treasury stock, at cost; 6,639 and 6,520 shares as of June 29, 2024 and December 30, 2023,</w:t>
            </w:r>
          </w:p>
        </w:tc>
        <w:tc>
          <w:tcPr>
            <w:tcW w:w="3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(217,369)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(214,594)</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843,408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829,418</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2,146,300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2,172,511</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900" w:type="dxa"/>
            <w:vAlign w:val="bottom"/>
            <w:gridSpan w:val="7"/>
          </w:tcPr>
          <w:p>
            <w:pPr>
              <w:ind w:left="2860"/>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8480" w:type="dxa"/>
            <w:vAlign w:val="bottom"/>
            <w:gridSpan w:val="10"/>
          </w:tcPr>
          <w:p>
            <w:pPr>
              <w:ind w:left="8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(Unaudited)</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63"/>
        </w:trPr>
        <w:tc>
          <w:tcPr>
            <w:tcW w:w="128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6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22"/>
                <w:szCs w:val="22"/>
                <w:color w:val="auto"/>
              </w:rPr>
            </w:pPr>
          </w:p>
        </w:tc>
        <w:tc>
          <w:tcPr>
            <w:tcW w:w="288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earnings (loss) per share</w:t>
            </w: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June 29, 2024</w:t>
            </w: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July 1, 2023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June 29, 2024</w:t>
            </w: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July 1, 2023</w:t>
            </w:r>
          </w:p>
        </w:tc>
      </w:tr>
      <w:tr>
        <w:trPr>
          <w:trHeight w:val="210"/>
        </w:trPr>
        <w:tc>
          <w:tcPr>
            <w:tcW w:w="5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361,967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750,050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732,333</w:t>
            </w:r>
          </w:p>
        </w:tc>
      </w:tr>
      <w:tr>
        <w:trPr>
          <w:trHeight w:val="229"/>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164,265</w:t>
            </w:r>
          </w:p>
        </w:tc>
      </w:tr>
      <w:tr>
        <w:trPr>
          <w:trHeight w:val="223"/>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934,527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896,598</w:t>
            </w:r>
          </w:p>
        </w:tc>
      </w:tr>
      <w:tr>
        <w:trPr>
          <w:trHeight w:val="176"/>
        </w:trPr>
        <w:tc>
          <w:tcPr>
            <w:tcW w:w="5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0"/>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217,436</w:t>
            </w:r>
          </w:p>
        </w:tc>
      </w:tr>
      <w:tr>
        <w:trPr>
          <w:trHeight w:val="229"/>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 and plans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149,013</w:t>
            </w:r>
          </w:p>
        </w:tc>
      </w:tr>
      <w:tr>
        <w:trPr>
          <w:trHeight w:val="223"/>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366,449</w:t>
            </w:r>
          </w:p>
        </w:tc>
      </w:tr>
      <w:tr>
        <w:trPr>
          <w:trHeight w:val="22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451,600</w:t>
            </w:r>
          </w:p>
        </w:tc>
      </w:tr>
      <w:tr>
        <w:trPr>
          <w:trHeight w:val="230"/>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44,045</w:t>
            </w:r>
          </w:p>
        </w:tc>
      </w:tr>
      <w:tr>
        <w:trPr>
          <w:trHeight w:val="229"/>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Asset impairment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29"/>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51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257,562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521,368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496,788</w:t>
            </w:r>
          </w:p>
        </w:tc>
      </w:tr>
      <w:tr>
        <w:trPr>
          <w:trHeight w:val="223"/>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33,361</w:t>
            </w:r>
          </w:p>
        </w:tc>
      </w:tr>
      <w:tr>
        <w:trPr>
          <w:trHeight w:val="229"/>
        </w:trPr>
        <w:tc>
          <w:tcPr>
            <w:tcW w:w="51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w:t>
            </w:r>
          </w:p>
        </w:tc>
      </w:tr>
      <w:tr>
        <w:trPr>
          <w:trHeight w:val="223"/>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from continuing operations before income taxes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26,658</w:t>
            </w:r>
          </w:p>
        </w:tc>
      </w:tr>
      <w:tr>
        <w:trPr>
          <w:trHeight w:val="229"/>
        </w:trPr>
        <w:tc>
          <w:tcPr>
            <w:tcW w:w="5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8,007</w:t>
            </w:r>
          </w:p>
        </w:tc>
      </w:tr>
      <w:tr>
        <w:trPr>
          <w:trHeight w:val="223"/>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net of tax</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18,651</w:t>
            </w:r>
          </w:p>
        </w:tc>
      </w:tr>
      <w:tr>
        <w:trPr>
          <w:trHeight w:val="223"/>
        </w:trPr>
        <w:tc>
          <w:tcPr>
            <w:tcW w:w="5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 (See Note 2)</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w:t>
            </w:r>
          </w:p>
        </w:tc>
      </w:tr>
      <w:tr>
        <w:trPr>
          <w:trHeight w:val="248"/>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23,884</w:t>
            </w:r>
          </w:p>
        </w:tc>
      </w:tr>
      <w:tr>
        <w:trPr>
          <w:trHeight w:val="20"/>
        </w:trPr>
        <w:tc>
          <w:tcPr>
            <w:tcW w:w="51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3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30"/>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29"/>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3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30"/>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29"/>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70"/>
        </w:trPr>
        <w:tc>
          <w:tcPr>
            <w:tcW w:w="5160" w:type="dxa"/>
            <w:vAlign w:val="bottom"/>
            <w:gridSpan w:val="2"/>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78,411</w:t>
            </w:r>
          </w:p>
        </w:tc>
      </w:tr>
      <w:tr>
        <w:trPr>
          <w:trHeight w:val="230"/>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78,784</w:t>
            </w:r>
          </w:p>
        </w:tc>
      </w:tr>
      <w:tr>
        <w:trPr>
          <w:trHeight w:val="216"/>
        </w:trPr>
        <w:tc>
          <w:tcPr>
            <w:tcW w:w="51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23,884</w:t>
            </w:r>
          </w:p>
        </w:tc>
      </w:tr>
      <w:tr>
        <w:trPr>
          <w:trHeight w:val="229"/>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Unrealized gain on hedge instruments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30"/>
        </w:trPr>
        <w:tc>
          <w:tcPr>
            <w:tcW w:w="5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provision of unrealized gain on hedge instruments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24,262</w:t>
            </w:r>
          </w:p>
        </w:tc>
      </w:tr>
      <w:tr>
        <w:trPr>
          <w:trHeight w:val="20"/>
        </w:trPr>
        <w:tc>
          <w:tcPr>
            <w:tcW w:w="1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4"/>
        </w:trPr>
        <w:tc>
          <w:tcPr>
            <w:tcW w:w="1280" w:type="dxa"/>
            <w:vAlign w:val="bottom"/>
            <w:tcBorders>
              <w:top w:val="single" w:sz="8" w:color="0000FF"/>
            </w:tcBorders>
          </w:tcPr>
          <w:p>
            <w:pPr>
              <w:spacing w:after="0"/>
              <w:rPr>
                <w:sz w:val="24"/>
                <w:szCs w:val="24"/>
                <w:color w:val="auto"/>
              </w:rPr>
            </w:pPr>
          </w:p>
        </w:tc>
        <w:tc>
          <w:tcPr>
            <w:tcW w:w="1720" w:type="dxa"/>
            <w:vAlign w:val="bottom"/>
          </w:tcPr>
          <w:p>
            <w:pPr>
              <w:spacing w:after="0"/>
              <w:rPr>
                <w:sz w:val="24"/>
                <w:szCs w:val="24"/>
                <w:color w:val="auto"/>
              </w:rPr>
            </w:pPr>
          </w:p>
        </w:tc>
        <w:tc>
          <w:tcPr>
            <w:tcW w:w="4640" w:type="dxa"/>
            <w:vAlign w:val="bottom"/>
            <w:gridSpan w:val="7"/>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380" w:type="dxa"/>
            <w:vAlign w:val="bottom"/>
            <w:gridSpan w:val="10"/>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color w:val="auto"/>
              </w:rPr>
              <w:t>Three and Six Months Ended June 29, 2024</w:t>
            </w: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80" w:type="dxa"/>
            <w:vAlign w:val="bottom"/>
            <w:gridSpan w:val="3"/>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w w:val="99"/>
              </w:rPr>
              <w:t>Accumulated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vMerge w:val="restart"/>
          </w:tcPr>
          <w:p>
            <w:pPr>
              <w:jc w:val="center"/>
              <w:ind w:right="70"/>
              <w:spacing w:after="0" w:line="149" w:lineRule="exact"/>
              <w:rPr>
                <w:sz w:val="20"/>
                <w:szCs w:val="20"/>
                <w:color w:val="auto"/>
              </w:rPr>
            </w:pPr>
            <w:r>
              <w:rPr>
                <w:rFonts w:ascii="Times New Roman" w:cs="Times New Roman" w:eastAsia="Times New Roman" w:hAnsi="Times New Roman"/>
                <w:sz w:val="17"/>
                <w:szCs w:val="17"/>
                <w:color w:val="auto"/>
              </w:rPr>
              <w:t>Additional</w:t>
            </w:r>
          </w:p>
        </w:tc>
        <w:tc>
          <w:tcPr>
            <w:tcW w:w="200" w:type="dxa"/>
            <w:vAlign w:val="bottom"/>
          </w:tcPr>
          <w:p>
            <w:pPr>
              <w:spacing w:after="0"/>
              <w:rPr>
                <w:sz w:val="4"/>
                <w:szCs w:val="4"/>
                <w:color w:val="auto"/>
              </w:rPr>
            </w:pPr>
          </w:p>
        </w:tc>
        <w:tc>
          <w:tcPr>
            <w:tcW w:w="1440" w:type="dxa"/>
            <w:vAlign w:val="bottom"/>
            <w:vMerge w:val="restart"/>
          </w:tcPr>
          <w:p>
            <w:pPr>
              <w:jc w:val="center"/>
              <w:ind w:right="90"/>
              <w:spacing w:after="0" w:line="149" w:lineRule="exact"/>
              <w:rPr>
                <w:sz w:val="20"/>
                <w:szCs w:val="20"/>
                <w:color w:val="auto"/>
              </w:rPr>
            </w:pPr>
            <w:r>
              <w:rPr>
                <w:rFonts w:ascii="Times New Roman" w:cs="Times New Roman" w:eastAsia="Times New Roman" w:hAnsi="Times New Roman"/>
                <w:sz w:val="17"/>
                <w:szCs w:val="17"/>
                <w:color w:val="auto"/>
              </w:rPr>
              <w:t>Other</w:t>
            </w:r>
          </w:p>
        </w:tc>
        <w:tc>
          <w:tcPr>
            <w:tcW w:w="140" w:type="dxa"/>
            <w:vAlign w:val="bottom"/>
          </w:tcPr>
          <w:p>
            <w:pPr>
              <w:spacing w:after="0"/>
              <w:rPr>
                <w:sz w:val="4"/>
                <w:szCs w:val="4"/>
                <w:color w:val="auto"/>
              </w:rPr>
            </w:pPr>
          </w:p>
        </w:tc>
        <w:tc>
          <w:tcPr>
            <w:tcW w:w="8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Retained</w:t>
            </w:r>
          </w:p>
        </w:tc>
        <w:tc>
          <w:tcPr>
            <w:tcW w:w="160" w:type="dxa"/>
            <w:vAlign w:val="bottom"/>
          </w:tcPr>
          <w:p>
            <w:pPr>
              <w:spacing w:after="0"/>
              <w:rPr>
                <w:sz w:val="4"/>
                <w:szCs w:val="4"/>
                <w:color w:val="auto"/>
              </w:rPr>
            </w:pPr>
          </w:p>
        </w:tc>
        <w:tc>
          <w:tcPr>
            <w:tcW w:w="9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6"/>
              </w:rPr>
              <w:t>Treasury</w:t>
            </w:r>
          </w:p>
        </w:tc>
        <w:tc>
          <w:tcPr>
            <w:tcW w:w="160" w:type="dxa"/>
            <w:vAlign w:val="bottom"/>
          </w:tcPr>
          <w:p>
            <w:pPr>
              <w:spacing w:after="0"/>
              <w:rPr>
                <w:sz w:val="4"/>
                <w:szCs w:val="4"/>
                <w:color w:val="auto"/>
              </w:rPr>
            </w:pPr>
          </w:p>
        </w:tc>
        <w:tc>
          <w:tcPr>
            <w:tcW w:w="1320" w:type="dxa"/>
            <w:vAlign w:val="bottom"/>
            <w:vMerge w:val="restart"/>
          </w:tcPr>
          <w:p>
            <w:pPr>
              <w:jc w:val="center"/>
              <w:ind w:right="110"/>
              <w:spacing w:after="0" w:line="149" w:lineRule="exact"/>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75"/>
        </w:trPr>
        <w:tc>
          <w:tcPr>
            <w:tcW w:w="12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Paid-In</w:t>
            </w:r>
          </w:p>
        </w:tc>
        <w:tc>
          <w:tcPr>
            <w:tcW w:w="200" w:type="dxa"/>
            <w:vAlign w:val="bottom"/>
          </w:tcPr>
          <w:p>
            <w:pPr>
              <w:spacing w:after="0"/>
              <w:rPr>
                <w:sz w:val="15"/>
                <w:szCs w:val="15"/>
                <w:color w:val="auto"/>
              </w:rPr>
            </w:pPr>
          </w:p>
        </w:tc>
        <w:tc>
          <w:tcPr>
            <w:tcW w:w="14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Stockholders’</w:t>
            </w: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gridSpan w:val="2"/>
            <w:vMerge w:val="continue"/>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Capital</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Loss</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Earnings</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Stock</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Equity</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30,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788,967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829,418</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0" w:type="dxa"/>
            <w:vAlign w:val="bottom"/>
          </w:tcPr>
          <w:p>
            <w:pPr>
              <w:spacing w:after="0"/>
              <w:rPr>
                <w:sz w:val="1"/>
                <w:szCs w:val="1"/>
                <w:color w:val="auto"/>
              </w:rPr>
            </w:pPr>
          </w:p>
        </w:tc>
      </w:tr>
      <w:tr>
        <w:trPr>
          <w:trHeight w:val="176"/>
        </w:trPr>
        <w:tc>
          <w:tcPr>
            <w:tcW w:w="300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on hedge instruments,</w:t>
            </w: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March 30,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841,319</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75"/>
        </w:trPr>
        <w:tc>
          <w:tcPr>
            <w:tcW w:w="300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on hedge instruments,</w:t>
            </w: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June 29,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843,408</w:t>
            </w:r>
          </w:p>
        </w:tc>
        <w:tc>
          <w:tcPr>
            <w:tcW w:w="0" w:type="dxa"/>
            <w:vAlign w:val="bottom"/>
          </w:tcPr>
          <w:p>
            <w:pPr>
              <w:spacing w:after="0"/>
              <w:rPr>
                <w:sz w:val="1"/>
                <w:szCs w:val="1"/>
                <w:color w:val="auto"/>
              </w:rPr>
            </w:pPr>
          </w:p>
        </w:tc>
      </w:tr>
      <w:tr>
        <w:trPr>
          <w:trHeight w:val="797"/>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Three and Six Months Ended July 1, 2023</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80" w:type="dxa"/>
            <w:vAlign w:val="bottom"/>
            <w:gridSpan w:val="3"/>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7"/>
                <w:szCs w:val="17"/>
                <w:color w:val="auto"/>
              </w:rPr>
            </w:pPr>
          </w:p>
        </w:tc>
        <w:tc>
          <w:tcPr>
            <w:tcW w:w="9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Additional</w:t>
            </w:r>
          </w:p>
        </w:tc>
        <w:tc>
          <w:tcPr>
            <w:tcW w:w="200" w:type="dxa"/>
            <w:vAlign w:val="bottom"/>
          </w:tcPr>
          <w:p>
            <w:pPr>
              <w:spacing w:after="0"/>
              <w:rPr>
                <w:sz w:val="17"/>
                <w:szCs w:val="17"/>
                <w:color w:val="auto"/>
              </w:rPr>
            </w:pPr>
          </w:p>
        </w:tc>
        <w:tc>
          <w:tcPr>
            <w:tcW w:w="144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w w:val="99"/>
              </w:rPr>
              <w:t>Accumulated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vMerge w:val="restart"/>
          </w:tcPr>
          <w:p>
            <w:pPr>
              <w:jc w:val="center"/>
              <w:ind w:right="90"/>
              <w:spacing w:after="0" w:line="162" w:lineRule="exact"/>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4"/>
                <w:szCs w:val="4"/>
                <w:color w:val="auto"/>
              </w:rPr>
            </w:pPr>
          </w:p>
        </w:tc>
        <w:tc>
          <w:tcPr>
            <w:tcW w:w="8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Retained</w:t>
            </w:r>
          </w:p>
        </w:tc>
        <w:tc>
          <w:tcPr>
            <w:tcW w:w="160" w:type="dxa"/>
            <w:vAlign w:val="bottom"/>
          </w:tcPr>
          <w:p>
            <w:pPr>
              <w:spacing w:after="0"/>
              <w:rPr>
                <w:sz w:val="4"/>
                <w:szCs w:val="4"/>
                <w:color w:val="auto"/>
              </w:rPr>
            </w:pPr>
          </w:p>
        </w:tc>
        <w:tc>
          <w:tcPr>
            <w:tcW w:w="9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6"/>
              </w:rPr>
              <w:t>Treasury</w:t>
            </w:r>
          </w:p>
        </w:tc>
        <w:tc>
          <w:tcPr>
            <w:tcW w:w="16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12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Pr>
          <w:p>
            <w:pPr>
              <w:spacing w:after="0"/>
              <w:rPr>
                <w:sz w:val="15"/>
                <w:szCs w:val="15"/>
                <w:color w:val="auto"/>
              </w:rPr>
            </w:pPr>
          </w:p>
        </w:tc>
        <w:tc>
          <w:tcPr>
            <w:tcW w:w="8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15"/>
                <w:szCs w:val="15"/>
                <w:color w:val="auto"/>
              </w:rPr>
            </w:pPr>
          </w:p>
        </w:tc>
        <w:tc>
          <w:tcPr>
            <w:tcW w:w="9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Paid-In</w:t>
            </w:r>
          </w:p>
        </w:tc>
        <w:tc>
          <w:tcPr>
            <w:tcW w:w="200" w:type="dxa"/>
            <w:vAlign w:val="bottom"/>
          </w:tcPr>
          <w:p>
            <w:pPr>
              <w:spacing w:after="0"/>
              <w:rPr>
                <w:sz w:val="15"/>
                <w:szCs w:val="15"/>
                <w:color w:val="auto"/>
              </w:rPr>
            </w:pPr>
          </w:p>
        </w:tc>
        <w:tc>
          <w:tcPr>
            <w:tcW w:w="14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Stockholders’</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gridSpan w:val="2"/>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Capital</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Loss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Earnings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Stock</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Equity</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901,113</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(27,609)</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(27,609)</w:t>
            </w:r>
          </w:p>
        </w:tc>
        <w:tc>
          <w:tcPr>
            <w:tcW w:w="0" w:type="dxa"/>
            <w:vAlign w:val="bottom"/>
          </w:tcPr>
          <w:p>
            <w:pPr>
              <w:spacing w:after="0"/>
              <w:rPr>
                <w:sz w:val="1"/>
                <w:szCs w:val="1"/>
                <w:color w:val="auto"/>
              </w:rPr>
            </w:pPr>
          </w:p>
        </w:tc>
      </w:tr>
      <w:tr>
        <w:trPr>
          <w:trHeight w:val="184"/>
        </w:trPr>
        <w:tc>
          <w:tcPr>
            <w:tcW w:w="3000" w:type="dxa"/>
            <w:vAlign w:val="bottom"/>
            <w:gridSpan w:val="2"/>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Unrealized gain on hedge instruments,</w:t>
            </w: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April 1,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771,873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896,726</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84"/>
        </w:trPr>
        <w:tc>
          <w:tcPr>
            <w:tcW w:w="3000" w:type="dxa"/>
            <w:vAlign w:val="bottom"/>
            <w:gridSpan w:val="2"/>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Unrealized gain on hedge instruments,</w:t>
            </w: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July 1, 2023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908,412</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105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June 29, 2024</w:t>
            </w:r>
          </w:p>
        </w:tc>
        <w:tc>
          <w:tcPr>
            <w:tcW w:w="280" w:type="dxa"/>
            <w:vAlign w:val="bottom"/>
          </w:tcPr>
          <w:p>
            <w:pPr>
              <w:spacing w:after="0"/>
              <w:rPr>
                <w:sz w:val="18"/>
                <w:szCs w:val="18"/>
                <w:color w:val="auto"/>
              </w:rPr>
            </w:pPr>
          </w:p>
        </w:tc>
        <w:tc>
          <w:tcPr>
            <w:tcW w:w="14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July 1, 2023</w:t>
            </w:r>
          </w:p>
        </w:tc>
      </w:tr>
      <w:tr>
        <w:trPr>
          <w:trHeight w:val="199"/>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23,884</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49,742</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discount and deferred financing costs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cloud computing implementation costs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 impairment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9,788</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Losses (gains) on change in fair value of derivatives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 adjustments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right of use assets and lease liabilities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and unearned revenue</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r>
      <w:tr>
        <w:trPr>
          <w:trHeight w:val="213"/>
        </w:trPr>
        <w:tc>
          <w:tcPr>
            <w:tcW w:w="7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(19,415)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18,188</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75,448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112,216</w:t>
            </w:r>
          </w:p>
        </w:tc>
      </w:tr>
      <w:tr>
        <w:trPr>
          <w:trHeight w:val="19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8"/>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(54,120)</w:t>
            </w:r>
          </w:p>
        </w:tc>
      </w:tr>
      <w:tr>
        <w:trPr>
          <w:trHeight w:val="213"/>
        </w:trPr>
        <w:tc>
          <w:tcPr>
            <w:tcW w:w="7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(38,043)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(54,785)</w:t>
            </w:r>
          </w:p>
        </w:tc>
      </w:tr>
      <w:tr>
        <w:trPr>
          <w:trHeight w:val="19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8"/>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on long-term debt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(27,611)</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2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w:t>
            </w:r>
          </w:p>
        </w:tc>
      </w:tr>
      <w:tr>
        <w:trPr>
          <w:trHeight w:val="207"/>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(32,071)</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25,360</w:t>
            </w:r>
          </w:p>
        </w:tc>
      </w:tr>
      <w:tr>
        <w:trPr>
          <w:trHeight w:val="213"/>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year</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151,027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230,624</w:t>
            </w:r>
          </w:p>
        </w:tc>
      </w:tr>
      <w:tr>
        <w:trPr>
          <w:trHeight w:val="23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180,992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255,984</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 information:</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5,399</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taxes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4,347</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 accrued at the end of the period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12,124</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10,770</w:t>
            </w:r>
          </w:p>
        </w:tc>
      </w:tr>
    </w:tbl>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left="2320"/>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ind w:left="2320"/>
        <w:spacing w:after="0"/>
        <w:rPr>
          <w:sz w:val="20"/>
          <w:szCs w:val="20"/>
          <w:color w:val="auto"/>
        </w:rPr>
      </w:pPr>
      <w:r>
        <w:rPr>
          <w:rFonts w:ascii="Times New Roman" w:cs="Times New Roman" w:eastAsia="Times New Roman" w:hAnsi="Times New Roman"/>
          <w:sz w:val="18"/>
          <w:szCs w:val="18"/>
          <w:b w:val="1"/>
          <w:bCs w:val="1"/>
          <w:color w:val="auto"/>
        </w:rPr>
        <w:t>Index to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0" w:hanging="174"/>
        <w:spacing w:after="0"/>
        <w:tabs>
          <w:tab w:leader="none" w:pos="200" w:val="left"/>
        </w:tabs>
        <w:numPr>
          <w:ilvl w:val="0"/>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Description of Business and Basis of Presentation</w:t>
      </w:r>
    </w:p>
    <w:p>
      <w:pPr>
        <w:spacing w:after="0" w:line="27" w:lineRule="exact"/>
        <w:rPr>
          <w:rFonts w:ascii="Times New Roman" w:cs="Times New Roman" w:eastAsia="Times New Roman" w:hAnsi="Times New Roman"/>
          <w:sz w:val="18"/>
          <w:szCs w:val="18"/>
          <w:u w:val="single" w:color="auto"/>
          <w:color w:val="0000FF"/>
        </w:rPr>
      </w:pPr>
    </w:p>
    <w:p>
      <w:pPr>
        <w:ind w:left="200" w:hanging="174"/>
        <w:spacing w:after="0"/>
        <w:tabs>
          <w:tab w:leader="none" w:pos="200" w:val="left"/>
        </w:tabs>
        <w:numPr>
          <w:ilvl w:val="0"/>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Discontinued Operations</w:t>
      </w:r>
    </w:p>
    <w:p>
      <w:pPr>
        <w:spacing w:after="0" w:line="22" w:lineRule="exact"/>
        <w:rPr>
          <w:rFonts w:ascii="Times New Roman" w:cs="Times New Roman" w:eastAsia="Times New Roman" w:hAnsi="Times New Roman"/>
          <w:sz w:val="18"/>
          <w:szCs w:val="18"/>
          <w:u w:val="single" w:color="auto"/>
          <w:color w:val="0000FF"/>
        </w:rPr>
      </w:pPr>
    </w:p>
    <w:p>
      <w:pPr>
        <w:ind w:left="200" w:hanging="174"/>
        <w:spacing w:after="0"/>
        <w:tabs>
          <w:tab w:leader="none" w:pos="200" w:val="left"/>
        </w:tabs>
        <w:numPr>
          <w:ilvl w:val="0"/>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Details of Cost Savings Plan</w:t>
      </w:r>
    </w:p>
    <w:p>
      <w:pPr>
        <w:spacing w:after="0" w:line="22" w:lineRule="exact"/>
        <w:rPr>
          <w:rFonts w:ascii="Times New Roman" w:cs="Times New Roman" w:eastAsia="Times New Roman" w:hAnsi="Times New Roman"/>
          <w:sz w:val="18"/>
          <w:szCs w:val="18"/>
          <w:u w:val="single" w:color="auto"/>
          <w:color w:val="0000FF"/>
        </w:rPr>
      </w:pPr>
    </w:p>
    <w:p>
      <w:pPr>
        <w:ind w:left="200" w:hanging="174"/>
        <w:spacing w:after="0"/>
        <w:tabs>
          <w:tab w:leader="none" w:pos="200" w:val="left"/>
        </w:tabs>
        <w:numPr>
          <w:ilvl w:val="0"/>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Details of Certain Balance Sheet Accounts</w:t>
      </w:r>
    </w:p>
    <w:p>
      <w:pPr>
        <w:spacing w:after="0" w:line="233" w:lineRule="exact"/>
        <w:rPr>
          <w:rFonts w:ascii="Times New Roman" w:cs="Times New Roman" w:eastAsia="Times New Roman" w:hAnsi="Times New Roman"/>
          <w:sz w:val="18"/>
          <w:szCs w:val="18"/>
          <w:u w:val="single" w:color="auto"/>
          <w:color w:val="0000FF"/>
        </w:rPr>
      </w:pPr>
    </w:p>
    <w:p>
      <w:pPr>
        <w:ind w:left="200" w:hanging="174"/>
        <w:spacing w:after="0"/>
        <w:tabs>
          <w:tab w:leader="none" w:pos="200" w:val="left"/>
        </w:tabs>
        <w:numPr>
          <w:ilvl w:val="0"/>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Fair Value Measurement</w:t>
      </w:r>
    </w:p>
    <w:p>
      <w:pPr>
        <w:spacing w:after="0" w:line="27" w:lineRule="exact"/>
        <w:rPr>
          <w:rFonts w:ascii="Times New Roman" w:cs="Times New Roman" w:eastAsia="Times New Roman" w:hAnsi="Times New Roman"/>
          <w:sz w:val="18"/>
          <w:szCs w:val="18"/>
          <w:u w:val="single" w:color="auto"/>
          <w:color w:val="0000FF"/>
        </w:rPr>
      </w:pPr>
    </w:p>
    <w:p>
      <w:pPr>
        <w:ind w:left="200" w:hanging="174"/>
        <w:spacing w:after="0"/>
        <w:tabs>
          <w:tab w:leader="none" w:pos="200" w:val="left"/>
        </w:tabs>
        <w:numPr>
          <w:ilvl w:val="0"/>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Long-term Debt</w:t>
      </w:r>
    </w:p>
    <w:p>
      <w:pPr>
        <w:spacing w:after="0" w:line="22" w:lineRule="exact"/>
        <w:rPr>
          <w:rFonts w:ascii="Times New Roman" w:cs="Times New Roman" w:eastAsia="Times New Roman" w:hAnsi="Times New Roman"/>
          <w:sz w:val="18"/>
          <w:szCs w:val="18"/>
          <w:u w:val="single" w:color="auto"/>
          <w:color w:val="0000FF"/>
        </w:rPr>
      </w:pPr>
    </w:p>
    <w:p>
      <w:pPr>
        <w:ind w:left="200" w:hanging="174"/>
        <w:spacing w:after="0"/>
        <w:tabs>
          <w:tab w:leader="none" w:pos="200" w:val="left"/>
        </w:tabs>
        <w:numPr>
          <w:ilvl w:val="0"/>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Interest Rate Derivatives</w:t>
      </w:r>
    </w:p>
    <w:p>
      <w:pPr>
        <w:spacing w:after="0" w:line="233" w:lineRule="exact"/>
        <w:rPr>
          <w:rFonts w:ascii="Times New Roman" w:cs="Times New Roman" w:eastAsia="Times New Roman" w:hAnsi="Times New Roman"/>
          <w:sz w:val="18"/>
          <w:szCs w:val="18"/>
          <w:u w:val="single" w:color="auto"/>
          <w:color w:val="0000FF"/>
        </w:rPr>
      </w:pPr>
    </w:p>
    <w:p>
      <w:pPr>
        <w:ind w:left="200" w:hanging="174"/>
        <w:spacing w:after="0"/>
        <w:tabs>
          <w:tab w:leader="none" w:pos="200" w:val="left"/>
        </w:tabs>
        <w:numPr>
          <w:ilvl w:val="0"/>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Stock Incentive Plans</w:t>
      </w:r>
    </w:p>
    <w:p>
      <w:pPr>
        <w:spacing w:after="0" w:line="238" w:lineRule="exact"/>
        <w:rPr>
          <w:rFonts w:ascii="Times New Roman" w:cs="Times New Roman" w:eastAsia="Times New Roman" w:hAnsi="Times New Roman"/>
          <w:sz w:val="18"/>
          <w:szCs w:val="18"/>
          <w:u w:val="single" w:color="auto"/>
          <w:color w:val="0000FF"/>
        </w:rPr>
      </w:pPr>
    </w:p>
    <w:p>
      <w:pPr>
        <w:ind w:left="200" w:hanging="174"/>
        <w:spacing w:after="0"/>
        <w:tabs>
          <w:tab w:leader="none" w:pos="200" w:val="left"/>
        </w:tabs>
        <w:numPr>
          <w:ilvl w:val="0"/>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Revenue from Contracts with Customers</w:t>
      </w:r>
    </w:p>
    <w:p>
      <w:pPr>
        <w:spacing w:after="0" w:line="238" w:lineRule="exact"/>
        <w:rPr>
          <w:rFonts w:ascii="Times New Roman" w:cs="Times New Roman" w:eastAsia="Times New Roman" w:hAnsi="Times New Roman"/>
          <w:sz w:val="18"/>
          <w:szCs w:val="18"/>
          <w:u w:val="single" w:color="auto"/>
          <w:color w:val="0000FF"/>
        </w:rPr>
      </w:pPr>
    </w:p>
    <w:p>
      <w:pPr>
        <w:ind w:left="300" w:hanging="274"/>
        <w:spacing w:after="0"/>
        <w:tabs>
          <w:tab w:leader="none" w:pos="300" w:val="left"/>
        </w:tabs>
        <w:numPr>
          <w:ilvl w:val="0"/>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Leases</w:t>
      </w:r>
    </w:p>
    <w:p>
      <w:pPr>
        <w:spacing w:after="0" w:line="130" w:lineRule="exact"/>
        <w:rPr>
          <w:rFonts w:ascii="Times New Roman" w:cs="Times New Roman" w:eastAsia="Times New Roman" w:hAnsi="Times New Roman"/>
          <w:sz w:val="18"/>
          <w:szCs w:val="18"/>
          <w:u w:val="single" w:color="auto"/>
          <w:color w:val="0000FF"/>
        </w:rPr>
      </w:pPr>
    </w:p>
    <w:p>
      <w:pPr>
        <w:ind w:left="280" w:hanging="254"/>
        <w:spacing w:after="0"/>
        <w:tabs>
          <w:tab w:leader="none" w:pos="280" w:val="left"/>
        </w:tabs>
        <w:numPr>
          <w:ilvl w:val="0"/>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Commitments and Contingencies</w:t>
      </w:r>
    </w:p>
    <w:p>
      <w:pPr>
        <w:spacing w:after="0" w:line="130" w:lineRule="exact"/>
        <w:rPr>
          <w:rFonts w:ascii="Times New Roman" w:cs="Times New Roman" w:eastAsia="Times New Roman" w:hAnsi="Times New Roman"/>
          <w:sz w:val="18"/>
          <w:szCs w:val="18"/>
          <w:u w:val="single" w:color="auto"/>
          <w:color w:val="0000FF"/>
        </w:rPr>
      </w:pPr>
    </w:p>
    <w:p>
      <w:pPr>
        <w:ind w:left="300" w:hanging="274"/>
        <w:spacing w:after="0"/>
        <w:tabs>
          <w:tab w:leader="none" w:pos="300" w:val="left"/>
        </w:tabs>
        <w:numPr>
          <w:ilvl w:val="0"/>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Segment Reporting</w:t>
      </w:r>
    </w:p>
    <w:p>
      <w:pPr>
        <w:spacing w:after="0" w:line="130" w:lineRule="exact"/>
        <w:rPr>
          <w:rFonts w:ascii="Times New Roman" w:cs="Times New Roman" w:eastAsia="Times New Roman" w:hAnsi="Times New Roman"/>
          <w:sz w:val="18"/>
          <w:szCs w:val="18"/>
          <w:u w:val="single" w:color="auto"/>
          <w:color w:val="0000FF"/>
        </w:rPr>
      </w:pPr>
    </w:p>
    <w:p>
      <w:pPr>
        <w:ind w:left="300" w:hanging="274"/>
        <w:spacing w:after="0"/>
        <w:tabs>
          <w:tab w:leader="none" w:pos="300" w:val="left"/>
        </w:tabs>
        <w:numPr>
          <w:ilvl w:val="0"/>
          <w:numId w:val="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Earnings Per Share</w:t>
      </w:r>
    </w:p>
    <w:p>
      <w:pPr>
        <w:spacing w:after="0" w:line="200" w:lineRule="exact"/>
        <w:rPr>
          <w:sz w:val="20"/>
          <w:szCs w:val="20"/>
          <w:color w:val="auto"/>
        </w:rPr>
      </w:pPr>
    </w:p>
    <w:p>
      <w:pPr>
        <w:spacing w:after="0" w:line="3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17</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18</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18</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24</w:t>
      </w:r>
    </w:p>
    <w:p>
      <w:pPr>
        <w:sectPr>
          <w:pgSz w:w="11900" w:h="16838" w:orient="portrait"/>
          <w:cols w:equalWidth="0" w:num="2">
            <w:col w:w="8920" w:space="720"/>
            <w:col w:w="499"/>
          </w:cols>
          <w:pgMar w:left="320" w:top="121"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Operations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National Vision Holdings, Inc. (“NVHI,” the “Company,” “we,” “our,” or “us”) is a holding company whose operating subsidiaries include its indirect wholly-owned subsidiary, National Vision, Inc. (“NVI”) and NVI’s wholly-owned subsidiaries. We are a leading value retailer of eyeglasses and contact lenses in the United States (the “U.S.”). We operated 1,216 and 1,188 retail optical locations in the U.S. and its territories as of June 29, 2024 and December 30, 2023, respectively, through our four store brands, including America’s Best Contacts and Eyeglasses (“America’s Best”), Eyeglass World, Vista Optical locations on select U.S. Army/Air Force military bases (“Military”) and within select Fred Meyer stores. We operated 225 stores for Walmart Inc. (“Walmart”) as of December 30, 2023; these stores are not reflected in the store counts above and the operating results of these stores are presented as discontinued operations. Also presented in discontinued operations are the majority of the operations formerly conducted by the Company’s Arlington Contact Lens (“AC Lens”) subsidiary. Refer to Note 2. “Discontinued Operations” for more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prepare our unaudited interim condensed consolidated financial statements in accordance with accounting principles generally accepted in the United States of America (“U.S. GAAP”) for interim financial information and, therefore, do not include all information and disclosures required by U.S. GAAP for complete consolidated financial statements. The Condensed Consolidated Balance Sheet as of December 30, 2023 has been derived from the audited consolidated balance sheet for the fiscal year then ended. These condensed consolidated financial statements reflect all normal and recurring adjustments which are, in the opinion of management, necessary to present fairly the Company’s consolidated results of the interim period.</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and disclosures normally included in our annual consolidated financial statements have been condensed or omitted; however, we believe that the disclosures included herein are sufficient for a fair presentation of the information presented. These condensed consolidated financial statements should be read in conjunction with our audited consolidated financial statements and the notes thereto for the fiscal year ended December 30, 2023 included in the 2023 Annual Report on Form 10-K. The Company’s significant accounting policies are set forth in Note 1. within those consolidated financial statements. We use the same accounting policies in preparing interim condensed consolidated financial information and annual consolidated financial statements. There were no changes to our significant accounting policies during the six months ended June 29, 2024.</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include our accounts and those of our wholly-owned subsidiaries. All intercompany balances and transactions have been eliminated in consolidation. Certain amounts within the Condensed Consolidated Statements of Cash Flows and footnotes to the financial statements for fiscal year 2023 have been reclassified to conform to the fiscal year 2024 presentation. Retrospective reclassifications have been made to prior period financial statements and disclosures to present the discontinued operations. Refer to Note 2. “Discontinued Operations” for more information on discontinued operations.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consolidated certain entities meeting the definition of a variable interest entity (“VIE”) as the Company concluded that it is the primary beneficiary of the entities under the provisions of Accounting Standards Codification 810, Consolidation. As of June 29, 2024, the variable interest entities include 29 professional corporations. The total assets of the consolidated VIEs included in the accompanying Condensed Consolidated Balance Sheets as of June 29, 2024 and December 30, 2023, were $5.9 million and $8.3 million, respectively, and the total liabilities of the consolidated VIEs were $8.1 million and $9.8 million, respectively.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fiscal year consists of 52 or 53 weeks ending on the Saturday closest to December 31. Fiscal year 2024 contains 52 weeks and will end on December 28, 2024. All three and six month periods presented herein contain 13 and 26 weeks, respectively. All references to years and quarters relate to fiscal periods rather than calendar periods.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results of operations for the three and six months ended June 29, 2024 and July 1, 2023, are not necessarily indicative of the results to be expected for the full fiscal year due to seasonality and uncertainty of general economic conditions that may impact our key markets. Historically, our business has realized a higher portion of net revenue, income from operations, and cash flows from operations in the first half of the year, and a lower portion of net revenue, income from operations, and cash flows from operations in the fourth fiscal quarter. The first half seasonality is attributable primarily to the timing of our customers’ personal income tax refunds and annual health insurance program start/reset periods. Seasonality related to fourth quarter holiday spending by retail</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customers generally does not impact our business. Our quarterly consolidated results generally may also be affected by the timing of new store openings, store closings, and certain holidays.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Non-cash impairment charges of $3.5 million and $4.0 million were recorded for the three and six months ended June 29, 2024 compared to $0.9 million and $1.2 million for the three and six months ended July 1, 2023 related to tangible long-lived store assets and Right of Use (“ROU”) assets. The impairments were primarily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Asset impairment expenses were recognized in Corporate/Other. Refer to Note 5. “Fair Value Measurement” for additional information on impairment charges.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Company’s quarterly provision (benefit) for income taxes has historically been calculated using the annualized effective tax rate (“AETR”) method, which applies an estimated annual effective tax rate to pre-tax income or loss. For the three and six months ended June 29, 2024, the Company calculated the provision (benefit) for income taxes using a discrete effective tax rate (“ETR”) method. The Company determined that due to the fact that small changes in the Company’s estimated pretax income or loss would result in significant changes in the estimated AETR, the historical method would not provide a reliable estimate for the three and six months ended June 29, 2024.</w:t>
      </w:r>
    </w:p>
    <w:p>
      <w:pPr>
        <w:spacing w:after="0" w:line="2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effective tax rate for the three months ended June 29, 2024 was 60.0%, reflecting our statutory federal and state rate of 25.2%, tax impacts of consolidated VIEs and effects of other permanent items. Our effective tax rate for the three months ended July 1, 2023 was 2.4%, reflecting our statutory federal and state rate of 25.4%, tax impacts of consolidated VIEs, employee-related federal tax credits and effects of other permanent items.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for the six months ended June 29, 2024 was 35.4%, reflecting our statutory federal and state rate of 25.2%, non-deductible compensation expense, tax impacts of consolidated VIEs and other permanent items. Our effective tax rate for the six months ended July 1, 2023 was 30.0%, reflecting our statutory federal and state rate of 25.4%, tax impacts of non-deductible compensation expenses, reduced deductibility of meals and entertainment and effects of other permanent items.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February 23, 2024, the Board of Directors authorized the Company to repurchase up to $50 million aggregate amount of shares of the Company’s common stock until January 3, 2026. As of June 29, 2024, $50 million remains available under the share repurchase authorization. During the six months ended July 1, 2023, the Company repurchased 1.1 million shares of its common stock for $25.0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second quarter of fiscal year 2023, we completed an investment in an entity specializing in applying artificial intelligence-powered screening and diagnostic tools to retinal imaging. In the second quarter of fiscal year 2024, we invested an additional $0.5 million in the entity. As of June 29, 2024, we have invested a total of $2.3 million in the entity. We have agreed to invest up to an additional $1.0 million in the entity upon the completion of certain milestones. The investment is recognized in Other assets in the Condensed Consolidated Balance Sheets as of June 29, 2024 and in Other in the investing section of the Condensed Consolidated Statements of Cash Flows for the six months ended June 29, 2024. The investment is valued at cost less impairment.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ASC 205-20 “Presentation of Financial Statements: Discontinued Operations,” a disposal of a component of an entity or a group of components of an entity is required to be reported as discontinued operations if the disposal represents a strategic shift that has (or will have) a major effect on an entity’s operations and financial results. In the period in which the component meets held-for-sale or discontinued operations criteria, the major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current assets, non-current assets, current liabilities, and non-current liabilities shall be reported as components of total assets and liabilities separate from those balances of the continuing operations.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related to Walmart, including our former Legacy reportable segment, as well as the majority of our AC Lens operations, met the requirements to be classified as discontinued operations as of June 29, 2024. Accordingly, we classified the results of these operations as discontinued operations in the condensed consolidated statements of operations for all periods presented. The results of all discontinued operations, less applicable income taxes, are reported as components of net income separate from the net income of continuing operations, and certain assets and liabilities associated with these operations were classified as assets and liabilities of discontinued operations in the Condensed Consolidated Balance Sheets for the periods presented. Additionally, the cash flows and comprehensive income of discontinued operations have not been segregated and are included in the interim Condensed Consolidated Statements of Cash Flows and Condensed Consolidated Statements of Operations and Comprehensive Income, respectively, for all periods presented. All amounts included in the notes to the unaudited condensed consolidated financial statements relate to continuing operations unless otherwise noted. For additional information, see Note 2. “Discontinued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Adoption of Accounting Pronouncements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Reference Rate Reform. </w:t>
      </w:r>
      <w:r>
        <w:rPr>
          <w:rFonts w:ascii="Times New Roman" w:cs="Times New Roman" w:eastAsia="Times New Roman" w:hAnsi="Times New Roman"/>
          <w:sz w:val="18"/>
          <w:szCs w:val="18"/>
          <w:color w:val="auto"/>
        </w:rPr>
        <w:t>The Financial Accounting Standards Board (“FASB”) has issued guidance at various points over the last several years that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optional expedients and exceptions for applying U.S. GAAP to contracts, hedging relationships, and other transactions that may be affected by the cessation of the London Inter-bank Offered Rate (“LIBOR”). We are currently able to apply this new guidance for contract modifications as of any date from the beginning of an interim period that includes or is subsequent to March 12, 2020 through December 31, 2024. Refer to Note 7. “Interest Rate Derivatives” for more information on our transition from LIBOR to Term Secured Overnight Financing Rate (“Term SOFR”).</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 November 2023, the FASB issued Accounting Standards Update ASU 2023-07, Segment Reporting (Topic 280): Improvements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Reportable Segment Disclosures. This update provides, among other things, enhanced segment disclosure requirements including disclosures about significant segment expenses. This ASU is effective for fiscal years beginning after December 15, 2023, and interim periods within fiscal years beginning after December 15, 2024, and requires retrospective application to all prior periods presented in the financial statements. The Company is currently evaluating the impact of the guidance on the consolidated financial statements and disclosures.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 December 2023, the FASB issued ASU 2023-09, Income Taxes (Topic 740): Improvements to Income Tax Disclosures (“ASU 2023-09”).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ASU 2023-09 is effective for fiscal years beginning after December 15, 2024, and for interim periods within fiscal years beginning after December 15, 2025. The Company is currently evaluating the impact of the guidance on the consolidated financial statements and disclosures.</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Enhancement and Standardization of Climate-Related Disclosures for Investors. </w:t>
      </w:r>
      <w:r>
        <w:rPr>
          <w:rFonts w:ascii="Times New Roman" w:cs="Times New Roman" w:eastAsia="Times New Roman" w:hAnsi="Times New Roman"/>
          <w:sz w:val="18"/>
          <w:szCs w:val="18"/>
          <w:color w:val="auto"/>
        </w:rPr>
        <w:t>In March 2024, the SEC issued its final rule on the enhancement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standardization of climate-related disclosures for investors. Subsequent to issuance, the rule became the subject of litigation, and the SEC has issued a stay to allow the legal process to proceed. Unless legal challenges to the rule prevail or the effective date is delayed, this rule will require registrants to disclose certain climate-related information in registration statements and annual reports, and the revisions to Regulation S-X (including disclosure related to severe weather events and other natural conditions) would apply to the Company’s financial statements beginning with the Company’s fiscal year 2025. The Company is currently evaluating the rule to determine the impact on its consolidated financial statements and disclosures.</w:t>
      </w:r>
    </w:p>
    <w:p>
      <w:pPr>
        <w:spacing w:after="0" w:line="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FASB issued other accounting guidance during the period that is not currently applicable or expected to have a material impact on the Company’s financial statements, and therefore, is not described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Discontinued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20, 2023, the Company received a notice of non-renewal from Walmart of the Management &amp; Services Agreement by and between NVI and Walmart, dated as of May 1, 2012 (as amended, supplemented or otherwise modified from time to time, the “Walmart MSA”). In accordance with the terms of the Walmart MSA and the notice, the agreement terminated as of February 23, 2024 (the “Termination Date”). In connection with the termination of the Walmart MSA, the Amended and Restated Supplier Agreement between NVI and Walmart, dated as of January 17, 2017; the agreement between FirstSight Vision Services, Inc. (“FirstSight”), a wholly-owned subsidiary of the Company, and Walmart, which arranged for the provision by FirstSight of optometric services at optometric offices next to certain Walmart stores throughout California; and certain other related agreements also</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terminated as of the Termination Date. The Walmart MSA includes provisions governing the transition period and post-termination obligations of the parties.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 Lens delivered notices of non-renewal of the agreements it has with Walmart and its affiliate Sam’s Club regarding wholesale contact lenses distribution and related services, such that these agreements terminated during the three months ended June 29, 2024, and the Company wound down the majority of AC Lens operations, including the closure of its Ohio distribution center, which largely supported the wholesale distribution and e-commerce contact lens services that the Company provided to Walmart and Sam’s Club.</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29, 2024, we recorded $2.9 million and $5.7 million, respectively, of net expense associated with the termination of the Walmart MSA and wind down of AC Lens, which consisted of employee compensation benefits, early termination fees, and other exit related costs. These charges were recorded in both Selling, general, and administrative expenses and Costs applicable to revenue for discontinued operations.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that we will incur approximately $2 million during the rest of fiscal year 2024 related to the termination of the Walmart MSA and wind down of AC Lens.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termination of the Walmart MSA and wind down of AC Lens operations, our former Legacy reportable segment and certain other results previously included in our Corporate/Other and Reconciliations categories, met the criteria to be presented as discontinued operations as of June 29, 2024. Accordingly, the assets and liabilities and results of operations of the discontinued operations have been presented in the tables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3. “Details of Cost Savings Plan” for more information on the cost savings plan related to our continuing operations.</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Major classes of assets and liabilities related to discontinued operations are presented in the table below. We have retained working capital and deferred tax balances related to discontinued operations; consequently, these items are not part of the disposal group.</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As of</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6560" w:type="dxa"/>
            <w:vAlign w:val="bottom"/>
            <w:tcBorders>
              <w:bottom w:val="single" w:sz="8" w:color="CCEEFF"/>
            </w:tcBorders>
            <w:vMerge w:val="continue"/>
          </w:tcPr>
          <w:p>
            <w:pPr>
              <w:spacing w:after="0"/>
              <w:rPr>
                <w:sz w:val="21"/>
                <w:szCs w:val="21"/>
                <w:color w:val="auto"/>
              </w:rPr>
            </w:pPr>
          </w:p>
        </w:tc>
        <w:tc>
          <w:tcPr>
            <w:tcW w:w="1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June 29, 2024</w:t>
            </w:r>
          </w:p>
        </w:tc>
        <w:tc>
          <w:tcPr>
            <w:tcW w:w="4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2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 of use assets</w:t>
            </w:r>
          </w:p>
        </w:tc>
        <w:tc>
          <w:tcPr>
            <w:tcW w:w="1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820" w:type="dxa"/>
            <w:vAlign w:val="bottom"/>
          </w:tcPr>
          <w:p>
            <w:pPr>
              <w:spacing w:after="0"/>
              <w:rPr>
                <w:sz w:val="19"/>
                <w:szCs w:val="19"/>
                <w:color w:val="auto"/>
              </w:rPr>
            </w:pP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noncurrent assets of discontinued operations</w:t>
            </w:r>
          </w:p>
        </w:tc>
        <w:tc>
          <w:tcPr>
            <w:tcW w:w="1820" w:type="dxa"/>
            <w:vAlign w:val="bottom"/>
            <w:tcBorders>
              <w:top w:val="single" w:sz="8" w:color="auto"/>
            </w:tcBorders>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70"/>
        </w:trPr>
        <w:tc>
          <w:tcPr>
            <w:tcW w:w="65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182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 of discontinued operations</w:t>
            </w:r>
          </w:p>
        </w:tc>
        <w:tc>
          <w:tcPr>
            <w:tcW w:w="1820" w:type="dxa"/>
            <w:vAlign w:val="bottom"/>
            <w:tcBorders>
              <w:top w:val="single" w:sz="8" w:color="auto"/>
            </w:tcBorders>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income (loss) from discontinued operations, net of tax: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709"/>
        </w:trPr>
        <w:tc>
          <w:tcPr>
            <w:tcW w:w="1280" w:type="dxa"/>
            <w:vAlign w:val="bottom"/>
            <w:tcBorders>
              <w:top w:val="single" w:sz="8" w:color="0000FF"/>
            </w:tcBorders>
          </w:tcPr>
          <w:p>
            <w:pPr>
              <w:spacing w:after="0"/>
              <w:rPr>
                <w:sz w:val="24"/>
                <w:szCs w:val="24"/>
                <w:color w:val="auto"/>
              </w:rPr>
            </w:pPr>
          </w:p>
        </w:tc>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24"/>
                <w:szCs w:val="24"/>
                <w:color w:val="auto"/>
              </w:rPr>
            </w:pPr>
          </w:p>
        </w:tc>
        <w:tc>
          <w:tcPr>
            <w:tcW w:w="308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June 29, 2024</w:t>
            </w: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July 1, 2023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June 29, 2024</w:t>
            </w: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July 1, 2023</w:t>
            </w:r>
          </w:p>
        </w:tc>
      </w:tr>
      <w:tr>
        <w:trPr>
          <w:trHeight w:val="210"/>
        </w:trPr>
        <w:tc>
          <w:tcPr>
            <w:tcW w:w="4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29"/>
        </w:trPr>
        <w:tc>
          <w:tcPr>
            <w:tcW w:w="4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product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127,070</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165,353</w:t>
            </w:r>
          </w:p>
        </w:tc>
      </w:tr>
      <w:tr>
        <w:trPr>
          <w:trHeight w:val="229"/>
        </w:trPr>
        <w:tc>
          <w:tcPr>
            <w:tcW w:w="4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25,758</w:t>
            </w:r>
          </w:p>
        </w:tc>
      </w:tr>
      <w:tr>
        <w:trPr>
          <w:trHeight w:val="223"/>
        </w:trPr>
        <w:tc>
          <w:tcPr>
            <w:tcW w:w="4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net revenue</w:t>
            </w: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93,554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131,583</w:t>
            </w: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191,111</w:t>
            </w:r>
          </w:p>
        </w:tc>
      </w:tr>
      <w:tr>
        <w:trPr>
          <w:trHeight w:val="176"/>
        </w:trPr>
        <w:tc>
          <w:tcPr>
            <w:tcW w:w="4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43"/>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0"/>
        </w:trPr>
        <w:tc>
          <w:tcPr>
            <w:tcW w:w="4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109,528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123,180</w:t>
            </w:r>
          </w:p>
        </w:tc>
      </w:tr>
      <w:tr>
        <w:trPr>
          <w:trHeight w:val="229"/>
        </w:trPr>
        <w:tc>
          <w:tcPr>
            <w:tcW w:w="4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w:t>
            </w:r>
          </w:p>
        </w:tc>
      </w:tr>
      <w:tr>
        <w:trPr>
          <w:trHeight w:val="22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112,290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135,442</w:t>
            </w:r>
          </w:p>
        </w:tc>
      </w:tr>
      <w:tr>
        <w:trPr>
          <w:trHeight w:val="22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4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42,293</w:t>
            </w:r>
          </w:p>
        </w:tc>
      </w:tr>
      <w:tr>
        <w:trPr>
          <w:trHeight w:val="230"/>
        </w:trPr>
        <w:tc>
          <w:tcPr>
            <w:tcW w:w="4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w:t>
            </w:r>
          </w:p>
        </w:tc>
      </w:tr>
      <w:tr>
        <w:trPr>
          <w:trHeight w:val="229"/>
        </w:trPr>
        <w:tc>
          <w:tcPr>
            <w:tcW w:w="4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Asset impairment</w:t>
            </w:r>
          </w:p>
        </w:tc>
        <w:tc>
          <w:tcPr>
            <w:tcW w:w="1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4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46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24,475</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47,993</w:t>
            </w:r>
          </w:p>
        </w:tc>
      </w:tr>
      <w:tr>
        <w:trPr>
          <w:trHeight w:val="156"/>
        </w:trPr>
        <w:tc>
          <w:tcPr>
            <w:tcW w:w="466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Earnings (loss) from discontinued operations before income</w:t>
            </w:r>
          </w:p>
        </w:tc>
        <w:tc>
          <w:tcPr>
            <w:tcW w:w="1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243"/>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16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w:t>
            </w:r>
          </w:p>
        </w:tc>
      </w:tr>
      <w:tr>
        <w:trPr>
          <w:trHeight w:val="223"/>
        </w:trPr>
        <w:tc>
          <w:tcPr>
            <w:tcW w:w="4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 (benefit) from discontinued operations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r>
      <w:tr>
        <w:trPr>
          <w:trHeight w:val="248"/>
        </w:trPr>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significant non-cash items and cash flows from investing activities related to discontinued operations: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Six Months Ended</w:t>
            </w:r>
          </w:p>
        </w:tc>
        <w:tc>
          <w:tcPr>
            <w:tcW w:w="1620" w:type="dxa"/>
            <w:vAlign w:val="bottom"/>
            <w:tcBorders>
              <w:bottom w:val="single" w:sz="8" w:color="auto"/>
            </w:tcBorders>
          </w:tcPr>
          <w:p>
            <w:pPr>
              <w:spacing w:after="0"/>
              <w:rPr>
                <w:sz w:val="20"/>
                <w:szCs w:val="20"/>
                <w:color w:val="auto"/>
              </w:rPr>
            </w:pPr>
          </w:p>
        </w:tc>
      </w:tr>
      <w:tr>
        <w:trPr>
          <w:trHeight w:val="223"/>
        </w:trPr>
        <w:tc>
          <w:tcPr>
            <w:tcW w:w="656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June 29, 2024</w:t>
            </w: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July 1, 2023</w:t>
            </w:r>
          </w:p>
        </w:tc>
      </w:tr>
      <w:tr>
        <w:trPr>
          <w:trHeight w:val="21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6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 adjustments</w:t>
            </w:r>
          </w:p>
        </w:tc>
        <w:tc>
          <w:tcPr>
            <w:tcW w:w="1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6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234"/>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Details of Cost Savings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discontinued operations, the Company implemented a cost savings plan that included optimizing non-customer facing labor costs, as well as reducing travel expenses and third-party spend. We have incurred $1.9 million since the inception of the cost savings plan, which is included within our continuing operations results. The plan has been substantially completed and we do not anticipate additional material costs related to this plan. The liability related to this plan is recorded in Other payables and accrued expenses in the Condensed Consolidated Balance Sheets. Some remaining payments are not anticipated to occur until fiscal year 2025. This disclosure excludes the impact of the Walmart partnership termination and wind down of AC Lens operations, which are currently presented under discontinued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736"/>
        </w:trPr>
        <w:tc>
          <w:tcPr>
            <w:tcW w:w="1280" w:type="dxa"/>
            <w:vAlign w:val="bottom"/>
            <w:tcBorders>
              <w:top w:val="single" w:sz="8" w:color="0000FF"/>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0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Employee Compensation Benefits</w:t>
            </w:r>
          </w:p>
        </w:tc>
      </w:tr>
      <w:tr>
        <w:trPr>
          <w:trHeight w:val="237"/>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30, 2023</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57"/>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Expenses recognized during the period</w:t>
            </w:r>
          </w:p>
        </w:tc>
        <w:tc>
          <w:tcPr>
            <w:tcW w:w="420" w:type="dxa"/>
            <w:vAlign w:val="bottom"/>
          </w:tcPr>
          <w:p>
            <w:pPr>
              <w:spacing w:after="0"/>
              <w:rPr>
                <w:sz w:val="22"/>
                <w:szCs w:val="22"/>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57"/>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during the period</w:t>
            </w:r>
          </w:p>
        </w:tc>
        <w:tc>
          <w:tcPr>
            <w:tcW w:w="420" w:type="dxa"/>
            <w:vAlign w:val="bottom"/>
            <w:tcBorders>
              <w:bottom w:val="single" w:sz="8" w:color="auto"/>
            </w:tcBorders>
            <w:shd w:val="clear" w:color="auto" w:fill="CCEEFF"/>
          </w:tcPr>
          <w:p>
            <w:pPr>
              <w:spacing w:after="0"/>
              <w:rPr>
                <w:sz w:val="22"/>
                <w:szCs w:val="22"/>
                <w:color w:val="auto"/>
              </w:rPr>
            </w:pPr>
          </w:p>
        </w:tc>
        <w:tc>
          <w:tcPr>
            <w:tcW w:w="3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23"/>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June 29, 2024</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3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1"/>
        </w:trPr>
        <w:tc>
          <w:tcPr>
            <w:tcW w:w="12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benefits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29, 2024, we recognized $0.1 million in Selling, general and administrative expenses in the Condensed Consolidated Statements of Operations and Comprehensive Income, in the Corporate/Other category, related to termination benefits for certain associates.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Details of Certain Balance Sheet Accounts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reported within the Condensed Consolidated Balance sheets to the total of Cash, cash equivalents and restricted cash shown in the Condensed Consolidated Statement of Cash Flows: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1720" w:type="dxa"/>
            <w:vAlign w:val="bottom"/>
            <w:tcBorders>
              <w:bottom w:val="single" w:sz="8" w:color="auto"/>
            </w:tcBorders>
          </w:tcPr>
          <w:p>
            <w:pPr>
              <w:spacing w:after="0"/>
              <w:rPr>
                <w:sz w:val="20"/>
                <w:szCs w:val="20"/>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Pr>
          <w:p>
            <w:pPr>
              <w:spacing w:after="0"/>
              <w:rPr>
                <w:sz w:val="19"/>
                <w:szCs w:val="19"/>
                <w:color w:val="auto"/>
              </w:rPr>
            </w:pPr>
          </w:p>
        </w:tc>
        <w:tc>
          <w:tcPr>
            <w:tcW w:w="21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June 29, 2024</w:t>
            </w:r>
          </w:p>
        </w:tc>
        <w:tc>
          <w:tcPr>
            <w:tcW w:w="680" w:type="dxa"/>
            <w:vAlign w:val="bottom"/>
          </w:tcPr>
          <w:p>
            <w:pPr>
              <w:spacing w:after="0"/>
              <w:rPr>
                <w:sz w:val="19"/>
                <w:szCs w:val="19"/>
                <w:color w:val="auto"/>
              </w:rPr>
            </w:pPr>
          </w:p>
        </w:tc>
        <w:tc>
          <w:tcPr>
            <w:tcW w:w="17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July 1, 2023</w:t>
            </w:r>
          </w:p>
        </w:tc>
      </w:tr>
      <w:tr>
        <w:trPr>
          <w:trHeight w:val="209"/>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40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30"/>
        </w:trPr>
        <w:tc>
          <w:tcPr>
            <w:tcW w:w="6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179,515</w:t>
            </w:r>
          </w:p>
        </w:tc>
        <w:tc>
          <w:tcPr>
            <w:tcW w:w="12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254,647</w:t>
            </w:r>
          </w:p>
        </w:tc>
      </w:tr>
      <w:tr>
        <w:trPr>
          <w:trHeight w:val="22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4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r>
      <w:tr>
        <w:trPr>
          <w:trHeight w:val="223"/>
        </w:trPr>
        <w:tc>
          <w:tcPr>
            <w:tcW w:w="62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180,992</w:t>
            </w: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255,984</w:t>
            </w:r>
          </w:p>
        </w:tc>
      </w:tr>
      <w:tr>
        <w:trPr>
          <w:trHeight w:val="20"/>
        </w:trPr>
        <w:tc>
          <w:tcPr>
            <w:tcW w:w="6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additional details of certain balance sheet accounts as of the dates shown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As of</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6320" w:type="dxa"/>
            <w:vAlign w:val="bottom"/>
            <w:tcBorders>
              <w:bottom w:val="single" w:sz="8" w:color="CCEEFF"/>
            </w:tcBorders>
            <w:vMerge w:val="continue"/>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June 29, 2024</w:t>
            </w: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receivables</w:t>
            </w:r>
          </w:p>
        </w:tc>
        <w:tc>
          <w:tcPr>
            <w:tcW w:w="176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29,096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43,518</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card receivables</w:t>
            </w:r>
          </w:p>
        </w:tc>
        <w:tc>
          <w:tcPr>
            <w:tcW w:w="1760" w:type="dxa"/>
            <w:vAlign w:val="bottom"/>
            <w:shd w:val="clear" w:color="auto" w:fill="CCEEFF"/>
          </w:tcPr>
          <w:p>
            <w:pPr>
              <w:spacing w:after="0"/>
              <w:rPr>
                <w:sz w:val="19"/>
                <w:szCs w:val="19"/>
                <w:color w:val="auto"/>
              </w:rPr>
            </w:pP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16,879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27,905</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receivables </w:t>
            </w:r>
            <w:r>
              <w:rPr>
                <w:rFonts w:ascii="Times New Roman" w:cs="Times New Roman" w:eastAsia="Times New Roman" w:hAnsi="Times New Roman"/>
                <w:sz w:val="23"/>
                <w:szCs w:val="23"/>
                <w:color w:val="auto"/>
                <w:vertAlign w:val="superscript"/>
              </w:rPr>
              <w:t>(1)</w:t>
            </w:r>
          </w:p>
        </w:tc>
        <w:tc>
          <w:tcPr>
            <w:tcW w:w="176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16,451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7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28"/>
        </w:trPr>
        <w:tc>
          <w:tcPr>
            <w:tcW w:w="6320" w:type="dxa"/>
            <w:vAlign w:val="bottom"/>
          </w:tcPr>
          <w:p>
            <w:pPr>
              <w:spacing w:after="0"/>
              <w:rPr>
                <w:sz w:val="19"/>
                <w:szCs w:val="19"/>
                <w:color w:val="auto"/>
              </w:rPr>
            </w:pPr>
          </w:p>
        </w:tc>
        <w:tc>
          <w:tcPr>
            <w:tcW w:w="176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61,068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-2540</wp:posOffset>
            </wp:positionV>
            <wp:extent cx="31286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(1) Includes Coronavirus Aid, Relief, and Economic Security (“CARES”) Act receivable in the amount of $9.0 million as of June 29, 2024 and December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-86995</wp:posOffset>
            </wp:positionV>
            <wp:extent cx="31286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As of</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6320" w:type="dxa"/>
            <w:vAlign w:val="bottom"/>
            <w:tcBorders>
              <w:bottom w:val="single" w:sz="8" w:color="CCEEFF"/>
            </w:tcBorders>
            <w:vMerge w:val="continue"/>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June 29, 2024</w:t>
            </w: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Raw materials and work in process </w:t>
            </w:r>
            <w:r>
              <w:rPr>
                <w:rFonts w:ascii="Times New Roman" w:cs="Times New Roman" w:eastAsia="Times New Roman" w:hAnsi="Times New Roman"/>
                <w:sz w:val="23"/>
                <w:szCs w:val="23"/>
                <w:color w:val="auto"/>
                <w:vertAlign w:val="superscript"/>
              </w:rPr>
              <w:t>(1)</w:t>
            </w:r>
          </w:p>
        </w:tc>
        <w:tc>
          <w:tcPr>
            <w:tcW w:w="176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57,367</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17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62,541</w:t>
            </w:r>
          </w:p>
        </w:tc>
        <w:tc>
          <w:tcPr>
            <w:tcW w:w="0" w:type="dxa"/>
            <w:vAlign w:val="bottom"/>
          </w:tcPr>
          <w:p>
            <w:pPr>
              <w:spacing w:after="0"/>
              <w:rPr>
                <w:sz w:val="1"/>
                <w:szCs w:val="1"/>
                <w:color w:val="auto"/>
              </w:rPr>
            </w:pPr>
          </w:p>
        </w:tc>
      </w:tr>
      <w:tr>
        <w:trPr>
          <w:trHeight w:val="228"/>
        </w:trPr>
        <w:tc>
          <w:tcPr>
            <w:tcW w:w="6320" w:type="dxa"/>
            <w:vAlign w:val="bottom"/>
          </w:tcPr>
          <w:p>
            <w:pPr>
              <w:spacing w:after="0"/>
              <w:rPr>
                <w:sz w:val="19"/>
                <w:szCs w:val="19"/>
                <w:color w:val="auto"/>
              </w:rPr>
            </w:pPr>
          </w:p>
        </w:tc>
        <w:tc>
          <w:tcPr>
            <w:tcW w:w="176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90,956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-2540</wp:posOffset>
            </wp:positionV>
            <wp:extent cx="31286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ind w:left="260" w:right="20" w:hanging="234"/>
        <w:spacing w:after="0" w:line="261" w:lineRule="auto"/>
        <w:tabs>
          <w:tab w:leader="none" w:pos="25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-207010</wp:posOffset>
            </wp:positionV>
            <wp:extent cx="31286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80" w:type="dxa"/>
            <w:vAlign w:val="bottom"/>
            <w:tcBorders>
              <w:top w:val="single" w:sz="8" w:color="0000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04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As of</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1280" w:type="dxa"/>
            <w:vAlign w:val="bottom"/>
            <w:tcBorders>
              <w:bottom w:val="single" w:sz="8" w:color="CCEEFF"/>
            </w:tcBorders>
            <w:vMerge w:val="continue"/>
          </w:tcPr>
          <w:p>
            <w:pPr>
              <w:spacing w:after="0"/>
              <w:rPr>
                <w:sz w:val="21"/>
                <w:szCs w:val="21"/>
                <w:color w:val="auto"/>
              </w:rPr>
            </w:pPr>
          </w:p>
        </w:tc>
        <w:tc>
          <w:tcPr>
            <w:tcW w:w="5040" w:type="dxa"/>
            <w:vAlign w:val="bottom"/>
            <w:tcBorders>
              <w:bottom w:val="single" w:sz="8" w:color="CCEEFF"/>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9"/>
              </w:rPr>
              <w:t>June 29, 2024</w:t>
            </w:r>
          </w:p>
        </w:tc>
        <w:tc>
          <w:tcPr>
            <w:tcW w:w="6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8"/>
              </w:rPr>
              <w:t>December 30, 2023</w:t>
            </w: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payables and accrued expenses:</w:t>
            </w:r>
          </w:p>
        </w:tc>
        <w:tc>
          <w:tcPr>
            <w:tcW w:w="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Associate compensation and benefits</w:t>
            </w:r>
          </w:p>
        </w:tc>
        <w:tc>
          <w:tcPr>
            <w:tcW w:w="1720" w:type="dxa"/>
            <w:vAlign w:val="bottom"/>
            <w:gridSpan w:val="2"/>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62,614</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Self-insurance liabilities</w:t>
            </w:r>
          </w:p>
        </w:tc>
        <w:tc>
          <w:tcPr>
            <w:tcW w:w="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0" w:type="dxa"/>
            <w:vAlign w:val="bottom"/>
          </w:tcPr>
          <w:p>
            <w:pPr>
              <w:spacing w:after="0"/>
              <w:rPr>
                <w:sz w:val="1"/>
                <w:szCs w:val="1"/>
                <w:color w:val="auto"/>
              </w:rPr>
            </w:pPr>
          </w:p>
        </w:tc>
      </w:tr>
      <w:tr>
        <w:trPr>
          <w:trHeight w:val="230"/>
        </w:trPr>
        <w:tc>
          <w:tcPr>
            <w:tcW w:w="6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0" w:type="dxa"/>
            <w:vAlign w:val="bottom"/>
          </w:tcPr>
          <w:p>
            <w:pPr>
              <w:spacing w:after="0"/>
              <w:rPr>
                <w:sz w:val="1"/>
                <w:szCs w:val="1"/>
                <w:color w:val="auto"/>
              </w:rPr>
            </w:pPr>
          </w:p>
        </w:tc>
      </w:tr>
      <w:tr>
        <w:trPr>
          <w:trHeight w:val="229"/>
        </w:trPr>
        <w:tc>
          <w:tcPr>
            <w:tcW w:w="6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Reserves for customer returns and remakes</w:t>
            </w: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Payable to Walmart</w:t>
            </w:r>
          </w:p>
        </w:tc>
        <w:tc>
          <w:tcPr>
            <w:tcW w:w="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0" w:type="dxa"/>
            <w:vAlign w:val="bottom"/>
          </w:tcPr>
          <w:p>
            <w:pPr>
              <w:spacing w:after="0"/>
              <w:rPr>
                <w:sz w:val="1"/>
                <w:szCs w:val="1"/>
                <w:color w:val="auto"/>
              </w:rPr>
            </w:pPr>
          </w:p>
        </w:tc>
      </w:tr>
      <w:tr>
        <w:trPr>
          <w:trHeight w:val="229"/>
        </w:trPr>
        <w:tc>
          <w:tcPr>
            <w:tcW w:w="6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Supplies and other store support expenses</w:t>
            </w:r>
          </w:p>
        </w:tc>
        <w:tc>
          <w:tcPr>
            <w:tcW w:w="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0" w:type="dxa"/>
            <w:vAlign w:val="bottom"/>
          </w:tcPr>
          <w:p>
            <w:pPr>
              <w:spacing w:after="0"/>
              <w:rPr>
                <w:sz w:val="1"/>
                <w:szCs w:val="1"/>
                <w:color w:val="auto"/>
              </w:rPr>
            </w:pPr>
          </w:p>
        </w:tc>
      </w:tr>
      <w:tr>
        <w:trPr>
          <w:trHeight w:val="229"/>
        </w:trPr>
        <w:tc>
          <w:tcPr>
            <w:tcW w:w="6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Litigation settlements (See Note 11)</w:t>
            </w: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16,719</w:t>
            </w: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720" w:type="dxa"/>
            <w:vAlign w:val="bottom"/>
            <w:tcBorders>
              <w:bottom w:val="single" w:sz="8" w:color="auto"/>
            </w:tcBorders>
            <w:gridSpan w:val="2"/>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110,004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123,288</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24"/>
                <w:szCs w:val="24"/>
                <w:color w:val="auto"/>
              </w:rPr>
            </w:pPr>
          </w:p>
        </w:tc>
        <w:tc>
          <w:tcPr>
            <w:tcW w:w="17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As of</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6320" w:type="dxa"/>
            <w:vAlign w:val="bottom"/>
            <w:tcBorders>
              <w:bottom w:val="single" w:sz="8" w:color="CCEEFF"/>
            </w:tcBorders>
            <w:gridSpan w:val="2"/>
            <w:vMerge w:val="continue"/>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9"/>
              </w:rPr>
              <w:t>June 29, 2024</w:t>
            </w:r>
          </w:p>
        </w:tc>
        <w:tc>
          <w:tcPr>
            <w:tcW w:w="6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8"/>
              </w:rPr>
              <w:t>December 30, 2023</w:t>
            </w: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Self-insurance liabilities</w:t>
            </w:r>
          </w:p>
        </w:tc>
        <w:tc>
          <w:tcPr>
            <w:tcW w:w="172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Derivatives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as assets or liabilities at fair value the estimated amounts we would receive or pay upon a termination of interest rate derivatives prior to their scheduled expiration dates. The fair value is based on information that is model-driven and whose inputs were observable (Level 2 inputs) such as Term SOFR forward rates. See Note 7. “Interest Rate Derivatives” for further details.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Long-lived and ROU Store Assets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impairments of $3.5 million and $4.0 million during the three and six months ended June 29, 2024, respectively, and $0.9 million and $1.2 million during the three and six months ended July 1, 2023, respectively, related to our long-lived tangible store assets and ROU assets. The cash flows used in estimating fair value were discounted using market rates of 11.5%. A decrease in the estimated cash flows would lead to a lower fair value measurement, as would an increase in the discount rate. These non-recurring fair value measurements are classified as Level 3 measurements in the fair value hierarchy. The estimated remaining fair value of the assets impaired during the six months ended June 29, 2024 and July 1, 2023 was $0.5 million and $1.0 million, respectively; the estimated remaining fair values include amounts estimated at various dates during the related fiscal years. Substantially all of the remaining fair value of the impaired store assets represents the fair value of ROU assets.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fair value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Long-term Debt - Term Loan A and Revolving Loans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borrowings under the $142.5 million outstanding principal first lien term loan (“Term Loan A”) and revolving credit loans in an aggregate principal amount of $300.0 million (the “Revolving Loans”) utilize variable interest rate setting mechanisms such as Term SOFR, the fair values of these borrowings are deemed to approximate the carrying values. We also considered the effect of our own credit risk on the fair values of Term Loan A and Revolving Loans. Refer to Note 6. “Long-term Debt” for more information on these borrowings.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Long-term Debt - 2025 Notes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$302.5 million in aggregate principal amount of 2.50% convertible senior notes due on May 15, 2025 (the “2025 Notes”) issued and outstanding as of June 29, 2024. Refer to Note 6. “Long-term Debt” for more</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on the 2025 Notes. The estimated fair value of the 2025 Notes was approximately $290.5 million and $303.3 million as of June 29, 2024 and December 30, 2023, respectively. The estimated fair value of the 2025 Notes is based on the prices the 2025 Notes have traded in the market as well as overall market conditions on the date of valuation, stated coupon rates, the number of coupon payments each year and the maturity dates, and represents a Level 2 measurement in the fair value hierarchy. Refer to Note 6. “Long-term Debt” for more information on the 2025 Notes.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Long-term Debt</w:t>
            </w: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24"/>
                <w:szCs w:val="24"/>
                <w:color w:val="auto"/>
              </w:rPr>
            </w:pPr>
          </w:p>
        </w:tc>
        <w:tc>
          <w:tcPr>
            <w:tcW w:w="19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680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June 29, 2024</w:t>
            </w:r>
          </w:p>
        </w:tc>
        <w:tc>
          <w:tcPr>
            <w:tcW w:w="240" w:type="dxa"/>
            <w:vAlign w:val="bottom"/>
          </w:tcPr>
          <w:p>
            <w:pPr>
              <w:spacing w:after="0"/>
              <w:rPr>
                <w:sz w:val="21"/>
                <w:szCs w:val="21"/>
                <w:color w:val="auto"/>
              </w:rPr>
            </w:pPr>
          </w:p>
        </w:tc>
        <w:tc>
          <w:tcPr>
            <w:tcW w:w="1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Notes, due May 15, 2025</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302,497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302,497</w:t>
            </w: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A, due June 13, 2028</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146,250</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Loans, due June 13, 2028</w:t>
            </w:r>
          </w:p>
        </w:tc>
        <w:tc>
          <w:tcPr>
            <w:tcW w:w="34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before unamortized discount and issuance costs</w:t>
            </w:r>
          </w:p>
        </w:tc>
        <w:tc>
          <w:tcPr>
            <w:tcW w:w="34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444,997</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448,747</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 and issuance costs - 2025 Notes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discount and issuance costs - Term Loan A</w:t>
            </w: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debt discount and issuance costs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445,184</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(309,997)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 noncurrent portion</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437,684</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16,067</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156"/>
        </w:trPr>
        <w:tc>
          <w:tcPr>
            <w:tcW w:w="68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Long-term debt and finance lease obligations, less current portion, discount, and issuance</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143,927</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450,771</w:t>
            </w:r>
          </w:p>
        </w:tc>
        <w:tc>
          <w:tcPr>
            <w:tcW w:w="0" w:type="dxa"/>
            <w:vAlign w:val="bottom"/>
          </w:tcPr>
          <w:p>
            <w:pPr>
              <w:spacing w:after="0"/>
              <w:rPr>
                <w:sz w:val="1"/>
                <w:szCs w:val="1"/>
                <w:color w:val="auto"/>
              </w:rPr>
            </w:pPr>
          </w:p>
        </w:tc>
      </w:tr>
      <w:tr>
        <w:trPr>
          <w:trHeight w:val="221"/>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340" w:type="dxa"/>
            <w:vAlign w:val="bottom"/>
            <w:tcBorders>
              <w:bottom w:val="single" w:sz="8" w:color="auto"/>
            </w:tcBorders>
            <w:vMerge w:val="continue"/>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Scheduled annual maturities of debt are as follows:</w:t>
            </w: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68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Period</w:t>
            </w: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 remainder of fiscal year</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311,872</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116,250</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444,997</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covenants related to our long-term debt as of June 29, 2024.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Notes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Notes mature on May 15, 2025, and due to the upcoming maturity, we have reclassified the outstanding principal balance of $302.5 million from a noncurrent to a current liability in the accompanying Condensed Consolidated Balance Sheets as of June 29, 2024. As of June 29, 2024, the Company has $293.6 million of availability under its revolving credit facility, in addition to $179.5 million of cash on hand, which provides the Company with sufficient liquidity to repay the remaining balance of the 2025 Notes as they become due.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the following in Interest expense (income), net related to the 2025 Notes: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20"/>
                <w:szCs w:val="20"/>
                <w:color w:val="auto"/>
              </w:rPr>
            </w:pPr>
          </w:p>
        </w:tc>
        <w:tc>
          <w:tcPr>
            <w:tcW w:w="292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June 29, 2024</w:t>
            </w: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July 1, 2023</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June 29, 2024</w:t>
            </w: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July 1, 2023</w:t>
            </w:r>
          </w:p>
        </w:tc>
      </w:tr>
      <w:tr>
        <w:trPr>
          <w:trHeight w:val="223"/>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29, 2024, the remaining period for the unamortized debt issuance costs balance was approximately one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29, 2024, the stock price conditions under which the 2025 Notes can be converted at the holders’ option were not met.</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Interest Rate Derivatives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party to an interest rate collar to offset the variability of cash flows in Term SOFR-indexed debt interest payments. During the second quarter of 2023, we amended the reference rate of the collar from LIBOR to Term SOFR. The aggregate notional amount of the interest rate collar, which is not designated as a cash flow hedge, was $300.0 million as of June 29, 2024. The fair value of our interest rate collar instrument was an asset of $0.6 million, which is recorded in Prepaid expenses and other current assets as of June 29, 2024, and an asset of $5.6 million, which was recorded in Prepaid expenses and other current assets as of December 30, 2023. See Note 5. “Fair Value Measurement” for further details.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recognized (gains) losses on the change in fair value of the interest rate collar of $(0.1) million and $(0.5) million during the three and six months ended June 29, 2024, respectively, and $(2.8) million and $(2.3) million during the three and six months ended July 1, 2023, respectively. The interest rate collar matured on July 18, 2024.</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related to derivatives qualifying as hedges are included in the same section of the Consolidated Statements of Cash Flows as the underlying assets and liabilities being hedged. Cash flows during the six months ended June 29, 2024 and July 1, 2023 related to derivatives not qualifying as hedges were included in the operating section of the Condensed Consolidated Statements of Cash Flows and were immaterial.</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the fair value of the Company’s cash flow hedge derivative instruments from their inception are recorded in Accumulated other comprehensive loss (“AOCL”) if the instruments are deemed to be highly effective as cash flow hedges. As of June 29, 2024, the Company expects to reclassify less than $0.1 million of unrealized losses on derivative instruments, net of tax, from AOCL into earnings in the next 12 months as the derivative instruments mature.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 Incentive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12, 2024, the Company’s stockholders approved the amendment and restatement of the National Vision Holdings, Inc. 2017 Omnibus Incentive Plan (as amended and restated, the “2017 Omnibus Incentive Plan”), increasing the number of shares of common stock of the Company authorized for issuance under the 2017 Omnibus Incentive Plan by an additional 5.6 million shares.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29, 2024, the Company granted 297,032 performance-based restricted stock units (“PSUs”) and 558,161 time-based restricted stock units (“RSUs”) to eligible employees and non-employee directors under the 2017 Omnibus Incentive Plan and the 2014 Stock Incentive Plan for Key Employees of National Vision Holdings, Inc. (formerly known as Nautilus Parent, Inc.) and its Subsidiaries (the “2014 Stock Incentive Plan”). The PSUs granted in fiscal 2024 will be settled after the end of the performance period (i.e., cliff vesting), which begins on the first day of our 2024 fiscal year and ends on the last day of our 2026 fiscal year, and are based on the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achievement of certain performance targets. The RSUs granted in fiscal 2024 vest primarily in three equal annual installments.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 from Contracts with Customers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our revenues are recognized either at the point of sale or upon delivery and customer acceptance, paid for at the time of sale in cash, credit card, or on account with managed care payors having terms generally between 14 and 120 days, with most paying within 90 days. For sales of in-store non-prescription eyewear and related accessories, and paid eye exams, we recognize revenue at the point of sale. Our point in time revenues include 1) retail sales of prescription and non-prescription eyewear, contact lenses and related accessories to retail customers (including those covered by managed care) and 2) eye exams. Revenues recognized over time primarily include product protection plans (i.e. warranties) and eye care club memberships.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disaggregation of revenues depicts our revenue based on the timing of revenue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20"/>
                <w:szCs w:val="20"/>
                <w:color w:val="auto"/>
              </w:rPr>
            </w:pPr>
          </w:p>
        </w:tc>
        <w:tc>
          <w:tcPr>
            <w:tcW w:w="322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June 29, 2024</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July 1, 2023</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June 29, 2024</w:t>
            </w:r>
          </w:p>
        </w:tc>
        <w:tc>
          <w:tcPr>
            <w:tcW w:w="2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July 1, 2023</w:t>
            </w:r>
          </w:p>
        </w:tc>
      </w:tr>
      <w:tr>
        <w:trPr>
          <w:trHeight w:val="223"/>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recognized at a point in time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419,747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400,241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870,562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833,587</w:t>
            </w:r>
          </w:p>
        </w:tc>
      </w:tr>
      <w:tr>
        <w:trPr>
          <w:trHeight w:val="229"/>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Revenues recognized over time</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63,965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63,011</w:t>
            </w:r>
          </w:p>
        </w:tc>
      </w:tr>
      <w:tr>
        <w:trPr>
          <w:trHeight w:val="248"/>
        </w:trPr>
        <w:tc>
          <w:tcPr>
            <w:tcW w:w="4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896,598</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Note 12. “Segment Reporting” for the Company’s disaggregation of net revenue by reportable segment. As our reportable segment is aligned by similar economic factors, trends and customers, the reportable segment disaggregation view best depicts how the nature, amount and uncertainty of revenue and cash flows are affected by economic factors.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reductions in revenue for estimated price concessions granted to managed care providers. The Company considers its revenue from managed care customers to include variable consideration and estimates such amounts associated with managed care customer revenues using the history of concessions provided and cash receipts from managed care providers. We reduced our net revenue for variable consideration of $3.1 million and $3.5 million during the three months ended June 29, 2024 and July 1, 2023, respectively, and $7.0 million and $7.1 million during the six months ended June 29, 2024 and July 1, 2023, respectively.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Credit loss expense recognized on our receivables, which is presented in SG&amp;A expenses in the Company’s Condensed Consolidated Statements of Operations, was $0.1 million and $0.2 million for the three months ended June 29, 2024 and July 1, 2023, respectively, and $0.2 million and $0.3 million for the six months ended June 29, 2024 and July 1, 2023,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Unsatisfied Performance Obligations (Contract Liabilities)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29, 2024 and July 1, 2023, we recognized $23.1 million and $23.0 million, respectively, of deferred revenues outstanding at the beginning of each respective period. During the six months ended June 29, 2024 and July 1, 2023, we recognized $41.2 million and $40.4 million, respectively, of deferred revenues outstanding at the beginning of each respective period.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deferred revenue balance as of June 29, 2024 and December 30, 2023 was $86.3 million and $84.3 million, respectively. We expect future revenue recognition of the June 29, 2024 balance of $50.6 million, $23.3 million, $10.9 million and $1.5 million in fiscal years 2024, 2025, 2026 and 2027,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669"/>
        </w:trPr>
        <w:tc>
          <w:tcPr>
            <w:tcW w:w="12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10. Leases</w:t>
            </w:r>
          </w:p>
        </w:tc>
        <w:tc>
          <w:tcPr>
            <w:tcW w:w="3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9"/>
        </w:trPr>
        <w:tc>
          <w:tcPr>
            <w:tcW w:w="7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Our lease costs for the three and six months ended June 29, 2024 and July 1, 2023 were as follows:</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7"/>
        </w:trPr>
        <w:tc>
          <w:tcPr>
            <w:tcW w:w="124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8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22"/>
                <w:szCs w:val="22"/>
                <w:color w:val="auto"/>
              </w:rPr>
            </w:pPr>
          </w:p>
        </w:tc>
        <w:tc>
          <w:tcPr>
            <w:tcW w:w="324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June 29, 2024</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July 1, 2023</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June 29, 2024</w:t>
            </w: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July 1, 2023</w:t>
            </w:r>
          </w:p>
        </w:tc>
      </w:tr>
      <w:tr>
        <w:trPr>
          <w:trHeight w:val="210"/>
        </w:trPr>
        <w:tc>
          <w:tcPr>
            <w:tcW w:w="4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cost</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9"/>
        </w:trPr>
        <w:tc>
          <w:tcPr>
            <w:tcW w:w="45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Fixed lease cost </w:t>
            </w:r>
            <w:r>
              <w:rPr>
                <w:rFonts w:ascii="Times New Roman" w:cs="Times New Roman" w:eastAsia="Times New Roman" w:hAnsi="Times New Roman"/>
                <w:sz w:val="23"/>
                <w:szCs w:val="23"/>
                <w:color w:val="auto"/>
                <w:vertAlign w:val="superscript"/>
              </w:rPr>
              <w:t>(a)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25,741</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23,939</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51,073</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47,059</w:t>
            </w:r>
          </w:p>
        </w:tc>
      </w:tr>
      <w:tr>
        <w:trPr>
          <w:trHeight w:val="230"/>
        </w:trPr>
        <w:tc>
          <w:tcPr>
            <w:tcW w:w="45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Variable lease cost </w:t>
            </w:r>
            <w:r>
              <w:rPr>
                <w:rFonts w:ascii="Times New Roman" w:cs="Times New Roman" w:eastAsia="Times New Roman" w:hAnsi="Times New Roman"/>
                <w:sz w:val="23"/>
                <w:szCs w:val="23"/>
                <w:color w:val="auto"/>
                <w:vertAlign w:val="superscript"/>
              </w:rPr>
              <w:t>(b)</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17,943</w:t>
            </w:r>
          </w:p>
        </w:tc>
      </w:tr>
      <w:tr>
        <w:trPr>
          <w:trHeight w:val="229"/>
        </w:trPr>
        <w:tc>
          <w:tcPr>
            <w:tcW w:w="45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Sublease income </w:t>
            </w:r>
            <w:r>
              <w:rPr>
                <w:rFonts w:ascii="Times New Roman" w:cs="Times New Roman" w:eastAsia="Times New Roman" w:hAnsi="Times New Roman"/>
                <w:sz w:val="23"/>
                <w:szCs w:val="23"/>
                <w:color w:val="auto"/>
                <w:vertAlign w:val="superscript"/>
              </w:rPr>
              <w:t>(c)</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9"/>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Finance lease cost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finance lease assets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29"/>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2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lease cost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35,850</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71,101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67,016</w:t>
            </w:r>
          </w:p>
        </w:tc>
      </w:tr>
      <w:tr>
        <w:trPr>
          <w:trHeight w:val="20"/>
        </w:trPr>
        <w:tc>
          <w:tcPr>
            <w:tcW w:w="12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220" w:hanging="194"/>
        <w:spacing w:after="0"/>
        <w:tabs>
          <w:tab w:leader="none" w:pos="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short-term leases, which are immaterial.</w:t>
      </w:r>
    </w:p>
    <w:p>
      <w:pPr>
        <w:spacing w:after="0" w:line="41" w:lineRule="exact"/>
        <w:rPr>
          <w:rFonts w:ascii="Times New Roman" w:cs="Times New Roman" w:eastAsia="Times New Roman" w:hAnsi="Times New Roman"/>
          <w:sz w:val="14"/>
          <w:szCs w:val="14"/>
          <w:color w:val="auto"/>
        </w:rPr>
      </w:pPr>
    </w:p>
    <w:p>
      <w:pPr>
        <w:ind w:left="20" w:right="20" w:firstLine="6"/>
        <w:spacing w:after="0" w:line="251" w:lineRule="auto"/>
        <w:tabs>
          <w:tab w:leader="none" w:pos="23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costs for insurance, real estate taxes and common area maintenance expenses, which are variable as well as lease costs above minimum thresholds for Fred Meyer stores and lease costs for Military stores.</w:t>
      </w:r>
    </w:p>
    <w:p>
      <w:pPr>
        <w:ind w:left="220" w:hanging="194"/>
        <w:spacing w:after="0"/>
        <w:tabs>
          <w:tab w:leader="none" w:pos="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from sub-leasing of stores includes rental income from leasing space to independent optometrists.</w:t>
      </w:r>
    </w:p>
    <w:p>
      <w:pPr>
        <w:spacing w:after="0" w:line="200" w:lineRule="exact"/>
        <w:rPr>
          <w:sz w:val="20"/>
          <w:szCs w:val="20"/>
          <w:color w:val="auto"/>
        </w:rPr>
      </w:pPr>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23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50"/>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20" w:type="dxa"/>
            <w:vAlign w:val="bottom"/>
          </w:tcPr>
          <w:p>
            <w:pPr>
              <w:spacing w:after="0"/>
              <w:rPr>
                <w:sz w:val="21"/>
                <w:szCs w:val="21"/>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29, 2024</w:t>
            </w:r>
          </w:p>
        </w:tc>
        <w:tc>
          <w:tcPr>
            <w:tcW w:w="240" w:type="dxa"/>
            <w:vAlign w:val="bottom"/>
          </w:tcPr>
          <w:p>
            <w:pPr>
              <w:spacing w:after="0"/>
              <w:rPr>
                <w:sz w:val="21"/>
                <w:szCs w:val="21"/>
                <w:color w:val="auto"/>
              </w:rPr>
            </w:pP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July 1, 2023</w:t>
            </w:r>
          </w:p>
        </w:tc>
      </w:tr>
      <w:tr>
        <w:trPr>
          <w:trHeight w:val="223"/>
        </w:trPr>
        <w:tc>
          <w:tcPr>
            <w:tcW w:w="7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outflows - operating leases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59,035</w:t>
            </w:r>
          </w:p>
        </w:tc>
      </w:tr>
      <w:tr>
        <w:trPr>
          <w:trHeight w:val="23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of use assets acquired under operating leases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53,664</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the status of its legal proceedings and records a provision for a liability when it is considered probable that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and may in the future become subject to various claims and pending or threatened lawsuits in the ordinary course of our business.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23, 2022, we were served with notice of a lawsuit filed by a former employee in California state court alleging, on behalf of a proposed class of employees, several violations of California wage and hour laws. On December 9, 2022, the case was removed to the federal District Court for the Northern District of California. On January 18, 2023, we were served with a related representative action filed in California state court pursuant to California’s Private Attorneys General Act. We filed an answer to this action on February 17, 2023. On September 29, 2023, the state court set the PAGA action for trial on October 7, 2024. The parties attended mediation on March 11, 2024, but a resolution of the matter was not reached at that time. Following mediation, the parties agreed to a settlement of all claims alleged by the named plaintiff on behalf of himself and all putative class members and other aggrieved employees. The Company will pay $4.5 million for the gross settlement fund in connection with the settlement. The settlement is subject to approval by the court following a fairness hearing.</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6, 2023, the Company was served with notice of a former employee’s intention to file a representative action against the Company pursuant to California’s Private Attorneys General Act based on alleged violations of California’s wage and hour laws. On June 22, 2023, the Company was served with a related lawsuit filed by the former employee in California state court alleging, on behalf of a proposed class of employees, violations of California wage and hour laws. On July 24, 2023, the Company filed its answer and a notice of removal of the case to the federal District Court for the Southern District of California. On July 28, 2023, the Company filed a Notice of Related Cases, seeking for both the case currently pending in the Northern District of California and described in the paragraph above and this case to be assigned to the same Judge/Magistrate Judge in an effort to save judicial effort and avoid duplication of labor. On August 15, 2023, the parties filed a stipulation to stay the case in the Southern District of California pending the resolution of the lawsuit pending in the Northern District of California. On August 21, 2023, the court entered an Order to Show Cause why the action should not be either dismissed or transferred to the federal court for the Northern District of California. Following the parties’ submission of their respective responses, the court dismissed the action without prejudice on September 11, 2023. The plaintiff retains his ability to pursue a PAGA action in state court pursuant to the June 6, 2023 notice. On January 22, 2024, the plaintiff filed a demand for arbitration of the claims set forth in the Complaint previously filed in state court in June 2023. We dispute the plaintiff’s allegations and intend to vigorously defend the litigation.</w:t>
      </w:r>
    </w:p>
    <w:p>
      <w:pPr>
        <w:spacing w:after="0" w:line="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27, 2023, a purported class action complaint was filed in federal court in the Northern District of Georgia against the Company and two of the Company’s officers (the “Securities Class Action”). The complaint alleges violations of Sections 10(b) and 20(a) of the Exchange Act and Rule 10b-5 for materially false and misleading statements made between May 2021 and May 2022. The complaint seeks unspecified damages as well as equitable relief. On March 28, 2023, the original plaintiff, City of Southfield General Employees Retirement System, and a new plaintiff, International Union of Operating Engineers, Local No. 793, Members Pension Benefit Trust of Ontario, filed a lead plaintiff motion, seeking to be appointed co-lead plaintiffs. On April 3, 2023, the Company along with its named officers filed a motion to dismiss the complaint. On May 19, 2023, the court granted the lead plaintiff motion. On June 30, 2023, the plaintiffs filed an amended complaint, which added a claim under Section 20A of the Exchange Act and extended the alleged class period to February 28, 2023. On August 21, 2023, the Company filed a motion to dismiss the amended complaint. The plaintiffs filed their response in opposition to this motion on October 5, 2023. On March 30, 2024, the court granted the Company’s motion and dismissed the amended complaint with prejudice. On April 29, 2024, the plaintiffs filed a motion for reconsideration of the order granting the motion to dismiss. The Company and named officers filed a response in opposition to the plaintiffs’ motion for reconsideration on May 13, 2024, and the plaintiffs then filed a reply in support of their motion on May 28, 2024. The Company disputes the allegations asserted by plaintiffs and will continue to defend the litigation vigorously.</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23, 2024, a stockholder derivative complaint was filed by a stockholder in the Delaware Court of Chancery, purportedly on behalf of the Company (the “Derivative Action”). The Derivative Action is based on the same alleged facts and circumstances as the Securities Class Action and names certain of the Company’s officers, including our Chief Executive Officer and Chief Operating Officer, and the Company’s directors who were members of the Company’s Board of Directors during the relevant time period as defendants. The Derivative Action alleges claims for breach of fiduciary duty, unjust enrichment, and violations of the Securities Exchange Act of 1934 (“Exchange Act”) and seeks to recover damages on behalf of the Company. On July 24, 2024, the Company along with the named defendants, filed a motion to dismiss the complaint. The defendants dispute the allegations made by the plaintiff and intend to vigorously defend the litigation.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provides its principal products and services through one reportable segment: Owned &amp; Host. The “Corporate/Other” category includes the results of operations of our other operating segments, as well as corporate overhead support. Revenues from the Corporate/Other category are attributable to our dedicated e-commerce website and FirstSight operations. Our dedicated e-commerce website was previously managed by AC Lens and was transitioned to NVI. FirstSight sells single-service health plans in connection with the operations of America’s Best operations in California. The “Reconciliations” category represents other adjustments to reportable segment results necessary for the presentation of consolidated financial results in accordance with U.S. GAAP. Our former Legacy reportable segment and certain other results previously included in the Corporate/Other and Reconciliations categories met the requirements to be classified as discontinued operations as of June 29, 2024. Refer to Note 2. “Discontinued Operations” for information related to our discontinued operations.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reportable segment profit measure is earnings before interest, tax, depreciation and amortization (“EBITDA”) or net revenue, less costs applicable to revenue, less SG&amp;A expenses. Depreciation and amortization, asset impairment, and other corporate costs that are not allocated to the reportable segment, including interest expense (income), net are excluded from segment EBITDA. There are no differences between the measurement of our reportable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segment’s assets and consolidated assets. There have been no changes from prior periods in the measurement methods used to determine reportable segment profit or loss, and there have been no asymmetrical allocations to segments.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financial data for our Owned &amp; Host reportable segment and Corporate/Other and Reconciliations categories. Reportable segment information is presented on the same basis as our consolidated financial statements, except for net revenue and associated costs applicable to revenue, which are presented on a cash basis, including point of sales for managed care payors and excluding the effects of unearned and deferred revenue, consistent with what the Chief Operating Decision Maker (“CODM”) regularly reviews.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information is not included in the following summary since the CODM does not regularly review such information for our reportable segment.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color w:val="auto"/>
              </w:rPr>
              <w:t>Three Months Ended June 29, 2024</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&amp; Host</w:t>
            </w: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Corporate/Other</w:t>
            </w:r>
          </w:p>
        </w:tc>
        <w:tc>
          <w:tcPr>
            <w:tcW w:w="20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Reconciliations</w:t>
            </w:r>
          </w:p>
        </w:tc>
        <w:tc>
          <w:tcPr>
            <w:tcW w:w="30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349,311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361,967</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89,766</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439,485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451,733</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111,213</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82,367</w:t>
            </w:r>
          </w:p>
        </w:tc>
        <w:tc>
          <w:tcPr>
            <w:tcW w:w="0" w:type="dxa"/>
            <w:vAlign w:val="bottom"/>
          </w:tcPr>
          <w:p>
            <w:pPr>
              <w:spacing w:after="0"/>
              <w:rPr>
                <w:sz w:val="1"/>
                <w:szCs w:val="1"/>
                <w:color w:val="auto"/>
              </w:rPr>
            </w:pPr>
          </w:p>
        </w:tc>
      </w:tr>
      <w:tr>
        <w:trPr>
          <w:trHeight w:val="22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186,010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193,580</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231,353</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79,397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(59,258)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22,692</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from continuing operations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bottom w:val="single" w:sz="8" w:color="CCEEFF"/>
            </w:tcBorders>
            <w:gridSpan w:val="5"/>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rPr>
              <w:t>Three Months Ended July 1, 2023</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5"/>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&amp; Host</w:t>
            </w: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Corporate/Other</w:t>
            </w:r>
          </w:p>
        </w:tc>
        <w:tc>
          <w:tcPr>
            <w:tcW w:w="20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Reconciliations</w:t>
            </w:r>
          </w:p>
        </w:tc>
        <w:tc>
          <w:tcPr>
            <w:tcW w:w="30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339,311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352,180</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79,443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79,606</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431,786</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106,362</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73,960</w:t>
            </w:r>
          </w:p>
        </w:tc>
        <w:tc>
          <w:tcPr>
            <w:tcW w:w="0" w:type="dxa"/>
            <w:vAlign w:val="bottom"/>
          </w:tcPr>
          <w:p>
            <w:pPr>
              <w:spacing w:after="0"/>
              <w:rPr>
                <w:sz w:val="1"/>
                <w:szCs w:val="1"/>
                <w:color w:val="auto"/>
              </w:rPr>
            </w:pPr>
          </w:p>
        </w:tc>
      </w:tr>
      <w:tr>
        <w:trPr>
          <w:trHeight w:val="22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173,479</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180,322</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222,924</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79,503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(55,733)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22,089</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5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3"/>
        </w:trPr>
        <w:tc>
          <w:tcPr>
            <w:tcW w:w="1280" w:type="dxa"/>
            <w:vAlign w:val="bottom"/>
            <w:tcBorders>
              <w:top w:val="single" w:sz="8" w:color="0000FF"/>
            </w:tcBorders>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Six Months Ended June 29, 2024</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&amp; Host</w:t>
            </w: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Corporate/Other</w:t>
            </w:r>
          </w:p>
        </w:tc>
        <w:tc>
          <w:tcPr>
            <w:tcW w:w="20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Reconciliations</w:t>
            </w:r>
          </w:p>
        </w:tc>
        <w:tc>
          <w:tcPr>
            <w:tcW w:w="30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729,907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750,050</w:t>
            </w:r>
          </w:p>
        </w:tc>
        <w:tc>
          <w:tcPr>
            <w:tcW w:w="0" w:type="dxa"/>
            <w:vAlign w:val="bottom"/>
          </w:tcPr>
          <w:p>
            <w:pPr>
              <w:spacing w:after="0"/>
              <w:rPr>
                <w:sz w:val="1"/>
                <w:szCs w:val="1"/>
                <w:color w:val="auto"/>
              </w:rPr>
            </w:pPr>
          </w:p>
        </w:tc>
      </w:tr>
      <w:tr>
        <w:trPr>
          <w:trHeight w:val="229"/>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184,477</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916,336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934,527</w:t>
            </w:r>
          </w:p>
        </w:tc>
        <w:tc>
          <w:tcPr>
            <w:tcW w:w="0" w:type="dxa"/>
            <w:vAlign w:val="bottom"/>
          </w:tcPr>
          <w:p>
            <w:pPr>
              <w:spacing w:after="0"/>
              <w:rPr>
                <w:sz w:val="1"/>
                <w:szCs w:val="1"/>
                <w:color w:val="auto"/>
              </w:rPr>
            </w:pPr>
          </w:p>
        </w:tc>
      </w:tr>
      <w:tr>
        <w:trPr>
          <w:trHeight w:val="229"/>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224,417</w:t>
            </w: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164,709</w:t>
            </w:r>
          </w:p>
        </w:tc>
        <w:tc>
          <w:tcPr>
            <w:tcW w:w="0" w:type="dxa"/>
            <w:vAlign w:val="bottom"/>
          </w:tcPr>
          <w:p>
            <w:pPr>
              <w:spacing w:after="0"/>
              <w:rPr>
                <w:sz w:val="1"/>
                <w:szCs w:val="1"/>
                <w:color w:val="auto"/>
              </w:rPr>
            </w:pPr>
          </w:p>
        </w:tc>
      </w:tr>
      <w:tr>
        <w:trPr>
          <w:trHeight w:val="223"/>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375,695</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12,791</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389,126</w:t>
            </w: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471,481</w:t>
            </w:r>
          </w:p>
        </w:tc>
        <w:tc>
          <w:tcPr>
            <w:tcW w:w="0" w:type="dxa"/>
            <w:vAlign w:val="bottom"/>
          </w:tcPr>
          <w:p>
            <w:pPr>
              <w:spacing w:after="0"/>
              <w:rPr>
                <w:sz w:val="1"/>
                <w:szCs w:val="1"/>
                <w:color w:val="auto"/>
              </w:rPr>
            </w:pPr>
          </w:p>
        </w:tc>
      </w:tr>
      <w:tr>
        <w:trPr>
          <w:trHeight w:val="230"/>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186,940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(118,201)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45,913</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bottom w:val="single" w:sz="8" w:color="CCEEFF"/>
            </w:tcBorders>
            <w:gridSpan w:val="5"/>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9"/>
              </w:rPr>
              <w:t>Six Months Ended July 1, 2023</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3"/>
        </w:trPr>
        <w:tc>
          <w:tcPr>
            <w:tcW w:w="12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&amp; Host</w:t>
            </w: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Corporate/Other</w:t>
            </w:r>
          </w:p>
        </w:tc>
        <w:tc>
          <w:tcPr>
            <w:tcW w:w="20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Reconciliations</w:t>
            </w:r>
          </w:p>
        </w:tc>
        <w:tc>
          <w:tcPr>
            <w:tcW w:w="30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714,147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732,333</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166,513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164,265</w:t>
            </w:r>
          </w:p>
        </w:tc>
        <w:tc>
          <w:tcPr>
            <w:tcW w:w="0" w:type="dxa"/>
            <w:vAlign w:val="bottom"/>
          </w:tcPr>
          <w:p>
            <w:pPr>
              <w:spacing w:after="0"/>
              <w:rPr>
                <w:sz w:val="1"/>
                <w:szCs w:val="1"/>
                <w:color w:val="auto"/>
              </w:rPr>
            </w:pPr>
          </w:p>
        </w:tc>
      </w:tr>
      <w:tr>
        <w:trPr>
          <w:trHeight w:val="223"/>
        </w:trPr>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896,598</w:t>
            </w:r>
          </w:p>
        </w:tc>
        <w:tc>
          <w:tcPr>
            <w:tcW w:w="0" w:type="dxa"/>
            <w:vAlign w:val="bottom"/>
          </w:tcPr>
          <w:p>
            <w:pPr>
              <w:spacing w:after="0"/>
              <w:rPr>
                <w:sz w:val="1"/>
                <w:szCs w:val="1"/>
                <w:color w:val="auto"/>
              </w:rPr>
            </w:pPr>
          </w:p>
        </w:tc>
      </w:tr>
      <w:tr>
        <w:trPr>
          <w:trHeight w:val="230"/>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217,436</w:t>
            </w: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149,013</w:t>
            </w:r>
          </w:p>
        </w:tc>
        <w:tc>
          <w:tcPr>
            <w:tcW w:w="0" w:type="dxa"/>
            <w:vAlign w:val="bottom"/>
          </w:tcPr>
          <w:p>
            <w:pPr>
              <w:spacing w:after="0"/>
              <w:rPr>
                <w:sz w:val="1"/>
                <w:szCs w:val="1"/>
                <w:color w:val="auto"/>
              </w:rPr>
            </w:pPr>
          </w:p>
        </w:tc>
      </w:tr>
      <w:tr>
        <w:trPr>
          <w:trHeight w:val="223"/>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353,889</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12,499</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366,449</w:t>
            </w: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451,600</w:t>
            </w:r>
          </w:p>
        </w:tc>
        <w:tc>
          <w:tcPr>
            <w:tcW w:w="0" w:type="dxa"/>
            <w:vAlign w:val="bottom"/>
          </w:tcPr>
          <w:p>
            <w:pPr>
              <w:spacing w:after="0"/>
              <w:rPr>
                <w:sz w:val="1"/>
                <w:szCs w:val="1"/>
                <w:color w:val="auto"/>
              </w:rPr>
            </w:pPr>
          </w:p>
        </w:tc>
      </w:tr>
      <w:tr>
        <w:trPr>
          <w:trHeight w:val="230"/>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193,154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(114,398)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44,045</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12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Diluted EPS related to the 2025 Notes is calculated using the if-converted method; the number of dilutive shares is based on the initial conversion rate associated with the 2025 Notes. A reconciliation of the numerators and denominators of the basic and diluted EPS calculations 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5"/>
          </w:tcPr>
          <w:p>
            <w:pPr>
              <w:ind w:left="60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20"/>
                <w:szCs w:val="20"/>
                <w:color w:val="auto"/>
              </w:rPr>
            </w:pPr>
          </w:p>
        </w:tc>
        <w:tc>
          <w:tcPr>
            <w:tcW w:w="324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Earnings Per Share</w:t>
            </w:r>
          </w:p>
        </w:tc>
        <w:tc>
          <w:tcPr>
            <w:tcW w:w="2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June 29, 2024</w:t>
            </w: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July 1, 2023</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June 29, 2024</w:t>
            </w: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July 1, 2023</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from continuing operations, net of tax</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18,651</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0" w:type="dxa"/>
            <w:vAlign w:val="bottom"/>
          </w:tcPr>
          <w:p>
            <w:pPr>
              <w:spacing w:after="0"/>
              <w:rPr>
                <w:sz w:val="1"/>
                <w:szCs w:val="1"/>
                <w:color w:val="auto"/>
              </w:rPr>
            </w:pPr>
          </w:p>
        </w:tc>
      </w:tr>
      <w:tr>
        <w:trPr>
          <w:trHeight w:val="223"/>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23,884</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78,411</w:t>
            </w: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stock units</w:t>
            </w:r>
          </w:p>
        </w:tc>
        <w:tc>
          <w:tcPr>
            <w:tcW w:w="2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48"/>
        </w:trPr>
        <w:tc>
          <w:tcPr>
            <w:tcW w:w="45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78,784</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23"/>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Anti-dilutive securities excluded from diluted weighted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5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common shares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i w:val="1"/>
          <w:iCs w:val="1"/>
          <w:color w:val="auto"/>
        </w:rPr>
        <w:t>Some of the totals in the table above do not foot due to rounding differences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contains management’s discussion and analysis of our financial condition and results of operations and should be read together with the unaudited condensed consolidated financial statements and the related notes thereto included elsewhere in this Form 10-Q (this “Form 10-Q”) and the audited consolidated financial statements and “Management’s Discussion and Analysis of Financial Condition and Results of Operations” included in our Annual Report on Form 10-K filed with the Securities and Exchange Commission (the “SEC”) on February 27, 2024 (the “2023 Annual Report on Form 10-K.”) This discussion contains forward-looking statements that reflect our plans, estimates and beliefs as of the date hereof and we undertake no obligation to publicly update or revise any forward-looking statement as a result of new information, future events or otherwise, except as required by law. These forward-looking statements involve numerous risks and uncertainties, including, but not limited to, those described in the “Risk Factors” sections of this Form 10-Q and the 2023 Annual Report on Form 10-K,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one of the largest optical retailers in the U.S. and a leader in the attractive value segment of the U.S. optical retail industry. We believe that vision is central to quality of life and that people deserve to see their best to live their best, regardless of their budget. We achieve this by providing eye exams, eyeglasses and contact lenses to value seeking and lower income consumers with an opening price point that strives to be among the lowest in the industry, enabled by our low-cost operating platform. We reach our customers through a diverse portfolio of 1,216 retail stores across four brands as well as multiple consumer websites as of June 29,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 and Segment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29, 2024, our operations consisted of one reportable segment. During the six months ended June 29, 2024, our Walmart store operations, including our former Legacy reportable segment and components of our Corporate/Other category met the requirements to be classified as discontinued operations; refer to Part I. Item 1. Note 2. “Discontinued Operations” for more information on discontinued operations.</w:t>
      </w:r>
    </w:p>
    <w:p>
      <w:pPr>
        <w:spacing w:after="0" w:line="68" w:lineRule="exact"/>
        <w:rPr>
          <w:sz w:val="20"/>
          <w:szCs w:val="20"/>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&amp; Host - As of June 29, 2024, our owned brands consisted of 1003 America’s Best Contacts and Eyeglasses retail stores and 130 Eyeglass World retail stores. Our Host brands consisted of 54 Vista Optical locations on select military bases and 29 Vista Optical locations within select Fred Meyer stores as of June 29, 2024. All brands utilize our centralized laboratories. This segment also includes sales from our America’s Best, Eyeglass World, and Military omni-channel websites.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results also include the following activity recorded in our Corporate/Other category:</w:t>
      </w:r>
    </w:p>
    <w:p>
      <w:pPr>
        <w:spacing w:after="0" w:line="11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e-commerce website that was formerly part of AC Lens and was transitioned to NVI as part of the wind down of AC Lens’ operations.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conducted by FirstSight, our wholly-owned subsidiary that is licensed as a single-service health plan under California law. In connection with the termination of the Walmart MSA, the agreement between FirstSight and Walmart, which arranged for the provision by FirstSight of optometric services at optometric offices next to certain Walmart stores throughout California, terminated on February 23, 2024.</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corporate overhead expenses.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Reportable segment information is presented on the same basis as our condensed consolidated financial statements, except reportable segment sales which are presented on a cash basis, including point of sales for managed care payors and excluding the effects of unearned and deferred revenue, consistent with what our CODM regularly reviews. Reconciliations of segment results to consolidated results include financial information necessary to adjust reportable segment revenues to a consolidated basis in accordance with U.S. GAAP, specifically the change in unearned and deferred revenues during the period. There are no other items in the reconciliations other than the effects of unearned and deferred revenue. See Note 12. “Segment Reporting” in our condensed consolidated financial statements included in Part I. Item 1. of this Form 10-Q.</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revenue represents the timing difference of when we collect the cash from the customer and when services related to product protection plans and eye care club memberships are performed. Increases or decreases in deferred revenue during the reporting period represent cash collections in excess of, or below the recognition of, previous deferrals. Unearned revenue represents the timing difference of when we collect cash from the customer and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delivery/customer acceptance, and includes sales of prescription eyewear during approximately the last seven to 10 days of the reporting period.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Other Factors Affecting Our Business</w:t>
      </w:r>
    </w:p>
    <w:p>
      <w:pPr>
        <w:spacing w:after="0" w:line="1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Current macroeconomic conditions, including elevated inflation and interest rates and overall consumer sentiment, have negatively impacted and may continue to have adverse effects on our business, results of operations and financial condition, which could be material. Inflation has resulted in increased costs and greater profitability pressure. We have experienced wage rate pressure and increases in raw materials prices, which we expect to continue. Inflationary pressures, including elevated wages, consumer confidence and preferences and increased raw material costs could impact our profitability and lead us to attempt to offset such increases through various pricing actions.We generally employ a simple low price/high value strategy that consistently delivers savings to our customers without the need for extensive promotions. From time to time we introduce limited-time promotions or new offers designed to increase demand and drive sales. Several factors may impact the level of success of such promotions, including consumer sentiment, macroeconomic conditions and marketing effectiveness, and as a result, if they do not meet our expectations, they could negatively impact our margins and profitability.</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Additionally, our ability to continue to attract and retain qualified vision care professionals may affect exam capacity. We believe the impacts of the COVID-19 pandemic on vision care professional availability, including a competitive recruiting market and preferences for adjusted work schedules, and the demand for optometrists exceeding supply in certain areas have caused constraints in exam capacity which are continuing. Due to these factors, among others, the ability to recruit and retain optometrists has become more challenging and the costs to employ or retain optometrists have increased and may increase further, potentially materially.</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believe that many customers in our target market are value seeking and lower income consumers who rely on tax refunds to pay for eyewear and eye care. Historically, our business has experienced seasonality in the first half of the year that we believe is primarily attributable to the timing of customers’ income tax refunds and health insurance start/reset periods. A delay in the issuance of tax refunds or changes in the amount of tax refunds can, accordingly. have a negative impact on our quarterly financial results in the first half of the year. Consumer behavior with respect to the utilization of tax refund proceeds is also subject to change.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half of 2024, we incurred costs related to the termination of the Walmart MSA and the wind-down of AC Lens operations, as well as an immaterial amount of costs related to the actions taken in fiscal year 2023 to streamline corporate overhead. While we seek to reduce costs and replace lost business with new America’s Best or Eyeglass World stores and by other means, including anticipated non-headline pricing actions, we may not be successful in our efforts, which could impact our revenues and profitability.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Transformation Actions to Accelerate Growth</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announced a new phase of our transformation efforts, which includes new additions to our executive leadership team, continued expansion of exam capacity, new traffic-driving initiatives and initiatives to strengthen the foundation of the business for profitable growth. As part of this endeavor, the Company has initiated a review of our portfolio of stores to optimize our fleet for profitability and strategic alignment.</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connection with this review, we are monitoring for whether impairment tests may be required on our non-financial assets such as property and equipment, ROU assets, and intangible assets, including goodwill. If impairment charges are required to be recorded following any required impairment tests, such charges could lead to decreased assets and reduced net income. If a significant write down were required, any such charge could have a material adverse effect on our operating results and stockholders’ equity, and could impact the trading price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Part I, Item 1A. “Risk Factors” in the Company’s 2023 Annual Report on Form 10-K for a more complete discussion of the risk factors we face.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In addition, we also review store growth, Adjusted Comparable Store Sales Growth, Adjusted Operating Income, Adjusted Operating Margin, Adjusted EBITDA, Adjusted EBITDA Margin and Adjusted Diluted EPS.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 as net revenue amounts generated in transactions with retail customers who are the end users of our products, services and plans. Comparable store sales growth and new store openings are key drivers of net revenue and are discussed below. Also, the timing of unearned revenue can affect revenue recognized in a particular period.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SG&amp;A expenses generally fluctuate consistently with revenue due to the variable store, field office and corporate support costs; however, some fixed costs may decrease as a percentage of net revenue as our net revenues grow over time.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Store Openings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total number of new stores per year and the timing of store openings has had an impact, and we expect will continue to have an impact, on our results. We expect to open 65 to 70 stores in the current year. We are continuing to monitor and determine our plans for future new store openings at a level appropriate for incremental free cash flow generation and healthy growth, and based on health, safety and economic conditions.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Comparable Store Sales Growth</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Operating Income, Adjusted Operating Margin, Adjusted EBITDA, Adjusted EBITDA Margin and Adjusted Diluted EPS (collectively, the “Company Non-GAAP Measures”)</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definitions of the Company Non-GAAP Measures and for additional information.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for the periods indicated, both in dollars and as a percentage of our net revenue.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earnings (loss) per share, percentage and</w:t>
            </w:r>
          </w:p>
        </w:tc>
        <w:tc>
          <w:tcPr>
            <w:tcW w:w="180" w:type="dxa"/>
            <w:vAlign w:val="bottom"/>
          </w:tcPr>
          <w:p>
            <w:pPr>
              <w:spacing w:after="0"/>
              <w:rPr>
                <w:sz w:val="20"/>
                <w:szCs w:val="20"/>
                <w:color w:val="auto"/>
              </w:rPr>
            </w:pPr>
          </w:p>
        </w:tc>
        <w:tc>
          <w:tcPr>
            <w:tcW w:w="310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20"/>
                <w:szCs w:val="20"/>
                <w:color w:val="auto"/>
              </w:rPr>
            </w:pPr>
          </w:p>
        </w:tc>
        <w:tc>
          <w:tcPr>
            <w:tcW w:w="294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156"/>
        </w:trPr>
        <w:tc>
          <w:tcPr>
            <w:tcW w:w="482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store data</w:t>
            </w:r>
          </w:p>
        </w:tc>
        <w:tc>
          <w:tcPr>
            <w:tcW w:w="180" w:type="dxa"/>
            <w:vAlign w:val="bottom"/>
          </w:tcPr>
          <w:p>
            <w:pPr>
              <w:spacing w:after="0"/>
              <w:rPr>
                <w:sz w:val="21"/>
                <w:szCs w:val="21"/>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June 29, 2024</w:t>
            </w:r>
          </w:p>
        </w:tc>
        <w:tc>
          <w:tcPr>
            <w:tcW w:w="20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July 1, 2023</w:t>
            </w:r>
          </w:p>
        </w:tc>
        <w:tc>
          <w:tcPr>
            <w:tcW w:w="200" w:type="dxa"/>
            <w:vAlign w:val="bottom"/>
          </w:tcPr>
          <w:p>
            <w:pPr>
              <w:spacing w:after="0"/>
              <w:rPr>
                <w:sz w:val="21"/>
                <w:szCs w:val="21"/>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June 29, 2024</w:t>
            </w:r>
          </w:p>
        </w:tc>
        <w:tc>
          <w:tcPr>
            <w:tcW w:w="200" w:type="dxa"/>
            <w:vAlign w:val="bottom"/>
          </w:tcPr>
          <w:p>
            <w:pPr>
              <w:spacing w:after="0"/>
              <w:rPr>
                <w:sz w:val="21"/>
                <w:szCs w:val="21"/>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July 1, 2023</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361,967</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352,180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750,050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732,333</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89,766</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79,606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184,477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164,265</w:t>
            </w:r>
          </w:p>
        </w:tc>
        <w:tc>
          <w:tcPr>
            <w:tcW w:w="0" w:type="dxa"/>
            <w:vAlign w:val="bottom"/>
          </w:tcPr>
          <w:p>
            <w:pPr>
              <w:spacing w:after="0"/>
              <w:rPr>
                <w:sz w:val="1"/>
                <w:szCs w:val="1"/>
                <w:color w:val="auto"/>
              </w:rPr>
            </w:pPr>
          </w:p>
        </w:tc>
      </w:tr>
      <w:tr>
        <w:trPr>
          <w:trHeight w:val="223"/>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18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451,733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431,786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934,527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896,598</w:t>
            </w:r>
          </w:p>
        </w:tc>
        <w:tc>
          <w:tcPr>
            <w:tcW w:w="0" w:type="dxa"/>
            <w:vAlign w:val="bottom"/>
          </w:tcPr>
          <w:p>
            <w:pPr>
              <w:spacing w:after="0"/>
              <w:rPr>
                <w:sz w:val="1"/>
                <w:szCs w:val="1"/>
                <w:color w:val="auto"/>
              </w:rPr>
            </w:pPr>
          </w:p>
        </w:tc>
      </w:tr>
      <w:tr>
        <w:trPr>
          <w:trHeight w:val="175"/>
        </w:trPr>
        <w:tc>
          <w:tcPr>
            <w:tcW w:w="4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18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111,213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106,362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224,417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217,436</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82,367</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73,960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164,709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149,013</w:t>
            </w:r>
          </w:p>
        </w:tc>
        <w:tc>
          <w:tcPr>
            <w:tcW w:w="0" w:type="dxa"/>
            <w:vAlign w:val="bottom"/>
          </w:tcPr>
          <w:p>
            <w:pPr>
              <w:spacing w:after="0"/>
              <w:rPr>
                <w:sz w:val="1"/>
                <w:szCs w:val="1"/>
                <w:color w:val="auto"/>
              </w:rPr>
            </w:pPr>
          </w:p>
        </w:tc>
      </w:tr>
      <w:tr>
        <w:trPr>
          <w:trHeight w:val="223"/>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8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193,580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180,322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389,126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366,449</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231,353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222,924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471,481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451,600</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22,692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45,913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44,045</w:t>
            </w: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impairment</w:t>
            </w:r>
          </w:p>
        </w:tc>
        <w:tc>
          <w:tcPr>
            <w:tcW w:w="18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3,519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1,247</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257,562</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245,903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521,368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496,788</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33,361</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3,196</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7,452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6,703</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from continuing operations before income taxes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(2,605)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26,658</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(1,564)</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5,869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8,007</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net of tax</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(1,041)</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10,712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18,651</w:t>
            </w:r>
          </w:p>
        </w:tc>
        <w:tc>
          <w:tcPr>
            <w:tcW w:w="0" w:type="dxa"/>
            <w:vAlign w:val="bottom"/>
          </w:tcPr>
          <w:p>
            <w:pPr>
              <w:spacing w:after="0"/>
              <w:rPr>
                <w:sz w:val="1"/>
                <w:szCs w:val="1"/>
                <w:color w:val="auto"/>
              </w:rPr>
            </w:pPr>
          </w:p>
        </w:tc>
      </w:tr>
      <w:tr>
        <w:trPr>
          <w:trHeight w:val="155"/>
        </w:trPr>
        <w:tc>
          <w:tcPr>
            <w:tcW w:w="48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(loss) from discontinued operations, net of tax (See Note</w:t>
            </w: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(2,084)</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(2,152)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5,233</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(3,125)</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23,884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operating data:</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stores open at end of period</w:t>
            </w:r>
          </w:p>
        </w:tc>
        <w:tc>
          <w:tcPr>
            <w:tcW w:w="18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 opened during the period</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 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14,073</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12,369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47,967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44,934</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 from continuing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Diluted EPS 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36,383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34,076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93,117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88,216</w:t>
            </w:r>
          </w:p>
        </w:tc>
        <w:tc>
          <w:tcPr>
            <w:tcW w:w="0" w:type="dxa"/>
            <w:vAlign w:val="bottom"/>
          </w:tcPr>
          <w:p>
            <w:pPr>
              <w:spacing w:after="0"/>
              <w:rPr>
                <w:sz w:val="1"/>
                <w:szCs w:val="1"/>
                <w:color w:val="auto"/>
              </w:rPr>
            </w:pPr>
          </w:p>
        </w:tc>
      </w:tr>
      <w:tr>
        <w:trPr>
          <w:trHeight w:val="270"/>
        </w:trPr>
        <w:tc>
          <w:tcPr>
            <w:tcW w:w="4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revenue: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55.4 %</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net of tax</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 from continuing operations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743"/>
        </w:trPr>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29, 2024 compared to Three Months Ended July 1,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components of our operations met the requirements to be classified as discontinued operations as of June 29, 2024. Refer to Part I. Item 1. Note 2. “Discontinued Operations” for information related to our discontinued operations. Unless otherwise noted, the discussion of U.S. GAAP results below is based on results from continuing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presents, by segment and by brand, comparable store sales growth, stores open at the end of the period and net revenue from continuing operations for the three months ended June 29, 2024 compared to the three months ended July 1,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20"/>
        <w:spacing w:after="0" w:line="264" w:lineRule="auto"/>
        <w:rPr>
          <w:sz w:val="20"/>
          <w:szCs w:val="20"/>
          <w:color w:val="auto"/>
        </w:rPr>
      </w:pPr>
      <w:r>
        <w:rPr>
          <w:rFonts w:ascii="Times New Roman" w:cs="Times New Roman" w:eastAsia="Times New Roman" w:hAnsi="Times New Roman"/>
          <w:sz w:val="14"/>
          <w:szCs w:val="14"/>
          <w:i w:val="1"/>
          <w:iCs w:val="1"/>
          <w:color w:val="auto"/>
        </w:rPr>
        <w:t>In thousands, except percentage and store data</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Comparable store sales growth from</w:t>
            </w:r>
          </w:p>
        </w:tc>
        <w:tc>
          <w:tcPr>
            <w:tcW w:w="22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Stores open at end of period</w:t>
            </w:r>
          </w:p>
        </w:tc>
        <w:tc>
          <w:tcPr>
            <w:tcW w:w="254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w w:val="97"/>
              </w:rPr>
              <w:t>Net revenue</w:t>
            </w:r>
            <w:r>
              <w:rPr>
                <w:rFonts w:ascii="Times New Roman" w:cs="Times New Roman" w:eastAsia="Times New Roman" w:hAnsi="Times New Roman"/>
                <w:sz w:val="18"/>
                <w:szCs w:val="18"/>
                <w:b w:val="1"/>
                <w:bCs w:val="1"/>
                <w:color w:val="auto"/>
                <w:w w:val="97"/>
                <w:vertAlign w:val="superscript"/>
              </w:rPr>
              <w:t>(2)</w:t>
            </w: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420" w:type="dxa"/>
            <w:vAlign w:val="bottom"/>
            <w:gridSpan w:val="3"/>
          </w:tcPr>
          <w:p>
            <w:pPr>
              <w:jc w:val="center"/>
              <w:ind w:right="120"/>
              <w:spacing w:after="0" w:line="202" w:lineRule="exact"/>
              <w:rPr>
                <w:sz w:val="20"/>
                <w:szCs w:val="20"/>
                <w:color w:val="auto"/>
              </w:rPr>
            </w:pPr>
            <w:r>
              <w:rPr>
                <w:rFonts w:ascii="Times New Roman" w:cs="Times New Roman" w:eastAsia="Times New Roman" w:hAnsi="Times New Roman"/>
                <w:sz w:val="14"/>
                <w:szCs w:val="14"/>
                <w:b w:val="1"/>
                <w:bCs w:val="1"/>
                <w:color w:val="auto"/>
              </w:rPr>
              <w:t>continuing operations</w:t>
            </w:r>
            <w:r>
              <w:rPr>
                <w:rFonts w:ascii="Times New Roman" w:cs="Times New Roman" w:eastAsia="Times New Roman" w:hAnsi="Times New Roman"/>
                <w:sz w:val="18"/>
                <w:szCs w:val="18"/>
                <w:b w:val="1"/>
                <w:bCs w:val="1"/>
                <w:color w:val="auto"/>
                <w:vertAlign w:val="superscript"/>
              </w:rPr>
              <w:t>(1)</w:t>
            </w:r>
          </w:p>
        </w:tc>
        <w:tc>
          <w:tcPr>
            <w:tcW w:w="2220" w:type="dxa"/>
            <w:vAlign w:val="bottom"/>
            <w:gridSpan w:val="3"/>
            <w:vMerge w:val="continue"/>
          </w:tcPr>
          <w:p>
            <w:pPr>
              <w:spacing w:after="0"/>
              <w:rPr>
                <w:sz w:val="17"/>
                <w:szCs w:val="17"/>
                <w:color w:val="auto"/>
              </w:rPr>
            </w:pPr>
          </w:p>
        </w:tc>
        <w:tc>
          <w:tcPr>
            <w:tcW w:w="254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160" w:type="dxa"/>
            <w:vAlign w:val="bottom"/>
            <w:tcBorders>
              <w:top w:val="single" w:sz="8" w:color="auto"/>
            </w:tcBorders>
          </w:tcPr>
          <w:p>
            <w:pPr>
              <w:jc w:val="center"/>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1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Borders>
              <w:top w:val="single" w:sz="8" w:color="auto"/>
            </w:tcBorders>
            <w:vMerge w:val="restart"/>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tcBorders>
              <w:top w:val="single" w:sz="8" w:color="auto"/>
            </w:tcBorders>
            <w:vMerge w:val="restart"/>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6"/>
        </w:trPr>
        <w:tc>
          <w:tcPr>
            <w:tcW w:w="116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126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10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July 1, 2023</w:t>
            </w:r>
          </w:p>
        </w:tc>
        <w:tc>
          <w:tcPr>
            <w:tcW w:w="254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1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July 1, 2023</w:t>
            </w:r>
          </w:p>
        </w:tc>
        <w:tc>
          <w:tcPr>
            <w:tcW w:w="108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540" w:type="dxa"/>
            <w:vAlign w:val="bottom"/>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66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July 1, 2023</w:t>
            </w:r>
          </w:p>
        </w:tc>
        <w:tc>
          <w:tcPr>
            <w:tcW w:w="0" w:type="dxa"/>
            <w:vAlign w:val="bottom"/>
          </w:tcPr>
          <w:p>
            <w:pPr>
              <w:spacing w:after="0"/>
              <w:rPr>
                <w:sz w:val="1"/>
                <w:szCs w:val="1"/>
                <w:color w:val="auto"/>
              </w:rPr>
            </w:pPr>
          </w:p>
        </w:tc>
      </w:tr>
    </w:tbl>
    <w:p>
      <w:pPr>
        <w:spacing w:after="0" w:line="16" w:lineRule="exact"/>
        <w:rPr>
          <w:sz w:val="20"/>
          <w:szCs w:val="20"/>
          <w:color w:val="auto"/>
        </w:rPr>
      </w:pPr>
    </w:p>
    <w:p>
      <w:pPr>
        <w:sectPr>
          <w:pgSz w:w="11900" w:h="16838" w:orient="portrait"/>
          <w:cols w:equalWidth="0" w:num="2">
            <w:col w:w="2120" w:space="280"/>
            <w:col w:w="88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2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Owned &amp; Host segment</w:t>
            </w: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America’s Best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381,647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84.5 %</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354,592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82.1 %</w:t>
            </w:r>
          </w:p>
        </w:tc>
        <w:tc>
          <w:tcPr>
            <w:tcW w:w="0" w:type="dxa"/>
            <w:vAlign w:val="bottom"/>
          </w:tcPr>
          <w:p>
            <w:pPr>
              <w:spacing w:after="0"/>
              <w:rPr>
                <w:sz w:val="1"/>
                <w:szCs w:val="1"/>
                <w:color w:val="auto"/>
              </w:rPr>
            </w:pPr>
          </w:p>
        </w:tc>
      </w:tr>
      <w:tr>
        <w:trPr>
          <w:trHeight w:val="21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Eyeglass World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49,489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55,730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0" w:type="dxa"/>
            <w:vAlign w:val="bottom"/>
          </w:tcPr>
          <w:p>
            <w:pPr>
              <w:spacing w:after="0"/>
              <w:rPr>
                <w:sz w:val="1"/>
                <w:szCs w:val="1"/>
                <w:color w:val="auto"/>
              </w:rPr>
            </w:pPr>
          </w:p>
        </w:tc>
      </w:tr>
      <w:tr>
        <w:trPr>
          <w:trHeight w:val="213"/>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Military</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5,625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5,632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1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Fred Meyer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2,724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2,800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07"/>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Owned &amp; Host segment total</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439,485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97.3 %</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418,754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97.0 %</w:t>
            </w:r>
          </w:p>
        </w:tc>
        <w:tc>
          <w:tcPr>
            <w:tcW w:w="0" w:type="dxa"/>
            <w:vAlign w:val="bottom"/>
          </w:tcPr>
          <w:p>
            <w:pPr>
              <w:spacing w:after="0"/>
              <w:rPr>
                <w:sz w:val="1"/>
                <w:szCs w:val="1"/>
                <w:color w:val="auto"/>
              </w:rPr>
            </w:pPr>
          </w:p>
        </w:tc>
      </w:tr>
      <w:tr>
        <w:trPr>
          <w:trHeight w:val="21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Corporate/Other</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8,099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8,348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14"/>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4,149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4,684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36"/>
        </w:trPr>
        <w:tc>
          <w:tcPr>
            <w:tcW w:w="2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451,733</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431,786</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CCEEFF"/>
            </w:tcBorders>
            <w:gridSpan w:val="2"/>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Adjusted Comparable Store Sales</w:t>
            </w: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40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4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Growth from continuing</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operations</w:t>
            </w:r>
            <w:r>
              <w:rPr>
                <w:rFonts w:ascii="Times New Roman" w:cs="Times New Roman" w:eastAsia="Times New Roman" w:hAnsi="Times New Roman"/>
                <w:sz w:val="21"/>
                <w:szCs w:val="21"/>
                <w:color w:val="auto"/>
                <w:vertAlign w:val="superscript"/>
              </w:rPr>
              <w:t>(3)</w:t>
            </w:r>
          </w:p>
        </w:tc>
        <w:tc>
          <w:tcPr>
            <w:tcW w:w="1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both"/>
        <w:ind w:left="660" w:right="640" w:hanging="328"/>
        <w:spacing w:after="0" w:line="261" w:lineRule="auto"/>
        <w:tabs>
          <w:tab w:leader="none" w:pos="65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calculate total comparable store sales from continuing operations based on consolidated net revenue from continuing operations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12. “Segment Reporting” in our unaudited condensed consolidated financial statements included in Part I. Item 1. of this Form 10-Q.</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Percentages reflect line item as a percentage of net revenue, adjusted for rounding.</w:t>
      </w:r>
    </w:p>
    <w:p>
      <w:pPr>
        <w:spacing w:after="0" w:line="4" w:lineRule="exact"/>
        <w:rPr>
          <w:rFonts w:ascii="Times New Roman" w:cs="Times New Roman" w:eastAsia="Times New Roman" w:hAnsi="Times New Roman"/>
          <w:sz w:val="14"/>
          <w:szCs w:val="14"/>
          <w:color w:val="auto"/>
        </w:rPr>
      </w:pPr>
    </w:p>
    <w:p>
      <w:pPr>
        <w:jc w:val="both"/>
        <w:ind w:left="660" w:right="660" w:hanging="328"/>
        <w:spacing w:after="0" w:line="270" w:lineRule="auto"/>
        <w:tabs>
          <w:tab w:leader="none" w:pos="65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Comparable Store Sales Growth from continuing operations includes the effect of deferred and unearned revenue as if such revenues were earned at the point of sale, resulting in an increase of 0.2% and an increase of 1.3% from total comparable store sales growth from continuing operations based on consolidated net revenue for the three months ended June 29, 2024 and July 1, 2023, respectively.</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revenue of $451.7 million for the three months ended June 29, 2024 increased $19.9 million, or 4.6%, from $431.8 million for the three months ended July 1, 2023. Approximately 70% of the increase was driven by growth from new store sales and approximately 50% of the increase was driven by Adjusted Comparable Store Sales Growth from continuing operations, partially offset by effects of converted and closed stores.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Comparable store sales growth from continuing operations and Adjusted Comparable Store Sales Growth from continuing operations for the three months ended June 29, 2024 were 2.2% and 2.4%, respectively, both reflecting an increase in customer transactions and higher average ticket.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three months ended June 29, 2024, we opened 14 America’s Best stores and three Eyeglass World stores and closed one America’s Best store and one Eyeglass World store. Overall, store count grew 5.6% from July 1, 2023 to June 29, 2024 (57 and seven net new America’s Best and Eyeglass World stores were added, respectively).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product sales comprised 80.1% and 81.6% of total net revenue for the three months ended June 29, 2024 and July 1, 2023, respectively. Net product sales increased $9.8 million, or 2.8%, in the three months ended June 29, 2024 compared to the three months ended July 1, 2023, driven primarily by a $4.2 million, or 5.6%, increase in contact lens sales and a $4.2 million, or 1.5% increase in eyeglass sales.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sales of services and plans for the three months ended June 29, 2024 increased $10.2 million, or 12.8%, compared to the three months ended July 1, 2023, driven primarily by higher eye exam revenues of $9.7 million, or 20.2%.</w:t>
      </w:r>
    </w:p>
    <w:p>
      <w:pPr>
        <w:spacing w:after="0" w:line="52"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net revenue. </w:t>
      </w:r>
      <w:r>
        <w:rPr>
          <w:rFonts w:ascii="Times New Roman" w:cs="Times New Roman" w:eastAsia="Times New Roman" w:hAnsi="Times New Roman"/>
          <w:sz w:val="18"/>
          <w:szCs w:val="18"/>
          <w:color w:val="auto"/>
        </w:rPr>
        <w:t>Net revenue increased $20.7 million, or 5.0%, driven primarily by new store openings and comparable store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partially offset by converted and closed stores.</w:t>
      </w:r>
    </w:p>
    <w:p>
      <w:pPr>
        <w:spacing w:after="0" w:line="50"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revenue reconciliations. </w:t>
      </w:r>
      <w:r>
        <w:rPr>
          <w:rFonts w:ascii="Times New Roman" w:cs="Times New Roman" w:eastAsia="Times New Roman" w:hAnsi="Times New Roman"/>
          <w:sz w:val="18"/>
          <w:szCs w:val="18"/>
          <w:color w:val="auto"/>
        </w:rPr>
        <w:t>The impact of reconciliations negatively impacted net revenue by $0.5 million in the three months ended June 29,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higher sales of club memberships and product protection plans in the three months ended June 29, 2024 compared to the three months ended July 1, 2023.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Costs applicable to revenue of $193.6 million for the three months ended June 29, 2024 increased $13.3 million, or 7.4%, from $180.3 million for the three months ended July 1, 2023. As a percentage of net revenue, costs applicable to revenue increased from 41.8% for the three months ended July 1, 2023 to 42.9% for the three months ended June 29, 2024. This increase as a percentage of net revenue was primarily driven by lower eyeglass mix of 150 basis points, growth in optometrist-related costs of 100 basis points and 30 basis points from other mix and margin effects. These costs were partially offset by a 170 basis point effect from higher exam revenue.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of products as a percentage of net product sales was 30.7% for the three months ended June 29, 2024 and 30.2% for the three months ended July 1, 2023, primarily driven by lower eyeglass mix and other mix and margin effects.</w:t>
      </w:r>
    </w:p>
    <w:p>
      <w:pPr>
        <w:spacing w:after="0" w:line="52"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products. </w:t>
      </w:r>
      <w:r>
        <w:rPr>
          <w:rFonts w:ascii="Times New Roman" w:cs="Times New Roman" w:eastAsia="Times New Roman" w:hAnsi="Times New Roman"/>
          <w:sz w:val="18"/>
          <w:szCs w:val="18"/>
          <w:color w:val="auto"/>
        </w:rPr>
        <w:t>Costs of products as a percentage of net product sales increased from 29.3% for the three months ended July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2023 to 29.7% for the three months ended June 29, 2024, primarily driven by lower eyeglass mix and other product mix and margin effects.</w:t>
      </w:r>
    </w:p>
    <w:p>
      <w:pPr>
        <w:spacing w:after="0" w:line="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Costs of services and plans as a percentage of net sales of services and plans decreased from 92.9% for the three months ended July 1, 2023 to 91.8% for the three months ended June 29, 2024. The decrease was primarily driven by an increase in eye exam revenue, partially offset by growth in optometrist-related costs.</w:t>
      </w:r>
    </w:p>
    <w:p>
      <w:pPr>
        <w:spacing w:after="0" w:line="80"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services and plans. </w:t>
      </w:r>
      <w:r>
        <w:rPr>
          <w:rFonts w:ascii="Times New Roman" w:cs="Times New Roman" w:eastAsia="Times New Roman" w:hAnsi="Times New Roman"/>
          <w:sz w:val="18"/>
          <w:szCs w:val="18"/>
          <w:color w:val="auto"/>
        </w:rPr>
        <w:t>Costs of services and plans as a percentage of net sales of services and plans decreased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93.1% for the three months ended July 1, 2023 to 91.3% for the three months ended June 29, 2024. The decrease was primarily driven by an increase in eye exam revenue, partially offset by growth in optometrist-related costs.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SG&amp;A of $231.4 million for the three months ended June 29, 2024 increased $8.4 million, or 3.8%, from the three months ended July 1, 2023. As a percentage of net revenue, SG&amp;A decreased from 51.6% for the three months ended July 1, 2023 to 51.2% for the three months ended June 29, 2024. The decrease in SG&amp;A as a percentage of net revenue was primarily driven by lower performance-based incentive compensation expense of 90 basis points and lower advertising expense of 40 basis points, partially offset by higher legal and professional expense of 40 basis points, higher occupancy expense of 30 basis points and other operating expenses.</w:t>
      </w:r>
    </w:p>
    <w:p>
      <w:pPr>
        <w:spacing w:after="0" w:line="73" w:lineRule="exact"/>
        <w:rPr>
          <w:sz w:val="20"/>
          <w:szCs w:val="20"/>
          <w:color w:val="auto"/>
        </w:rPr>
      </w:pPr>
    </w:p>
    <w:p>
      <w:pPr>
        <w:ind w:right="1360" w:firstLine="324"/>
        <w:spacing w:after="0" w:line="369" w:lineRule="auto"/>
        <w:rPr>
          <w:sz w:val="20"/>
          <w:szCs w:val="20"/>
          <w:color w:val="auto"/>
        </w:rPr>
      </w:pPr>
      <w:r>
        <w:rPr>
          <w:rFonts w:ascii="Times New Roman" w:cs="Times New Roman" w:eastAsia="Times New Roman" w:hAnsi="Times New Roman"/>
          <w:sz w:val="18"/>
          <w:szCs w:val="18"/>
          <w:i w:val="1"/>
          <w:iCs w:val="1"/>
          <w:color w:val="auto"/>
        </w:rPr>
        <w:t xml:space="preserve">Owned &amp; Host SG&amp;A. </w:t>
      </w:r>
      <w:r>
        <w:rPr>
          <w:rFonts w:ascii="Times New Roman" w:cs="Times New Roman" w:eastAsia="Times New Roman" w:hAnsi="Times New Roman"/>
          <w:sz w:val="18"/>
          <w:szCs w:val="18"/>
          <w:color w:val="auto"/>
        </w:rPr>
        <w:t>SG&amp;A as a percentage of net revenue was 39.6% for the three months ended June 29, 2024 and July 1, 2023.</w:t>
      </w:r>
      <w:r>
        <w:rPr>
          <w:rFonts w:ascii="Times New Roman" w:cs="Times New Roman" w:eastAsia="Times New Roman" w:hAnsi="Times New Roman"/>
          <w:sz w:val="18"/>
          <w:szCs w:val="18"/>
          <w:i w:val="1"/>
          <w:iCs w:val="1"/>
          <w:color w:val="auto"/>
        </w:rPr>
        <w:t xml:space="preserve"> Depreciation and amortization</w:t>
      </w: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of $22.7 million for the three months ended June 29, 2024 increased $0.6 million, or 2.7%, from $22.1 million for the three months ended July 1, 2023 primarily driven by new store openings and investments in remote medicine technology.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recognized $3.5 million primarily for impairment of tangible long-lived assets associated with our retail stores during the three months ended June 29, 2024, compared to $0.9 million impairment recognized during the three months ended July 1, 2023. The store asset impairment charge is related to our Owned &amp; Host segment and is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Asset impairment expenses were recognized in Corporate/Other.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net, was $3.2 million for the three months ended June 29, 2024, compared to $1.8 million for the three months ended July 1, 2023. The change was primarily a result of lower derivative income of $2.7 million, partially offset by lower interest expense on our long-term debt of $0.9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 (benefit)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effective tax rates for the three months ended June 29, 2024 and July 1, 2023 were 60.0% and 2.4%, respectively. The change in effective tax rates reflects our statutory federal and state rates of 25.2% and 25.4%, respectively, tax impacts of consolidated VIEs as well as effects of other permanent items.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1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Income (loss) from discontinued operations, net of tax of $(2.1) million for the three months ended June 29, 2024, decreased $4.1 million from $2.0 million for the three months ended July 1, 2023. Net revenue, costs applicable to revenue and SG&amp;A from discontinued operations decreased by $40.1 million, $17.6 million and $14.5 million, respectively, as compared to the three months ended July 1, 2023, primarily due to the current year including the discontinued operations results only for a partial period prior to the Walmart MSA termination date and the wind-down of AC Lens operations. Income tax expense (benefit) decreased by $1.4 million, due to lower income (loss) before income taxes in the current period as compared to the prior year, as well as other permanent items related to discontinued operations, primarily related to tax impacts of consolidated VIEs.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29, 2024 compared to Six Months Ended July 1,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components of our operations met the requirements to be classified as discontinued operations as of June 29, 2024. Refer to Part I. Item 1. Note 2. “Discontinued Operations” for information related to our discontinued operations. Unless otherwise noted, the discussion of U.S. GAAP results below is based on results from continuing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presents, by segment and by brand, comparable store sales growth, stores open at the end of the period and net revenue from continuing operations for the six months ended June 29, 2024 compared to the six months ended July 1,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20"/>
        <w:spacing w:after="0" w:line="264" w:lineRule="auto"/>
        <w:rPr>
          <w:sz w:val="20"/>
          <w:szCs w:val="20"/>
          <w:color w:val="auto"/>
        </w:rPr>
      </w:pPr>
      <w:r>
        <w:rPr>
          <w:rFonts w:ascii="Times New Roman" w:cs="Times New Roman" w:eastAsia="Times New Roman" w:hAnsi="Times New Roman"/>
          <w:sz w:val="14"/>
          <w:szCs w:val="14"/>
          <w:i w:val="1"/>
          <w:iCs w:val="1"/>
          <w:color w:val="auto"/>
        </w:rPr>
        <w:t>In thousands, except percentage and store data</w:t>
      </w:r>
    </w:p>
    <w:p>
      <w:pPr>
        <w:ind w:left="20"/>
        <w:spacing w:after="0"/>
        <w:rPr>
          <w:sz w:val="20"/>
          <w:szCs w:val="20"/>
          <w:color w:val="auto"/>
        </w:rPr>
      </w:pPr>
      <w:r>
        <w:rPr>
          <w:rFonts w:ascii="Times New Roman" w:cs="Times New Roman" w:eastAsia="Times New Roman" w:hAnsi="Times New Roman"/>
          <w:sz w:val="15"/>
          <w:szCs w:val="15"/>
          <w:b w:val="1"/>
          <w:bCs w:val="1"/>
          <w:color w:val="auto"/>
        </w:rPr>
        <w:t>Owned &amp; Host segment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Comparable store sales growth from</w:t>
            </w:r>
          </w:p>
        </w:tc>
        <w:tc>
          <w:tcPr>
            <w:tcW w:w="21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Stores open at end of period</w:t>
            </w:r>
          </w:p>
        </w:tc>
        <w:tc>
          <w:tcPr>
            <w:tcW w:w="1640" w:type="dxa"/>
            <w:vAlign w:val="bottom"/>
          </w:tcPr>
          <w:p>
            <w:pPr>
              <w:spacing w:after="0"/>
              <w:rPr>
                <w:sz w:val="13"/>
                <w:szCs w:val="13"/>
                <w:color w:val="auto"/>
              </w:rPr>
            </w:pPr>
          </w:p>
        </w:tc>
        <w:tc>
          <w:tcPr>
            <w:tcW w:w="2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revenue</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03"/>
        </w:trPr>
        <w:tc>
          <w:tcPr>
            <w:tcW w:w="2540" w:type="dxa"/>
            <w:vAlign w:val="bottom"/>
            <w:gridSpan w:val="4"/>
          </w:tcPr>
          <w:p>
            <w:pPr>
              <w:jc w:val="center"/>
              <w:ind w:right="140"/>
              <w:spacing w:after="0" w:line="202" w:lineRule="exact"/>
              <w:rPr>
                <w:sz w:val="20"/>
                <w:szCs w:val="20"/>
                <w:color w:val="auto"/>
              </w:rPr>
            </w:pPr>
            <w:r>
              <w:rPr>
                <w:rFonts w:ascii="Times New Roman" w:cs="Times New Roman" w:eastAsia="Times New Roman" w:hAnsi="Times New Roman"/>
                <w:sz w:val="14"/>
                <w:szCs w:val="14"/>
                <w:b w:val="1"/>
                <w:bCs w:val="1"/>
                <w:color w:val="auto"/>
                <w:w w:val="99"/>
              </w:rPr>
              <w:t>continuing operations</w:t>
            </w:r>
            <w:r>
              <w:rPr>
                <w:rFonts w:ascii="Times New Roman" w:cs="Times New Roman" w:eastAsia="Times New Roman" w:hAnsi="Times New Roman"/>
                <w:sz w:val="18"/>
                <w:szCs w:val="18"/>
                <w:b w:val="1"/>
                <w:bCs w:val="1"/>
                <w:color w:val="auto"/>
                <w:w w:val="99"/>
                <w:vertAlign w:val="superscript"/>
              </w:rPr>
              <w:t>(1)</w:t>
            </w:r>
          </w:p>
        </w:tc>
        <w:tc>
          <w:tcPr>
            <w:tcW w:w="2120" w:type="dxa"/>
            <w:vAlign w:val="bottom"/>
            <w:gridSpan w:val="4"/>
            <w:vMerge w:val="continue"/>
          </w:tcPr>
          <w:p>
            <w:pPr>
              <w:spacing w:after="0"/>
              <w:rPr>
                <w:sz w:val="17"/>
                <w:szCs w:val="17"/>
                <w:color w:val="auto"/>
              </w:rPr>
            </w:pPr>
          </w:p>
        </w:tc>
        <w:tc>
          <w:tcPr>
            <w:tcW w:w="1640" w:type="dxa"/>
            <w:vAlign w:val="bottom"/>
          </w:tcPr>
          <w:p>
            <w:pPr>
              <w:spacing w:after="0"/>
              <w:rPr>
                <w:sz w:val="17"/>
                <w:szCs w:val="17"/>
                <w:color w:val="auto"/>
              </w:rPr>
            </w:pPr>
          </w:p>
        </w:tc>
        <w:tc>
          <w:tcPr>
            <w:tcW w:w="25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260" w:type="dxa"/>
            <w:vAlign w:val="bottom"/>
            <w:tcBorders>
              <w:top w:val="single" w:sz="8" w:color="auto"/>
            </w:tcBorders>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Six Months</w:t>
            </w:r>
          </w:p>
        </w:tc>
        <w:tc>
          <w:tcPr>
            <w:tcW w:w="11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Six Months</w:t>
            </w: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Borders>
              <w:top w:val="single" w:sz="8" w:color="auto"/>
            </w:tcBorders>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6"/>
        </w:trPr>
        <w:tc>
          <w:tcPr>
            <w:tcW w:w="12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12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20" w:type="dxa"/>
            <w:vAlign w:val="bottom"/>
            <w:vMerge w:val="restart"/>
          </w:tcPr>
          <w:p>
            <w:pPr>
              <w:spacing w:after="0"/>
              <w:rPr>
                <w:sz w:val="12"/>
                <w:szCs w:val="12"/>
                <w:color w:val="auto"/>
              </w:rPr>
            </w:pPr>
          </w:p>
        </w:tc>
        <w:tc>
          <w:tcPr>
            <w:tcW w:w="9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July 1, 2023</w:t>
            </w:r>
          </w:p>
        </w:tc>
        <w:tc>
          <w:tcPr>
            <w:tcW w:w="80" w:type="dxa"/>
            <w:vAlign w:val="bottom"/>
            <w:vMerge w:val="restart"/>
          </w:tcPr>
          <w:p>
            <w:pPr>
              <w:spacing w:after="0"/>
              <w:rPr>
                <w:sz w:val="12"/>
                <w:szCs w:val="12"/>
                <w:color w:val="auto"/>
              </w:rPr>
            </w:pPr>
          </w:p>
        </w:tc>
        <w:tc>
          <w:tcPr>
            <w:tcW w:w="16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July 1, 2023</w:t>
            </w:r>
          </w:p>
        </w:tc>
        <w:tc>
          <w:tcPr>
            <w:tcW w:w="120" w:type="dxa"/>
            <w:vAlign w:val="bottom"/>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4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July 1, 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-7620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120" w:space="280"/>
            <w:col w:w="88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America’s Best</w:t>
            </w:r>
          </w:p>
        </w:tc>
        <w:tc>
          <w:tcPr>
            <w:tcW w:w="136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rPr>
              <w:t>2.0 %</w:t>
            </w:r>
          </w:p>
        </w:tc>
        <w:tc>
          <w:tcPr>
            <w:tcW w:w="9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1.8 %</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1,003</w:t>
            </w:r>
          </w:p>
        </w:tc>
        <w:tc>
          <w:tcPr>
            <w:tcW w:w="12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926</w:t>
            </w:r>
          </w:p>
        </w:tc>
        <w:tc>
          <w:tcPr>
            <w:tcW w:w="80" w:type="dxa"/>
            <w:vAlign w:val="bottom"/>
          </w:tcPr>
          <w:p>
            <w:pPr>
              <w:spacing w:after="0"/>
              <w:rPr>
                <w:sz w:val="17"/>
                <w:szCs w:val="17"/>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792,791</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84.8 %</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746,390</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83.2 %</w:t>
            </w:r>
          </w:p>
        </w:tc>
        <w:tc>
          <w:tcPr>
            <w:tcW w:w="0" w:type="dxa"/>
            <w:vAlign w:val="bottom"/>
          </w:tcPr>
          <w:p>
            <w:pPr>
              <w:spacing w:after="0"/>
              <w:rPr>
                <w:sz w:val="1"/>
                <w:szCs w:val="1"/>
                <w:color w:val="auto"/>
              </w:rPr>
            </w:pPr>
          </w:p>
        </w:tc>
      </w:tr>
      <w:tr>
        <w:trPr>
          <w:trHeight w:val="20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Eyeglass World</w:t>
            </w:r>
          </w:p>
        </w:tc>
        <w:tc>
          <w:tcPr>
            <w:tcW w:w="136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(2.9)%</w:t>
            </w:r>
          </w:p>
        </w:tc>
        <w:tc>
          <w:tcPr>
            <w:tcW w:w="9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(2.0)%</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106,449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116,846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13.0 %</w:t>
            </w:r>
          </w:p>
        </w:tc>
        <w:tc>
          <w:tcPr>
            <w:tcW w:w="0" w:type="dxa"/>
            <w:vAlign w:val="bottom"/>
          </w:tcPr>
          <w:p>
            <w:pPr>
              <w:spacing w:after="0"/>
              <w:rPr>
                <w:sz w:val="1"/>
                <w:szCs w:val="1"/>
                <w:color w:val="auto"/>
              </w:rPr>
            </w:pPr>
          </w:p>
        </w:tc>
      </w:tr>
      <w:tr>
        <w:trPr>
          <w:trHeight w:val="200"/>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Military</w:t>
            </w:r>
          </w:p>
        </w:tc>
        <w:tc>
          <w:tcPr>
            <w:tcW w:w="136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rPr>
              <w:t>(0.8)%</w:t>
            </w:r>
          </w:p>
        </w:tc>
        <w:tc>
          <w:tcPr>
            <w:tcW w:w="9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1.6 %</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54</w:t>
            </w:r>
          </w:p>
        </w:tc>
        <w:tc>
          <w:tcPr>
            <w:tcW w:w="12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11,714</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11,803</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1.3 %</w:t>
            </w:r>
          </w:p>
        </w:tc>
        <w:tc>
          <w:tcPr>
            <w:tcW w:w="0" w:type="dxa"/>
            <w:vAlign w:val="bottom"/>
          </w:tcPr>
          <w:p>
            <w:pPr>
              <w:spacing w:after="0"/>
              <w:rPr>
                <w:sz w:val="1"/>
                <w:szCs w:val="1"/>
                <w:color w:val="auto"/>
              </w:rPr>
            </w:pPr>
          </w:p>
        </w:tc>
      </w:tr>
      <w:tr>
        <w:trPr>
          <w:trHeight w:val="205"/>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Fred Meyer</w:t>
            </w:r>
          </w:p>
        </w:tc>
        <w:tc>
          <w:tcPr>
            <w:tcW w:w="136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(4.3)%</w:t>
            </w:r>
          </w:p>
        </w:tc>
        <w:tc>
          <w:tcPr>
            <w:tcW w:w="9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(6.9)%</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w:t>
            </w:r>
          </w:p>
        </w:tc>
        <w:tc>
          <w:tcPr>
            <w:tcW w:w="1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5,382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0.6 %</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5,621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0.6 %</w:t>
            </w:r>
          </w:p>
        </w:tc>
        <w:tc>
          <w:tcPr>
            <w:tcW w:w="0" w:type="dxa"/>
            <w:vAlign w:val="bottom"/>
          </w:tcPr>
          <w:p>
            <w:pPr>
              <w:spacing w:after="0"/>
              <w:rPr>
                <w:sz w:val="1"/>
                <w:szCs w:val="1"/>
                <w:color w:val="auto"/>
              </w:rPr>
            </w:pPr>
          </w:p>
        </w:tc>
      </w:tr>
      <w:tr>
        <w:trPr>
          <w:trHeight w:val="194"/>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Owned &amp; Host segment total</w:t>
            </w:r>
          </w:p>
        </w:tc>
        <w:tc>
          <w:tcPr>
            <w:tcW w:w="1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1,216</w:t>
            </w:r>
          </w:p>
        </w:tc>
        <w:tc>
          <w:tcPr>
            <w:tcW w:w="12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1,152</w:t>
            </w:r>
          </w:p>
        </w:tc>
        <w:tc>
          <w:tcPr>
            <w:tcW w:w="80" w:type="dxa"/>
            <w:vAlign w:val="bottom"/>
          </w:tcPr>
          <w:p>
            <w:pPr>
              <w:spacing w:after="0"/>
              <w:rPr>
                <w:sz w:val="16"/>
                <w:szCs w:val="16"/>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916,336</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98.1 %</w:t>
            </w:r>
          </w:p>
        </w:tc>
        <w:tc>
          <w:tcPr>
            <w:tcW w:w="100" w:type="dxa"/>
            <w:vAlign w:val="bottom"/>
          </w:tcPr>
          <w:p>
            <w:pPr>
              <w:spacing w:after="0"/>
              <w:rPr>
                <w:sz w:val="16"/>
                <w:szCs w:val="16"/>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880,660</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98.2 %</w:t>
            </w:r>
          </w:p>
        </w:tc>
        <w:tc>
          <w:tcPr>
            <w:tcW w:w="0" w:type="dxa"/>
            <w:vAlign w:val="bottom"/>
          </w:tcPr>
          <w:p>
            <w:pPr>
              <w:spacing w:after="0"/>
              <w:rPr>
                <w:sz w:val="1"/>
                <w:szCs w:val="1"/>
                <w:color w:val="auto"/>
              </w:rPr>
            </w:pPr>
          </w:p>
        </w:tc>
      </w:tr>
      <w:tr>
        <w:trPr>
          <w:trHeight w:val="205"/>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Corporate/Other</w:t>
            </w:r>
          </w:p>
        </w:tc>
        <w:tc>
          <w:tcPr>
            <w:tcW w:w="1360" w:type="dxa"/>
            <w:vAlign w:val="bottom"/>
            <w:shd w:val="clear" w:color="auto" w:fill="CCEEFF"/>
          </w:tcPr>
          <w:p>
            <w:pPr>
              <w:jc w:val="right"/>
              <w:ind w:right="50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16,344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17,227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1.9 %</w:t>
            </w:r>
          </w:p>
        </w:tc>
        <w:tc>
          <w:tcPr>
            <w:tcW w:w="0" w:type="dxa"/>
            <w:vAlign w:val="bottom"/>
          </w:tcPr>
          <w:p>
            <w:pPr>
              <w:spacing w:after="0"/>
              <w:rPr>
                <w:sz w:val="1"/>
                <w:szCs w:val="1"/>
                <w:color w:val="auto"/>
              </w:rPr>
            </w:pPr>
          </w:p>
        </w:tc>
      </w:tr>
      <w:tr>
        <w:trPr>
          <w:trHeight w:val="202"/>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Reconciliations</w:t>
            </w:r>
          </w:p>
        </w:tc>
        <w:tc>
          <w:tcPr>
            <w:tcW w:w="1360" w:type="dxa"/>
            <w:vAlign w:val="bottom"/>
          </w:tcPr>
          <w:p>
            <w:pPr>
              <w:jc w:val="right"/>
              <w:ind w:right="50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94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1,847</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(1,289)</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221"/>
        </w:trPr>
        <w:tc>
          <w:tcPr>
            <w:tcW w:w="2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360" w:type="dxa"/>
            <w:vAlign w:val="bottom"/>
            <w:tcBorders>
              <w:top w:val="single" w:sz="8" w:color="CCEEFF"/>
              <w:bottom w:val="single" w:sz="8" w:color="CCEEFF"/>
            </w:tcBorders>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1.8 %</w:t>
            </w:r>
          </w:p>
        </w:tc>
        <w:tc>
          <w:tcPr>
            <w:tcW w:w="980" w:type="dxa"/>
            <w:vAlign w:val="bottom"/>
            <w:tcBorders>
              <w:top w:val="single" w:sz="8" w:color="CCEEFF"/>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1.6 %</w:t>
            </w:r>
          </w:p>
        </w:tc>
        <w:tc>
          <w:tcPr>
            <w:tcW w:w="9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1,152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934,527</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896,598</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bottom w:val="single" w:sz="8" w:color="CCEEFF"/>
            </w:tcBorders>
            <w:vMerge w:val="restart"/>
          </w:tcPr>
          <w:p>
            <w:pPr>
              <w:ind w:left="20"/>
              <w:spacing w:after="0" w:line="136" w:lineRule="exact"/>
              <w:rPr>
                <w:sz w:val="20"/>
                <w:szCs w:val="20"/>
                <w:color w:val="auto"/>
              </w:rPr>
            </w:pPr>
            <w:r>
              <w:rPr>
                <w:rFonts w:ascii="Times New Roman" w:cs="Times New Roman" w:eastAsia="Times New Roman" w:hAnsi="Times New Roman"/>
                <w:sz w:val="15"/>
                <w:szCs w:val="15"/>
                <w:color w:val="auto"/>
              </w:rPr>
              <w:t>Adjusted Comparable Store Sales</w:t>
            </w:r>
          </w:p>
        </w:tc>
        <w:tc>
          <w:tcPr>
            <w:tcW w:w="1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60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600" w:type="dxa"/>
            <w:vAlign w:val="bottom"/>
          </w:tcPr>
          <w:p>
            <w:pPr>
              <w:ind w:left="20"/>
              <w:spacing w:after="0" w:line="158" w:lineRule="exact"/>
              <w:rPr>
                <w:sz w:val="20"/>
                <w:szCs w:val="20"/>
                <w:color w:val="auto"/>
              </w:rPr>
            </w:pPr>
            <w:r>
              <w:rPr>
                <w:rFonts w:ascii="Times New Roman" w:cs="Times New Roman" w:eastAsia="Times New Roman" w:hAnsi="Times New Roman"/>
                <w:sz w:val="15"/>
                <w:szCs w:val="15"/>
                <w:color w:val="auto"/>
              </w:rPr>
              <w:t>Growth from continuing</w:t>
            </w:r>
          </w:p>
        </w:tc>
        <w:tc>
          <w:tcPr>
            <w:tcW w:w="1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operations</w:t>
            </w:r>
            <w:r>
              <w:rPr>
                <w:rFonts w:ascii="Times New Roman" w:cs="Times New Roman" w:eastAsia="Times New Roman" w:hAnsi="Times New Roman"/>
                <w:sz w:val="19"/>
                <w:szCs w:val="19"/>
                <w:color w:val="auto"/>
                <w:vertAlign w:val="superscript"/>
              </w:rPr>
              <w:t>(3)</w:t>
            </w:r>
          </w:p>
        </w:tc>
        <w:tc>
          <w:tcPr>
            <w:tcW w:w="136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rPr>
              <w:t>1.3 %</w:t>
            </w:r>
          </w:p>
        </w:tc>
        <w:tc>
          <w:tcPr>
            <w:tcW w:w="9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1.2 %</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both"/>
        <w:ind w:left="660" w:right="640" w:hanging="328"/>
        <w:spacing w:after="0" w:line="261" w:lineRule="auto"/>
        <w:tabs>
          <w:tab w:leader="none" w:pos="65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calculate total comparable store sales from continuing operations based on consolidated net revenue from continuing operations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12. “Segment Reporting” in our unaudited condensed consolidated financial statements included in Part I. Item 1. of this Form 10-Q.</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Percentages reflect line item as a percentage of net revenue, adjusted for rounding.</w:t>
      </w:r>
    </w:p>
    <w:p>
      <w:pPr>
        <w:spacing w:after="0" w:line="14" w:lineRule="exact"/>
        <w:rPr>
          <w:rFonts w:ascii="Times New Roman" w:cs="Times New Roman" w:eastAsia="Times New Roman" w:hAnsi="Times New Roman"/>
          <w:sz w:val="14"/>
          <w:szCs w:val="14"/>
          <w:color w:val="auto"/>
        </w:rPr>
      </w:pPr>
    </w:p>
    <w:p>
      <w:pPr>
        <w:ind w:left="660" w:right="660" w:hanging="328"/>
        <w:spacing w:after="0" w:line="263" w:lineRule="auto"/>
        <w:tabs>
          <w:tab w:leader="none" w:pos="65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Comparable Store Sales Growth from continuing operations includes the effect of deferred and unearned revenue as if such revenues were earned at the point of sale, resulting in a decrease of 0.5% and a decrease of 0.4% from total</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comparable store sales growth from continuing operations based on consolidated net revenue for the six months ended June 29, 2024 and July 1, 2023, respectively.</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net revenue of $934.5 million for the six months ended June 29, 2024 increased $37.9 million, or 4.2%, from $896.6 million for the six months ended July 1, 2023. Approximately 80% of the increase was driven by growth from new store sales, approximately 30% was driven by Adjusted Comparable Store Sales Growth from continuing operations, and approximately 10% was driven by the timing of unearned revenue, partially offset by effects of converted and closed stores.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Comparable store sales growth from continuing operations and Adjusted Comparable Store Sales Growth from continuing operations for the six months ended June 29, 2024 were 1.8% and 1.3%, respectively, both reflecting an higher average ticket and an increase in customer transactions.</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six months ended June 29, 2024, we opened 28 new America’s Best stores and three Eyeglass World stores, closed two America’s Best stores and one Eyeglass World store and converted 20 Eyeglass World stores to America’s Best stores. Overall, store count grew 5.6% from July 1, 2023 to June 29, 2024 (57 and seven net new America’s Best and Eyeglass World stores, respectively).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product sales comprised 80.3% and 81.7% of total net revenue for the six months ended June 29, 2024 and July 1, 2023, respectively. Net product sales increased $17.7 million, or 2.4%, in the six months ended June 29, 2024 compared to the six months ended July 1, 2023, primarily due to a $10.1 million, or 1.8%, increase in eyeglass sales and a $5.7 million, or 3.7%, increase in contact lens sales.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of services and plans for the six months ended June 29, 2024 increased $20.2 million, or 12.3%, compared to the six months ended July 1, 2023, driven primarily by higher exam revenues of $19.3 million, or 19.0%.</w:t>
      </w:r>
    </w:p>
    <w:p>
      <w:pPr>
        <w:spacing w:after="0" w:line="52"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net revenue. </w:t>
      </w:r>
      <w:r>
        <w:rPr>
          <w:rFonts w:ascii="Times New Roman" w:cs="Times New Roman" w:eastAsia="Times New Roman" w:hAnsi="Times New Roman"/>
          <w:sz w:val="18"/>
          <w:szCs w:val="18"/>
          <w:color w:val="auto"/>
        </w:rPr>
        <w:t>Net revenue increased $35.7 million, or 4.1%, driven primarily by new store openings and comparable store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partially offset by converted and closed stores.</w:t>
      </w:r>
    </w:p>
    <w:p>
      <w:pPr>
        <w:spacing w:after="0" w:line="5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revenue reconciliations. </w:t>
      </w:r>
      <w:r>
        <w:rPr>
          <w:rFonts w:ascii="Times New Roman" w:cs="Times New Roman" w:eastAsia="Times New Roman" w:hAnsi="Times New Roman"/>
          <w:sz w:val="18"/>
          <w:szCs w:val="18"/>
          <w:color w:val="auto"/>
        </w:rPr>
        <w:t>The impact of reconciliations positively impacted net revenue by $3.1 million in the six months ended June 29,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six months ended July 1, 2023. Net revenue was positively impacted by $2.8 million due to the timing of unearned revenue. Net revenue was positively impacted by $0.3 million primarily due to lower sales of product protection plans and higher recognition of product protection plan revenue in the six months ended June 29, 2024 compared to the six months ended July 1,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Costs applicable to revenue of $389.1 million for the six months ended June 29, 2024 increased $22.7 million, or 6.2%, from $366.4 million for the six months ended July 1, 2023. As a percentage of net revenue, costs applicable to revenue increased from 40.9% for the six months ended July 1, 2023 to 41.6% for the six months ended June 29, 2024. This increase as a percentage of net revenue was primarily driven by lower eyeglass mix of 120 basis points, growth in optometrist-related costs of 100 basis points and 10 basis points from other mix and margin effects. These costs were partially offset by a 160 basis point effect from higher exam revenue.</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of products as a percentage of net product sales increased from 29.7% for the six months ended July 1, 2023 to 29.9% for the six months ended June 29, 2024, primarily driven by lower eyeglass mix and other product mix and margin effects.</w:t>
      </w:r>
    </w:p>
    <w:p>
      <w:pPr>
        <w:spacing w:after="0" w:line="106"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products. </w:t>
      </w:r>
      <w:r>
        <w:rPr>
          <w:rFonts w:ascii="Times New Roman" w:cs="Times New Roman" w:eastAsia="Times New Roman" w:hAnsi="Times New Roman"/>
          <w:sz w:val="18"/>
          <w:szCs w:val="18"/>
          <w:color w:val="auto"/>
        </w:rPr>
        <w:t>Costs of products as a percentage of net product sales increased from 28.7% for the six months ended July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to 28.9% for the six months ended June 29, 2024, primarily driven by lower eyeglass mix and other product mix and margin effects.</w:t>
      </w:r>
    </w:p>
    <w:p>
      <w:pPr>
        <w:spacing w:after="0" w:line="9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Costs of services and plans as a percentage of net sales of services and plans decreased from 90.7% for the six months ended July 1, 2023 to 89.3% for the six months ended June 29, 2024. The decrease was primarily driven by higher exam revenue, partially offset by growth in optometrist-related costs.</w:t>
      </w:r>
    </w:p>
    <w:p>
      <w:pPr>
        <w:spacing w:after="0" w:line="120"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services and plans. </w:t>
      </w:r>
      <w:r>
        <w:rPr>
          <w:rFonts w:ascii="Times New Roman" w:cs="Times New Roman" w:eastAsia="Times New Roman" w:hAnsi="Times New Roman"/>
          <w:sz w:val="18"/>
          <w:szCs w:val="18"/>
          <w:color w:val="auto"/>
        </w:rPr>
        <w:t>Costs of services and plans as a percentage of net sales of services and plans decreased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89.5% for the six months ended July 1, 2023 to 88.3% for the six months ended June 29, 2024. The decrease was primarily driven by higher exam revenue, partially offset by growth in optometrist-related costs.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SG&amp;A of $471.5 million for the six months ended June 29, 2024 increased $19.9 million, or 4.4%, from the six months ended July 1, 2023. As a percentage of net revenue, SG&amp;A increased from 50.4% for the six months ended July 1, 2023 to 50.5% for the six months ended June 29, 2024. The increase in SG&amp;A as a percentage of net revenue was primarily driven by litigation settlement of 50 basis points and legal and professional expenses of 40 basis points as well as other operating expenses, partially offset by decreases in performance-based incentive compensation of 100 basis points.</w:t>
      </w:r>
    </w:p>
    <w:p>
      <w:pPr>
        <w:spacing w:after="0" w:line="70" w:lineRule="exact"/>
        <w:rPr>
          <w:sz w:val="20"/>
          <w:szCs w:val="20"/>
          <w:color w:val="auto"/>
        </w:rPr>
      </w:pPr>
    </w:p>
    <w:p>
      <w:pPr>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SG&amp;A. </w:t>
      </w:r>
      <w:r>
        <w:rPr>
          <w:rFonts w:ascii="Times New Roman" w:cs="Times New Roman" w:eastAsia="Times New Roman" w:hAnsi="Times New Roman"/>
          <w:sz w:val="18"/>
          <w:szCs w:val="18"/>
          <w:color w:val="auto"/>
        </w:rPr>
        <w:t>SG&amp;A as a percentage of net revenue increased from 37.9% for the six months ended July 1, 2023 to 38.6%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29, 2024, driven primarily by higher occupancy expense and payroll.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of $45.9 million for the six months ended June 29, 2024 increased $1.9 million, or 4.2%, from $44.0 million for the six months ended July 1, 2023 primarily driven by new store openings and investments in remote medicine technology.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recognized $4.0 million primarily for impairment of tangible long-lived assets and ROU assets associated with our retail stores during the six months ended June 29, 2024, compared to $1.2 million impairment recognized during the six months ended July 1, 2023. The store asset impairment charge is related to our Owned &amp; Host segment and is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Asset impairment expenses were recognized in Corporate/Other.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Interest expense, net was $7.5 million for the six months ended June 29, 2024, compared to $6.7 million for the six months ended July 1, 2023. The change was primarily a result of lower derivative income of $1.7 million and lower income on cash balances of $0.6 million, partially offset by lower interest expense on our long-term debt of $1.3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 (benefit)</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effective tax rates for the six months ended June 29, 2024 and July 1, 2023 were 35.4% and 30.0%, respectively. The change in effective tax rates reflects our statutory federal and state rates of 25.2% and 25.4%, respectively, tax impacts of consolidated VIEs and non-deductible compensation expense as well as effects of other permanent items.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9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Income (loss) from discontinued operations, net of tax, of $(2.2) million for the six months ended June 29, 2024, decreased $7.4 million from $5.2 million for the six months ended July 1, 2023. Net revenue, costs applicable to revenue and SG&amp;A from discontinued operations decreased by $59.5 million, $23.2 million and $19.1 million, respectively, as compared to the six months ended July 1, 2023, primarily due to the current year including the discontinued operations results only for a partial period prior to the Walmart MSA termination date and the wind-down of AC Lens operations. Income tax expense (benefit) decreased by $5.5 million, due to lower income (loss) before income taxes in the current period as compared to the prior year, as well as other permanent items related to discontinued operations, primarily related to tax impacts of consolidated VIEs.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Operating Income, Adjusted Operating Margin, EBITDA, Adjusted EBITDA, Adjusted EBITDA Margin and Adjusted Diluted EPS.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define Adjusted Operating Income as net income, plus interest expense (income), net and income tax provision (benefit), further adjusted to exclude stock-based compensation expense, loss on extinguishment of debt, asset impairment, litigation settlement, secondary offering expenses, management realignment expenses, long-term incentive plan expenses, ERP and CRM implementation expenses and certain other expenses. We define Adjusted Operating Margin as Adjusted Operating Income as a percentage of net revenue. We define EBITDA as net income, plus interest expense (income), net, income tax provision (benefit) and depreciation and amortization. We define Adjusted EBITDA as net income, plus interest expense (income), net, income tax provision (benefit) and depreciation and amortization, further adjusted to exclude stock-based compensation expense, loss on extinguishment of debt, asset impairment, litigation settlement, secondary offering expenses, management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realignment expenses, long-term incentive plan expenses, ERP and CRM implementation expenses and certain other expenses. We define Adjusted EBITDA Margin as Adjusted EBITDA as a percentage of net revenue. We define Adjusted Diluted EPS as diluted earnings per share, adjusted for the per share impact of stock-based compensation expense, loss on extinguishment of debt, asset impairment, litigation settlement, secondary offering expenses, management realignment expenses, long-term incentive plan expenses, amortization of debt discounts and deferred financing costs of our term loan borrowings, amortization of the conversion feature and deferred financing costs related to our 2025 Notes when not required under U.S. GAAP to be added back for diluted earnings per share, derivative fair value adjustments, ERP and CRM implementation expenses, certain other expenses, less the tax effect of these adjustments, including tax expense (benefit) from stock-based compensation.</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presenting Adjusted Operating Income from continuing operations, EBITDA from continuing operations and Adjusted EBITDA from continuing operations we use the same definitions for Adjusted Operating Income, EBITDA and Adjusted EBITDA, respectively, and also exclude income (loss) from discontinued operations, net of tax. When presenting Adjusted Diluted EPS from continuing operations, we use the same definition for Adjusted Diluted EPS, and also exclude diluted earnings per share from discontinued operations. When presenting Adjusted Operating Margin from continuing operations, we use Adjusted Operating Income from continuing operations as a percentage of total net revenue. When presenting Adjusted EBITDA Margin from continuing operations, we use Adjusted EBITDA from continuing operations as a percentage of total net revenue.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EBITDA and the Company Non-GAAP Measures can vary substantially in size from one period to the next, and certain types of expenses are non-recurring in nature and consequently may not have been incurred in any of the periods presented below.</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EBITDA and the Company Non-GAAP Measures have been presented as supplemental measures of financial performance that are not required by, or presented in accordance with U.S. GAAP, because we believe they assist investors and analysts in comparing our operating performance across reporting periods on a consistent basis by excluding items that we do not believe are indicative of our core operating performance. Management believes EBITDA, and the Company Non-GAAP Measures are useful to investors in highlighting trends in our operating performance, while other measures can differ significantly depending on long-term strategic decisions regarding capital structure, the tax jurisdictions in which we operate and capital investments. We also use EBITDA and the Company Non-GAAP Measures 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 We continue to evaluate our use of the Company Non-GAAP measures in the context of the development of our business, and may introduce or discontinue certain measures in the future as we deem appropriate.</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EBITDA and 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In evaluating EBITDA and the Company Non-GAAP Measures, we may incur expenses in the future that are the same as or similar to some of the adjustments in this presentation. Our presentation of EBITDA and the Company Non-GAAP Measures should not be construed to imply that our future results will be unaffected by any such adjustments. Management compensates for these limitations by primarily relying on our U.S. GAAP results in addition to using EBITDA and the Company Non-GAAP Measures.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presentations of these measures have limitations as analytical tools and should not be considered in isolation, or as a substitute for analysis of our results as reported under U.S. GAAP. Some of these limitations are:</w:t>
      </w:r>
    </w:p>
    <w:p>
      <w:pPr>
        <w:spacing w:after="0" w:line="5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costs or cash outlays for capital expenditures or contractual commitments;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changes in, or cash requirements for, our working capital needs;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Operating Income do not reflect the interest expense (income), net, or the cash requirements necessary to service interest or principal payments, on our debt;</w:t>
      </w:r>
    </w:p>
    <w:p>
      <w:pPr>
        <w:ind w:left="660" w:right="2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Operating Income do not reflect period to period changes in taxes, income tax provision or the cash necessary to pay income taxes;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the impact of earnings or charges resulting from matters we consider not to be indicative of our ongoing operations;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of these limitations, EBITDA and the Company Non-GAAP Measures should not be considered as measures of discretionary cash available to invest in business growth or to reduce indebtedness.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reconciles our Adjusted Operating Income from continuing operations, Adjusted Operating Margin from continuing operations, EBITDA from continuing operations, Adjusted EBITDA from continuing operations, and Adjusted EBITDA Margin from continuing operations to net income (loss) from continuing operations; and Adjusted Diluted EPS from continuing operations to diluted EPS from continuing operations for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6"/>
                <w:szCs w:val="16"/>
                <w:color w:val="auto"/>
              </w:rPr>
              <w:t>Three Months Ended</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6"/>
                <w:szCs w:val="16"/>
                <w:color w:val="auto"/>
              </w:rPr>
              <w:t>Six Months Ended</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7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June 29, 2024</w:t>
            </w:r>
          </w:p>
        </w:tc>
        <w:tc>
          <w:tcPr>
            <w:tcW w:w="28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July 1, 2023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June 29, 2024</w:t>
            </w:r>
          </w:p>
        </w:tc>
        <w:tc>
          <w:tcPr>
            <w:tcW w:w="2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July 1, 2023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5,614</w:t>
            </w:r>
          </w:p>
        </w:tc>
        <w:tc>
          <w:tcPr>
            <w:tcW w:w="3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8,560</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23,884</w:t>
            </w:r>
          </w:p>
        </w:tc>
        <w:tc>
          <w:tcPr>
            <w:tcW w:w="4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162"/>
        </w:trPr>
        <w:tc>
          <w:tcPr>
            <w:tcW w:w="32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Income (loss) from discontinued operations, net</w:t>
            </w:r>
          </w:p>
        </w:tc>
        <w:tc>
          <w:tcPr>
            <w:tcW w:w="2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36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5,233</w:t>
            </w:r>
          </w:p>
        </w:tc>
        <w:tc>
          <w:tcPr>
            <w:tcW w:w="46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13"/>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of tax</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2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Income (loss) from continuing operations, net</w:t>
            </w:r>
          </w:p>
        </w:tc>
        <w:tc>
          <w:tcPr>
            <w:tcW w:w="2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3,637</w:t>
            </w:r>
          </w:p>
        </w:tc>
        <w:tc>
          <w:tcPr>
            <w:tcW w:w="3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10,712</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18,651</w:t>
            </w:r>
          </w:p>
        </w:tc>
        <w:tc>
          <w:tcPr>
            <w:tcW w:w="46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of tax</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w:t>
            </w:r>
          </w:p>
        </w:tc>
        <w:tc>
          <w:tcPr>
            <w:tcW w:w="3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6,703</w:t>
            </w:r>
          </w:p>
        </w:tc>
        <w:tc>
          <w:tcPr>
            <w:tcW w:w="4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8,007</w:t>
            </w: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(a)</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5,172</w:t>
            </w: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7,164</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9,221</w:t>
            </w:r>
          </w:p>
        </w:tc>
        <w:tc>
          <w:tcPr>
            <w:tcW w:w="4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Asset impairment </w:t>
            </w:r>
            <w:r>
              <w:rPr>
                <w:rFonts w:ascii="Times New Roman" w:cs="Times New Roman" w:eastAsia="Times New Roman" w:hAnsi="Times New Roman"/>
                <w:sz w:val="21"/>
                <w:szCs w:val="21"/>
                <w:color w:val="auto"/>
                <w:vertAlign w:val="superscript"/>
              </w:rPr>
              <w:t>(b)</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Litigation settlement </w:t>
            </w:r>
            <w:r>
              <w:rPr>
                <w:rFonts w:ascii="Times New Roman" w:cs="Times New Roman" w:eastAsia="Times New Roman" w:hAnsi="Times New Roman"/>
                <w:sz w:val="21"/>
                <w:szCs w:val="21"/>
                <w:color w:val="auto"/>
                <w:vertAlign w:val="superscript"/>
              </w:rPr>
              <w:t>(c)</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ERP and CRM implementation expenses </w:t>
            </w:r>
            <w:r>
              <w:rPr>
                <w:rFonts w:ascii="Times New Roman" w:cs="Times New Roman" w:eastAsia="Times New Roman" w:hAnsi="Times New Roman"/>
                <w:sz w:val="21"/>
                <w:szCs w:val="21"/>
                <w:color w:val="auto"/>
                <w:vertAlign w:val="superscript"/>
              </w:rPr>
              <w:t>(f)</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(g)</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3,072</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3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5,688</w:t>
            </w: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46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142"/>
        </w:trPr>
        <w:tc>
          <w:tcPr>
            <w:tcW w:w="326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6"/>
                <w:szCs w:val="16"/>
                <w:b w:val="1"/>
                <w:bCs w:val="1"/>
                <w:color w:val="auto"/>
              </w:rPr>
              <w:t>Adjusted Operating Income from continuing</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b w:val="1"/>
                <w:bCs w:val="1"/>
                <w:color w:val="auto"/>
              </w:rPr>
              <w:t>operations / Adjusted Operating Margin</w:t>
            </w: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14,073</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2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12,369</w:t>
            </w:r>
          </w:p>
        </w:tc>
        <w:tc>
          <w:tcPr>
            <w:tcW w:w="36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2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47,967</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2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44,934</w:t>
            </w:r>
          </w:p>
        </w:tc>
        <w:tc>
          <w:tcPr>
            <w:tcW w:w="46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from continuing operations</w:t>
            </w: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ind w:left="60"/>
        <w:spacing w:after="0" w:line="234" w:lineRule="auto"/>
        <w:rPr>
          <w:sz w:val="20"/>
          <w:szCs w:val="20"/>
          <w:color w:val="auto"/>
        </w:rPr>
      </w:pPr>
      <w:r>
        <w:rPr>
          <w:rFonts w:ascii="Times New Roman" w:cs="Times New Roman" w:eastAsia="Times New Roman" w:hAnsi="Times New Roman"/>
          <w:sz w:val="16"/>
          <w:szCs w:val="16"/>
          <w:i w:val="1"/>
          <w:iCs w:val="1"/>
          <w:color w:val="auto"/>
        </w:rPr>
        <w:t>Note: Percentages reflect line item as a percentage of net revenue, adjusted for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-104775</wp:posOffset>
            </wp:positionV>
            <wp:extent cx="6172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-104775</wp:posOffset>
            </wp:positionV>
            <wp:extent cx="6172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-104775</wp:posOffset>
            </wp:positionV>
            <wp:extent cx="6172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-104775</wp:posOffset>
            </wp:positionV>
            <wp:extent cx="6172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6"/>
          <w:szCs w:val="16"/>
          <w:i w:val="1"/>
          <w:iCs w:val="1"/>
          <w:color w:val="auto"/>
        </w:rPr>
        <w:t>Some of the percentage totals in the table above do not foot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1280" w:type="dxa"/>
            <w:vAlign w:val="bottom"/>
            <w:tcBorders>
              <w:top w:val="single" w:sz="8" w:color="0000FF"/>
            </w:tcBorders>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right"/>
              <w:ind w:right="190"/>
              <w:spacing w:after="0"/>
              <w:rPr>
                <w:sz w:val="20"/>
                <w:szCs w:val="20"/>
                <w:color w:val="auto"/>
              </w:rPr>
            </w:pPr>
            <w:r>
              <w:rPr>
                <w:rFonts w:ascii="Times New Roman" w:cs="Times New Roman" w:eastAsia="Times New Roman" w:hAnsi="Times New Roman"/>
                <w:sz w:val="18"/>
                <w:szCs w:val="18"/>
                <w:color w:val="auto"/>
              </w:rPr>
              <w:t>Three Months Ended</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w w:val="98"/>
              </w:rPr>
              <w:t>Six Months Ended</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Pr>
          <w:p>
            <w:pPr>
              <w:spacing w:after="0"/>
              <w:rPr>
                <w:sz w:val="19"/>
                <w:szCs w:val="19"/>
                <w:color w:val="auto"/>
              </w:rPr>
            </w:pP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June 29, 2024</w:t>
            </w:r>
          </w:p>
        </w:tc>
        <w:tc>
          <w:tcPr>
            <w:tcW w:w="260" w:type="dxa"/>
            <w:vAlign w:val="bottom"/>
          </w:tcPr>
          <w:p>
            <w:pPr>
              <w:spacing w:after="0"/>
              <w:rPr>
                <w:sz w:val="19"/>
                <w:szCs w:val="19"/>
                <w:color w:val="auto"/>
              </w:rPr>
            </w:pPr>
          </w:p>
        </w:tc>
        <w:tc>
          <w:tcPr>
            <w:tcW w:w="160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July 1, 2023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June 29, 2024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5"/>
          </w:tcPr>
          <w:p>
            <w:pPr>
              <w:jc w:val="right"/>
              <w:ind w:right="450"/>
              <w:spacing w:after="0"/>
              <w:rPr>
                <w:sz w:val="20"/>
                <w:szCs w:val="20"/>
                <w:color w:val="auto"/>
              </w:rPr>
            </w:pPr>
            <w:r>
              <w:rPr>
                <w:rFonts w:ascii="Times New Roman" w:cs="Times New Roman" w:eastAsia="Times New Roman" w:hAnsi="Times New Roman"/>
                <w:sz w:val="18"/>
                <w:szCs w:val="18"/>
                <w:color w:val="auto"/>
              </w:rPr>
              <w:t>July 1, 2023</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(3,125)</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4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23,884</w:t>
            </w:r>
          </w:p>
        </w:tc>
        <w:tc>
          <w:tcPr>
            <w:tcW w:w="3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2.7 %</w:t>
            </w:r>
          </w:p>
        </w:tc>
        <w:tc>
          <w:tcPr>
            <w:tcW w:w="0" w:type="dxa"/>
            <w:vAlign w:val="bottom"/>
          </w:tcPr>
          <w:p>
            <w:pPr>
              <w:spacing w:after="0"/>
              <w:rPr>
                <w:sz w:val="1"/>
                <w:szCs w:val="1"/>
                <w:color w:val="auto"/>
              </w:rPr>
            </w:pPr>
          </w:p>
        </w:tc>
      </w:tr>
      <w:tr>
        <w:trPr>
          <w:trHeight w:val="175"/>
        </w:trPr>
        <w:tc>
          <w:tcPr>
            <w:tcW w:w="3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(loss) from discontinued</w:t>
            </w: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operations, net of tax</w:t>
            </w: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(2,084)</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42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38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2.7 %</w:t>
            </w:r>
          </w:p>
        </w:tc>
        <w:tc>
          <w:tcPr>
            <w:tcW w:w="0" w:type="dxa"/>
            <w:vAlign w:val="bottom"/>
          </w:tcPr>
          <w:p>
            <w:pPr>
              <w:spacing w:after="0"/>
              <w:rPr>
                <w:sz w:val="1"/>
                <w:szCs w:val="1"/>
                <w:color w:val="auto"/>
              </w:rPr>
            </w:pPr>
          </w:p>
        </w:tc>
      </w:tr>
      <w:tr>
        <w:trPr>
          <w:trHeight w:val="155"/>
        </w:trPr>
        <w:tc>
          <w:tcPr>
            <w:tcW w:w="316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Income (loss) from continuing</w:t>
            </w: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operations, net of tax</w:t>
            </w: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(1,041)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4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18,651</w:t>
            </w:r>
          </w:p>
        </w:tc>
        <w:tc>
          <w:tcPr>
            <w:tcW w:w="38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2.1 %</w:t>
            </w:r>
          </w:p>
        </w:tc>
        <w:tc>
          <w:tcPr>
            <w:tcW w:w="0" w:type="dxa"/>
            <w:vAlign w:val="bottom"/>
          </w:tcPr>
          <w:p>
            <w:pPr>
              <w:spacing w:after="0"/>
              <w:rPr>
                <w:sz w:val="1"/>
                <w:szCs w:val="1"/>
                <w:color w:val="auto"/>
              </w:rPr>
            </w:pPr>
          </w:p>
        </w:tc>
      </w:tr>
      <w:tr>
        <w:trPr>
          <w:trHeight w:val="22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4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380" w:type="dxa"/>
            <w:vAlign w:val="bottom"/>
          </w:tcPr>
          <w:p>
            <w:pPr>
              <w:spacing w:after="0"/>
              <w:rPr>
                <w:sz w:val="19"/>
                <w:szCs w:val="19"/>
                <w:color w:val="auto"/>
              </w:rPr>
            </w:pPr>
          </w:p>
        </w:tc>
        <w:tc>
          <w:tcPr>
            <w:tcW w:w="6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0.7 %</w:t>
            </w: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(1,564)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4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0.9 %</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22,692</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45,913</w:t>
            </w:r>
          </w:p>
        </w:tc>
        <w:tc>
          <w:tcPr>
            <w:tcW w:w="4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44,045</w:t>
            </w:r>
          </w:p>
        </w:tc>
        <w:tc>
          <w:tcPr>
            <w:tcW w:w="3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4.9 %</w:t>
            </w:r>
          </w:p>
        </w:tc>
        <w:tc>
          <w:tcPr>
            <w:tcW w:w="0" w:type="dxa"/>
            <w:vAlign w:val="bottom"/>
          </w:tcPr>
          <w:p>
            <w:pPr>
              <w:spacing w:after="0"/>
              <w:rPr>
                <w:sz w:val="1"/>
                <w:szCs w:val="1"/>
                <w:color w:val="auto"/>
              </w:rPr>
            </w:pPr>
          </w:p>
        </w:tc>
      </w:tr>
      <w:tr>
        <w:trPr>
          <w:trHeight w:val="223"/>
        </w:trPr>
        <w:tc>
          <w:tcPr>
            <w:tcW w:w="3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EBITDA from continuing operations</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69,946</w:t>
            </w:r>
          </w:p>
        </w:tc>
        <w:tc>
          <w:tcPr>
            <w:tcW w:w="4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77,406</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8.6 %</w:t>
            </w:r>
          </w:p>
        </w:tc>
        <w:tc>
          <w:tcPr>
            <w:tcW w:w="0" w:type="dxa"/>
            <w:vAlign w:val="bottom"/>
          </w:tcPr>
          <w:p>
            <w:pPr>
              <w:spacing w:after="0"/>
              <w:rPr>
                <w:sz w:val="1"/>
                <w:szCs w:val="1"/>
                <w:color w:val="auto"/>
              </w:rPr>
            </w:pPr>
          </w:p>
        </w:tc>
      </w:tr>
      <w:tr>
        <w:trPr>
          <w:trHeight w:val="270"/>
        </w:trPr>
        <w:tc>
          <w:tcPr>
            <w:tcW w:w="3160" w:type="dxa"/>
            <w:vAlign w:val="bottom"/>
            <w:gridSpan w:val="2"/>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gridSpan w:val="2"/>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4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1.0 %</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(b)</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4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380" w:type="dxa"/>
            <w:vAlign w:val="bottom"/>
          </w:tcPr>
          <w:p>
            <w:pPr>
              <w:spacing w:after="0"/>
              <w:rPr>
                <w:sz w:val="19"/>
                <w:szCs w:val="19"/>
                <w:color w:val="auto"/>
              </w:rPr>
            </w:pPr>
          </w:p>
        </w:tc>
        <w:tc>
          <w:tcPr>
            <w:tcW w:w="6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0.1 %</w:t>
            </w: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(c)</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4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6"/>
        </w:trPr>
        <w:tc>
          <w:tcPr>
            <w:tcW w:w="3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ERP and CRM implementation expenses</w:t>
            </w: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420" w:type="dxa"/>
            <w:vAlign w:val="bottom"/>
          </w:tcPr>
          <w:p>
            <w:pPr>
              <w:spacing w:after="0"/>
              <w:rPr>
                <w:sz w:val="15"/>
                <w:szCs w:val="15"/>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w:t>
            </w:r>
          </w:p>
        </w:tc>
        <w:tc>
          <w:tcPr>
            <w:tcW w:w="3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(g)</w:t>
            </w: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4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0.0 %</w:t>
            </w:r>
          </w:p>
        </w:tc>
        <w:tc>
          <w:tcPr>
            <w:tcW w:w="0" w:type="dxa"/>
            <w:vAlign w:val="bottom"/>
          </w:tcPr>
          <w:p>
            <w:pPr>
              <w:spacing w:after="0"/>
              <w:rPr>
                <w:sz w:val="1"/>
                <w:szCs w:val="1"/>
                <w:color w:val="auto"/>
              </w:rPr>
            </w:pPr>
          </w:p>
        </w:tc>
      </w:tr>
      <w:tr>
        <w:trPr>
          <w:trHeight w:val="155"/>
        </w:trPr>
        <w:tc>
          <w:tcPr>
            <w:tcW w:w="316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Adjusted EBITDA from continuing</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6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8"/>
                <w:szCs w:val="18"/>
                <w:b w:val="1"/>
                <w:bCs w:val="1"/>
                <w:color w:val="auto"/>
              </w:rPr>
              <w:t>operations / Adjusted EBITDA</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36,383</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34,076</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93,117</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vMerge w:val="restart"/>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88,216</w:t>
            </w: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Margin from continuing operations</w:t>
            </w:r>
          </w:p>
        </w:tc>
        <w:tc>
          <w:tcPr>
            <w:tcW w:w="36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4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gridSpan w:val="2"/>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20" w:type="dxa"/>
            <w:vAlign w:val="bottom"/>
          </w:tcPr>
          <w:p>
            <w:pPr>
              <w:spacing w:after="0"/>
              <w:rPr>
                <w:sz w:val="18"/>
                <w:szCs w:val="18"/>
                <w:color w:val="auto"/>
              </w:rPr>
            </w:pPr>
          </w:p>
        </w:tc>
        <w:tc>
          <w:tcPr>
            <w:tcW w:w="1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9.8 %</w:t>
            </w:r>
          </w:p>
        </w:tc>
        <w:tc>
          <w:tcPr>
            <w:tcW w:w="0" w:type="dxa"/>
            <w:vAlign w:val="bottom"/>
          </w:tcPr>
          <w:p>
            <w:pPr>
              <w:spacing w:after="0"/>
              <w:rPr>
                <w:sz w:val="1"/>
                <w:szCs w:val="1"/>
                <w:color w:val="auto"/>
              </w:rPr>
            </w:pPr>
          </w:p>
        </w:tc>
      </w:tr>
      <w:tr>
        <w:trPr>
          <w:trHeight w:val="21"/>
        </w:trPr>
        <w:tc>
          <w:tcPr>
            <w:tcW w:w="316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4"/>
        </w:trPr>
        <w:tc>
          <w:tcPr>
            <w:tcW w:w="5160" w:type="dxa"/>
            <w:vAlign w:val="bottom"/>
            <w:gridSpan w:val="6"/>
          </w:tcPr>
          <w:p>
            <w:pPr>
              <w:ind w:left="140"/>
              <w:spacing w:after="0" w:line="104" w:lineRule="exact"/>
              <w:rPr>
                <w:sz w:val="20"/>
                <w:szCs w:val="20"/>
                <w:color w:val="auto"/>
              </w:rPr>
            </w:pPr>
            <w:r>
              <w:rPr>
                <w:rFonts w:ascii="Times New Roman" w:cs="Times New Roman" w:eastAsia="Times New Roman" w:hAnsi="Times New Roman"/>
                <w:sz w:val="12"/>
                <w:szCs w:val="12"/>
                <w:i w:val="1"/>
                <w:iCs w:val="1"/>
                <w:color w:val="auto"/>
              </w:rPr>
              <w:t>Note: Percentages reflect line item as a percentage of net revenue, adjusted for rounding.</w:t>
            </w: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5420" w:type="dxa"/>
            <w:vAlign w:val="bottom"/>
            <w:gridSpan w:val="7"/>
          </w:tcPr>
          <w:p>
            <w:pPr>
              <w:ind w:left="140"/>
              <w:spacing w:after="0"/>
              <w:rPr>
                <w:sz w:val="20"/>
                <w:szCs w:val="20"/>
                <w:color w:val="auto"/>
              </w:rPr>
            </w:pPr>
            <w:r>
              <w:rPr>
                <w:rFonts w:ascii="Times New Roman" w:cs="Times New Roman" w:eastAsia="Times New Roman" w:hAnsi="Times New Roman"/>
                <w:sz w:val="14"/>
                <w:szCs w:val="14"/>
                <w:i w:val="1"/>
                <w:iCs w:val="1"/>
                <w:color w:val="auto"/>
              </w:rPr>
              <w:t>Some of the percentage totals in the table above do not foot due to rounding differences.</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9"/>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7"/>
          </w:tcPr>
          <w:p>
            <w:pPr>
              <w:jc w:val="center"/>
              <w:ind w:right="130"/>
              <w:spacing w:after="0"/>
              <w:rPr>
                <w:sz w:val="20"/>
                <w:szCs w:val="20"/>
                <w:color w:val="auto"/>
              </w:rPr>
            </w:pPr>
            <w:r>
              <w:rPr>
                <w:rFonts w:ascii="Times New Roman" w:cs="Times New Roman" w:eastAsia="Times New Roman" w:hAnsi="Times New Roman"/>
                <w:sz w:val="18"/>
                <w:szCs w:val="18"/>
                <w:color w:val="auto"/>
                <w:w w:val="98"/>
              </w:rPr>
              <w:t>Three Months Ended</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Six Months Ended</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36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June 29, 2024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July 1, 2023</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June 29, 2024</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July 1, 2023</w:t>
            </w:r>
          </w:p>
        </w:tc>
        <w:tc>
          <w:tcPr>
            <w:tcW w:w="0" w:type="dxa"/>
            <w:vAlign w:val="bottom"/>
          </w:tcPr>
          <w:p>
            <w:pPr>
              <w:spacing w:after="0"/>
              <w:rPr>
                <w:sz w:val="1"/>
                <w:szCs w:val="1"/>
                <w:color w:val="auto"/>
              </w:rPr>
            </w:pPr>
          </w:p>
        </w:tc>
      </w:tr>
      <w:tr>
        <w:trPr>
          <w:trHeight w:val="223"/>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5"/>
              </w:rPr>
              <w:t>0.30</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Diluted EPS from discontinued operations</w:t>
            </w:r>
          </w:p>
        </w:tc>
        <w:tc>
          <w:tcPr>
            <w:tcW w:w="36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(0.03)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5"/>
              </w:rPr>
              <w:t>0.07</w:t>
            </w:r>
          </w:p>
        </w:tc>
        <w:tc>
          <w:tcPr>
            <w:tcW w:w="0" w:type="dxa"/>
            <w:vAlign w:val="bottom"/>
          </w:tcPr>
          <w:p>
            <w:pPr>
              <w:spacing w:after="0"/>
              <w:rPr>
                <w:sz w:val="1"/>
                <w:szCs w:val="1"/>
                <w:color w:val="auto"/>
              </w:rPr>
            </w:pPr>
          </w:p>
        </w:tc>
      </w:tr>
      <w:tr>
        <w:trPr>
          <w:trHeight w:val="223"/>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 from continuing operations</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5"/>
              </w:rPr>
              <w:t>0.24</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5"/>
              </w:rPr>
              <w:t>0.12</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(b)</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5"/>
              </w:rPr>
              <w:t>0.02</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(c)</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6"/>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debt discount and deferred financing costs </w:t>
            </w:r>
            <w:r>
              <w:rPr>
                <w:rFonts w:ascii="Times New Roman" w:cs="Times New Roman" w:eastAsia="Times New Roman" w:hAnsi="Times New Roman"/>
                <w:sz w:val="23"/>
                <w:szCs w:val="23"/>
                <w:color w:val="auto"/>
                <w:vertAlign w:val="superscript"/>
              </w:rPr>
              <w:t>(d)</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5"/>
              </w:rPr>
              <w:t>0.02</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Derivative fair value adjustments </w:t>
            </w:r>
            <w:r>
              <w:rPr>
                <w:rFonts w:ascii="Times New Roman" w:cs="Times New Roman" w:eastAsia="Times New Roman" w:hAnsi="Times New Roman"/>
                <w:sz w:val="23"/>
                <w:szCs w:val="23"/>
                <w:color w:val="auto"/>
                <w:vertAlign w:val="superscript"/>
              </w:rPr>
              <w:t>(e)</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5"/>
              </w:rPr>
              <w:t>0.04</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w w:val="99"/>
              </w:rPr>
              <w:t xml:space="preserve">ERP and CRM implementation expenses </w:t>
            </w:r>
            <w:r>
              <w:rPr>
                <w:rFonts w:ascii="Times New Roman" w:cs="Times New Roman" w:eastAsia="Times New Roman" w:hAnsi="Times New Roman"/>
                <w:sz w:val="23"/>
                <w:szCs w:val="23"/>
                <w:color w:val="auto"/>
                <w:w w:val="99"/>
                <w:vertAlign w:val="superscript"/>
              </w:rPr>
              <w:t>(f)</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(g)</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5"/>
              </w:rPr>
              <w:t>0.02</w:t>
            </w: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effects </w:t>
            </w:r>
            <w:r>
              <w:rPr>
                <w:rFonts w:ascii="Times New Roman" w:cs="Times New Roman" w:eastAsia="Times New Roman" w:hAnsi="Times New Roman"/>
                <w:sz w:val="23"/>
                <w:szCs w:val="23"/>
                <w:color w:val="auto"/>
                <w:vertAlign w:val="superscript"/>
              </w:rPr>
              <w:t>(h)</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(0.09)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23"/>
        </w:trPr>
        <w:tc>
          <w:tcPr>
            <w:tcW w:w="41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Diluted EPS from continuing operations</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5"/>
              </w:rPr>
              <w:t>0.41</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diluted shares outstanding</w:t>
            </w: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78,575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78,343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78,774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78,784</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i w:val="1"/>
          <w:iCs w:val="1"/>
          <w:color w:val="auto"/>
        </w:rPr>
        <w:t>Note: Some of the totals in the table above do not foot due to rounding differences.</w:t>
      </w:r>
    </w:p>
    <w:p>
      <w:pPr>
        <w:spacing w:after="0" w:line="20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charges related to stock-based compensation programs, which vary from period to period depending on the timing of awards and performance vesting conditions.</w:t>
      </w:r>
    </w:p>
    <w:p>
      <w:pPr>
        <w:spacing w:after="0" w:line="27"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write-off related to impairment of long-lived assets, primarily impairment of property, equipment and lease-related assets on closed or underperforming stores.</w:t>
      </w:r>
    </w:p>
    <w:p>
      <w:pPr>
        <w:spacing w:after="0" w:line="14"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associated with settlement of certain litigation.</w:t>
      </w:r>
    </w:p>
    <w:p>
      <w:pPr>
        <w:spacing w:after="0" w:line="14" w:lineRule="exact"/>
        <w:rPr>
          <w:rFonts w:ascii="Times New Roman" w:cs="Times New Roman" w:eastAsia="Times New Roman" w:hAnsi="Times New Roman"/>
          <w:sz w:val="14"/>
          <w:szCs w:val="14"/>
          <w:color w:val="auto"/>
        </w:rPr>
      </w:pPr>
    </w:p>
    <w:p>
      <w:pPr>
        <w:ind w:left="660" w:right="660" w:hanging="328"/>
        <w:spacing w:after="0" w:line="283" w:lineRule="auto"/>
        <w:tabs>
          <w:tab w:leader="none" w:pos="6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deferred financing costs and other non-cash charges related to our long-term debt. We adjust for amortization of deferred financing costs related to the 2025 Notes only when adjustment for these costs is not required in the calculation of diluted earnings per share under U.S. GAAP.</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both"/>
        <w:ind w:left="660" w:right="660" w:hanging="328"/>
        <w:spacing w:after="0" w:line="262" w:lineRule="auto"/>
        <w:tabs>
          <w:tab w:leader="none" w:pos="65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adjustments for the derivative fair value (gains) and losses have the effect of adjusting the (gain) or loss for changes in the fair value of derivative instruments and amortization of AOCL for derivatives not designated as accounting hedges. This results in reflecting derivative (gains) and losses within Adjusted Diluted EPS during the period the derivative is settled.</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the Company’s ERP and CRM implementation.</w:t>
      </w:r>
    </w:p>
    <w:p>
      <w:pPr>
        <w:spacing w:after="0" w:line="11" w:lineRule="exact"/>
        <w:rPr>
          <w:rFonts w:ascii="Times New Roman" w:cs="Times New Roman" w:eastAsia="Times New Roman" w:hAnsi="Times New Roman"/>
          <w:sz w:val="14"/>
          <w:szCs w:val="14"/>
          <w:color w:val="auto"/>
        </w:rPr>
      </w:pPr>
    </w:p>
    <w:p>
      <w:pPr>
        <w:jc w:val="both"/>
        <w:ind w:left="660" w:right="640" w:hanging="328"/>
        <w:spacing w:after="0" w:line="257"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include amounts that management believes are not representative of our operating performance (amounts in brackets represent reductions in Adjusted Operating Income, Adjusted Diluted EPS and Adjusted EBITDA), which are primarily related to costs associated with the digitization of paper-based records of $2.3 million and $4.1 million for the three and six months ended June 29, 2024, respectively, and other expenses and adjustments. Other adjustments for both Adjusted Operating Income and Adjusted Diluted EPS include amortization of the increase in carrying values of finite-lived intangible assets resulting from the application of purchase accounting following the acquisition of the Company by affiliates of KKR &amp; Co. Inc. Adjusted Diluted EPS is also adjusted to include debt issuance costs.</w:t>
      </w:r>
    </w:p>
    <w:p>
      <w:pPr>
        <w:spacing w:after="0" w:line="2" w:lineRule="exact"/>
        <w:rPr>
          <w:rFonts w:ascii="Times New Roman" w:cs="Times New Roman" w:eastAsia="Times New Roman" w:hAnsi="Times New Roman"/>
          <w:sz w:val="14"/>
          <w:szCs w:val="14"/>
          <w:color w:val="auto"/>
        </w:rPr>
      </w:pPr>
    </w:p>
    <w:p>
      <w:pPr>
        <w:ind w:left="660" w:right="660" w:hanging="328"/>
        <w:spacing w:after="0" w:line="283"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income tax effect of the total adjustments at our combined statutory federal and state income tax rates, including tax expense (benefit) from stock-based compensation.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primary cash needs are for inventory, payroll, store rent, advertising, capital expenditures associated with new stores and updating existing stores, as well as information and remote medicine technology and infrastructure, including our corporate office, distribution centers, and laboratories. When appropriate, the Company may utilize excess liquidity towards debt service requirements, including voluntary debt prepayments, or required interest and principal payments, if any, as well as repurchases of common stock or other securities, based on excess cash flows. The most significant components of our operating assets and liabilities are inventories, accounts receivable, prepaid expenses and other assets, accounts payable, deferred and unearned revenue and other payables and accrued expenses. We exercise prudence in our use of cash and closely monitor various items related to cash flow including, but not limited to, cash receipts, cash disbursements, payment terms and alternative sources of funding. We continue to be focused on these items in addition to other key measures we use to determine how our consolidated business and operating segments are performing. We believe that cash on hand, cash expected to be generated from operations and the availability of borrowings under our Revolving Loans will be sufficient to fund our working capital requirements, liquidity obligations, anticipated capital expenditures, and payments due under our existing debt for the next 12 months and thereafter for the foreseeable future. Depending on our liquidity levels, conditions in the capital markets and other factors, we may from time to time consider the prepayment, refinancing or issuance of debt, issuance of equity or other securities, the proceeds of which could provide additional liquidity for our operations, as well as modifications to our Term Loan A where possible. In addition, depending on market conditions and other factors, we may elect to repurchase all or a significant portion of our outstanding 2025 Notes prior to their maturity on May 15, 2025, utilizing cash on hand and/or one or more of the additional liquidity sources noted above. Our ability to maintain sufficient liquidity may be affected by numerous factors, many of which are outside of our control. We primarily fund our working capital needs using cash provided by operations. Our working capital requirements for inventory will increase as we continue to open additional stores.</w:t>
      </w:r>
    </w:p>
    <w:p>
      <w:pPr>
        <w:spacing w:after="0" w:line="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29, 2024, we had $179.5 million in cash and cash equivalents and $293.6 million of availability under our Revolving Loans, which includes $6.4 million in outstanding letters of credit.</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29, 2024, we had $142.5 million of Term Loan A outstanding under our credit agreement. We were in compliance with all covenants related to our long-term debt as of June 29,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flows provided by (used for) operating activities, investing activities and financing activities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4"/>
          </w:tcPr>
          <w:p>
            <w:pPr>
              <w:jc w:val="right"/>
              <w:ind w:right="133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19"/>
                <w:szCs w:val="19"/>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June 29, 2024</w:t>
            </w:r>
          </w:p>
        </w:tc>
        <w:tc>
          <w:tcPr>
            <w:tcW w:w="340" w:type="dxa"/>
            <w:vAlign w:val="bottom"/>
          </w:tcPr>
          <w:p>
            <w:pPr>
              <w:spacing w:after="0"/>
              <w:rPr>
                <w:sz w:val="19"/>
                <w:szCs w:val="19"/>
                <w:color w:val="auto"/>
              </w:rPr>
            </w:pPr>
          </w:p>
        </w:tc>
        <w:tc>
          <w:tcPr>
            <w:tcW w:w="1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July 1, 2023</w:t>
            </w:r>
          </w:p>
        </w:tc>
      </w:tr>
      <w:tr>
        <w:trPr>
          <w:trHeight w:val="209"/>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for):</w:t>
            </w:r>
          </w:p>
        </w:tc>
        <w:tc>
          <w:tcPr>
            <w:tcW w:w="3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3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75,448</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112,216</w:t>
            </w: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(54,785)</w:t>
            </w:r>
          </w:p>
        </w:tc>
      </w:tr>
      <w:tr>
        <w:trPr>
          <w:trHeight w:val="230"/>
        </w:trPr>
        <w:tc>
          <w:tcPr>
            <w:tcW w:w="7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(32,071)</w:t>
            </w: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25,360</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provided by operating activities decreased by $36.8 million to $75.4 million, during the six months ended June 29, 2024 from $112.2 million for the six months ended July 1, 2023 as a result of a decrease in net income and non-cash reconciling items of $21.5 million, as compared to the six months ended July 1, 2023. The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was also driven by changes in net working capital and other assets and liabilities, which used $15.3 million of cash year-over-year.</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Decreases in other liabilities during the six months ended June 29, 2024 used $37.6 million in year-over-year cash, primarily due to decreases in compensation-related accruals. Decreases in accounts payable used $16.4 million in year-over-year cash, primarily as a result of the AC Lens wind down. These were partially offset by decreases in inventories which contributed $25.7 million in year-over-year cash, primarily due to AC Lens inventory decreasing and decreases in accounts receivable which contributed $23.8 million in year-over-year cash, primarily due to decreases in trade and credit card receivables during the six months ended June 29, 2024, compared to the six months ended July 1, 2023.</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for 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decreased by $16.7 million, to $38.0 million, during the six months ended June 29, 2024 from $54.8 million during the six months ended July 1, 2023. The year-over-year decrease was primarily due to lower investments in doctor and in-store lab equipment, labs and distribution center, and new stores.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For 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for financing activities was $7.4 million during the six months ended June 29, 2024 as compared to $32.1 million during the six months ended July 1, 2023. The $24.6 million year-over-year decrease in cash used for financing activities was primarily due to decreased purchases of treasury stock of $24.8 million during the six months ended June 29,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February 23, 2024, the Board of Directors authorized the Company to repurchase up to $50 million aggregate amount of shares of the Company’s common stock until January 3, 2026. During the six months ended July 1, 2023, the Company repurchased 1.1 million shares of its common stock for $25.0 million. As of June 29, 2024, $50 million remains available under the share repurchase authorization.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material changes outside the ordinary course of business in our material cash requirements and commercial commitments from those reported in the 2023 Annual Report on Form 10-K.</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follow U.S. GAAP in making the determination as to whether to record an asset or liability related to our arrangements with third parties. Consistent with current accounting guidance, we do not record an asset or liability associated with long-term purchase, marketing and promotional commitments, or commitments to philanthropic endeavors. We have disclosed the amount of future commitments associated with these items in the 2023 Annual Report on Form 10-K. We are not a party to any other material off-balance sheet arrangements.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has evaluated the accounting policies used in the preparation of the Company’s unaudited condensed consolidated financial statements and related notes and believes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2023 Annual Report on Form 10-K, in the “Critical Accounting Policies and Estimates” section of “Management’s Discussion and Analysis of Financial Condition and Results of Operations.” There have been no material changes to our critical accounting policies as compared to the critical accounting policies described in the 2023 Annual Report on Form 10-K.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Pronouncements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due to recently issued or adopted accounting standards since those disclosed in our 2023 Annual Report on Form 10-K.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market risk exposure from changes in interest rates. When appropriate, we use derivative financial instruments to mitigate the risk from such exposure. A discussion of our accounting policies for derivative financial instruments is included in Note 5. “Fair Value Measurement” and Note 7. “Interest Rate Derivatives” to our unaudited condensed consolidated financial statements included in Part I. Item 1. of this Form 10-Q.</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29, 2024, $142.5 million of term loan borrowings were subject to variable interest rates, and we had total borrowings of $445.0 million with a weighted average borrowing rate of 3.4%, inclusive of the effects of our interest rate collar. Our interest rate collar matured on July 18, 2024 and our variable interest rate term loan borrowings are exposed to changes in market rates. A 1.0% increase in market rates would result in a $1.4 million increase in interest expense. For more information about quantitative and qualitative disclosures about market risk, please see Item 7A. “Quantitative and Qualitative Disclosures About Market Risk” in Part II. of the 2023 Annual Report on Form 10-K.</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June 29, 2024. Based on that evaluation, the CEO and the CFO have concluded that the Company’s current disclosure controls and procedures are effective in ensuring that material information relating to the Company required to be disclosed in the Company’s periodic filings with the SEC is made known to them in a timely manner.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Rules 13a-15(f) and 15d-15(f) of the Exchange Act) that occurred during the second quarter of fiscal year 2024 that have materially affected, or are reasonably likely to materially affect, our internal control over financial reporting.</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See Note 11. “Commitments and Contingencies” in our condensed consolidated financial statements included in Part I. Item 1. of this Form 10-Q for information regarding certain legal proceedings in which we are involved, which discussion is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information regarding factors that could affect the Company’s results of operations, financial condition and liquidity, see the risk factors discussed in Part I. Item 1A. “Risk Factors” in our 2023 Annual Report on Form 10-K. There have been no material changes to the risk factors described in our 2023 Annual Report on Form 10-K.</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Officer Updates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7, 2024, the Company appointed Alex Wilkes as President, effective August 19, 2024 (the “Start Date”). Mr. Wilkes, 46, most recently served as President of the Americas of CooperVision, a global leader in contact lenses, since June 2022. Prior to joining CooperVision, Mr. Wilkes spent over a decade at Luxottica, a leading global eyewear company, in various roles, including as Senior Vice President &amp; General Manager of Pearle Vision from February 2016 to June 2022, where he was responsible for oversight of the brand.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Wilkes was not appointed pursuant to any arrangement or understanding with any other person. Mr. Wilkes has no family relationships with any director or executive officer of the Company and there are no transactions in which Mr. Wilkes has an interest requiring disclosure under Item 404(a) of Regulation S-K.</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assuming the role of President, Mr. Wilkes will receive an annual base salary of $600,000, and, beginning in 2025, will be eligible to receive an annual cash incentive award under the Company’s Short Term Incentive Plan with a target opportunity of 75% of his base salary. He will also be eligible to participate in the Company’s Long-Term Incentive Program with the equity award value, mix and metrics of future awards to be determined by the Board or Compensation Committee. In part to make Mr. Wilkes whole for compensation he forfeited with his previous employer, Mr. Wilkes will receive the following additional compensation: (i) a grant of restricted stock units on the Start Date having a grant date value equal to $2,000,000, and (ii) a cash sign-on bonus of $232,000 to be paid within 30 days of the Start Date. The restricted stock units will vest in three substantially equal annual installments beginning on the first anniversary of the Start Date, subject to Mr. Wilkes’ continued employment through each vesting date.</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Wilkes will receive other standard retirement and health and welfare benefits under the terms of the Company’s benefit plans as generally applicable to the Company’s senior executives, including the Company’s Executive Severance Plan. See the Company’s Current Report on Form 8-K filed on December 18, 2018, regarding the level of benefits which will apply to Mr. Wilkes under the Executive Severance Plan. Mr. Wilkes will be eligible to receive relocation benefits pursuant to the Company’s relocation policy.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7, 2024, the Company also announced that Mr. Patrick Moore, the Company’s Chief Operating Officer and former Chief Financial Officer, has shared his plans to retire at the end of this year. Mr. Moore will remain in his role until August 19, 2024, at which time he will shift to an advisory role focused on supporting the leadership transitions.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10b5-1 Trading Arrangements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set forth below, during the three months ended June 29, 2024, none of the Company’s directors or officers (as defined in Rule 16a-1(f) of the Exchange Act) adopted, terminated or modified a “Rule 10b5-1 trading arrangement” or “non-Rule 10b5-1 trading arrangement” (as such terms are defined in Item 408(a) of Regulation S-K).</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31, 2024, Melissa Rasmussen, Chief Financial Officer of the Company, adopted a trading arrangement for the sale of the Company’s common stock (a “Rule 10b5-1 Trading Plan”) that is intended to satisfy the affirmative defense conditions of the Exchange Act Rule 10b5-1(c). Ms. Rasmussen’s Rule 10b5-1 Trading Plan provides for the sale of up to 10,000 shares of common stock pursuant to one or more limit orders from August 30, 2024, until May 30, 2025.</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15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80" w:type="dxa"/>
            <w:vAlign w:val="bottom"/>
          </w:tcPr>
          <w:p>
            <w:pPr>
              <w:spacing w:after="0"/>
              <w:rPr>
                <w:sz w:val="17"/>
                <w:szCs w:val="17"/>
                <w:color w:val="auto"/>
              </w:rPr>
            </w:pPr>
          </w:p>
        </w:tc>
      </w:tr>
      <w:tr>
        <w:trPr>
          <w:trHeight w:val="668"/>
        </w:trPr>
        <w:tc>
          <w:tcPr>
            <w:tcW w:w="12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220" w:type="dxa"/>
            <w:vAlign w:val="bottom"/>
            <w:gridSpan w:val="2"/>
          </w:tcPr>
          <w:p>
            <w:pPr>
              <w:spacing w:after="0"/>
              <w:rPr>
                <w:sz w:val="24"/>
                <w:szCs w:val="24"/>
                <w:color w:val="auto"/>
              </w:rPr>
            </w:pPr>
          </w:p>
        </w:tc>
        <w:tc>
          <w:tcPr>
            <w:tcW w:w="3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40" w:type="dxa"/>
            <w:vAlign w:val="bottom"/>
            <w:gridSpan w:val="3"/>
          </w:tcPr>
          <w:p>
            <w:pPr>
              <w:ind w:left="36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85"/>
        </w:trPr>
        <w:tc>
          <w:tcPr>
            <w:tcW w:w="20" w:type="dxa"/>
            <w:vAlign w:val="bottom"/>
          </w:tcPr>
          <w:p>
            <w:pPr>
              <w:spacing w:after="0"/>
              <w:rPr>
                <w:sz w:val="24"/>
                <w:szCs w:val="24"/>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6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r>
      <w:tr>
        <w:trPr>
          <w:trHeight w:val="183"/>
        </w:trPr>
        <w:tc>
          <w:tcPr>
            <w:tcW w:w="340" w:type="dxa"/>
            <w:vAlign w:val="bottom"/>
            <w:tcBorders>
              <w:top w:val="single" w:sz="8" w:color="auto"/>
            </w:tcBorders>
            <w:gridSpan w:val="3"/>
          </w:tcPr>
          <w:p>
            <w:pPr>
              <w:ind w:left="20"/>
              <w:spacing w:after="0" w:line="182"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740" w:type="dxa"/>
            <w:vAlign w:val="bottom"/>
            <w:tcBorders>
              <w:top w:val="single" w:sz="8" w:color="auto"/>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Third Amended and Restated Certificate of Incorporation of National Vision Holdings, Inc. - incorporated herein by reference to</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Exhibit 3.1 to the Company’s Current Report on Form 8-K filed on June 10, 2021.</w:t>
            </w:r>
          </w:p>
        </w:tc>
      </w:tr>
      <w:tr>
        <w:trPr>
          <w:trHeight w:val="194"/>
        </w:trPr>
        <w:tc>
          <w:tcPr>
            <w:tcW w:w="340" w:type="dxa"/>
            <w:vAlign w:val="bottom"/>
            <w:gridSpan w:val="3"/>
          </w:tcPr>
          <w:p>
            <w:pPr>
              <w:ind w:left="20"/>
              <w:spacing w:after="0" w:line="194"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Fourth Amended and Restated Bylaws of National Vision Holdings, Inc. - incorporated herein by reference to Exhibit 3.1 to the</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Company’s Current Report on Form 8-K filed on December 12, 2023.</w:t>
            </w:r>
          </w:p>
        </w:tc>
      </w:tr>
      <w:tr>
        <w:trPr>
          <w:trHeight w:val="194"/>
        </w:trPr>
        <w:tc>
          <w:tcPr>
            <w:tcW w:w="340" w:type="dxa"/>
            <w:vAlign w:val="bottom"/>
            <w:gridSpan w:val="3"/>
          </w:tcPr>
          <w:p>
            <w:pPr>
              <w:ind w:left="20"/>
              <w:spacing w:after="0" w:line="194" w:lineRule="exact"/>
              <w:rPr>
                <w:rFonts w:ascii="Times New Roman" w:cs="Times New Roman" w:eastAsia="Times New Roman" w:hAnsi="Times New Roman"/>
                <w:sz w:val="18"/>
                <w:szCs w:val="18"/>
                <w:color w:val="0000FF"/>
                <w:w w:val="95"/>
              </w:rPr>
            </w:pPr>
            <w:hyperlink r:id="rId67">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National Vision Holdings, Inc. Amended and Restated 2017 Omnibus Incentive Plan - incorporated herein by reference to Exhibit</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10.1 to the Company’s Current Report on Form 8-K filed on June 13, 2024.</w:t>
            </w:r>
          </w:p>
        </w:tc>
      </w:tr>
      <w:tr>
        <w:trPr>
          <w:trHeight w:val="194"/>
        </w:trPr>
        <w:tc>
          <w:tcPr>
            <w:tcW w:w="20" w:type="dxa"/>
            <w:vAlign w:val="bottom"/>
          </w:tcPr>
          <w:p>
            <w:pPr>
              <w:spacing w:after="0"/>
              <w:rPr>
                <w:sz w:val="16"/>
                <w:szCs w:val="16"/>
                <w:color w:val="auto"/>
              </w:rPr>
            </w:pPr>
          </w:p>
        </w:tc>
        <w:tc>
          <w:tcPr>
            <w:tcW w:w="32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Certification of Periodic Report by Chief Executive Officer under Section 302 of the Sarbanes-Oxley Act of 2002 (filed herewith).</w:t>
            </w:r>
          </w:p>
        </w:tc>
      </w:tr>
      <w:tr>
        <w:trPr>
          <w:trHeight w:val="209"/>
        </w:trPr>
        <w:tc>
          <w:tcPr>
            <w:tcW w:w="20" w:type="dxa"/>
            <w:vAlign w:val="bottom"/>
          </w:tcPr>
          <w:p>
            <w:pPr>
              <w:spacing w:after="0"/>
              <w:rPr>
                <w:sz w:val="18"/>
                <w:szCs w:val="18"/>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of Periodic Report by Chief Financial Officer under Section 302 of the Sarbanes-Oxley Act of 2002 (filed herewith).</w:t>
            </w:r>
          </w:p>
        </w:tc>
      </w:tr>
      <w:tr>
        <w:trPr>
          <w:trHeight w:val="209"/>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Oxley Act of 2002 (furnished herewith).</w:t>
            </w:r>
          </w:p>
        </w:tc>
      </w:tr>
      <w:tr>
        <w:trPr>
          <w:trHeight w:val="194"/>
        </w:trPr>
        <w:tc>
          <w:tcPr>
            <w:tcW w:w="3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w w:val="99"/>
              </w:rPr>
              <w:t>Certification of Chief Financial Officer Pursuant to 18 U.S.C. Section 1350 as Adopted Pursuant to Section 906 of the Sarbanes-Oxley</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Act of 2002 (furnished herewith).</w:t>
            </w:r>
          </w:p>
        </w:tc>
      </w:tr>
      <w:tr>
        <w:trPr>
          <w:trHeight w:val="180"/>
        </w:trPr>
        <w:tc>
          <w:tcPr>
            <w:tcW w:w="20" w:type="dxa"/>
            <w:vAlign w:val="bottom"/>
          </w:tcPr>
          <w:p>
            <w:pPr>
              <w:spacing w:after="0"/>
              <w:rPr>
                <w:sz w:val="15"/>
                <w:szCs w:val="15"/>
                <w:color w:val="auto"/>
              </w:rPr>
            </w:pPr>
          </w:p>
        </w:tc>
        <w:tc>
          <w:tcPr>
            <w:tcW w:w="148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101.INS</w:t>
            </w:r>
          </w:p>
        </w:tc>
        <w:tc>
          <w:tcPr>
            <w:tcW w:w="974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embedded within Inline XBRL document.</w:t>
            </w:r>
          </w:p>
        </w:tc>
      </w:tr>
      <w:tr>
        <w:trPr>
          <w:trHeight w:val="233"/>
        </w:trPr>
        <w:tc>
          <w:tcPr>
            <w:tcW w:w="20" w:type="dxa"/>
            <w:vAlign w:val="bottom"/>
          </w:tcPr>
          <w:p>
            <w:pPr>
              <w:spacing w:after="0"/>
              <w:rPr>
                <w:sz w:val="20"/>
                <w:szCs w:val="20"/>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9"/>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9"/>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0"/>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20" w:type="dxa"/>
            <w:vAlign w:val="bottom"/>
          </w:tcPr>
          <w:p>
            <w:pPr>
              <w:spacing w:after="0"/>
              <w:rPr>
                <w:sz w:val="20"/>
                <w:szCs w:val="20"/>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520" w:right="20" w:hanging="1494"/>
        <w:spacing w:after="0" w:line="234" w:lineRule="auto"/>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of the Company’s Quarterly report on Form 10-Q for the quarter ended June 29, 2024, formatted in Inline XBRL (included within the Exhibit 101 attachments).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52" w:lineRule="exact"/>
        <w:rPr>
          <w:sz w:val="20"/>
          <w:szCs w:val="20"/>
          <w:color w:val="auto"/>
        </w:rPr>
      </w:pPr>
    </w:p>
    <w:p>
      <w:pPr>
        <w:ind w:left="20"/>
        <w:spacing w:after="0"/>
        <w:tabs>
          <w:tab w:leader="none" w:pos="5520" w:val="left"/>
          <w:tab w:leader="none" w:pos="6020" w:val="left"/>
        </w:tabs>
        <w:rPr>
          <w:sz w:val="20"/>
          <w:szCs w:val="20"/>
          <w:color w:val="auto"/>
        </w:rPr>
      </w:pPr>
      <w:r>
        <w:rPr>
          <w:rFonts w:ascii="Times New Roman" w:cs="Times New Roman" w:eastAsia="Times New Roman" w:hAnsi="Times New Roman"/>
          <w:sz w:val="18"/>
          <w:szCs w:val="18"/>
          <w:color w:val="auto"/>
        </w:rPr>
        <w:t>Dated: August 7, 2024</w:t>
      </w:r>
      <w:r>
        <w:rPr>
          <w:sz w:val="20"/>
          <w:szCs w:val="20"/>
          <w:color w:val="auto"/>
        </w:rPr>
        <w:tab/>
      </w:r>
      <w:r>
        <w:rPr>
          <w:rFonts w:ascii="Times New Roman" w:cs="Times New Roman" w:eastAsia="Times New Roman" w:hAnsi="Times New Roman"/>
          <w:sz w:val="18"/>
          <w:szCs w:val="18"/>
          <w:color w:val="auto"/>
        </w:rPr>
        <w:t>By:</w:t>
        <w:tab/>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7" w:lineRule="exact"/>
        <w:rPr>
          <w:sz w:val="20"/>
          <w:szCs w:val="20"/>
          <w:color w:val="auto"/>
        </w:rPr>
      </w:pPr>
    </w:p>
    <w:p>
      <w:pPr>
        <w:ind w:left="20"/>
        <w:spacing w:after="0"/>
        <w:tabs>
          <w:tab w:leader="none" w:pos="5520" w:val="left"/>
          <w:tab w:leader="none" w:pos="6020" w:val="left"/>
        </w:tabs>
        <w:rPr>
          <w:sz w:val="20"/>
          <w:szCs w:val="20"/>
          <w:color w:val="auto"/>
        </w:rPr>
      </w:pPr>
      <w:r>
        <w:rPr>
          <w:rFonts w:ascii="Times New Roman" w:cs="Times New Roman" w:eastAsia="Times New Roman" w:hAnsi="Times New Roman"/>
          <w:sz w:val="18"/>
          <w:szCs w:val="18"/>
          <w:color w:val="auto"/>
        </w:rPr>
        <w:t>Dated: August 7, 2024</w:t>
      </w:r>
      <w:r>
        <w:rPr>
          <w:sz w:val="20"/>
          <w:szCs w:val="20"/>
          <w:color w:val="auto"/>
        </w:rPr>
        <w:tab/>
      </w:r>
      <w:r>
        <w:rPr>
          <w:rFonts w:ascii="Times New Roman" w:cs="Times New Roman" w:eastAsia="Times New Roman" w:hAnsi="Times New Roman"/>
          <w:sz w:val="18"/>
          <w:szCs w:val="18"/>
          <w:color w:val="auto"/>
        </w:rPr>
        <w:t>By:</w:t>
        <w:tab/>
        <w:t>/s/ Melissa Rasmussen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w:t>
      </w:r>
    </w:p>
    <w:p>
      <w:pPr>
        <w:spacing w:after="0" w:line="3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00"/>
          </w:cols>
          <w:pgMar w:left="320" w:top="121" w:right="37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 Reade Fahs, certify that:</w:t>
      </w:r>
    </w:p>
    <w:p>
      <w:pPr>
        <w:spacing w:after="0" w:line="252"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29, 2024 of National Vision Holdings,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23660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 Reade Fahs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Melissa Rasmussen, certify that:</w:t>
      </w:r>
    </w:p>
    <w:p>
      <w:pPr>
        <w:spacing w:after="0" w:line="252"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29, 2024 of National Vision Holdings,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9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Melissa Rasmussen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29146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Melissa Rasmussen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National Vision Holdings, Inc. (the “Company”) on Form 10-Q for the quarterly period ended June 29, 2024 filed with the Securities and Exchange Commission on the date hereof (the “Report”), I, L. Reade Fahs, Chief Executive Officer of the Company, do hereby certify, pursuant to 18 U.S.C. Section 1350, as adopted pursuant to Section 906 of the Sarbanes-Oxley Act of 2002, that:</w:t>
      </w:r>
    </w:p>
    <w:p>
      <w:pPr>
        <w:spacing w:after="0" w:line="203"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00" w:lineRule="exact"/>
        <w:rPr>
          <w:sz w:val="20"/>
          <w:szCs w:val="20"/>
          <w:color w:val="auto"/>
        </w:rPr>
      </w:pPr>
    </w:p>
    <w:p>
      <w:pPr>
        <w:spacing w:after="0" w:line="30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23660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 Reade Fahs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of National Vision Holdings, Inc. (the “Company”) on Form 10-Q for the quarterly period ended June 29, 2024 filed with the Securities and Exchange Commission on the date hereof (the “Report”), I, Melissa Rasmussen, Senior Vice President, Chief Financial Officer of the Company, do hereby certify, pursuant to 18 U.S.C. Section 1350, as adopted pursuant to Section 906 of the Sarbanes-Oxley Act of 2002, that:</w:t>
      </w:r>
    </w:p>
    <w:p>
      <w:pPr>
        <w:spacing w:after="0" w:line="185"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9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Melissa Rasmussen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29146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Melissa Rasmussen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5"/>
    </w:lvl>
  </w:abstractNum>
  <w:abstractNum w:abstractNumId="13">
    <w:nsid w:val="6B68079A"/>
    <w:multiLevelType w:val="hybridMultilevel"/>
    <w:lvl w:ilvl="0">
      <w:lvlJc w:val="left"/>
      <w:lvlText w:val="%1"/>
      <w:numFmt w:val="decimal"/>
      <w:start w:val="104"/>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65" Type="http://schemas.openxmlformats.org/officeDocument/2006/relationships/hyperlink" Target="https://www.sec.gov/Archives/edgar/data/1710155/000171015521000036/nationalvision-thirdamende.htm" TargetMode="External"/><Relationship Id="rId66" Type="http://schemas.openxmlformats.org/officeDocument/2006/relationships/hyperlink" Target="https://www.sec.gov/Archives/edgar/data/1710155/000171015523000063/ex31eye-bylawamendmentsnov.htm" TargetMode="External"/><Relationship Id="rId67" Type="http://schemas.openxmlformats.org/officeDocument/2006/relationships/hyperlink" Target="https://www.sec.gov/Archives/edgar/data/1710155/000171015524000035/nvhi_arx2017xomnibusx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2024-08-07T05:43:15Z</dcterms:created>
  <dcterms:modified xsi:type="dcterms:W3CDTF">2024-08-07T05:43:15Z</dcterms:modified>
</cp:coreProperties>
</file>