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41"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98"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66"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jc w:val="center"/>
        <w:spacing w:after="0"/>
        <w:rPr>
          <w:sz w:val="20"/>
          <w:szCs w:val="20"/>
          <w:color w:val="auto"/>
        </w:rPr>
      </w:pPr>
      <w:r>
        <w:rPr>
          <w:rFonts w:ascii="Arial" w:cs="Arial" w:eastAsia="Arial" w:hAnsi="Arial"/>
          <w:sz w:val="16"/>
          <w:szCs w:val="16"/>
          <w:b w:val="1"/>
          <w:bCs w:val="1"/>
          <w:color w:val="auto"/>
        </w:rPr>
        <w:t>For the quarterly period ended March 28, 2020</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50"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ind w:left="4100"/>
        <w:spacing w:after="0"/>
        <w:tabs>
          <w:tab w:leader="none" w:pos="66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001-38257</w:t>
      </w:r>
    </w:p>
    <w:p>
      <w:pPr>
        <w:spacing w:after="0" w:line="86"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4"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157" w:lineRule="exact"/>
        <w:rPr>
          <w:sz w:val="24"/>
          <w:szCs w:val="24"/>
          <w:color w:val="auto"/>
        </w:rPr>
      </w:pPr>
    </w:p>
    <w:tbl>
      <w:tblPr>
        <w:tblLayout w:type="fixed"/>
        <w:tblInd w:w="2160" w:type="dxa"/>
        <w:tblCellMar>
          <w:top w:w="0" w:type="dxa"/>
          <w:left w:w="0" w:type="dxa"/>
          <w:bottom w:w="0" w:type="dxa"/>
          <w:right w:w="0" w:type="dxa"/>
        </w:tblCellMar>
      </w:tblPr>
      <w:tr>
        <w:trPr>
          <w:trHeight w:val="210"/>
        </w:trPr>
        <w:tc>
          <w:tcPr>
            <w:tcW w:w="3640" w:type="dxa"/>
            <w:vAlign w:val="bottom"/>
          </w:tcPr>
          <w:p>
            <w:pPr>
              <w:jc w:val="center"/>
              <w:ind w:right="1619"/>
              <w:spacing w:after="0"/>
              <w:rPr>
                <w:sz w:val="20"/>
                <w:szCs w:val="20"/>
                <w:color w:val="auto"/>
              </w:rPr>
            </w:pPr>
            <w:r>
              <w:rPr>
                <w:rFonts w:ascii="Arial" w:cs="Arial" w:eastAsia="Arial" w:hAnsi="Arial"/>
                <w:sz w:val="16"/>
                <w:szCs w:val="16"/>
                <w:b w:val="1"/>
                <w:bCs w:val="1"/>
                <w:color w:val="auto"/>
                <w:w w:val="93"/>
              </w:rPr>
              <w:t>Delaware</w:t>
            </w:r>
          </w:p>
        </w:tc>
        <w:tc>
          <w:tcPr>
            <w:tcW w:w="2900" w:type="dxa"/>
            <w:vAlign w:val="bottom"/>
          </w:tcPr>
          <w:p>
            <w:pPr>
              <w:jc w:val="right"/>
              <w:ind w:right="119"/>
              <w:spacing w:after="0"/>
              <w:rPr>
                <w:sz w:val="20"/>
                <w:szCs w:val="20"/>
                <w:color w:val="auto"/>
              </w:rPr>
            </w:pPr>
            <w:r>
              <w:rPr>
                <w:rFonts w:ascii="Arial" w:cs="Arial" w:eastAsia="Arial" w:hAnsi="Arial"/>
                <w:sz w:val="16"/>
                <w:szCs w:val="16"/>
                <w:b w:val="1"/>
                <w:bCs w:val="1"/>
                <w:color w:val="auto"/>
              </w:rPr>
              <w:t>46-4841717</w:t>
            </w:r>
          </w:p>
        </w:tc>
      </w:tr>
      <w:tr>
        <w:trPr>
          <w:trHeight w:val="253"/>
        </w:trPr>
        <w:tc>
          <w:tcPr>
            <w:tcW w:w="3640" w:type="dxa"/>
            <w:vAlign w:val="bottom"/>
          </w:tcPr>
          <w:p>
            <w:pPr>
              <w:jc w:val="center"/>
              <w:ind w:right="1599"/>
              <w:spacing w:after="0"/>
              <w:rPr>
                <w:sz w:val="20"/>
                <w:szCs w:val="20"/>
                <w:color w:val="auto"/>
              </w:rPr>
            </w:pPr>
            <w:r>
              <w:rPr>
                <w:rFonts w:ascii="Arial" w:cs="Arial" w:eastAsia="Arial" w:hAnsi="Arial"/>
                <w:sz w:val="16"/>
                <w:szCs w:val="16"/>
                <w:color w:val="auto"/>
                <w:w w:val="93"/>
              </w:rPr>
              <w:t>(State or other jurisdiction of</w:t>
            </w:r>
          </w:p>
        </w:tc>
        <w:tc>
          <w:tcPr>
            <w:tcW w:w="2900" w:type="dxa"/>
            <w:vAlign w:val="bottom"/>
          </w:tcPr>
          <w:p>
            <w:pPr>
              <w:jc w:val="center"/>
              <w:ind w:left="1619"/>
              <w:spacing w:after="0"/>
              <w:rPr>
                <w:sz w:val="20"/>
                <w:szCs w:val="20"/>
                <w:color w:val="auto"/>
              </w:rPr>
            </w:pPr>
            <w:r>
              <w:rPr>
                <w:rFonts w:ascii="Arial" w:cs="Arial" w:eastAsia="Arial" w:hAnsi="Arial"/>
                <w:sz w:val="16"/>
                <w:szCs w:val="16"/>
                <w:color w:val="auto"/>
                <w:w w:val="95"/>
              </w:rPr>
              <w:t>(I.R.S. Employer</w:t>
            </w:r>
          </w:p>
        </w:tc>
      </w:tr>
      <w:tr>
        <w:trPr>
          <w:trHeight w:val="206"/>
        </w:trPr>
        <w:tc>
          <w:tcPr>
            <w:tcW w:w="3640" w:type="dxa"/>
            <w:vAlign w:val="bottom"/>
          </w:tcPr>
          <w:p>
            <w:pPr>
              <w:jc w:val="center"/>
              <w:ind w:right="1619"/>
              <w:spacing w:after="0"/>
              <w:rPr>
                <w:sz w:val="20"/>
                <w:szCs w:val="20"/>
                <w:color w:val="auto"/>
              </w:rPr>
            </w:pPr>
            <w:r>
              <w:rPr>
                <w:rFonts w:ascii="Arial" w:cs="Arial" w:eastAsia="Arial" w:hAnsi="Arial"/>
                <w:sz w:val="16"/>
                <w:szCs w:val="16"/>
                <w:color w:val="auto"/>
                <w:w w:val="93"/>
              </w:rPr>
              <w:t>incorporation or organization)</w:t>
            </w:r>
          </w:p>
        </w:tc>
        <w:tc>
          <w:tcPr>
            <w:tcW w:w="2900" w:type="dxa"/>
            <w:vAlign w:val="bottom"/>
          </w:tcPr>
          <w:p>
            <w:pPr>
              <w:jc w:val="center"/>
              <w:ind w:left="1619"/>
              <w:spacing w:after="0"/>
              <w:rPr>
                <w:sz w:val="20"/>
                <w:szCs w:val="20"/>
                <w:color w:val="auto"/>
              </w:rPr>
            </w:pPr>
            <w:r>
              <w:rPr>
                <w:rFonts w:ascii="Arial" w:cs="Arial" w:eastAsia="Arial" w:hAnsi="Arial"/>
                <w:sz w:val="16"/>
                <w:szCs w:val="16"/>
                <w:color w:val="auto"/>
                <w:w w:val="96"/>
              </w:rPr>
              <w:t>Identification No.)</w:t>
            </w:r>
          </w:p>
        </w:tc>
      </w:tr>
      <w:tr>
        <w:trPr>
          <w:trHeight w:val="540"/>
        </w:trPr>
        <w:tc>
          <w:tcPr>
            <w:tcW w:w="3640" w:type="dxa"/>
            <w:vAlign w:val="bottom"/>
          </w:tcPr>
          <w:p>
            <w:pPr>
              <w:jc w:val="center"/>
              <w:ind w:right="1619"/>
              <w:spacing w:after="0"/>
              <w:rPr>
                <w:sz w:val="20"/>
                <w:szCs w:val="20"/>
                <w:color w:val="auto"/>
              </w:rPr>
            </w:pPr>
            <w:r>
              <w:rPr>
                <w:rFonts w:ascii="Arial" w:cs="Arial" w:eastAsia="Arial" w:hAnsi="Arial"/>
                <w:sz w:val="16"/>
                <w:szCs w:val="16"/>
                <w:b w:val="1"/>
                <w:bCs w:val="1"/>
                <w:color w:val="auto"/>
                <w:w w:val="90"/>
              </w:rPr>
              <w:t>2435 Commerce Ave</w:t>
            </w:r>
          </w:p>
        </w:tc>
        <w:tc>
          <w:tcPr>
            <w:tcW w:w="2900" w:type="dxa"/>
            <w:vAlign w:val="bottom"/>
          </w:tcPr>
          <w:p>
            <w:pPr>
              <w:spacing w:after="0"/>
              <w:rPr>
                <w:sz w:val="24"/>
                <w:szCs w:val="24"/>
                <w:color w:val="auto"/>
              </w:rPr>
            </w:pPr>
          </w:p>
        </w:tc>
      </w:tr>
      <w:tr>
        <w:trPr>
          <w:trHeight w:val="270"/>
        </w:trPr>
        <w:tc>
          <w:tcPr>
            <w:tcW w:w="3640" w:type="dxa"/>
            <w:vAlign w:val="bottom"/>
          </w:tcPr>
          <w:p>
            <w:pPr>
              <w:jc w:val="center"/>
              <w:ind w:right="1599"/>
              <w:spacing w:after="0"/>
              <w:rPr>
                <w:sz w:val="20"/>
                <w:szCs w:val="20"/>
                <w:color w:val="auto"/>
              </w:rPr>
            </w:pPr>
            <w:r>
              <w:rPr>
                <w:rFonts w:ascii="Arial" w:cs="Arial" w:eastAsia="Arial" w:hAnsi="Arial"/>
                <w:sz w:val="16"/>
                <w:szCs w:val="16"/>
                <w:b w:val="1"/>
                <w:bCs w:val="1"/>
                <w:color w:val="auto"/>
                <w:w w:val="92"/>
              </w:rPr>
              <w:t>Building 2200</w:t>
            </w:r>
          </w:p>
        </w:tc>
        <w:tc>
          <w:tcPr>
            <w:tcW w:w="2900" w:type="dxa"/>
            <w:vAlign w:val="bottom"/>
          </w:tcPr>
          <w:p>
            <w:pPr>
              <w:jc w:val="right"/>
              <w:ind w:right="319"/>
              <w:spacing w:after="0"/>
              <w:rPr>
                <w:sz w:val="20"/>
                <w:szCs w:val="20"/>
                <w:color w:val="auto"/>
              </w:rPr>
            </w:pPr>
            <w:r>
              <w:rPr>
                <w:rFonts w:ascii="Arial" w:cs="Arial" w:eastAsia="Arial" w:hAnsi="Arial"/>
                <w:sz w:val="16"/>
                <w:szCs w:val="16"/>
                <w:b w:val="1"/>
                <w:bCs w:val="1"/>
                <w:color w:val="auto"/>
              </w:rPr>
              <w:t>30096</w:t>
            </w:r>
          </w:p>
        </w:tc>
      </w:tr>
      <w:tr>
        <w:trPr>
          <w:trHeight w:val="270"/>
        </w:trPr>
        <w:tc>
          <w:tcPr>
            <w:tcW w:w="3640" w:type="dxa"/>
            <w:vAlign w:val="bottom"/>
          </w:tcPr>
          <w:p>
            <w:pPr>
              <w:ind w:left="340"/>
              <w:spacing w:after="0"/>
              <w:rPr>
                <w:sz w:val="20"/>
                <w:szCs w:val="20"/>
                <w:color w:val="auto"/>
              </w:rPr>
            </w:pPr>
            <w:r>
              <w:rPr>
                <w:rFonts w:ascii="Arial" w:cs="Arial" w:eastAsia="Arial" w:hAnsi="Arial"/>
                <w:sz w:val="16"/>
                <w:szCs w:val="16"/>
                <w:b w:val="1"/>
                <w:bCs w:val="1"/>
                <w:color w:val="auto"/>
              </w:rPr>
              <w:t xml:space="preserve">Duluth </w:t>
            </w:r>
            <w:r>
              <w:rPr>
                <w:rFonts w:ascii="Arial" w:cs="Arial" w:eastAsia="Arial" w:hAnsi="Arial"/>
                <w:sz w:val="16"/>
                <w:szCs w:val="16"/>
                <w:color w:val="auto"/>
              </w:rPr>
              <w:t>,</w:t>
            </w:r>
            <w:r>
              <w:rPr>
                <w:rFonts w:ascii="Arial" w:cs="Arial" w:eastAsia="Arial" w:hAnsi="Arial"/>
                <w:sz w:val="16"/>
                <w:szCs w:val="16"/>
                <w:b w:val="1"/>
                <w:bCs w:val="1"/>
                <w:color w:val="auto"/>
              </w:rPr>
              <w:t xml:space="preserve"> Georgia</w:t>
            </w:r>
          </w:p>
        </w:tc>
        <w:tc>
          <w:tcPr>
            <w:tcW w:w="2900" w:type="dxa"/>
            <w:vAlign w:val="bottom"/>
          </w:tcPr>
          <w:p>
            <w:pPr>
              <w:jc w:val="center"/>
              <w:ind w:left="1619"/>
              <w:spacing w:after="0"/>
              <w:rPr>
                <w:sz w:val="20"/>
                <w:szCs w:val="20"/>
                <w:color w:val="auto"/>
              </w:rPr>
            </w:pPr>
            <w:r>
              <w:rPr>
                <w:rFonts w:ascii="Arial" w:cs="Arial" w:eastAsia="Arial" w:hAnsi="Arial"/>
                <w:sz w:val="16"/>
                <w:szCs w:val="16"/>
                <w:color w:val="auto"/>
                <w:w w:val="95"/>
              </w:rPr>
              <w:t>(Zip Code)</w:t>
            </w:r>
          </w:p>
        </w:tc>
      </w:tr>
    </w:tbl>
    <w:p>
      <w:pPr>
        <w:spacing w:after="0" w:line="64" w:lineRule="exact"/>
        <w:rPr>
          <w:sz w:val="24"/>
          <w:szCs w:val="24"/>
          <w:color w:val="auto"/>
        </w:rPr>
      </w:pPr>
    </w:p>
    <w:p>
      <w:pPr>
        <w:ind w:left="1840"/>
        <w:spacing w:after="0"/>
        <w:rPr>
          <w:sz w:val="20"/>
          <w:szCs w:val="20"/>
          <w:color w:val="auto"/>
        </w:rPr>
      </w:pPr>
      <w:r>
        <w:rPr>
          <w:rFonts w:ascii="Arial" w:cs="Arial" w:eastAsia="Arial" w:hAnsi="Arial"/>
          <w:sz w:val="16"/>
          <w:szCs w:val="16"/>
          <w:color w:val="auto"/>
        </w:rPr>
        <w:t>(Address of principal executive offices)</w:t>
      </w:r>
    </w:p>
    <w:p>
      <w:pPr>
        <w:spacing w:after="0" w:line="42"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41"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94" w:lineRule="exact"/>
        <w:rPr>
          <w:sz w:val="24"/>
          <w:szCs w:val="24"/>
          <w:color w:val="auto"/>
        </w:rPr>
      </w:pPr>
    </w:p>
    <w:tbl>
      <w:tblPr>
        <w:tblLayout w:type="fixed"/>
        <w:tblInd w:w="920" w:type="dxa"/>
        <w:tblCellMar>
          <w:top w:w="0" w:type="dxa"/>
          <w:left w:w="0" w:type="dxa"/>
          <w:bottom w:w="0" w:type="dxa"/>
          <w:right w:w="0" w:type="dxa"/>
        </w:tblCellMar>
      </w:tblPr>
      <w:tr>
        <w:trPr>
          <w:trHeight w:val="210"/>
        </w:trPr>
        <w:tc>
          <w:tcPr>
            <w:tcW w:w="3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Title of each class</w:t>
            </w: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Trading Symbol(s)</w:t>
            </w:r>
          </w:p>
        </w:tc>
        <w:tc>
          <w:tcPr>
            <w:tcW w:w="378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33"/>
        </w:trPr>
        <w:tc>
          <w:tcPr>
            <w:tcW w:w="3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17"/>
        </w:trPr>
        <w:tc>
          <w:tcPr>
            <w:tcW w:w="386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Common stock, par value $0.01 per share</w:t>
            </w:r>
          </w:p>
        </w:tc>
        <w:tc>
          <w:tcPr>
            <w:tcW w:w="17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EYE</w:t>
            </w:r>
          </w:p>
        </w:tc>
        <w:tc>
          <w:tcPr>
            <w:tcW w:w="3780" w:type="dxa"/>
            <w:vAlign w:val="bottom"/>
          </w:tcPr>
          <w:p>
            <w:pPr>
              <w:jc w:val="center"/>
              <w:spacing w:after="0"/>
              <w:rPr>
                <w:sz w:val="20"/>
                <w:szCs w:val="20"/>
                <w:color w:val="auto"/>
              </w:rPr>
            </w:pPr>
            <w:r>
              <w:rPr>
                <w:rFonts w:ascii="Arial" w:cs="Arial" w:eastAsia="Arial" w:hAnsi="Arial"/>
                <w:sz w:val="16"/>
                <w:szCs w:val="16"/>
                <w:color w:val="auto"/>
                <w:w w:val="97"/>
              </w:rPr>
              <w:t>NASDAQ</w:t>
            </w:r>
          </w:p>
        </w:tc>
      </w:tr>
    </w:tbl>
    <w:p>
      <w:pPr>
        <w:spacing w:after="0" w:line="118" w:lineRule="exact"/>
        <w:rPr>
          <w:sz w:val="24"/>
          <w:szCs w:val="24"/>
          <w:color w:val="auto"/>
        </w:rPr>
      </w:pPr>
    </w:p>
    <w:p>
      <w:pPr>
        <w:ind w:right="380"/>
        <w:spacing w:after="0" w:line="19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3" w:lineRule="exact"/>
        <w:rPr>
          <w:sz w:val="24"/>
          <w:szCs w:val="24"/>
          <w:color w:val="auto"/>
        </w:rPr>
      </w:pPr>
    </w:p>
    <w:p>
      <w:pPr>
        <w:ind w:right="400"/>
        <w:spacing w:after="0" w:line="20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3" w:lineRule="exact"/>
        <w:rPr>
          <w:sz w:val="24"/>
          <w:szCs w:val="24"/>
          <w:color w:val="auto"/>
        </w:rPr>
      </w:pPr>
    </w:p>
    <w:tbl>
      <w:tblPr>
        <w:tblLayout w:type="fixed"/>
        <w:tblInd w:w="1540" w:type="dxa"/>
        <w:tblCellMar>
          <w:top w:w="0" w:type="dxa"/>
          <w:left w:w="0" w:type="dxa"/>
          <w:bottom w:w="0" w:type="dxa"/>
          <w:right w:w="0" w:type="dxa"/>
        </w:tblCellMar>
      </w:tblPr>
      <w:tr>
        <w:trPr>
          <w:trHeight w:val="277"/>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2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2700" w:type="dxa"/>
            <w:vAlign w:val="bottom"/>
          </w:tcPr>
          <w:p>
            <w:pPr>
              <w:ind w:left="70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8"/>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12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2700" w:type="dxa"/>
            <w:vAlign w:val="bottom"/>
          </w:tcPr>
          <w:p>
            <w:pPr>
              <w:ind w:left="70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8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700" w:type="dxa"/>
            <w:vAlign w:val="bottom"/>
          </w:tcPr>
          <w:p>
            <w:pPr>
              <w:ind w:left="700"/>
              <w:spacing w:after="0"/>
              <w:rPr>
                <w:sz w:val="20"/>
                <w:szCs w:val="20"/>
                <w:color w:val="auto"/>
              </w:rPr>
            </w:pPr>
            <w:r>
              <w:rPr>
                <w:rFonts w:ascii="Arial" w:cs="Arial" w:eastAsia="Arial" w:hAnsi="Arial"/>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ind w:right="580"/>
        <w:spacing w:after="0" w:line="19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860"/>
        <w:spacing w:after="0" w:line="23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the number of shares outstanding of each of the issuer’s classes of common stock, as of the latest practicable date.</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6300" w:type="dxa"/>
            <w:vAlign w:val="bottom"/>
            <w:gridSpan w:val="2"/>
          </w:tcPr>
          <w:p>
            <w:pPr>
              <w:ind w:left="40"/>
              <w:spacing w:after="0"/>
              <w:rPr>
                <w:sz w:val="20"/>
                <w:szCs w:val="20"/>
                <w:color w:val="auto"/>
              </w:rPr>
            </w:pPr>
            <w:r>
              <w:rPr>
                <w:rFonts w:ascii="Arial" w:cs="Arial" w:eastAsia="Arial" w:hAnsi="Arial"/>
                <w:sz w:val="16"/>
                <w:szCs w:val="16"/>
                <w:b w:val="1"/>
                <w:bCs w:val="1"/>
                <w:color w:val="auto"/>
              </w:rPr>
              <w:t>Class</w:t>
            </w:r>
          </w:p>
        </w:tc>
        <w:tc>
          <w:tcPr>
            <w:tcW w:w="4940" w:type="dxa"/>
            <w:vAlign w:val="bottom"/>
          </w:tcPr>
          <w:p>
            <w:pPr>
              <w:ind w:left="20"/>
              <w:spacing w:after="0"/>
              <w:rPr>
                <w:sz w:val="20"/>
                <w:szCs w:val="20"/>
                <w:color w:val="auto"/>
              </w:rPr>
            </w:pPr>
            <w:r>
              <w:rPr>
                <w:rFonts w:ascii="Arial" w:cs="Arial" w:eastAsia="Arial" w:hAnsi="Arial"/>
                <w:sz w:val="16"/>
                <w:szCs w:val="16"/>
                <w:b w:val="1"/>
                <w:bCs w:val="1"/>
                <w:color w:val="auto"/>
              </w:rPr>
              <w:t>Outstanding at April 30, 2020</w:t>
            </w:r>
          </w:p>
        </w:tc>
      </w:tr>
      <w:tr>
        <w:trPr>
          <w:trHeight w:val="33"/>
        </w:trPr>
        <w:tc>
          <w:tcPr>
            <w:tcW w:w="484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r>
      <w:tr>
        <w:trPr>
          <w:trHeight w:val="217"/>
        </w:trPr>
        <w:tc>
          <w:tcPr>
            <w:tcW w:w="6300" w:type="dxa"/>
            <w:vAlign w:val="bottom"/>
            <w:gridSpan w:val="2"/>
          </w:tcPr>
          <w:p>
            <w:pPr>
              <w:ind w:left="40"/>
              <w:spacing w:after="0"/>
              <w:rPr>
                <w:sz w:val="20"/>
                <w:szCs w:val="20"/>
                <w:color w:val="auto"/>
              </w:rPr>
            </w:pPr>
            <w:r>
              <w:rPr>
                <w:rFonts w:ascii="Arial" w:cs="Arial" w:eastAsia="Arial" w:hAnsi="Arial"/>
                <w:sz w:val="16"/>
                <w:szCs w:val="16"/>
                <w:color w:val="auto"/>
              </w:rPr>
              <w:t>Common stock, $0.01 par value</w:t>
            </w:r>
          </w:p>
        </w:tc>
        <w:tc>
          <w:tcPr>
            <w:tcW w:w="4940" w:type="dxa"/>
            <w:vAlign w:val="bottom"/>
          </w:tcPr>
          <w:p>
            <w:pPr>
              <w:ind w:left="20"/>
              <w:spacing w:after="0"/>
              <w:rPr>
                <w:sz w:val="20"/>
                <w:szCs w:val="20"/>
                <w:color w:val="auto"/>
              </w:rPr>
            </w:pPr>
            <w:r>
              <w:rPr>
                <w:rFonts w:ascii="Arial" w:cs="Arial" w:eastAsia="Arial" w:hAnsi="Arial"/>
                <w:sz w:val="16"/>
                <w:szCs w:val="16"/>
                <w:color w:val="auto"/>
              </w:rPr>
              <w:t>80,278,228</w:t>
            </w:r>
          </w:p>
        </w:tc>
      </w:tr>
      <w:tr>
        <w:trPr>
          <w:trHeight w:val="168"/>
        </w:trPr>
        <w:tc>
          <w:tcPr>
            <w:tcW w:w="48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4940" w:type="dxa"/>
            <w:vAlign w:val="bottom"/>
            <w:tcBorders>
              <w:bottom w:val="single" w:sz="8" w:color="auto"/>
            </w:tcBorders>
          </w:tcPr>
          <w:p>
            <w:pPr>
              <w:spacing w:after="0"/>
              <w:rPr>
                <w:sz w:val="14"/>
                <w:szCs w:val="14"/>
                <w:color w:val="auto"/>
              </w:rPr>
            </w:pPr>
          </w:p>
        </w:tc>
      </w:tr>
      <w:tr>
        <w:trPr>
          <w:trHeight w:val="122"/>
        </w:trPr>
        <w:tc>
          <w:tcPr>
            <w:tcW w:w="484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49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16" w:right="339" w:bottom="1440" w:gutter="0" w:footer="0" w:header="0"/>
        </w:sectPr>
      </w:pPr>
    </w:p>
    <w:bookmarkStart w:id="1" w:name="page2"/>
    <w:bookmarkEnd w:id="1"/>
    <w:p>
      <w:pPr>
        <w:jc w:val="center"/>
        <w:ind w:right="-139"/>
        <w:spacing w:after="0"/>
        <w:rPr>
          <w:sz w:val="20"/>
          <w:szCs w:val="20"/>
          <w:color w:val="auto"/>
        </w:rPr>
      </w:pPr>
      <w:r>
        <w:rPr>
          <w:rFonts w:ascii="Arial" w:cs="Arial" w:eastAsia="Arial" w:hAnsi="Arial"/>
          <w:sz w:val="20"/>
          <w:szCs w:val="20"/>
          <w:b w:val="1"/>
          <w:bCs w:val="1"/>
          <w:color w:val="auto"/>
        </w:rPr>
        <w:t>NATIONAL VISION HOLDINGS, INC. AND SUBSIDIARIES</w:t>
      </w:r>
    </w:p>
    <w:p>
      <w:pPr>
        <w:spacing w:after="0" w:line="200" w:lineRule="exact"/>
        <w:rPr>
          <w:sz w:val="20"/>
          <w:szCs w:val="20"/>
          <w:color w:val="auto"/>
        </w:rPr>
      </w:pPr>
    </w:p>
    <w:p>
      <w:pPr>
        <w:spacing w:after="0" w:line="340"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Table of Contents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p>
        </w:tc>
        <w:tc>
          <w:tcPr>
            <w:tcW w:w="7860" w:type="dxa"/>
            <w:vAlign w:val="bottom"/>
          </w:tcPr>
          <w:p>
            <w:pPr>
              <w:spacing w:after="0"/>
              <w:rPr>
                <w:sz w:val="20"/>
                <w:szCs w:val="20"/>
                <w:color w:val="auto"/>
              </w:rPr>
            </w:pPr>
          </w:p>
        </w:tc>
        <w:tc>
          <w:tcPr>
            <w:tcW w:w="1580" w:type="dxa"/>
            <w:vAlign w:val="bottom"/>
          </w:tcPr>
          <w:p>
            <w:pPr>
              <w:ind w:left="1240"/>
              <w:spacing w:after="0"/>
              <w:rPr>
                <w:sz w:val="20"/>
                <w:szCs w:val="20"/>
                <w:color w:val="auto"/>
              </w:rPr>
            </w:pPr>
            <w:r>
              <w:rPr>
                <w:rFonts w:ascii="Arial" w:cs="Arial" w:eastAsia="Arial" w:hAnsi="Arial"/>
                <w:sz w:val="18"/>
                <w:szCs w:val="18"/>
                <w:color w:val="auto"/>
                <w:w w:val="76"/>
              </w:rPr>
              <w:t>Page</w:t>
            </w:r>
          </w:p>
        </w:tc>
      </w:tr>
      <w:tr>
        <w:trPr>
          <w:trHeight w:val="270"/>
        </w:trPr>
        <w:tc>
          <w:tcPr>
            <w:tcW w:w="912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SPECIAL NOTE REGARDING FORWARD-LOOKING STATEMENTS</w:t>
              </w:r>
            </w:hyperlink>
          </w:p>
        </w:tc>
        <w:tc>
          <w:tcPr>
            <w:tcW w:w="1580" w:type="dxa"/>
            <w:vAlign w:val="bottom"/>
          </w:tcPr>
          <w:p>
            <w:pPr>
              <w:ind w:left="12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3</w:t>
              </w:r>
            </w:hyperlink>
          </w:p>
        </w:tc>
      </w:tr>
      <w:tr>
        <w:trPr>
          <w:trHeight w:val="270"/>
        </w:trPr>
        <w:tc>
          <w:tcPr>
            <w:tcW w:w="9120" w:type="dxa"/>
            <w:vAlign w:val="bottom"/>
            <w:gridSpan w:val="2"/>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Part I – Financial Information</w:t>
              </w:r>
            </w:hyperlink>
          </w:p>
        </w:tc>
        <w:tc>
          <w:tcPr>
            <w:tcW w:w="1580" w:type="dxa"/>
            <w:vAlign w:val="bottom"/>
          </w:tcPr>
          <w:p>
            <w:pPr>
              <w:ind w:left="12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5</w:t>
              </w:r>
            </w:hyperlink>
          </w:p>
        </w:tc>
      </w:tr>
      <w:tr>
        <w:trPr>
          <w:trHeight w:val="270"/>
        </w:trPr>
        <w:tc>
          <w:tcPr>
            <w:tcW w:w="1260" w:type="dxa"/>
            <w:vAlign w:val="bottom"/>
          </w:tcPr>
          <w:p>
            <w:pPr>
              <w:ind w:left="4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w:t>
              </w:r>
            </w:hyperlink>
          </w:p>
        </w:tc>
        <w:tc>
          <w:tcPr>
            <w:tcW w:w="7860" w:type="dxa"/>
            <w:vAlign w:val="bottom"/>
          </w:tcPr>
          <w:p>
            <w:pPr>
              <w:ind w:left="1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Financial Statements (Unaudited)</w:t>
              </w:r>
            </w:hyperlink>
          </w:p>
        </w:tc>
        <w:tc>
          <w:tcPr>
            <w:tcW w:w="1580" w:type="dxa"/>
            <w:vAlign w:val="bottom"/>
          </w:tcPr>
          <w:p>
            <w:pPr>
              <w:ind w:left="12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5</w:t>
              </w:r>
            </w:hyperlink>
          </w:p>
        </w:tc>
      </w:tr>
      <w:tr>
        <w:trPr>
          <w:trHeight w:val="270"/>
        </w:trPr>
        <w:tc>
          <w:tcPr>
            <w:tcW w:w="1260" w:type="dxa"/>
            <w:vAlign w:val="bottom"/>
          </w:tcPr>
          <w:p>
            <w:pPr>
              <w:spacing w:after="0"/>
              <w:rPr>
                <w:sz w:val="23"/>
                <w:szCs w:val="23"/>
                <w:color w:val="auto"/>
              </w:rPr>
            </w:pPr>
          </w:p>
        </w:tc>
        <w:tc>
          <w:tcPr>
            <w:tcW w:w="7860" w:type="dxa"/>
            <w:vAlign w:val="bottom"/>
          </w:tcPr>
          <w:p>
            <w:pPr>
              <w:ind w:left="16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Balance Sheets</w:t>
              </w:r>
            </w:hyperlink>
          </w:p>
        </w:tc>
        <w:tc>
          <w:tcPr>
            <w:tcW w:w="1580" w:type="dxa"/>
            <w:vAlign w:val="bottom"/>
          </w:tcPr>
          <w:p>
            <w:pPr>
              <w:ind w:left="12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5</w:t>
              </w:r>
            </w:hyperlink>
          </w:p>
        </w:tc>
      </w:tr>
      <w:tr>
        <w:trPr>
          <w:trHeight w:val="270"/>
        </w:trPr>
        <w:tc>
          <w:tcPr>
            <w:tcW w:w="1260" w:type="dxa"/>
            <w:vAlign w:val="bottom"/>
          </w:tcPr>
          <w:p>
            <w:pPr>
              <w:spacing w:after="0"/>
              <w:rPr>
                <w:sz w:val="23"/>
                <w:szCs w:val="23"/>
                <w:color w:val="auto"/>
              </w:rPr>
            </w:pPr>
          </w:p>
        </w:tc>
        <w:tc>
          <w:tcPr>
            <w:tcW w:w="7860" w:type="dxa"/>
            <w:vAlign w:val="bottom"/>
          </w:tcPr>
          <w:p>
            <w:pPr>
              <w:ind w:left="1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Operations and Comprehensive Income</w:t>
              </w:r>
            </w:hyperlink>
          </w:p>
        </w:tc>
        <w:tc>
          <w:tcPr>
            <w:tcW w:w="1580" w:type="dxa"/>
            <w:vAlign w:val="bottom"/>
          </w:tcPr>
          <w:p>
            <w:pPr>
              <w:ind w:left="12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6</w:t>
              </w:r>
            </w:hyperlink>
          </w:p>
        </w:tc>
      </w:tr>
      <w:tr>
        <w:trPr>
          <w:trHeight w:val="270"/>
        </w:trPr>
        <w:tc>
          <w:tcPr>
            <w:tcW w:w="1260" w:type="dxa"/>
            <w:vAlign w:val="bottom"/>
          </w:tcPr>
          <w:p>
            <w:pPr>
              <w:spacing w:after="0"/>
              <w:rPr>
                <w:sz w:val="23"/>
                <w:szCs w:val="23"/>
                <w:color w:val="auto"/>
              </w:rPr>
            </w:pPr>
          </w:p>
        </w:tc>
        <w:tc>
          <w:tcPr>
            <w:tcW w:w="7860" w:type="dxa"/>
            <w:vAlign w:val="bottom"/>
          </w:tcPr>
          <w:p>
            <w:pPr>
              <w:ind w:left="1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Stockholders’ Equity</w:t>
              </w:r>
            </w:hyperlink>
          </w:p>
        </w:tc>
        <w:tc>
          <w:tcPr>
            <w:tcW w:w="1580" w:type="dxa"/>
            <w:vAlign w:val="bottom"/>
          </w:tcPr>
          <w:p>
            <w:pPr>
              <w:ind w:left="12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7</w:t>
              </w:r>
            </w:hyperlink>
          </w:p>
        </w:tc>
      </w:tr>
      <w:tr>
        <w:trPr>
          <w:trHeight w:val="270"/>
        </w:trPr>
        <w:tc>
          <w:tcPr>
            <w:tcW w:w="1260" w:type="dxa"/>
            <w:vAlign w:val="bottom"/>
          </w:tcPr>
          <w:p>
            <w:pPr>
              <w:spacing w:after="0"/>
              <w:rPr>
                <w:sz w:val="23"/>
                <w:szCs w:val="23"/>
                <w:color w:val="auto"/>
              </w:rPr>
            </w:pPr>
          </w:p>
        </w:tc>
        <w:tc>
          <w:tcPr>
            <w:tcW w:w="7860" w:type="dxa"/>
            <w:vAlign w:val="bottom"/>
          </w:tcPr>
          <w:p>
            <w:pPr>
              <w:ind w:left="1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w:t>
              </w:r>
            </w:hyperlink>
          </w:p>
        </w:tc>
        <w:tc>
          <w:tcPr>
            <w:tcW w:w="1580" w:type="dxa"/>
            <w:vAlign w:val="bottom"/>
          </w:tcPr>
          <w:p>
            <w:pPr>
              <w:ind w:left="12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8</w:t>
              </w:r>
            </w:hyperlink>
          </w:p>
        </w:tc>
      </w:tr>
      <w:tr>
        <w:trPr>
          <w:trHeight w:val="270"/>
        </w:trPr>
        <w:tc>
          <w:tcPr>
            <w:tcW w:w="1260" w:type="dxa"/>
            <w:vAlign w:val="bottom"/>
          </w:tcPr>
          <w:p>
            <w:pPr>
              <w:spacing w:after="0"/>
              <w:rPr>
                <w:sz w:val="23"/>
                <w:szCs w:val="23"/>
                <w:color w:val="auto"/>
              </w:rPr>
            </w:pPr>
          </w:p>
        </w:tc>
        <w:tc>
          <w:tcPr>
            <w:tcW w:w="7860" w:type="dxa"/>
            <w:vAlign w:val="bottom"/>
          </w:tcPr>
          <w:p>
            <w:pPr>
              <w:ind w:left="18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Notes to Condensed Consolidated Financial Statements</w:t>
              </w:r>
            </w:hyperlink>
          </w:p>
        </w:tc>
        <w:tc>
          <w:tcPr>
            <w:tcW w:w="1580" w:type="dxa"/>
            <w:vAlign w:val="bottom"/>
          </w:tcPr>
          <w:p>
            <w:pPr>
              <w:ind w:left="124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9</w:t>
              </w:r>
            </w:hyperlink>
          </w:p>
        </w:tc>
      </w:tr>
      <w:tr>
        <w:trPr>
          <w:trHeight w:val="270"/>
        </w:trPr>
        <w:tc>
          <w:tcPr>
            <w:tcW w:w="1260" w:type="dxa"/>
            <w:vAlign w:val="bottom"/>
          </w:tcPr>
          <w:p>
            <w:pPr>
              <w:ind w:left="44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2.</w:t>
              </w:r>
            </w:hyperlink>
          </w:p>
        </w:tc>
        <w:tc>
          <w:tcPr>
            <w:tcW w:w="7860" w:type="dxa"/>
            <w:vAlign w:val="bottom"/>
          </w:tcPr>
          <w:p>
            <w:pPr>
              <w:ind w:left="18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Management’s Discussion and Analysis of Financial Condition and Results of Operations</w:t>
              </w:r>
            </w:hyperlink>
          </w:p>
        </w:tc>
        <w:tc>
          <w:tcPr>
            <w:tcW w:w="1580" w:type="dxa"/>
            <w:vAlign w:val="bottom"/>
          </w:tcPr>
          <w:p>
            <w:pPr>
              <w:ind w:left="124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25</w:t>
              </w:r>
            </w:hyperlink>
          </w:p>
        </w:tc>
      </w:tr>
      <w:tr>
        <w:trPr>
          <w:trHeight w:val="270"/>
        </w:trPr>
        <w:tc>
          <w:tcPr>
            <w:tcW w:w="1260" w:type="dxa"/>
            <w:vAlign w:val="bottom"/>
          </w:tcPr>
          <w:p>
            <w:pPr>
              <w:ind w:left="4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3.</w:t>
              </w:r>
            </w:hyperlink>
          </w:p>
        </w:tc>
        <w:tc>
          <w:tcPr>
            <w:tcW w:w="7860" w:type="dxa"/>
            <w:vAlign w:val="bottom"/>
          </w:tcPr>
          <w:p>
            <w:pPr>
              <w:ind w:left="18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Quantitative and Qualitative Disclosures About Market Risk</w:t>
              </w:r>
            </w:hyperlink>
          </w:p>
        </w:tc>
        <w:tc>
          <w:tcPr>
            <w:tcW w:w="1580" w:type="dxa"/>
            <w:vAlign w:val="bottom"/>
          </w:tcPr>
          <w:p>
            <w:pPr>
              <w:ind w:left="12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42</w:t>
              </w:r>
            </w:hyperlink>
          </w:p>
        </w:tc>
      </w:tr>
      <w:tr>
        <w:trPr>
          <w:trHeight w:val="270"/>
        </w:trPr>
        <w:tc>
          <w:tcPr>
            <w:tcW w:w="1260" w:type="dxa"/>
            <w:vAlign w:val="bottom"/>
          </w:tcPr>
          <w:p>
            <w:pPr>
              <w:ind w:left="4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4.</w:t>
              </w:r>
            </w:hyperlink>
          </w:p>
        </w:tc>
        <w:tc>
          <w:tcPr>
            <w:tcW w:w="7860" w:type="dxa"/>
            <w:vAlign w:val="bottom"/>
          </w:tcPr>
          <w:p>
            <w:pPr>
              <w:ind w:left="18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Controls and Procedures</w:t>
              </w:r>
            </w:hyperlink>
          </w:p>
        </w:tc>
        <w:tc>
          <w:tcPr>
            <w:tcW w:w="1580" w:type="dxa"/>
            <w:vAlign w:val="bottom"/>
          </w:tcPr>
          <w:p>
            <w:pPr>
              <w:ind w:left="12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42</w:t>
              </w:r>
            </w:hyperlink>
          </w:p>
        </w:tc>
      </w:tr>
      <w:tr>
        <w:trPr>
          <w:trHeight w:val="270"/>
        </w:trPr>
        <w:tc>
          <w:tcPr>
            <w:tcW w:w="9120" w:type="dxa"/>
            <w:vAlign w:val="bottom"/>
            <w:gridSpan w:val="2"/>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Part II – Other Information</w:t>
              </w:r>
            </w:hyperlink>
          </w:p>
        </w:tc>
        <w:tc>
          <w:tcPr>
            <w:tcW w:w="1580" w:type="dxa"/>
            <w:vAlign w:val="bottom"/>
          </w:tcPr>
          <w:p>
            <w:pPr>
              <w:ind w:left="12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42</w:t>
              </w:r>
            </w:hyperlink>
          </w:p>
        </w:tc>
      </w:tr>
      <w:tr>
        <w:trPr>
          <w:trHeight w:val="270"/>
        </w:trPr>
        <w:tc>
          <w:tcPr>
            <w:tcW w:w="1260" w:type="dxa"/>
            <w:vAlign w:val="bottom"/>
          </w:tcPr>
          <w:p>
            <w:pPr>
              <w:ind w:left="4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1.</w:t>
              </w:r>
            </w:hyperlink>
          </w:p>
        </w:tc>
        <w:tc>
          <w:tcPr>
            <w:tcW w:w="7860" w:type="dxa"/>
            <w:vAlign w:val="bottom"/>
          </w:tcPr>
          <w:p>
            <w:pPr>
              <w:ind w:left="18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Legal Proceedings</w:t>
              </w:r>
            </w:hyperlink>
          </w:p>
        </w:tc>
        <w:tc>
          <w:tcPr>
            <w:tcW w:w="1580" w:type="dxa"/>
            <w:vAlign w:val="bottom"/>
          </w:tcPr>
          <w:p>
            <w:pPr>
              <w:ind w:left="12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42</w:t>
              </w:r>
            </w:hyperlink>
          </w:p>
        </w:tc>
      </w:tr>
      <w:tr>
        <w:trPr>
          <w:trHeight w:val="270"/>
        </w:trPr>
        <w:tc>
          <w:tcPr>
            <w:tcW w:w="1260" w:type="dxa"/>
            <w:vAlign w:val="bottom"/>
          </w:tcPr>
          <w:p>
            <w:pPr>
              <w:ind w:left="4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1A.</w:t>
              </w:r>
            </w:hyperlink>
          </w:p>
        </w:tc>
        <w:tc>
          <w:tcPr>
            <w:tcW w:w="7860" w:type="dxa"/>
            <w:vAlign w:val="bottom"/>
          </w:tcPr>
          <w:p>
            <w:pPr>
              <w:ind w:left="18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Risk Factors</w:t>
              </w:r>
            </w:hyperlink>
          </w:p>
        </w:tc>
        <w:tc>
          <w:tcPr>
            <w:tcW w:w="1580" w:type="dxa"/>
            <w:vAlign w:val="bottom"/>
          </w:tcPr>
          <w:p>
            <w:pPr>
              <w:ind w:left="12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42</w:t>
              </w:r>
            </w:hyperlink>
          </w:p>
        </w:tc>
      </w:tr>
      <w:tr>
        <w:trPr>
          <w:trHeight w:val="270"/>
        </w:trPr>
        <w:tc>
          <w:tcPr>
            <w:tcW w:w="1260" w:type="dxa"/>
            <w:vAlign w:val="bottom"/>
          </w:tcPr>
          <w:p>
            <w:pPr>
              <w:ind w:left="44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Item 2.</w:t>
              </w:r>
            </w:hyperlink>
          </w:p>
        </w:tc>
        <w:tc>
          <w:tcPr>
            <w:tcW w:w="7860" w:type="dxa"/>
            <w:vAlign w:val="bottom"/>
          </w:tcPr>
          <w:p>
            <w:pPr>
              <w:ind w:left="18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Unregistered Sales of Equity Securities and Use of Proceeds</w:t>
              </w:r>
            </w:hyperlink>
          </w:p>
        </w:tc>
        <w:tc>
          <w:tcPr>
            <w:tcW w:w="1580" w:type="dxa"/>
            <w:vAlign w:val="bottom"/>
          </w:tcPr>
          <w:p>
            <w:pPr>
              <w:ind w:left="124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47</w:t>
              </w:r>
            </w:hyperlink>
          </w:p>
        </w:tc>
      </w:tr>
      <w:tr>
        <w:trPr>
          <w:trHeight w:val="270"/>
        </w:trPr>
        <w:tc>
          <w:tcPr>
            <w:tcW w:w="1260" w:type="dxa"/>
            <w:vAlign w:val="bottom"/>
          </w:tcPr>
          <w:p>
            <w:pPr>
              <w:ind w:left="44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Item 3.</w:t>
              </w:r>
            </w:hyperlink>
          </w:p>
        </w:tc>
        <w:tc>
          <w:tcPr>
            <w:tcW w:w="7860" w:type="dxa"/>
            <w:vAlign w:val="bottom"/>
          </w:tcPr>
          <w:p>
            <w:pPr>
              <w:ind w:left="18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Defaults Upon Senior Securities</w:t>
              </w:r>
            </w:hyperlink>
          </w:p>
        </w:tc>
        <w:tc>
          <w:tcPr>
            <w:tcW w:w="1580" w:type="dxa"/>
            <w:vAlign w:val="bottom"/>
          </w:tcPr>
          <w:p>
            <w:pPr>
              <w:ind w:left="124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47</w:t>
              </w:r>
            </w:hyperlink>
          </w:p>
        </w:tc>
      </w:tr>
      <w:tr>
        <w:trPr>
          <w:trHeight w:val="270"/>
        </w:trPr>
        <w:tc>
          <w:tcPr>
            <w:tcW w:w="1260" w:type="dxa"/>
            <w:vAlign w:val="bottom"/>
          </w:tcPr>
          <w:p>
            <w:pPr>
              <w:ind w:left="44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Item 4.</w:t>
              </w:r>
            </w:hyperlink>
          </w:p>
        </w:tc>
        <w:tc>
          <w:tcPr>
            <w:tcW w:w="7860" w:type="dxa"/>
            <w:vAlign w:val="bottom"/>
          </w:tcPr>
          <w:p>
            <w:pPr>
              <w:ind w:left="18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Mine Safety Disclosures</w:t>
              </w:r>
            </w:hyperlink>
          </w:p>
        </w:tc>
        <w:tc>
          <w:tcPr>
            <w:tcW w:w="1580" w:type="dxa"/>
            <w:vAlign w:val="bottom"/>
          </w:tcPr>
          <w:p>
            <w:pPr>
              <w:ind w:left="124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47</w:t>
              </w:r>
            </w:hyperlink>
          </w:p>
        </w:tc>
      </w:tr>
      <w:tr>
        <w:trPr>
          <w:trHeight w:val="270"/>
        </w:trPr>
        <w:tc>
          <w:tcPr>
            <w:tcW w:w="1260" w:type="dxa"/>
            <w:vAlign w:val="bottom"/>
          </w:tcPr>
          <w:p>
            <w:pPr>
              <w:ind w:left="44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Item 5.</w:t>
              </w:r>
            </w:hyperlink>
          </w:p>
        </w:tc>
        <w:tc>
          <w:tcPr>
            <w:tcW w:w="7860" w:type="dxa"/>
            <w:vAlign w:val="bottom"/>
          </w:tcPr>
          <w:p>
            <w:pPr>
              <w:ind w:left="18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Other Information</w:t>
              </w:r>
            </w:hyperlink>
          </w:p>
        </w:tc>
        <w:tc>
          <w:tcPr>
            <w:tcW w:w="1580" w:type="dxa"/>
            <w:vAlign w:val="bottom"/>
          </w:tcPr>
          <w:p>
            <w:pPr>
              <w:ind w:left="124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47</w:t>
              </w:r>
            </w:hyperlink>
          </w:p>
        </w:tc>
      </w:tr>
      <w:tr>
        <w:trPr>
          <w:trHeight w:val="270"/>
        </w:trPr>
        <w:tc>
          <w:tcPr>
            <w:tcW w:w="1260" w:type="dxa"/>
            <w:vAlign w:val="bottom"/>
          </w:tcPr>
          <w:p>
            <w:pPr>
              <w:ind w:left="44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Item 6.</w:t>
              </w:r>
            </w:hyperlink>
          </w:p>
        </w:tc>
        <w:tc>
          <w:tcPr>
            <w:tcW w:w="7860" w:type="dxa"/>
            <w:vAlign w:val="bottom"/>
          </w:tcPr>
          <w:p>
            <w:pPr>
              <w:ind w:left="18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Exhibits</w:t>
              </w:r>
            </w:hyperlink>
          </w:p>
        </w:tc>
        <w:tc>
          <w:tcPr>
            <w:tcW w:w="1580" w:type="dxa"/>
            <w:vAlign w:val="bottom"/>
          </w:tcPr>
          <w:p>
            <w:pPr>
              <w:ind w:left="1240"/>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48</w:t>
              </w:r>
            </w:hyperlink>
          </w:p>
        </w:tc>
      </w:tr>
      <w:tr>
        <w:trPr>
          <w:trHeight w:val="270"/>
        </w:trPr>
        <w:tc>
          <w:tcPr>
            <w:tcW w:w="1260" w:type="dxa"/>
            <w:vAlign w:val="bottom"/>
          </w:tcPr>
          <w:p>
            <w:pPr>
              <w:spacing w:after="0"/>
              <w:rPr>
                <w:sz w:val="23"/>
                <w:szCs w:val="23"/>
                <w:color w:val="auto"/>
              </w:rPr>
            </w:pPr>
          </w:p>
        </w:tc>
        <w:tc>
          <w:tcPr>
            <w:tcW w:w="7860" w:type="dxa"/>
            <w:vAlign w:val="bottom"/>
          </w:tcPr>
          <w:p>
            <w:pPr>
              <w:ind w:left="18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Signatures</w:t>
              </w:r>
            </w:hyperlink>
          </w:p>
        </w:tc>
        <w:tc>
          <w:tcPr>
            <w:tcW w:w="1580" w:type="dxa"/>
            <w:vAlign w:val="bottom"/>
          </w:tcPr>
          <w:p>
            <w:pPr>
              <w:ind w:left="124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49</w:t>
              </w:r>
            </w:hyperlink>
          </w:p>
        </w:tc>
      </w:tr>
    </w:tbl>
    <w:p>
      <w:pPr>
        <w:sectPr>
          <w:pgSz w:w="11900" w:h="16838" w:orient="portrait"/>
          <w:cols w:equalWidth="0" w:num="1">
            <w:col w:w="10700"/>
          </w:cols>
          <w:pgMar w:left="520" w:top="360" w:right="6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Quarterly Report on Form 10-Q (this “Form 10-Q”) contains “forward-looking statements” within the meaning of Section 27A of the Securities Act of 1933, as amended (the “Securities Act”), and Section 21E of the Securities Exchange Act of 1934, as amended (the “Exchange Act”), which are subject to the “safe harbor” created by those sections. All statements, other than statements of historical facts included in this Form 10-Q, including statements concerning our plans, objectives, goals, beliefs, business strategies, future events, business conditions, results of operations, financial position, business outlook, business trends and other information, may be forward-looking statements.</w:t>
      </w:r>
    </w:p>
    <w:p>
      <w:pPr>
        <w:spacing w:after="0" w:line="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Words such as “believes,” “expects,” “may,” “will,” “should,” “seeks,” “intends,” “plans,” “estimates,” or “anticipates,” and variations of such words or similar expressions are intended to identify forward-looking statements. The forward-looking statements are not historical facts or guarantees of future performance and are based upon our current expectations, beliefs, estimates and projections, and various assumptions, many of which, by their nature, are inherently uncertain and beyond our control.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are a number of risks, uncertainties and other important factors, many of which are beyond our control, that could cause our actual results to differ materially from the forward-looking statements contained in this Form 10-Q. Such risks, uncertainties and other important factors that could cause actual results to differ include, among others, the risks, uncertainties and factors set forth in Part II, Item 1A - “Risk Factors” in this Form 10-Q, Part I, Item 1A - “Risk Factors” in the Company’s Annual Report on Form 10-K for the year ended December 28, 2019 (the “Annual Report”) and Item 8.01 - “Supplemental Risk Factor” on Form 8-K filed on March 19, 2020, as filed with the Securities and Exchange Commission (the “SEC”), as such risk factors may be updated from time to time in our periodic filings with the SEC, which are accessible on the SEC’s website at www.sec.gov, and also include the following:</w:t>
      </w:r>
    </w:p>
    <w:p>
      <w:pPr>
        <w:spacing w:after="0" w:line="87" w:lineRule="exact"/>
        <w:rPr>
          <w:sz w:val="20"/>
          <w:szCs w:val="20"/>
          <w:color w:val="auto"/>
        </w:rPr>
      </w:pPr>
    </w:p>
    <w:p>
      <w:pPr>
        <w:jc w:val="both"/>
        <w:ind w:left="180" w:hanging="172"/>
        <w:spacing w:after="0" w:line="253"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scale and scope of the novel coronavirus, or COVID-19, pandemic is unknown and, due to the temporary closure of our stores to the public and other factors, is adversely impacting, and is expected to continue to adversely impact, our business at least for the near term, including the impact of federal, state, and local governmental actions and customer behavior in response to the pandemic and such governmental actions and operational disruptions if a significant percentage of our workforce is unable to work or we experience labor shortages, including because of illness or travel or government restrictions in connection with the pandemic;</w:t>
      </w:r>
    </w:p>
    <w:p>
      <w:pPr>
        <w:spacing w:after="0" w:line="3" w:lineRule="exact"/>
        <w:rPr>
          <w:rFonts w:ascii="Arial" w:cs="Arial" w:eastAsia="Arial" w:hAnsi="Arial"/>
          <w:sz w:val="18"/>
          <w:szCs w:val="18"/>
          <w:color w:val="auto"/>
        </w:rPr>
      </w:pPr>
    </w:p>
    <w:p>
      <w:pPr>
        <w:ind w:left="180" w:right="20" w:hanging="172"/>
        <w:spacing w:after="0" w:line="250"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selectively re-open stores as announced and to open and operate new stores in a timely and cost-effective manner, and to successfully enter new markets;</w:t>
      </w: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recruit and retain vision care professionals for our stores;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develop and maintain relationships with managed vision care companies, vision insurance providers and other third-party payors;</w:t>
      </w:r>
    </w:p>
    <w:p>
      <w:pPr>
        <w:spacing w:after="0" w:line="20" w:lineRule="exact"/>
        <w:rPr>
          <w:rFonts w:ascii="Arial" w:cs="Arial" w:eastAsia="Arial" w:hAnsi="Arial"/>
          <w:sz w:val="17"/>
          <w:szCs w:val="17"/>
          <w:color w:val="auto"/>
        </w:rPr>
      </w:pPr>
    </w:p>
    <w:p>
      <w:pPr>
        <w:ind w:left="180" w:hanging="172"/>
        <w:spacing w:after="0"/>
        <w:tabs>
          <w:tab w:leader="none" w:pos="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the performance of our host and legacy brands and our current operating relationships with our host and legacy partners;</w:t>
      </w:r>
    </w:p>
    <w:p>
      <w:pPr>
        <w:spacing w:after="0" w:line="20" w:lineRule="exact"/>
        <w:rPr>
          <w:rFonts w:ascii="Arial" w:cs="Arial" w:eastAsia="Arial" w:hAnsi="Arial"/>
          <w:sz w:val="17"/>
          <w:szCs w:val="17"/>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adhere to extensive state, local and federal vision care and healthcare laws and regulations;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compliance with managed vision care laws and regulations;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sufficient levels of cash flow from our operations to execute or sustain our growth strategy;</w:t>
      </w:r>
    </w:p>
    <w:p>
      <w:pPr>
        <w:spacing w:after="0" w:line="9" w:lineRule="exact"/>
        <w:rPr>
          <w:rFonts w:ascii="Arial" w:cs="Arial" w:eastAsia="Arial" w:hAnsi="Arial"/>
          <w:sz w:val="18"/>
          <w:szCs w:val="18"/>
          <w:color w:val="auto"/>
        </w:rPr>
      </w:pPr>
    </w:p>
    <w:p>
      <w:pPr>
        <w:ind w:left="180" w:hanging="172"/>
        <w:spacing w:after="0" w:line="250"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or disruption in the operations of, one or more of our distribution centers and/or optical laboratories</w:t>
      </w:r>
      <w:r>
        <w:rPr>
          <w:rFonts w:ascii="Arial" w:cs="Arial" w:eastAsia="Arial" w:hAnsi="Arial"/>
          <w:sz w:val="18"/>
          <w:szCs w:val="18"/>
          <w:b w:val="1"/>
          <w:bCs w:val="1"/>
          <w:color w:val="0000FF"/>
        </w:rPr>
        <w:t>,</w:t>
      </w:r>
      <w:r>
        <w:rPr>
          <w:rFonts w:ascii="Arial" w:cs="Arial" w:eastAsia="Arial" w:hAnsi="Arial"/>
          <w:sz w:val="18"/>
          <w:szCs w:val="18"/>
          <w:color w:val="auto"/>
        </w:rPr>
        <w:t xml:space="preserve"> resulting in the inability to fulfill customer orders and deliver our products in a timely manner;</w:t>
      </w: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vendors from whom our products are sourced, including our dependence on a limited number of suppliers;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compete in the highly competitive optical retail industry;</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failure, inadequacy, interruption, security failure or breach of our information technology systems;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growth strategy straining our existing resources and causing the performance of our existing stores to suffer;</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wage rate increases, inflation, cost increases and increases in raw material prices and energy prices;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marketing, advertising and promotional efforts;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leasing substantial amounts of space, including future increases in occupancy costs;</w:t>
      </w:r>
    </w:p>
    <w:p>
      <w:pPr>
        <w:spacing w:after="0" w:line="9" w:lineRule="exact"/>
        <w:rPr>
          <w:rFonts w:ascii="Arial" w:cs="Arial" w:eastAsia="Arial" w:hAnsi="Arial"/>
          <w:sz w:val="18"/>
          <w:szCs w:val="18"/>
          <w:color w:val="auto"/>
        </w:rPr>
      </w:pPr>
    </w:p>
    <w:p>
      <w:pPr>
        <w:ind w:left="180" w:hanging="172"/>
        <w:spacing w:after="0" w:line="250"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certain technological advances, and the greater availability of, or increased consumer preferences for, vision correction alternatives to prescription eyeglasses or contact lenses, and future drug development for the correction of vision-related problems;</w:t>
      </w: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our existing senior management team and attract qualified new personnel;</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spending affecting consumer purchases;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our inventory balances and inventory shrinkage;</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seasonal fluctuations in our operating results and inventory levels;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553" w:right="339" w:bottom="1440" w:gutter="0" w:footer="0" w:header="0"/>
        </w:sectPr>
      </w:pPr>
    </w:p>
    <w:bookmarkStart w:id="3" w:name="page4"/>
    <w:bookmarkEnd w:id="3"/>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third-party coverage and reimbursement, including government programs, for an increasing portion of our revenues;</w:t>
      </w:r>
    </w:p>
    <w:p>
      <w:pPr>
        <w:spacing w:after="0" w:line="23"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our e-commerce business;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product recall or personal injury issues;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failure to comply with, or changes in, laws, regulations, enforcement activities and other requirements;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any adverse litigation judgments or settlements resulting from legal proceedings relating to our business operations;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of losses arising from our investments in technological innovators in the optical retail industry;</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significant amount of indebtedness and our ability to generate sufficient cash flow to satisfy our significant debt service obligations;</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increase in interest rates as well as changes in benchmark rates and uncertainty related to the foregoing;</w:t>
      </w:r>
    </w:p>
    <w:p>
      <w:pPr>
        <w:spacing w:after="0" w:line="9"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restrictions in our credit agreement that limits our flexibility in operating our business; and</w:t>
      </w:r>
    </w:p>
    <w:p>
      <w:pPr>
        <w:spacing w:after="0" w:line="9" w:lineRule="exact"/>
        <w:rPr>
          <w:rFonts w:ascii="Arial" w:cs="Arial" w:eastAsia="Arial" w:hAnsi="Arial"/>
          <w:sz w:val="18"/>
          <w:szCs w:val="18"/>
          <w:color w:val="auto"/>
        </w:rPr>
      </w:pPr>
    </w:p>
    <w:p>
      <w:pPr>
        <w:ind w:left="180" w:hanging="172"/>
        <w:spacing w:after="0" w:line="260"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owning our common stock, including our ability to comply with requirements to design and implement and maintain effective internal controls.</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All forward-looking statements in this Form 10-Q apply only as of the date of this Form 10-Q or as of the date they were made and, except as required by applicable law, we undertake no obligation to publicly update or revise any forward-looking statement, whether as a result of new information, future developments or otherwise.</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references to “we,” “us,” “our,” or the “Company” in this Form 10-Q mean National Vision Holdings, Inc. and its subsidiaries, unless the context otherwise requires. References to “eye care practitioners” in this Form 10-Q mean optometrists and ophthalmologists and references to “vision care professionals” mean optometrists (including optometrists employed by us or by professional corporations owned by eye care practitioners with which we have arrangements) and opticians.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Disclosure</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use our website www.nationalvision.com as a channel of distribution of Company information. Financial and other important information regarding the Company is routinely accessible through and posted on our website. Accordingly, investors should monitor our website, in addition to following our press releases, SEC filings and public conference calls and webcasts. In addition, you may automatically receive e-mail alerts and other information about National Vision Holdings, Inc. when you enroll your e-mail address by visiting the “Email Alerts” page of the Investor Resources section of our website at www.nationalvision.com/investors. The contents of our website are not, however, a part of this Form 10-Q.</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34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5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6860" w:type="dxa"/>
            <w:vAlign w:val="bottom"/>
          </w:tcPr>
          <w:p>
            <w:pPr>
              <w:spacing w:after="0"/>
              <w:rPr>
                <w:sz w:val="20"/>
                <w:szCs w:val="20"/>
                <w:color w:val="auto"/>
              </w:rPr>
            </w:pPr>
            <w:r>
              <w:rPr>
                <w:rFonts w:ascii="Arial" w:cs="Arial" w:eastAsia="Arial" w:hAnsi="Arial"/>
                <w:sz w:val="18"/>
                <w:szCs w:val="18"/>
                <w:b w:val="1"/>
                <w:bCs w:val="1"/>
                <w:color w:val="auto"/>
              </w:rPr>
              <w:t>PART I – FINANCIAL INFORMATION</w:t>
            </w:r>
          </w:p>
        </w:tc>
        <w:tc>
          <w:tcPr>
            <w:tcW w:w="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60" w:type="dxa"/>
            <w:vAlign w:val="bottom"/>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9100" w:type="dxa"/>
            <w:vAlign w:val="bottom"/>
            <w:gridSpan w:val="4"/>
          </w:tcPr>
          <w:p>
            <w:pPr>
              <w:jc w:val="center"/>
              <w:ind w:left="2070"/>
              <w:spacing w:after="0"/>
              <w:rPr>
                <w:sz w:val="20"/>
                <w:szCs w:val="20"/>
                <w:color w:val="auto"/>
              </w:rPr>
            </w:pPr>
            <w:r>
              <w:rPr>
                <w:rFonts w:ascii="Arial" w:cs="Arial" w:eastAsia="Arial" w:hAnsi="Arial"/>
                <w:sz w:val="18"/>
                <w:szCs w:val="18"/>
                <w:b w:val="1"/>
                <w:bCs w:val="1"/>
                <w:color w:val="auto"/>
                <w:w w:val="90"/>
              </w:rPr>
              <w:t>National Vision Holdings, Inc. and Subsidiaries</w:t>
            </w: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jc w:val="center"/>
              <w:ind w:left="381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360" w:type="dxa"/>
            <w:vAlign w:val="bottom"/>
            <w:gridSpan w:val="2"/>
          </w:tcPr>
          <w:p>
            <w:pPr>
              <w:jc w:val="center"/>
              <w:ind w:left="3810"/>
              <w:spacing w:after="0"/>
              <w:rPr>
                <w:sz w:val="20"/>
                <w:szCs w:val="20"/>
                <w:color w:val="auto"/>
              </w:rPr>
            </w:pPr>
            <w:r>
              <w:rPr>
                <w:rFonts w:ascii="Arial" w:cs="Arial" w:eastAsia="Arial" w:hAnsi="Arial"/>
                <w:sz w:val="18"/>
                <w:szCs w:val="18"/>
                <w:b w:val="1"/>
                <w:bCs w:val="1"/>
                <w:color w:val="auto"/>
                <w:w w:val="90"/>
              </w:rPr>
              <w:t>As of March 28, 2020 and December 28, 2019</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860" w:type="dxa"/>
            <w:vAlign w:val="bottom"/>
          </w:tcPr>
          <w:p>
            <w:pPr>
              <w:jc w:val="center"/>
              <w:ind w:left="4290"/>
              <w:spacing w:after="0"/>
              <w:rPr>
                <w:sz w:val="20"/>
                <w:szCs w:val="20"/>
                <w:color w:val="auto"/>
              </w:rPr>
            </w:pPr>
            <w:r>
              <w:rPr>
                <w:rFonts w:ascii="Arial" w:cs="Arial" w:eastAsia="Arial" w:hAnsi="Arial"/>
                <w:sz w:val="18"/>
                <w:szCs w:val="18"/>
                <w:i w:val="1"/>
                <w:iCs w:val="1"/>
                <w:color w:val="auto"/>
                <w:w w:val="89"/>
              </w:rPr>
              <w:t>In Thousands, Except Par Value</w:t>
            </w:r>
          </w:p>
        </w:tc>
        <w:tc>
          <w:tcPr>
            <w:tcW w:w="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60" w:type="dxa"/>
            <w:vAlign w:val="bottom"/>
          </w:tcPr>
          <w:p>
            <w:pPr>
              <w:jc w:val="center"/>
              <w:ind w:left="4290"/>
              <w:spacing w:after="0"/>
              <w:rPr>
                <w:sz w:val="20"/>
                <w:szCs w:val="20"/>
                <w:color w:val="auto"/>
              </w:rPr>
            </w:pPr>
            <w:r>
              <w:rPr>
                <w:rFonts w:ascii="Arial" w:cs="Arial" w:eastAsia="Arial" w:hAnsi="Arial"/>
                <w:sz w:val="18"/>
                <w:szCs w:val="18"/>
                <w:b w:val="1"/>
                <w:bCs w:val="1"/>
                <w:color w:val="auto"/>
                <w:w w:val="91"/>
              </w:rPr>
              <w:t>(Unaudited)</w:t>
            </w:r>
          </w:p>
        </w:tc>
        <w:tc>
          <w:tcPr>
            <w:tcW w:w="5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8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500" w:type="dxa"/>
            <w:vAlign w:val="bottom"/>
          </w:tcPr>
          <w:p>
            <w:pPr>
              <w:spacing w:after="0"/>
              <w:rPr>
                <w:sz w:val="24"/>
                <w:szCs w:val="24"/>
                <w:color w:val="auto"/>
              </w:rPr>
            </w:pPr>
          </w:p>
        </w:tc>
        <w:tc>
          <w:tcPr>
            <w:tcW w:w="174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As of</w:t>
            </w:r>
          </w:p>
        </w:tc>
        <w:tc>
          <w:tcPr>
            <w:tcW w:w="240" w:type="dxa"/>
            <w:vAlign w:val="bottom"/>
          </w:tcPr>
          <w:p>
            <w:pPr>
              <w:spacing w:after="0"/>
              <w:rPr>
                <w:sz w:val="24"/>
                <w:szCs w:val="24"/>
                <w:color w:val="auto"/>
              </w:rPr>
            </w:pPr>
          </w:p>
        </w:tc>
        <w:tc>
          <w:tcPr>
            <w:tcW w:w="1900" w:type="dxa"/>
            <w:vAlign w:val="bottom"/>
          </w:tcPr>
          <w:p>
            <w:pPr>
              <w:jc w:val="right"/>
              <w:ind w:right="77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30"/>
        </w:trPr>
        <w:tc>
          <w:tcPr>
            <w:tcW w:w="686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740" w:type="dxa"/>
            <w:vAlign w:val="bottom"/>
            <w:gridSpan w:val="2"/>
          </w:tcPr>
          <w:p>
            <w:pPr>
              <w:jc w:val="center"/>
              <w:ind w:right="600"/>
              <w:spacing w:after="0"/>
              <w:rPr>
                <w:sz w:val="20"/>
                <w:szCs w:val="20"/>
                <w:color w:val="auto"/>
              </w:rPr>
            </w:pPr>
            <w:r>
              <w:rPr>
                <w:rFonts w:ascii="Arial" w:cs="Arial" w:eastAsia="Arial" w:hAnsi="Arial"/>
                <w:sz w:val="18"/>
                <w:szCs w:val="18"/>
                <w:color w:val="auto"/>
                <w:w w:val="91"/>
              </w:rPr>
              <w:t>March 28, 2020</w:t>
            </w:r>
          </w:p>
        </w:tc>
        <w:tc>
          <w:tcPr>
            <w:tcW w:w="240" w:type="dxa"/>
            <w:vAlign w:val="bottom"/>
          </w:tcPr>
          <w:p>
            <w:pPr>
              <w:spacing w:after="0"/>
              <w:rPr>
                <w:sz w:val="20"/>
                <w:szCs w:val="20"/>
                <w:color w:val="auto"/>
              </w:rPr>
            </w:pPr>
          </w:p>
        </w:tc>
        <w:tc>
          <w:tcPr>
            <w:tcW w:w="1900" w:type="dxa"/>
            <w:vAlign w:val="bottom"/>
          </w:tcPr>
          <w:p>
            <w:pPr>
              <w:jc w:val="right"/>
              <w:ind w:right="270"/>
              <w:spacing w:after="0"/>
              <w:rPr>
                <w:sz w:val="20"/>
                <w:szCs w:val="20"/>
                <w:color w:val="auto"/>
              </w:rPr>
            </w:pPr>
            <w:r>
              <w:rPr>
                <w:rFonts w:ascii="Arial" w:cs="Arial" w:eastAsia="Arial" w:hAnsi="Arial"/>
                <w:sz w:val="18"/>
                <w:szCs w:val="18"/>
                <w:color w:val="auto"/>
                <w:w w:val="96"/>
              </w:rPr>
              <w:t>December 28, 2019</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263,154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39,342</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44,475</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5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130,372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127,556</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5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20,095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23,266</w:t>
            </w:r>
          </w:p>
        </w:tc>
        <w:tc>
          <w:tcPr>
            <w:tcW w:w="0" w:type="dxa"/>
            <w:vAlign w:val="bottom"/>
          </w:tcPr>
          <w:p>
            <w:pPr>
              <w:spacing w:after="0"/>
              <w:rPr>
                <w:sz w:val="1"/>
                <w:szCs w:val="1"/>
                <w:color w:val="auto"/>
              </w:rPr>
            </w:pPr>
          </w:p>
        </w:tc>
      </w:tr>
      <w:tr>
        <w:trPr>
          <w:trHeight w:val="237"/>
        </w:trPr>
        <w:tc>
          <w:tcPr>
            <w:tcW w:w="686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5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441,217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234,639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 net</w:t>
            </w:r>
          </w:p>
        </w:tc>
        <w:tc>
          <w:tcPr>
            <w:tcW w:w="5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349,767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366,767</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Goodwill</w:t>
            </w:r>
          </w:p>
        </w:tc>
        <w:tc>
          <w:tcPr>
            <w:tcW w:w="5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777,613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777,613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Trademarks and trade names</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Other intangible assets, net</w:t>
            </w:r>
          </w:p>
        </w:tc>
        <w:tc>
          <w:tcPr>
            <w:tcW w:w="5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55,088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56,940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Right of use assets</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343,731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348,090</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5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10,783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8,129</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non-current assets</w:t>
            </w:r>
          </w:p>
        </w:tc>
        <w:tc>
          <w:tcPr>
            <w:tcW w:w="5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1,777,529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1,798,086</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2,218,746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2,032,725</w:t>
            </w:r>
          </w:p>
        </w:tc>
        <w:tc>
          <w:tcPr>
            <w:tcW w:w="0" w:type="dxa"/>
            <w:vAlign w:val="bottom"/>
          </w:tcPr>
          <w:p>
            <w:pPr>
              <w:spacing w:after="0"/>
              <w:rPr>
                <w:sz w:val="1"/>
                <w:szCs w:val="1"/>
                <w:color w:val="auto"/>
              </w:rPr>
            </w:pPr>
          </w:p>
        </w:tc>
      </w:tr>
      <w:tr>
        <w:trPr>
          <w:trHeight w:val="67"/>
        </w:trPr>
        <w:tc>
          <w:tcPr>
            <w:tcW w:w="686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5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5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40,782</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Other payables and accrued expenses</w:t>
            </w:r>
          </w:p>
        </w:tc>
        <w:tc>
          <w:tcPr>
            <w:tcW w:w="5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98,972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82,829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Unearned revenue</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28,002</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5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56,508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55,870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debt and finance lease obligations</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13,759</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Current operating lease obligations</w:t>
            </w:r>
          </w:p>
        </w:tc>
        <w:tc>
          <w:tcPr>
            <w:tcW w:w="5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60,014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51,937</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287,465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273,179</w:t>
            </w:r>
          </w:p>
        </w:tc>
        <w:tc>
          <w:tcPr>
            <w:tcW w:w="0" w:type="dxa"/>
            <w:vAlign w:val="bottom"/>
          </w:tcPr>
          <w:p>
            <w:pPr>
              <w:spacing w:after="0"/>
              <w:rPr>
                <w:sz w:val="1"/>
                <w:szCs w:val="1"/>
                <w:color w:val="auto"/>
              </w:rPr>
            </w:pPr>
          </w:p>
        </w:tc>
      </w:tr>
      <w:tr>
        <w:trPr>
          <w:trHeight w:val="270"/>
        </w:trPr>
        <w:tc>
          <w:tcPr>
            <w:tcW w:w="68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3"/>
              </w:rPr>
              <w:t>Long-term debt and finance lease obligations, less current portion and debt discount</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713,246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555,933</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Non-current operating lease obligations</w:t>
            </w:r>
          </w:p>
        </w:tc>
        <w:tc>
          <w:tcPr>
            <w:tcW w:w="5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331,234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331,769</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5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21,401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21,530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13,731</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Deferred income taxes, net</w:t>
            </w:r>
          </w:p>
        </w:tc>
        <w:tc>
          <w:tcPr>
            <w:tcW w:w="5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58,714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60,146</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non-current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100,641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95,407</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 (See Note 9)</w:t>
            </w:r>
          </w:p>
        </w:tc>
        <w:tc>
          <w:tcPr>
            <w:tcW w:w="5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280"/>
              <w:spacing w:after="0"/>
              <w:rPr>
                <w:sz w:val="20"/>
                <w:szCs w:val="20"/>
                <w:color w:val="auto"/>
              </w:rPr>
            </w:pPr>
            <w:r>
              <w:rPr>
                <w:rFonts w:ascii="Arial" w:cs="Arial" w:eastAsia="Arial" w:hAnsi="Arial"/>
                <w:sz w:val="18"/>
                <w:szCs w:val="18"/>
                <w:color w:val="auto"/>
                <w:w w:val="94"/>
              </w:rPr>
              <w:t>Common stock, $0.01 par value; 200,000 shares authorized; 81,205 and 80,603 shares</w:t>
            </w:r>
          </w:p>
        </w:tc>
        <w:tc>
          <w:tcPr>
            <w:tcW w:w="5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280"/>
              <w:spacing w:after="0"/>
              <w:rPr>
                <w:sz w:val="20"/>
                <w:szCs w:val="20"/>
                <w:color w:val="auto"/>
              </w:rPr>
            </w:pPr>
            <w:r>
              <w:rPr>
                <w:rFonts w:ascii="Arial" w:cs="Arial" w:eastAsia="Arial" w:hAnsi="Arial"/>
                <w:sz w:val="18"/>
                <w:szCs w:val="18"/>
                <w:color w:val="auto"/>
                <w:w w:val="95"/>
              </w:rPr>
              <w:t>issued as of March 28, 2020 and December 28, 2019, respectively; 80,278 and 79,678</w:t>
            </w:r>
          </w:p>
        </w:tc>
        <w:tc>
          <w:tcPr>
            <w:tcW w:w="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80"/>
              <w:spacing w:after="0"/>
              <w:rPr>
                <w:sz w:val="20"/>
                <w:szCs w:val="20"/>
                <w:color w:val="auto"/>
              </w:rPr>
            </w:pPr>
            <w:r>
              <w:rPr>
                <w:rFonts w:ascii="Arial" w:cs="Arial" w:eastAsia="Arial" w:hAnsi="Arial"/>
                <w:sz w:val="18"/>
                <w:szCs w:val="18"/>
                <w:color w:val="auto"/>
              </w:rPr>
              <w:t>shares outstanding as of March 28, 2020 and December 28, 2019, respectively</w:t>
            </w:r>
          </w:p>
        </w:tc>
        <w:tc>
          <w:tcPr>
            <w:tcW w:w="500" w:type="dxa"/>
            <w:vAlign w:val="bottom"/>
          </w:tcPr>
          <w:p>
            <w:pPr>
              <w:spacing w:after="0"/>
              <w:rPr>
                <w:sz w:val="20"/>
                <w:szCs w:val="20"/>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707,301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700,121</w:t>
            </w:r>
          </w:p>
        </w:tc>
        <w:tc>
          <w:tcPr>
            <w:tcW w:w="0" w:type="dxa"/>
            <w:vAlign w:val="bottom"/>
          </w:tcPr>
          <w:p>
            <w:pPr>
              <w:spacing w:after="0"/>
              <w:rPr>
                <w:sz w:val="1"/>
                <w:szCs w:val="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5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(10,416)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5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116,345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107,132</w:t>
            </w:r>
          </w:p>
        </w:tc>
        <w:tc>
          <w:tcPr>
            <w:tcW w:w="0" w:type="dxa"/>
            <w:vAlign w:val="bottom"/>
          </w:tcPr>
          <w:p>
            <w:pPr>
              <w:spacing w:after="0"/>
              <w:rPr>
                <w:sz w:val="1"/>
                <w:szCs w:val="1"/>
                <w:color w:val="auto"/>
              </w:rPr>
            </w:pPr>
          </w:p>
        </w:tc>
      </w:tr>
      <w:tr>
        <w:trPr>
          <w:trHeight w:val="229"/>
        </w:trPr>
        <w:tc>
          <w:tcPr>
            <w:tcW w:w="6860" w:type="dxa"/>
            <w:vAlign w:val="bottom"/>
          </w:tcPr>
          <w:p>
            <w:pPr>
              <w:ind w:left="280"/>
              <w:spacing w:after="0"/>
              <w:rPr>
                <w:sz w:val="20"/>
                <w:szCs w:val="20"/>
                <w:color w:val="auto"/>
              </w:rPr>
            </w:pPr>
            <w:r>
              <w:rPr>
                <w:rFonts w:ascii="Arial" w:cs="Arial" w:eastAsia="Arial" w:hAnsi="Arial"/>
                <w:sz w:val="18"/>
                <w:szCs w:val="18"/>
                <w:color w:val="auto"/>
                <w:w w:val="90"/>
              </w:rPr>
              <w:t>Treasury stock, at cost; 927 and 925 shares as of March 28, 2020 and December 28, 2019,</w:t>
            </w:r>
          </w:p>
        </w:tc>
        <w:tc>
          <w:tcPr>
            <w:tcW w:w="5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80"/>
              <w:spacing w:after="0"/>
              <w:rPr>
                <w:sz w:val="20"/>
                <w:szCs w:val="20"/>
                <w:color w:val="auto"/>
              </w:rPr>
            </w:pPr>
            <w:r>
              <w:rPr>
                <w:rFonts w:ascii="Arial" w:cs="Arial" w:eastAsia="Arial" w:hAnsi="Arial"/>
                <w:sz w:val="18"/>
                <w:szCs w:val="18"/>
                <w:color w:val="auto"/>
              </w:rPr>
              <w:t>respectively</w:t>
            </w:r>
          </w:p>
        </w:tc>
        <w:tc>
          <w:tcPr>
            <w:tcW w:w="5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(27,881)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(27,807)</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5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786,160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776,437</w:t>
            </w:r>
          </w:p>
        </w:tc>
        <w:tc>
          <w:tcPr>
            <w:tcW w:w="0" w:type="dxa"/>
            <w:vAlign w:val="bottom"/>
          </w:tcPr>
          <w:p>
            <w:pPr>
              <w:spacing w:after="0"/>
              <w:rPr>
                <w:sz w:val="1"/>
                <w:szCs w:val="1"/>
                <w:color w:val="auto"/>
              </w:rPr>
            </w:pPr>
          </w:p>
        </w:tc>
      </w:tr>
      <w:tr>
        <w:trPr>
          <w:trHeight w:val="236"/>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2,218,746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2,032,725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17145</wp:posOffset>
            </wp:positionV>
            <wp:extent cx="2777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-130175</wp:posOffset>
            </wp:positionV>
            <wp:extent cx="27774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ectPr>
          <w:pgSz w:w="11900" w:h="16838" w:orient="portrait"/>
          <w:cols w:equalWidth="0" w:num="1">
            <w:col w:w="11240"/>
          </w:cols>
          <w:pgMar w:left="320" w:top="125" w:right="339" w:bottom="177"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125" w:right="339" w:bottom="177"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7700" w:type="dxa"/>
            <w:vAlign w:val="bottom"/>
            <w:gridSpan w:val="2"/>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738"/>
        </w:trPr>
        <w:tc>
          <w:tcPr>
            <w:tcW w:w="120" w:type="dxa"/>
            <w:vAlign w:val="bottom"/>
          </w:tcPr>
          <w:p>
            <w:pPr>
              <w:spacing w:after="0"/>
              <w:rPr>
                <w:sz w:val="24"/>
                <w:szCs w:val="24"/>
                <w:color w:val="auto"/>
              </w:rPr>
            </w:pPr>
          </w:p>
        </w:tc>
        <w:tc>
          <w:tcPr>
            <w:tcW w:w="7580" w:type="dxa"/>
            <w:vAlign w:val="bottom"/>
          </w:tcPr>
          <w:p>
            <w:pPr>
              <w:jc w:val="center"/>
              <w:ind w:left="3350"/>
              <w:spacing w:after="0"/>
              <w:rPr>
                <w:sz w:val="20"/>
                <w:szCs w:val="20"/>
                <w:color w:val="auto"/>
              </w:rPr>
            </w:pPr>
            <w:r>
              <w:rPr>
                <w:rFonts w:ascii="Arial" w:cs="Arial" w:eastAsia="Arial" w:hAnsi="Arial"/>
                <w:sz w:val="18"/>
                <w:szCs w:val="18"/>
                <w:b w:val="1"/>
                <w:bCs w:val="1"/>
                <w:color w:val="auto"/>
                <w:w w:val="90"/>
              </w:rPr>
              <w:t>National Vision Holdings, Inc. and Subsidiaries</w:t>
            </w: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8540" w:type="dxa"/>
            <w:vAlign w:val="bottom"/>
            <w:gridSpan w:val="2"/>
          </w:tcPr>
          <w:p>
            <w:pPr>
              <w:jc w:val="center"/>
              <w:ind w:left="2370"/>
              <w:spacing w:after="0"/>
              <w:rPr>
                <w:sz w:val="20"/>
                <w:szCs w:val="20"/>
                <w:color w:val="auto"/>
              </w:rPr>
            </w:pPr>
            <w:r>
              <w:rPr>
                <w:rFonts w:ascii="Arial" w:cs="Arial" w:eastAsia="Arial" w:hAnsi="Arial"/>
                <w:sz w:val="18"/>
                <w:szCs w:val="18"/>
                <w:b w:val="1"/>
                <w:bCs w:val="1"/>
                <w:color w:val="auto"/>
                <w:w w:val="88"/>
              </w:rPr>
              <w:t>Condensed Consolidated Statements of Operations and Comprehensive Income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0"/>
        </w:trPr>
        <w:tc>
          <w:tcPr>
            <w:tcW w:w="120" w:type="dxa"/>
            <w:vAlign w:val="bottom"/>
          </w:tcPr>
          <w:p>
            <w:pPr>
              <w:spacing w:after="0"/>
              <w:rPr>
                <w:sz w:val="19"/>
                <w:szCs w:val="19"/>
                <w:color w:val="auto"/>
              </w:rPr>
            </w:pPr>
          </w:p>
        </w:tc>
        <w:tc>
          <w:tcPr>
            <w:tcW w:w="8540" w:type="dxa"/>
            <w:vAlign w:val="bottom"/>
            <w:gridSpan w:val="2"/>
          </w:tcPr>
          <w:p>
            <w:pPr>
              <w:jc w:val="center"/>
              <w:ind w:left="2390"/>
              <w:spacing w:after="0"/>
              <w:rPr>
                <w:sz w:val="20"/>
                <w:szCs w:val="20"/>
                <w:color w:val="auto"/>
              </w:rPr>
            </w:pPr>
            <w:r>
              <w:rPr>
                <w:rFonts w:ascii="Arial" w:cs="Arial" w:eastAsia="Arial" w:hAnsi="Arial"/>
                <w:sz w:val="18"/>
                <w:szCs w:val="18"/>
                <w:b w:val="1"/>
                <w:bCs w:val="1"/>
                <w:color w:val="auto"/>
                <w:w w:val="92"/>
              </w:rPr>
              <w:t>For the Three Months Ended March 28, 2020 and March 30, 2019</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12"/>
        </w:trPr>
        <w:tc>
          <w:tcPr>
            <w:tcW w:w="120" w:type="dxa"/>
            <w:vAlign w:val="bottom"/>
          </w:tcPr>
          <w:p>
            <w:pPr>
              <w:spacing w:after="0"/>
              <w:rPr>
                <w:sz w:val="18"/>
                <w:szCs w:val="18"/>
                <w:color w:val="auto"/>
              </w:rPr>
            </w:pPr>
          </w:p>
        </w:tc>
        <w:tc>
          <w:tcPr>
            <w:tcW w:w="7580" w:type="dxa"/>
            <w:vAlign w:val="bottom"/>
          </w:tcPr>
          <w:p>
            <w:pPr>
              <w:jc w:val="center"/>
              <w:ind w:left="3350"/>
              <w:spacing w:after="0"/>
              <w:rPr>
                <w:sz w:val="20"/>
                <w:szCs w:val="20"/>
                <w:color w:val="auto"/>
              </w:rPr>
            </w:pPr>
            <w:r>
              <w:rPr>
                <w:rFonts w:ascii="Arial" w:cs="Arial" w:eastAsia="Arial" w:hAnsi="Arial"/>
                <w:sz w:val="18"/>
                <w:szCs w:val="18"/>
                <w:i w:val="1"/>
                <w:iCs w:val="1"/>
                <w:color w:val="auto"/>
                <w:w w:val="89"/>
              </w:rPr>
              <w:t>In Thousands, Except Earnings Per Share</w:t>
            </w:r>
          </w:p>
        </w:tc>
        <w:tc>
          <w:tcPr>
            <w:tcW w:w="9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7580" w:type="dxa"/>
            <w:vAlign w:val="bottom"/>
          </w:tcPr>
          <w:p>
            <w:pPr>
              <w:jc w:val="center"/>
              <w:ind w:left="3330"/>
              <w:spacing w:after="0"/>
              <w:rPr>
                <w:sz w:val="20"/>
                <w:szCs w:val="20"/>
                <w:color w:val="auto"/>
              </w:rPr>
            </w:pPr>
            <w:r>
              <w:rPr>
                <w:rFonts w:ascii="Arial" w:cs="Arial" w:eastAsia="Arial" w:hAnsi="Arial"/>
                <w:sz w:val="18"/>
                <w:szCs w:val="18"/>
                <w:b w:val="1"/>
                <w:bCs w:val="1"/>
                <w:color w:val="auto"/>
                <w:w w:val="91"/>
              </w:rPr>
              <w:t>(Unaudited)</w:t>
            </w:r>
          </w:p>
        </w:tc>
        <w:tc>
          <w:tcPr>
            <w:tcW w:w="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78"/>
        </w:trPr>
        <w:tc>
          <w:tcPr>
            <w:tcW w:w="1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80" w:type="dxa"/>
            <w:vAlign w:val="bottom"/>
            <w:gridSpan w:val="4"/>
          </w:tcPr>
          <w:p>
            <w:pPr>
              <w:jc w:val="right"/>
              <w:ind w:right="850"/>
              <w:spacing w:after="0"/>
              <w:rPr>
                <w:sz w:val="20"/>
                <w:szCs w:val="20"/>
                <w:color w:val="auto"/>
              </w:rPr>
            </w:pPr>
            <w:r>
              <w:rPr>
                <w:rFonts w:ascii="Arial" w:cs="Arial" w:eastAsia="Arial" w:hAnsi="Arial"/>
                <w:sz w:val="18"/>
                <w:szCs w:val="18"/>
                <w:color w:val="auto"/>
                <w:w w:val="90"/>
              </w:rPr>
              <w:t>Three Months Ended</w:t>
            </w:r>
          </w:p>
        </w:tc>
      </w:tr>
      <w:tr>
        <w:trPr>
          <w:trHeight w:val="27"/>
        </w:trPr>
        <w:tc>
          <w:tcPr>
            <w:tcW w:w="1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780" w:type="dxa"/>
            <w:vAlign w:val="bottom"/>
            <w:gridSpan w:val="3"/>
          </w:tcPr>
          <w:p>
            <w:pPr>
              <w:ind w:left="260"/>
              <w:spacing w:after="0"/>
              <w:rPr>
                <w:sz w:val="20"/>
                <w:szCs w:val="20"/>
                <w:color w:val="auto"/>
              </w:rPr>
            </w:pPr>
            <w:r>
              <w:rPr>
                <w:rFonts w:ascii="Arial" w:cs="Arial" w:eastAsia="Arial" w:hAnsi="Arial"/>
                <w:sz w:val="18"/>
                <w:szCs w:val="18"/>
                <w:color w:val="auto"/>
              </w:rPr>
              <w:t>March 28, 2020</w:t>
            </w:r>
          </w:p>
        </w:tc>
        <w:tc>
          <w:tcPr>
            <w:tcW w:w="180" w:type="dxa"/>
            <w:vAlign w:val="bottom"/>
          </w:tcPr>
          <w:p>
            <w:pPr>
              <w:spacing w:after="0"/>
              <w:rPr>
                <w:sz w:val="20"/>
                <w:szCs w:val="20"/>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color w:val="auto"/>
                <w:w w:val="95"/>
              </w:rPr>
              <w:t>March 30, 2019</w:t>
            </w:r>
          </w:p>
        </w:tc>
      </w:tr>
      <w:tr>
        <w:trPr>
          <w:trHeight w:val="27"/>
        </w:trPr>
        <w:tc>
          <w:tcPr>
            <w:tcW w:w="120" w:type="dxa"/>
            <w:vAlign w:val="bottom"/>
          </w:tcPr>
          <w:p>
            <w:pPr>
              <w:spacing w:after="0"/>
              <w:rPr>
                <w:sz w:val="2"/>
                <w:szCs w:val="2"/>
                <w:color w:val="auto"/>
              </w:rPr>
            </w:pPr>
          </w:p>
        </w:tc>
        <w:tc>
          <w:tcPr>
            <w:tcW w:w="75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3"/>
        </w:trPr>
        <w:tc>
          <w:tcPr>
            <w:tcW w:w="120" w:type="dxa"/>
            <w:vAlign w:val="bottom"/>
          </w:tcPr>
          <w:p>
            <w:pPr>
              <w:spacing w:after="0"/>
              <w:rPr>
                <w:sz w:val="21"/>
                <w:szCs w:val="21"/>
                <w:color w:val="auto"/>
              </w:rPr>
            </w:pPr>
          </w:p>
        </w:tc>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9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7580" w:type="dxa"/>
            <w:vAlign w:val="bottom"/>
          </w:tcPr>
          <w:p>
            <w:pPr>
              <w:ind w:left="260"/>
              <w:spacing w:after="0"/>
              <w:rPr>
                <w:sz w:val="20"/>
                <w:szCs w:val="20"/>
                <w:color w:val="auto"/>
              </w:rPr>
            </w:pPr>
            <w:r>
              <w:rPr>
                <w:rFonts w:ascii="Arial" w:cs="Arial" w:eastAsia="Arial" w:hAnsi="Arial"/>
                <w:sz w:val="18"/>
                <w:szCs w:val="18"/>
                <w:color w:val="auto"/>
              </w:rPr>
              <w:t>Net product sales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392,841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383,160</w:t>
            </w:r>
          </w:p>
        </w:tc>
      </w:tr>
      <w:tr>
        <w:trPr>
          <w:trHeight w:val="27"/>
        </w:trPr>
        <w:tc>
          <w:tcPr>
            <w:tcW w:w="1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120" w:type="dxa"/>
            <w:vAlign w:val="bottom"/>
          </w:tcPr>
          <w:p>
            <w:pPr>
              <w:spacing w:after="0"/>
              <w:rPr>
                <w:sz w:val="23"/>
                <w:szCs w:val="23"/>
                <w:color w:val="auto"/>
              </w:rPr>
            </w:pPr>
          </w:p>
        </w:tc>
        <w:tc>
          <w:tcPr>
            <w:tcW w:w="7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sales of services and plans</w:t>
            </w:r>
          </w:p>
        </w:tc>
        <w:tc>
          <w:tcPr>
            <w:tcW w:w="9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76,863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78,055</w:t>
            </w:r>
          </w:p>
        </w:tc>
      </w:tr>
      <w:tr>
        <w:trPr>
          <w:trHeight w:val="237"/>
        </w:trPr>
        <w:tc>
          <w:tcPr>
            <w:tcW w:w="120" w:type="dxa"/>
            <w:vAlign w:val="bottom"/>
          </w:tcPr>
          <w:p>
            <w:pPr>
              <w:spacing w:after="0"/>
              <w:rPr>
                <w:sz w:val="20"/>
                <w:szCs w:val="20"/>
                <w:color w:val="auto"/>
              </w:rPr>
            </w:pPr>
          </w:p>
        </w:tc>
        <w:tc>
          <w:tcPr>
            <w:tcW w:w="7580" w:type="dxa"/>
            <w:vAlign w:val="bottom"/>
          </w:tcPr>
          <w:p>
            <w:pPr>
              <w:ind w:left="380"/>
              <w:spacing w:after="0"/>
              <w:rPr>
                <w:sz w:val="20"/>
                <w:szCs w:val="20"/>
                <w:color w:val="auto"/>
              </w:rPr>
            </w:pPr>
            <w:r>
              <w:rPr>
                <w:rFonts w:ascii="Arial" w:cs="Arial" w:eastAsia="Arial" w:hAnsi="Arial"/>
                <w:sz w:val="18"/>
                <w:szCs w:val="18"/>
                <w:color w:val="auto"/>
              </w:rPr>
              <w:t>Total net revenue</w:t>
            </w:r>
          </w:p>
        </w:tc>
        <w:tc>
          <w:tcPr>
            <w:tcW w:w="9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469,704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461,215</w:t>
            </w:r>
          </w:p>
        </w:tc>
      </w:tr>
      <w:tr>
        <w:trPr>
          <w:trHeight w:val="27"/>
        </w:trPr>
        <w:tc>
          <w:tcPr>
            <w:tcW w:w="1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Costs applicable to revenue (exclusive of depreciation and amortization):</w:t>
            </w:r>
          </w:p>
        </w:tc>
        <w:tc>
          <w:tcPr>
            <w:tcW w:w="9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7580" w:type="dxa"/>
            <w:vAlign w:val="bottom"/>
          </w:tcPr>
          <w:p>
            <w:pPr>
              <w:ind w:left="260"/>
              <w:spacing w:after="0"/>
              <w:rPr>
                <w:sz w:val="20"/>
                <w:szCs w:val="20"/>
                <w:color w:val="auto"/>
              </w:rPr>
            </w:pPr>
            <w:r>
              <w:rPr>
                <w:rFonts w:ascii="Arial" w:cs="Arial" w:eastAsia="Arial" w:hAnsi="Arial"/>
                <w:sz w:val="18"/>
                <w:szCs w:val="18"/>
                <w:color w:val="auto"/>
              </w:rPr>
              <w:t>Products</w:t>
            </w:r>
          </w:p>
        </w:tc>
        <w:tc>
          <w:tcPr>
            <w:tcW w:w="9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156,370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154,004</w:t>
            </w:r>
          </w:p>
        </w:tc>
      </w:tr>
      <w:tr>
        <w:trPr>
          <w:trHeight w:val="27"/>
        </w:trPr>
        <w:tc>
          <w:tcPr>
            <w:tcW w:w="1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120" w:type="dxa"/>
            <w:vAlign w:val="bottom"/>
          </w:tcPr>
          <w:p>
            <w:pPr>
              <w:spacing w:after="0"/>
              <w:rPr>
                <w:sz w:val="23"/>
                <w:szCs w:val="23"/>
                <w:color w:val="auto"/>
              </w:rPr>
            </w:pPr>
          </w:p>
        </w:tc>
        <w:tc>
          <w:tcPr>
            <w:tcW w:w="7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Services and plans</w:t>
            </w:r>
          </w:p>
        </w:tc>
        <w:tc>
          <w:tcPr>
            <w:tcW w:w="9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62,184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57,965</w:t>
            </w:r>
          </w:p>
        </w:tc>
      </w:tr>
      <w:tr>
        <w:trPr>
          <w:trHeight w:val="237"/>
        </w:trPr>
        <w:tc>
          <w:tcPr>
            <w:tcW w:w="120" w:type="dxa"/>
            <w:vAlign w:val="bottom"/>
          </w:tcPr>
          <w:p>
            <w:pPr>
              <w:spacing w:after="0"/>
              <w:rPr>
                <w:sz w:val="20"/>
                <w:szCs w:val="20"/>
                <w:color w:val="auto"/>
              </w:rPr>
            </w:pPr>
          </w:p>
        </w:tc>
        <w:tc>
          <w:tcPr>
            <w:tcW w:w="7580" w:type="dxa"/>
            <w:vAlign w:val="bottom"/>
          </w:tcPr>
          <w:p>
            <w:pPr>
              <w:ind w:left="380"/>
              <w:spacing w:after="0"/>
              <w:rPr>
                <w:sz w:val="20"/>
                <w:szCs w:val="20"/>
                <w:color w:val="auto"/>
              </w:rPr>
            </w:pPr>
            <w:r>
              <w:rPr>
                <w:rFonts w:ascii="Arial" w:cs="Arial" w:eastAsia="Arial" w:hAnsi="Arial"/>
                <w:sz w:val="18"/>
                <w:szCs w:val="18"/>
                <w:color w:val="auto"/>
              </w:rPr>
              <w:t>Total costs applicable to revenue</w:t>
            </w:r>
          </w:p>
        </w:tc>
        <w:tc>
          <w:tcPr>
            <w:tcW w:w="9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218,554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211,969</w:t>
            </w:r>
          </w:p>
        </w:tc>
      </w:tr>
      <w:tr>
        <w:trPr>
          <w:trHeight w:val="27"/>
        </w:trPr>
        <w:tc>
          <w:tcPr>
            <w:tcW w:w="1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9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7580" w:type="dxa"/>
            <w:vAlign w:val="bottom"/>
          </w:tcPr>
          <w:p>
            <w:pPr>
              <w:ind w:left="260"/>
              <w:spacing w:after="0"/>
              <w:rPr>
                <w:sz w:val="20"/>
                <w:szCs w:val="20"/>
                <w:color w:val="auto"/>
              </w:rPr>
            </w:pPr>
            <w:r>
              <w:rPr>
                <w:rFonts w:ascii="Arial" w:cs="Arial" w:eastAsia="Arial" w:hAnsi="Arial"/>
                <w:sz w:val="18"/>
                <w:szCs w:val="18"/>
                <w:color w:val="auto"/>
              </w:rPr>
              <w:t>Selling, general and administrative expenses</w:t>
            </w:r>
          </w:p>
        </w:tc>
        <w:tc>
          <w:tcPr>
            <w:tcW w:w="9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193,741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193,876</w:t>
            </w:r>
          </w:p>
        </w:tc>
      </w:tr>
      <w:tr>
        <w:trPr>
          <w:trHeight w:val="27"/>
        </w:trPr>
        <w:tc>
          <w:tcPr>
            <w:tcW w:w="1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7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Depreciation and amortization</w:t>
            </w:r>
          </w:p>
        </w:tc>
        <w:tc>
          <w:tcPr>
            <w:tcW w:w="9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20,415</w:t>
            </w:r>
          </w:p>
        </w:tc>
      </w:tr>
      <w:tr>
        <w:trPr>
          <w:trHeight w:val="243"/>
        </w:trPr>
        <w:tc>
          <w:tcPr>
            <w:tcW w:w="120" w:type="dxa"/>
            <w:vAlign w:val="bottom"/>
          </w:tcPr>
          <w:p>
            <w:pPr>
              <w:spacing w:after="0"/>
              <w:rPr>
                <w:sz w:val="21"/>
                <w:szCs w:val="21"/>
                <w:color w:val="auto"/>
              </w:rPr>
            </w:pPr>
          </w:p>
        </w:tc>
        <w:tc>
          <w:tcPr>
            <w:tcW w:w="7580" w:type="dxa"/>
            <w:vAlign w:val="bottom"/>
          </w:tcPr>
          <w:p>
            <w:pPr>
              <w:ind w:left="260"/>
              <w:spacing w:after="0"/>
              <w:rPr>
                <w:sz w:val="20"/>
                <w:szCs w:val="20"/>
                <w:color w:val="auto"/>
              </w:rPr>
            </w:pPr>
            <w:r>
              <w:rPr>
                <w:rFonts w:ascii="Arial" w:cs="Arial" w:eastAsia="Arial" w:hAnsi="Arial"/>
                <w:sz w:val="18"/>
                <w:szCs w:val="18"/>
                <w:color w:val="auto"/>
              </w:rPr>
              <w:t>Asset impairment</w:t>
            </w:r>
          </w:p>
        </w:tc>
        <w:tc>
          <w:tcPr>
            <w:tcW w:w="9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11,355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2,082</w:t>
            </w:r>
          </w:p>
        </w:tc>
      </w:tr>
      <w:tr>
        <w:trPr>
          <w:trHeight w:val="27"/>
        </w:trPr>
        <w:tc>
          <w:tcPr>
            <w:tcW w:w="1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7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Litigation settlement</w:t>
            </w:r>
          </w:p>
        </w:tc>
        <w:tc>
          <w:tcPr>
            <w:tcW w:w="9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120" w:type="dxa"/>
            <w:vAlign w:val="bottom"/>
          </w:tcPr>
          <w:p>
            <w:pPr>
              <w:spacing w:after="0"/>
              <w:rPr>
                <w:sz w:val="21"/>
                <w:szCs w:val="21"/>
                <w:color w:val="auto"/>
              </w:rPr>
            </w:pPr>
          </w:p>
        </w:tc>
        <w:tc>
          <w:tcPr>
            <w:tcW w:w="7580" w:type="dxa"/>
            <w:vAlign w:val="bottom"/>
          </w:tcPr>
          <w:p>
            <w:pPr>
              <w:ind w:left="260"/>
              <w:spacing w:after="0"/>
              <w:rPr>
                <w:sz w:val="20"/>
                <w:szCs w:val="20"/>
                <w:color w:val="auto"/>
              </w:rPr>
            </w:pPr>
            <w:r>
              <w:rPr>
                <w:rFonts w:ascii="Arial" w:cs="Arial" w:eastAsia="Arial" w:hAnsi="Arial"/>
                <w:sz w:val="18"/>
                <w:szCs w:val="18"/>
                <w:color w:val="auto"/>
              </w:rPr>
              <w:t>Other expense (income), net</w:t>
            </w:r>
          </w:p>
        </w:tc>
        <w:tc>
          <w:tcPr>
            <w:tcW w:w="9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473</w:t>
            </w:r>
          </w:p>
        </w:tc>
      </w:tr>
      <w:tr>
        <w:trPr>
          <w:trHeight w:val="27"/>
        </w:trPr>
        <w:tc>
          <w:tcPr>
            <w:tcW w:w="120" w:type="dxa"/>
            <w:vAlign w:val="bottom"/>
          </w:tcPr>
          <w:p>
            <w:pPr>
              <w:spacing w:after="0"/>
              <w:rPr>
                <w:sz w:val="2"/>
                <w:szCs w:val="2"/>
                <w:color w:val="auto"/>
              </w:rPr>
            </w:pPr>
          </w:p>
        </w:tc>
        <w:tc>
          <w:tcPr>
            <w:tcW w:w="75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3"/>
        </w:trPr>
        <w:tc>
          <w:tcPr>
            <w:tcW w:w="120" w:type="dxa"/>
            <w:vAlign w:val="bottom"/>
          </w:tcPr>
          <w:p>
            <w:pPr>
              <w:spacing w:after="0"/>
              <w:rPr>
                <w:sz w:val="22"/>
                <w:szCs w:val="22"/>
                <w:color w:val="auto"/>
              </w:rPr>
            </w:pPr>
          </w:p>
        </w:tc>
        <w:tc>
          <w:tcPr>
            <w:tcW w:w="7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234,235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216,846</w:t>
            </w:r>
          </w:p>
        </w:tc>
      </w:tr>
      <w:tr>
        <w:trPr>
          <w:trHeight w:val="237"/>
        </w:trPr>
        <w:tc>
          <w:tcPr>
            <w:tcW w:w="120" w:type="dxa"/>
            <w:vAlign w:val="bottom"/>
          </w:tcPr>
          <w:p>
            <w:pPr>
              <w:spacing w:after="0"/>
              <w:rPr>
                <w:sz w:val="20"/>
                <w:szCs w:val="20"/>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9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16,915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32,400</w:t>
            </w:r>
          </w:p>
        </w:tc>
      </w:tr>
      <w:tr>
        <w:trPr>
          <w:trHeight w:val="27"/>
        </w:trPr>
        <w:tc>
          <w:tcPr>
            <w:tcW w:w="1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120" w:type="dxa"/>
            <w:vAlign w:val="bottom"/>
          </w:tcPr>
          <w:p>
            <w:pPr>
              <w:spacing w:after="0"/>
              <w:rPr>
                <w:sz w:val="23"/>
                <w:szCs w:val="23"/>
                <w:color w:val="auto"/>
              </w:rPr>
            </w:pPr>
          </w:p>
        </w:tc>
        <w:tc>
          <w:tcPr>
            <w:tcW w:w="7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expense, net</w:t>
            </w:r>
          </w:p>
        </w:tc>
        <w:tc>
          <w:tcPr>
            <w:tcW w:w="9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9,061</w:t>
            </w:r>
          </w:p>
        </w:tc>
      </w:tr>
      <w:tr>
        <w:trPr>
          <w:trHeight w:val="237"/>
        </w:trPr>
        <w:tc>
          <w:tcPr>
            <w:tcW w:w="120" w:type="dxa"/>
            <w:vAlign w:val="bottom"/>
          </w:tcPr>
          <w:p>
            <w:pPr>
              <w:spacing w:after="0"/>
              <w:rPr>
                <w:sz w:val="20"/>
                <w:szCs w:val="20"/>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Earnings before income taxes</w:t>
            </w:r>
          </w:p>
        </w:tc>
        <w:tc>
          <w:tcPr>
            <w:tcW w:w="9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9,460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23,339</w:t>
            </w:r>
          </w:p>
        </w:tc>
      </w:tr>
      <w:tr>
        <w:trPr>
          <w:trHeight w:val="27"/>
        </w:trPr>
        <w:tc>
          <w:tcPr>
            <w:tcW w:w="1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120" w:type="dxa"/>
            <w:vAlign w:val="bottom"/>
          </w:tcPr>
          <w:p>
            <w:pPr>
              <w:spacing w:after="0"/>
              <w:rPr>
                <w:sz w:val="23"/>
                <w:szCs w:val="23"/>
                <w:color w:val="auto"/>
              </w:rPr>
            </w:pPr>
          </w:p>
        </w:tc>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9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5,910</w:t>
            </w:r>
          </w:p>
        </w:tc>
      </w:tr>
      <w:tr>
        <w:trPr>
          <w:trHeight w:val="297"/>
        </w:trPr>
        <w:tc>
          <w:tcPr>
            <w:tcW w:w="120" w:type="dxa"/>
            <w:vAlign w:val="bottom"/>
          </w:tcPr>
          <w:p>
            <w:pPr>
              <w:spacing w:after="0"/>
              <w:rPr>
                <w:sz w:val="24"/>
                <w:szCs w:val="24"/>
                <w:color w:val="auto"/>
              </w:rPr>
            </w:pPr>
          </w:p>
        </w:tc>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9,742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17,429</w:t>
            </w:r>
          </w:p>
        </w:tc>
      </w:tr>
      <w:tr>
        <w:trPr>
          <w:trHeight w:val="271"/>
        </w:trPr>
        <w:tc>
          <w:tcPr>
            <w:tcW w:w="120" w:type="dxa"/>
            <w:vAlign w:val="bottom"/>
          </w:tcPr>
          <w:p>
            <w:pPr>
              <w:spacing w:after="0"/>
              <w:rPr>
                <w:sz w:val="23"/>
                <w:szCs w:val="23"/>
                <w:color w:val="auto"/>
              </w:rPr>
            </w:pPr>
          </w:p>
        </w:tc>
        <w:tc>
          <w:tcPr>
            <w:tcW w:w="75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43"/>
        </w:trPr>
        <w:tc>
          <w:tcPr>
            <w:tcW w:w="120" w:type="dxa"/>
            <w:vAlign w:val="bottom"/>
          </w:tcPr>
          <w:p>
            <w:pPr>
              <w:spacing w:after="0"/>
              <w:rPr>
                <w:sz w:val="21"/>
                <w:szCs w:val="21"/>
                <w:color w:val="auto"/>
              </w:rPr>
            </w:pPr>
          </w:p>
        </w:tc>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Earnings per share:</w:t>
            </w:r>
          </w:p>
        </w:tc>
        <w:tc>
          <w:tcPr>
            <w:tcW w:w="9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7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0.22</w:t>
            </w:r>
          </w:p>
        </w:tc>
      </w:tr>
      <w:tr>
        <w:trPr>
          <w:trHeight w:val="243"/>
        </w:trPr>
        <w:tc>
          <w:tcPr>
            <w:tcW w:w="120" w:type="dxa"/>
            <w:vAlign w:val="bottom"/>
          </w:tcPr>
          <w:p>
            <w:pPr>
              <w:spacing w:after="0"/>
              <w:rPr>
                <w:sz w:val="21"/>
                <w:szCs w:val="21"/>
                <w:color w:val="auto"/>
              </w:rPr>
            </w:pPr>
          </w:p>
        </w:tc>
        <w:tc>
          <w:tcPr>
            <w:tcW w:w="7580" w:type="dxa"/>
            <w:vAlign w:val="bottom"/>
          </w:tcPr>
          <w:p>
            <w:pPr>
              <w:ind w:left="260"/>
              <w:spacing w:after="0"/>
              <w:rPr>
                <w:sz w:val="20"/>
                <w:szCs w:val="20"/>
                <w:color w:val="auto"/>
              </w:rPr>
            </w:pPr>
            <w:r>
              <w:rPr>
                <w:rFonts w:ascii="Arial" w:cs="Arial" w:eastAsia="Arial" w:hAnsi="Arial"/>
                <w:sz w:val="18"/>
                <w:szCs w:val="18"/>
                <w:color w:val="auto"/>
              </w:rPr>
              <w:t>Diluted</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0.21</w:t>
            </w:r>
          </w:p>
        </w:tc>
      </w:tr>
      <w:tr>
        <w:trPr>
          <w:trHeight w:val="27"/>
        </w:trPr>
        <w:tc>
          <w:tcPr>
            <w:tcW w:w="1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9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7580" w:type="dxa"/>
            <w:vAlign w:val="bottom"/>
          </w:tcPr>
          <w:p>
            <w:pPr>
              <w:ind w:left="260"/>
              <w:spacing w:after="0"/>
              <w:rPr>
                <w:sz w:val="20"/>
                <w:szCs w:val="20"/>
                <w:color w:val="auto"/>
              </w:rPr>
            </w:pPr>
            <w:r>
              <w:rPr>
                <w:rFonts w:ascii="Arial" w:cs="Arial" w:eastAsia="Arial" w:hAnsi="Arial"/>
                <w:sz w:val="18"/>
                <w:szCs w:val="18"/>
                <w:color w:val="auto"/>
              </w:rPr>
              <w:t>Basic</w:t>
            </w:r>
          </w:p>
        </w:tc>
        <w:tc>
          <w:tcPr>
            <w:tcW w:w="9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80,129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78,205</w:t>
            </w:r>
          </w:p>
        </w:tc>
      </w:tr>
      <w:tr>
        <w:trPr>
          <w:trHeight w:val="27"/>
        </w:trPr>
        <w:tc>
          <w:tcPr>
            <w:tcW w:w="1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7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9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81,466</w:t>
            </w:r>
          </w:p>
        </w:tc>
      </w:tr>
      <w:tr>
        <w:trPr>
          <w:trHeight w:val="284"/>
        </w:trPr>
        <w:tc>
          <w:tcPr>
            <w:tcW w:w="1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120" w:type="dxa"/>
            <w:vAlign w:val="bottom"/>
          </w:tcPr>
          <w:p>
            <w:pPr>
              <w:spacing w:after="0"/>
              <w:rPr>
                <w:sz w:val="21"/>
                <w:szCs w:val="21"/>
                <w:color w:val="auto"/>
              </w:rPr>
            </w:pPr>
          </w:p>
        </w:tc>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9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758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9,742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17,429</w:t>
            </w:r>
          </w:p>
        </w:tc>
      </w:tr>
      <w:tr>
        <w:trPr>
          <w:trHeight w:val="27"/>
        </w:trPr>
        <w:tc>
          <w:tcPr>
            <w:tcW w:w="1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120" w:type="dxa"/>
            <w:vAlign w:val="bottom"/>
          </w:tcPr>
          <w:p>
            <w:pPr>
              <w:spacing w:after="0"/>
              <w:rPr>
                <w:sz w:val="21"/>
                <w:szCs w:val="21"/>
                <w:color w:val="auto"/>
              </w:rPr>
            </w:pPr>
          </w:p>
        </w:tc>
        <w:tc>
          <w:tcPr>
            <w:tcW w:w="7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Unrealized gain (loss) on hedge instruments</w:t>
            </w:r>
          </w:p>
        </w:tc>
        <w:tc>
          <w:tcPr>
            <w:tcW w:w="9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w:t>
            </w:r>
          </w:p>
        </w:tc>
      </w:tr>
      <w:tr>
        <w:trPr>
          <w:trHeight w:val="243"/>
        </w:trPr>
        <w:tc>
          <w:tcPr>
            <w:tcW w:w="120" w:type="dxa"/>
            <w:vAlign w:val="bottom"/>
          </w:tcPr>
          <w:p>
            <w:pPr>
              <w:spacing w:after="0"/>
              <w:rPr>
                <w:sz w:val="21"/>
                <w:szCs w:val="21"/>
                <w:color w:val="auto"/>
              </w:rPr>
            </w:pPr>
          </w:p>
        </w:tc>
        <w:tc>
          <w:tcPr>
            <w:tcW w:w="7580" w:type="dxa"/>
            <w:vAlign w:val="bottom"/>
          </w:tcPr>
          <w:p>
            <w:pPr>
              <w:ind w:left="260"/>
              <w:spacing w:after="0"/>
              <w:rPr>
                <w:sz w:val="20"/>
                <w:szCs w:val="20"/>
                <w:color w:val="auto"/>
              </w:rPr>
            </w:pPr>
            <w:r>
              <w:rPr>
                <w:rFonts w:ascii="Arial" w:cs="Arial" w:eastAsia="Arial" w:hAnsi="Arial"/>
                <w:sz w:val="18"/>
                <w:szCs w:val="18"/>
                <w:color w:val="auto"/>
              </w:rPr>
              <w:t>Tax provision (benefit) of unrealized gain (loss) on hedge instruments</w:t>
            </w:r>
          </w:p>
        </w:tc>
        <w:tc>
          <w:tcPr>
            <w:tcW w:w="9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(326)</w:t>
            </w:r>
          </w:p>
        </w:tc>
      </w:tr>
      <w:tr>
        <w:trPr>
          <w:trHeight w:val="27"/>
        </w:trPr>
        <w:tc>
          <w:tcPr>
            <w:tcW w:w="120" w:type="dxa"/>
            <w:vAlign w:val="bottom"/>
          </w:tcPr>
          <w:p>
            <w:pPr>
              <w:spacing w:after="0"/>
              <w:rPr>
                <w:sz w:val="2"/>
                <w:szCs w:val="2"/>
                <w:color w:val="auto"/>
              </w:rPr>
            </w:pPr>
          </w:p>
        </w:tc>
        <w:tc>
          <w:tcPr>
            <w:tcW w:w="75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120" w:type="dxa"/>
            <w:vAlign w:val="bottom"/>
          </w:tcPr>
          <w:p>
            <w:pPr>
              <w:spacing w:after="0"/>
              <w:rPr>
                <w:sz w:val="22"/>
                <w:szCs w:val="22"/>
                <w:color w:val="auto"/>
              </w:rPr>
            </w:pPr>
          </w:p>
        </w:tc>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3,140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16,482</w:t>
            </w:r>
          </w:p>
        </w:tc>
      </w:tr>
      <w:tr>
        <w:trPr>
          <w:trHeight w:val="20"/>
        </w:trPr>
        <w:tc>
          <w:tcPr>
            <w:tcW w:w="1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125"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38"/>
        </w:trPr>
        <w:tc>
          <w:tcPr>
            <w:tcW w:w="3280" w:type="dxa"/>
            <w:vAlign w:val="bottom"/>
          </w:tcPr>
          <w:p>
            <w:pPr>
              <w:spacing w:after="0"/>
              <w:rPr>
                <w:sz w:val="24"/>
                <w:szCs w:val="24"/>
                <w:color w:val="auto"/>
              </w:rPr>
            </w:pPr>
          </w:p>
        </w:tc>
        <w:tc>
          <w:tcPr>
            <w:tcW w:w="4460" w:type="dxa"/>
            <w:vAlign w:val="bottom"/>
            <w:gridSpan w:val="7"/>
          </w:tcPr>
          <w:p>
            <w:pPr>
              <w:jc w:val="center"/>
              <w:ind w:left="150"/>
              <w:spacing w:after="0"/>
              <w:rPr>
                <w:sz w:val="20"/>
                <w:szCs w:val="20"/>
                <w:color w:val="auto"/>
              </w:rPr>
            </w:pPr>
            <w:r>
              <w:rPr>
                <w:rFonts w:ascii="Arial" w:cs="Arial" w:eastAsia="Arial" w:hAnsi="Arial"/>
                <w:sz w:val="18"/>
                <w:szCs w:val="18"/>
                <w:b w:val="1"/>
                <w:bCs w:val="1"/>
                <w:color w:val="auto"/>
                <w:w w:val="90"/>
              </w:rPr>
              <w:t>National Vision Holdings, Inc. and Subsidiaries</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5480" w:type="dxa"/>
            <w:vAlign w:val="bottom"/>
            <w:gridSpan w:val="9"/>
          </w:tcPr>
          <w:p>
            <w:pPr>
              <w:jc w:val="center"/>
              <w:ind w:right="690"/>
              <w:spacing w:after="0"/>
              <w:rPr>
                <w:sz w:val="20"/>
                <w:szCs w:val="20"/>
                <w:color w:val="auto"/>
              </w:rPr>
            </w:pPr>
            <w:r>
              <w:rPr>
                <w:rFonts w:ascii="Arial" w:cs="Arial" w:eastAsia="Arial" w:hAnsi="Arial"/>
                <w:sz w:val="18"/>
                <w:szCs w:val="18"/>
                <w:b w:val="1"/>
                <w:bCs w:val="1"/>
                <w:color w:val="auto"/>
                <w:w w:val="88"/>
              </w:rPr>
              <w:t>Condensed Consolidated Statements of Stockholders' Equity</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760" w:type="dxa"/>
            <w:vAlign w:val="bottom"/>
            <w:gridSpan w:val="10"/>
          </w:tcPr>
          <w:p>
            <w:pPr>
              <w:jc w:val="center"/>
              <w:ind w:left="2410"/>
              <w:spacing w:after="0"/>
              <w:rPr>
                <w:sz w:val="20"/>
                <w:szCs w:val="20"/>
                <w:color w:val="auto"/>
              </w:rPr>
            </w:pPr>
            <w:r>
              <w:rPr>
                <w:rFonts w:ascii="Arial" w:cs="Arial" w:eastAsia="Arial" w:hAnsi="Arial"/>
                <w:sz w:val="18"/>
                <w:szCs w:val="18"/>
                <w:b w:val="1"/>
                <w:bCs w:val="1"/>
                <w:color w:val="auto"/>
                <w:w w:val="92"/>
              </w:rPr>
              <w:t>For the Three Months Ended March 28, 2020 and March 30, 2019</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i w:val="1"/>
                <w:iCs w:val="1"/>
                <w:color w:val="auto"/>
                <w:w w:val="89"/>
              </w:rPr>
              <w:t>In Thousands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60" w:type="dxa"/>
            <w:vAlign w:val="bottom"/>
            <w:gridSpan w:val="5"/>
          </w:tcPr>
          <w:p>
            <w:pPr>
              <w:jc w:val="right"/>
              <w:ind w:right="50"/>
              <w:spacing w:after="0"/>
              <w:rPr>
                <w:sz w:val="20"/>
                <w:szCs w:val="20"/>
                <w:color w:val="auto"/>
              </w:rPr>
            </w:pPr>
            <w:r>
              <w:rPr>
                <w:rFonts w:ascii="Arial" w:cs="Arial" w:eastAsia="Arial" w:hAnsi="Arial"/>
                <w:sz w:val="18"/>
                <w:szCs w:val="18"/>
                <w:color w:val="auto"/>
              </w:rPr>
              <w:t>Three Months Ended March 28, 2020</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80" w:type="dxa"/>
            <w:vAlign w:val="bottom"/>
          </w:tcPr>
          <w:p>
            <w:pPr>
              <w:spacing w:after="0"/>
              <w:rPr>
                <w:sz w:val="19"/>
                <w:szCs w:val="19"/>
                <w:color w:val="auto"/>
              </w:rPr>
            </w:pPr>
          </w:p>
        </w:tc>
        <w:tc>
          <w:tcPr>
            <w:tcW w:w="1800" w:type="dxa"/>
            <w:vAlign w:val="bottom"/>
            <w:gridSpan w:val="3"/>
            <w:vMerge w:val="restart"/>
          </w:tcPr>
          <w:p>
            <w:pPr>
              <w:jc w:val="right"/>
              <w:ind w:right="25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center"/>
              <w:ind w:right="50"/>
              <w:spacing w:after="0"/>
              <w:rPr>
                <w:sz w:val="20"/>
                <w:szCs w:val="20"/>
                <w:color w:val="auto"/>
              </w:rPr>
            </w:pPr>
            <w:r>
              <w:rPr>
                <w:rFonts w:ascii="Arial" w:cs="Arial" w:eastAsia="Arial" w:hAnsi="Arial"/>
                <w:sz w:val="18"/>
                <w:szCs w:val="18"/>
                <w:color w:val="auto"/>
                <w:w w:val="92"/>
              </w:rPr>
              <w:t>Accumulated</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280" w:type="dxa"/>
            <w:vAlign w:val="bottom"/>
          </w:tcPr>
          <w:p>
            <w:pPr>
              <w:spacing w:after="0"/>
              <w:rPr>
                <w:sz w:val="18"/>
                <w:szCs w:val="18"/>
                <w:color w:val="auto"/>
              </w:rPr>
            </w:pPr>
          </w:p>
        </w:tc>
        <w:tc>
          <w:tcPr>
            <w:tcW w:w="1800" w:type="dxa"/>
            <w:vAlign w:val="bottom"/>
            <w:tcBorders>
              <w:bottom w:val="single" w:sz="8" w:color="auto"/>
            </w:tcBorders>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color w:val="auto"/>
                <w:w w:val="98"/>
              </w:rPr>
              <w:t>Additional</w:t>
            </w:r>
          </w:p>
        </w:tc>
        <w:tc>
          <w:tcPr>
            <w:tcW w:w="20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color w:val="auto"/>
                <w:w w:val="93"/>
              </w:rPr>
              <w:t>Other</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195"/>
        </w:trPr>
        <w:tc>
          <w:tcPr>
            <w:tcW w:w="3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4"/>
              </w:rPr>
              <w:t>Paid-In</w:t>
            </w:r>
          </w:p>
        </w:tc>
        <w:tc>
          <w:tcPr>
            <w:tcW w:w="200" w:type="dxa"/>
            <w:vAlign w:val="bottom"/>
          </w:tcPr>
          <w:p>
            <w:pPr>
              <w:spacing w:after="0"/>
              <w:rPr>
                <w:sz w:val="16"/>
                <w:szCs w:val="16"/>
                <w:color w:val="auto"/>
              </w:rPr>
            </w:pPr>
          </w:p>
        </w:tc>
        <w:tc>
          <w:tcPr>
            <w:tcW w:w="13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0"/>
              </w:rPr>
              <w:t>Comprehensive</w:t>
            </w:r>
          </w:p>
        </w:tc>
        <w:tc>
          <w:tcPr>
            <w:tcW w:w="160" w:type="dxa"/>
            <w:vAlign w:val="bottom"/>
          </w:tcPr>
          <w:p>
            <w:pPr>
              <w:spacing w:after="0"/>
              <w:rPr>
                <w:sz w:val="16"/>
                <w:szCs w:val="16"/>
                <w:color w:val="auto"/>
              </w:rPr>
            </w:pPr>
          </w:p>
        </w:tc>
        <w:tc>
          <w:tcPr>
            <w:tcW w:w="860" w:type="dxa"/>
            <w:vAlign w:val="bottom"/>
          </w:tcPr>
          <w:p>
            <w:pPr>
              <w:jc w:val="right"/>
              <w:ind w:right="90"/>
              <w:spacing w:after="0" w:line="195" w:lineRule="exact"/>
              <w:rPr>
                <w:sz w:val="20"/>
                <w:szCs w:val="20"/>
                <w:color w:val="auto"/>
              </w:rPr>
            </w:pPr>
            <w:r>
              <w:rPr>
                <w:rFonts w:ascii="Arial" w:cs="Arial" w:eastAsia="Arial" w:hAnsi="Arial"/>
                <w:sz w:val="18"/>
                <w:szCs w:val="18"/>
                <w:color w:val="auto"/>
                <w:w w:val="91"/>
              </w:rPr>
              <w:t>Retained</w:t>
            </w:r>
          </w:p>
        </w:tc>
        <w:tc>
          <w:tcPr>
            <w:tcW w:w="160" w:type="dxa"/>
            <w:vAlign w:val="bottom"/>
          </w:tcPr>
          <w:p>
            <w:pPr>
              <w:spacing w:after="0"/>
              <w:rPr>
                <w:sz w:val="16"/>
                <w:szCs w:val="16"/>
                <w:color w:val="auto"/>
              </w:rPr>
            </w:pPr>
          </w:p>
        </w:tc>
        <w:tc>
          <w:tcPr>
            <w:tcW w:w="86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0"/>
              </w:rPr>
              <w:t>Treasury</w:t>
            </w:r>
          </w:p>
        </w:tc>
        <w:tc>
          <w:tcPr>
            <w:tcW w:w="180" w:type="dxa"/>
            <w:vAlign w:val="bottom"/>
          </w:tcPr>
          <w:p>
            <w:pPr>
              <w:spacing w:after="0"/>
              <w:rPr>
                <w:sz w:val="16"/>
                <w:szCs w:val="16"/>
                <w:color w:val="auto"/>
              </w:rPr>
            </w:pPr>
          </w:p>
        </w:tc>
        <w:tc>
          <w:tcPr>
            <w:tcW w:w="1280" w:type="dxa"/>
            <w:vAlign w:val="bottom"/>
          </w:tcPr>
          <w:p>
            <w:pPr>
              <w:jc w:val="center"/>
              <w:ind w:right="130"/>
              <w:spacing w:after="0" w:line="195" w:lineRule="exact"/>
              <w:rPr>
                <w:sz w:val="20"/>
                <w:szCs w:val="20"/>
                <w:color w:val="auto"/>
              </w:rPr>
            </w:pPr>
            <w:r>
              <w:rPr>
                <w:rFonts w:ascii="Arial" w:cs="Arial" w:eastAsia="Arial" w:hAnsi="Arial"/>
                <w:sz w:val="18"/>
                <w:szCs w:val="18"/>
                <w:color w:val="auto"/>
                <w:w w:val="91"/>
              </w:rPr>
              <w:t>Stockholders'</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w w:val="93"/>
              </w:rPr>
              <w:t>Amount</w:t>
            </w:r>
          </w:p>
        </w:tc>
        <w:tc>
          <w:tcPr>
            <w:tcW w:w="1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Capital</w:t>
            </w:r>
          </w:p>
        </w:tc>
        <w:tc>
          <w:tcPr>
            <w:tcW w:w="200" w:type="dxa"/>
            <w:vAlign w:val="bottom"/>
          </w:tcPr>
          <w:p>
            <w:pPr>
              <w:spacing w:after="0"/>
              <w:rPr>
                <w:sz w:val="20"/>
                <w:szCs w:val="20"/>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color w:val="auto"/>
                <w:w w:val="89"/>
              </w:rPr>
              <w:t>Loss</w:t>
            </w:r>
          </w:p>
        </w:tc>
        <w:tc>
          <w:tcPr>
            <w:tcW w:w="16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w w:val="92"/>
              </w:rPr>
              <w:t>Earnings</w:t>
            </w:r>
          </w:p>
        </w:tc>
        <w:tc>
          <w:tcPr>
            <w:tcW w:w="160" w:type="dxa"/>
            <w:vAlign w:val="bottom"/>
          </w:tcPr>
          <w:p>
            <w:pPr>
              <w:spacing w:after="0"/>
              <w:rPr>
                <w:sz w:val="20"/>
                <w:szCs w:val="20"/>
                <w:color w:val="auto"/>
              </w:rPr>
            </w:pPr>
          </w:p>
        </w:tc>
        <w:tc>
          <w:tcPr>
            <w:tcW w:w="860" w:type="dxa"/>
            <w:vAlign w:val="bottom"/>
          </w:tcPr>
          <w:p>
            <w:pPr>
              <w:jc w:val="center"/>
              <w:ind w:right="50"/>
              <w:spacing w:after="0"/>
              <w:rPr>
                <w:sz w:val="20"/>
                <w:szCs w:val="20"/>
                <w:color w:val="auto"/>
              </w:rPr>
            </w:pPr>
            <w:r>
              <w:rPr>
                <w:rFonts w:ascii="Arial" w:cs="Arial" w:eastAsia="Arial" w:hAnsi="Arial"/>
                <w:sz w:val="18"/>
                <w:szCs w:val="18"/>
                <w:color w:val="auto"/>
                <w:w w:val="88"/>
              </w:rPr>
              <w:t>Stock</w:t>
            </w:r>
          </w:p>
        </w:tc>
        <w:tc>
          <w:tcPr>
            <w:tcW w:w="18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40"/>
              <w:spacing w:after="0"/>
              <w:rPr>
                <w:sz w:val="20"/>
                <w:szCs w:val="20"/>
                <w:color w:val="auto"/>
              </w:rPr>
            </w:pPr>
            <w:r>
              <w:rPr>
                <w:rFonts w:ascii="Arial" w:cs="Arial" w:eastAsia="Arial" w:hAnsi="Arial"/>
                <w:sz w:val="18"/>
                <w:szCs w:val="18"/>
                <w:color w:val="auto"/>
              </w:rPr>
              <w:t>Balances at December 28, 2019</w:t>
            </w:r>
          </w:p>
        </w:tc>
        <w:tc>
          <w:tcPr>
            <w:tcW w:w="880" w:type="dxa"/>
            <w:vAlign w:val="bottom"/>
          </w:tcPr>
          <w:p>
            <w:pPr>
              <w:jc w:val="right"/>
              <w:spacing w:after="0"/>
              <w:rPr>
                <w:sz w:val="20"/>
                <w:szCs w:val="20"/>
                <w:color w:val="auto"/>
              </w:rPr>
            </w:pPr>
            <w:r>
              <w:rPr>
                <w:rFonts w:ascii="Arial" w:cs="Arial" w:eastAsia="Arial" w:hAnsi="Arial"/>
                <w:sz w:val="18"/>
                <w:szCs w:val="18"/>
                <w:color w:val="auto"/>
              </w:rPr>
              <w:t>79,678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805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700,121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(3,814)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107,132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(27,807)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776,437</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Cumulative effect of change in accounting</w:t>
            </w: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principle</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09"/>
        </w:trPr>
        <w:tc>
          <w:tcPr>
            <w:tcW w:w="3280" w:type="dxa"/>
            <w:vAlign w:val="bottom"/>
          </w:tcPr>
          <w:p>
            <w:pPr>
              <w:ind w:left="40"/>
              <w:spacing w:after="0"/>
              <w:rPr>
                <w:sz w:val="20"/>
                <w:szCs w:val="20"/>
                <w:color w:val="auto"/>
              </w:rPr>
            </w:pPr>
            <w:r>
              <w:rPr>
                <w:rFonts w:ascii="Arial" w:cs="Arial" w:eastAsia="Arial" w:hAnsi="Arial"/>
                <w:sz w:val="18"/>
                <w:szCs w:val="18"/>
                <w:color w:val="auto"/>
              </w:rPr>
              <w:t>Balances at December 28, 2019 - as</w:t>
            </w: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40"/>
              <w:spacing w:after="0"/>
              <w:rPr>
                <w:sz w:val="20"/>
                <w:szCs w:val="20"/>
                <w:color w:val="auto"/>
              </w:rPr>
            </w:pPr>
            <w:r>
              <w:rPr>
                <w:rFonts w:ascii="Arial" w:cs="Arial" w:eastAsia="Arial" w:hAnsi="Arial"/>
                <w:sz w:val="18"/>
                <w:szCs w:val="18"/>
                <w:color w:val="auto"/>
              </w:rPr>
              <w:t>adjusted</w:t>
            </w:r>
          </w:p>
        </w:tc>
        <w:tc>
          <w:tcPr>
            <w:tcW w:w="880" w:type="dxa"/>
            <w:vAlign w:val="bottom"/>
          </w:tcPr>
          <w:p>
            <w:pPr>
              <w:jc w:val="right"/>
              <w:spacing w:after="0"/>
              <w:rPr>
                <w:sz w:val="20"/>
                <w:szCs w:val="20"/>
                <w:color w:val="auto"/>
              </w:rPr>
            </w:pPr>
            <w:r>
              <w:rPr>
                <w:rFonts w:ascii="Arial" w:cs="Arial" w:eastAsia="Arial" w:hAnsi="Arial"/>
                <w:sz w:val="18"/>
                <w:szCs w:val="18"/>
                <w:color w:val="auto"/>
              </w:rPr>
              <w:t>79,678</w:t>
            </w:r>
          </w:p>
        </w:tc>
        <w:tc>
          <w:tcPr>
            <w:tcW w:w="16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805</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700,121</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(3,814)</w:t>
            </w: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106,603</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(27,807)</w:t>
            </w:r>
          </w:p>
        </w:tc>
        <w:tc>
          <w:tcPr>
            <w:tcW w:w="18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775,908</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common stock</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5,114</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5,120</w:t>
            </w:r>
          </w:p>
        </w:tc>
        <w:tc>
          <w:tcPr>
            <w:tcW w:w="0" w:type="dxa"/>
            <w:vAlign w:val="bottom"/>
          </w:tcPr>
          <w:p>
            <w:pPr>
              <w:spacing w:after="0"/>
              <w:rPr>
                <w:sz w:val="1"/>
                <w:szCs w:val="1"/>
                <w:color w:val="auto"/>
              </w:rPr>
            </w:pP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Stock based compensation</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2,066</w:t>
            </w: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 of treasury stock</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3280" w:type="dxa"/>
            <w:vAlign w:val="bottom"/>
          </w:tcPr>
          <w:p>
            <w:pPr>
              <w:ind w:left="180"/>
              <w:spacing w:after="0"/>
              <w:rPr>
                <w:sz w:val="20"/>
                <w:szCs w:val="20"/>
                <w:color w:val="auto"/>
              </w:rPr>
            </w:pPr>
            <w:r>
              <w:rPr>
                <w:rFonts w:ascii="Arial" w:cs="Arial" w:eastAsia="Arial" w:hAnsi="Arial"/>
                <w:sz w:val="18"/>
                <w:szCs w:val="18"/>
                <w:color w:val="auto"/>
              </w:rPr>
              <w:t>Unrealized gain (loss) on hedge</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instruments, net of tax</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(6,602)</w:t>
            </w: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(6,602)</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9,742</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9,742</w:t>
            </w:r>
          </w:p>
        </w:tc>
        <w:tc>
          <w:tcPr>
            <w:tcW w:w="0" w:type="dxa"/>
            <w:vAlign w:val="bottom"/>
          </w:tcPr>
          <w:p>
            <w:pPr>
              <w:spacing w:after="0"/>
              <w:rPr>
                <w:sz w:val="1"/>
                <w:szCs w:val="1"/>
                <w:color w:val="auto"/>
              </w:rPr>
            </w:pPr>
          </w:p>
        </w:tc>
      </w:tr>
      <w:tr>
        <w:trPr>
          <w:trHeight w:val="257"/>
        </w:trPr>
        <w:tc>
          <w:tcPr>
            <w:tcW w:w="3280" w:type="dxa"/>
            <w:vAlign w:val="bottom"/>
          </w:tcPr>
          <w:p>
            <w:pPr>
              <w:ind w:left="40"/>
              <w:spacing w:after="0"/>
              <w:rPr>
                <w:sz w:val="20"/>
                <w:szCs w:val="20"/>
                <w:color w:val="auto"/>
              </w:rPr>
            </w:pPr>
            <w:r>
              <w:rPr>
                <w:rFonts w:ascii="Arial" w:cs="Arial" w:eastAsia="Arial" w:hAnsi="Arial"/>
                <w:sz w:val="18"/>
                <w:szCs w:val="18"/>
                <w:color w:val="auto"/>
              </w:rPr>
              <w:t>Balances at March 28, 2020</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80,278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811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707,301</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(10,416)</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116,345</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(27,881)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786,160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gridSpan w:val="5"/>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3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60" w:type="dxa"/>
            <w:vAlign w:val="bottom"/>
            <w:gridSpan w:val="5"/>
          </w:tcPr>
          <w:p>
            <w:pPr>
              <w:jc w:val="right"/>
              <w:ind w:right="50"/>
              <w:spacing w:after="0"/>
              <w:rPr>
                <w:sz w:val="20"/>
                <w:szCs w:val="20"/>
                <w:color w:val="auto"/>
              </w:rPr>
            </w:pPr>
            <w:r>
              <w:rPr>
                <w:rFonts w:ascii="Arial" w:cs="Arial" w:eastAsia="Arial" w:hAnsi="Arial"/>
                <w:sz w:val="18"/>
                <w:szCs w:val="18"/>
                <w:color w:val="auto"/>
              </w:rPr>
              <w:t>Three Months Ended March 30, 2019</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80" w:type="dxa"/>
            <w:vAlign w:val="bottom"/>
          </w:tcPr>
          <w:p>
            <w:pPr>
              <w:spacing w:after="0"/>
              <w:rPr>
                <w:sz w:val="19"/>
                <w:szCs w:val="19"/>
                <w:color w:val="auto"/>
              </w:rPr>
            </w:pPr>
          </w:p>
        </w:tc>
        <w:tc>
          <w:tcPr>
            <w:tcW w:w="1800" w:type="dxa"/>
            <w:vAlign w:val="bottom"/>
            <w:gridSpan w:val="3"/>
            <w:vMerge w:val="restart"/>
          </w:tcPr>
          <w:p>
            <w:pPr>
              <w:jc w:val="right"/>
              <w:ind w:right="25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center"/>
              <w:ind w:right="50"/>
              <w:spacing w:after="0"/>
              <w:rPr>
                <w:sz w:val="20"/>
                <w:szCs w:val="20"/>
                <w:color w:val="auto"/>
              </w:rPr>
            </w:pPr>
            <w:r>
              <w:rPr>
                <w:rFonts w:ascii="Arial" w:cs="Arial" w:eastAsia="Arial" w:hAnsi="Arial"/>
                <w:sz w:val="18"/>
                <w:szCs w:val="18"/>
                <w:color w:val="auto"/>
                <w:w w:val="92"/>
              </w:rPr>
              <w:t>Accumulated</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280" w:type="dxa"/>
            <w:vAlign w:val="bottom"/>
          </w:tcPr>
          <w:p>
            <w:pPr>
              <w:spacing w:after="0"/>
              <w:rPr>
                <w:sz w:val="18"/>
                <w:szCs w:val="18"/>
                <w:color w:val="auto"/>
              </w:rPr>
            </w:pPr>
          </w:p>
        </w:tc>
        <w:tc>
          <w:tcPr>
            <w:tcW w:w="1800" w:type="dxa"/>
            <w:vAlign w:val="bottom"/>
            <w:tcBorders>
              <w:bottom w:val="single" w:sz="8" w:color="auto"/>
            </w:tcBorders>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color w:val="auto"/>
                <w:w w:val="98"/>
              </w:rPr>
              <w:t>Additional</w:t>
            </w:r>
          </w:p>
        </w:tc>
        <w:tc>
          <w:tcPr>
            <w:tcW w:w="20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color w:val="auto"/>
                <w:w w:val="93"/>
              </w:rPr>
              <w:t>Other</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195"/>
        </w:trPr>
        <w:tc>
          <w:tcPr>
            <w:tcW w:w="3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4"/>
              </w:rPr>
              <w:t>Paid-In</w:t>
            </w:r>
          </w:p>
        </w:tc>
        <w:tc>
          <w:tcPr>
            <w:tcW w:w="200" w:type="dxa"/>
            <w:vAlign w:val="bottom"/>
          </w:tcPr>
          <w:p>
            <w:pPr>
              <w:spacing w:after="0"/>
              <w:rPr>
                <w:sz w:val="16"/>
                <w:szCs w:val="16"/>
                <w:color w:val="auto"/>
              </w:rPr>
            </w:pPr>
          </w:p>
        </w:tc>
        <w:tc>
          <w:tcPr>
            <w:tcW w:w="1380" w:type="dxa"/>
            <w:vAlign w:val="bottom"/>
          </w:tcPr>
          <w:p>
            <w:pPr>
              <w:jc w:val="center"/>
              <w:ind w:right="70"/>
              <w:spacing w:after="0" w:line="195" w:lineRule="exact"/>
              <w:rPr>
                <w:sz w:val="20"/>
                <w:szCs w:val="20"/>
                <w:color w:val="auto"/>
              </w:rPr>
            </w:pPr>
            <w:r>
              <w:rPr>
                <w:rFonts w:ascii="Arial" w:cs="Arial" w:eastAsia="Arial" w:hAnsi="Arial"/>
                <w:sz w:val="18"/>
                <w:szCs w:val="18"/>
                <w:color w:val="auto"/>
                <w:w w:val="90"/>
              </w:rPr>
              <w:t>Comprehensive</w:t>
            </w:r>
          </w:p>
        </w:tc>
        <w:tc>
          <w:tcPr>
            <w:tcW w:w="160" w:type="dxa"/>
            <w:vAlign w:val="bottom"/>
          </w:tcPr>
          <w:p>
            <w:pPr>
              <w:spacing w:after="0"/>
              <w:rPr>
                <w:sz w:val="16"/>
                <w:szCs w:val="16"/>
                <w:color w:val="auto"/>
              </w:rPr>
            </w:pPr>
          </w:p>
        </w:tc>
        <w:tc>
          <w:tcPr>
            <w:tcW w:w="860" w:type="dxa"/>
            <w:vAlign w:val="bottom"/>
          </w:tcPr>
          <w:p>
            <w:pPr>
              <w:jc w:val="right"/>
              <w:ind w:right="90"/>
              <w:spacing w:after="0" w:line="195" w:lineRule="exact"/>
              <w:rPr>
                <w:sz w:val="20"/>
                <w:szCs w:val="20"/>
                <w:color w:val="auto"/>
              </w:rPr>
            </w:pPr>
            <w:r>
              <w:rPr>
                <w:rFonts w:ascii="Arial" w:cs="Arial" w:eastAsia="Arial" w:hAnsi="Arial"/>
                <w:sz w:val="18"/>
                <w:szCs w:val="18"/>
                <w:color w:val="auto"/>
                <w:w w:val="91"/>
              </w:rPr>
              <w:t>Retained</w:t>
            </w:r>
          </w:p>
        </w:tc>
        <w:tc>
          <w:tcPr>
            <w:tcW w:w="160" w:type="dxa"/>
            <w:vAlign w:val="bottom"/>
          </w:tcPr>
          <w:p>
            <w:pPr>
              <w:spacing w:after="0"/>
              <w:rPr>
                <w:sz w:val="16"/>
                <w:szCs w:val="16"/>
                <w:color w:val="auto"/>
              </w:rPr>
            </w:pPr>
          </w:p>
        </w:tc>
        <w:tc>
          <w:tcPr>
            <w:tcW w:w="86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0"/>
              </w:rPr>
              <w:t>Treasury</w:t>
            </w:r>
          </w:p>
        </w:tc>
        <w:tc>
          <w:tcPr>
            <w:tcW w:w="180" w:type="dxa"/>
            <w:vAlign w:val="bottom"/>
          </w:tcPr>
          <w:p>
            <w:pPr>
              <w:spacing w:after="0"/>
              <w:rPr>
                <w:sz w:val="16"/>
                <w:szCs w:val="16"/>
                <w:color w:val="auto"/>
              </w:rPr>
            </w:pPr>
          </w:p>
        </w:tc>
        <w:tc>
          <w:tcPr>
            <w:tcW w:w="1280" w:type="dxa"/>
            <w:vAlign w:val="bottom"/>
          </w:tcPr>
          <w:p>
            <w:pPr>
              <w:jc w:val="center"/>
              <w:ind w:right="130"/>
              <w:spacing w:after="0" w:line="195" w:lineRule="exact"/>
              <w:rPr>
                <w:sz w:val="20"/>
                <w:szCs w:val="20"/>
                <w:color w:val="auto"/>
              </w:rPr>
            </w:pPr>
            <w:r>
              <w:rPr>
                <w:rFonts w:ascii="Arial" w:cs="Arial" w:eastAsia="Arial" w:hAnsi="Arial"/>
                <w:sz w:val="18"/>
                <w:szCs w:val="18"/>
                <w:color w:val="auto"/>
                <w:w w:val="91"/>
              </w:rPr>
              <w:t>Stockholders'</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Shares</w:t>
            </w:r>
          </w:p>
        </w:tc>
        <w:tc>
          <w:tcPr>
            <w:tcW w:w="16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w w:val="93"/>
              </w:rPr>
              <w:t>Amount</w:t>
            </w:r>
          </w:p>
        </w:tc>
        <w:tc>
          <w:tcPr>
            <w:tcW w:w="12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Capital</w:t>
            </w:r>
          </w:p>
        </w:tc>
        <w:tc>
          <w:tcPr>
            <w:tcW w:w="200" w:type="dxa"/>
            <w:vAlign w:val="bottom"/>
          </w:tcPr>
          <w:p>
            <w:pPr>
              <w:spacing w:after="0"/>
              <w:rPr>
                <w:sz w:val="20"/>
                <w:szCs w:val="20"/>
                <w:color w:val="auto"/>
              </w:rPr>
            </w:pPr>
          </w:p>
        </w:tc>
        <w:tc>
          <w:tcPr>
            <w:tcW w:w="1380" w:type="dxa"/>
            <w:vAlign w:val="bottom"/>
          </w:tcPr>
          <w:p>
            <w:pPr>
              <w:jc w:val="center"/>
              <w:ind w:right="70"/>
              <w:spacing w:after="0"/>
              <w:rPr>
                <w:sz w:val="20"/>
                <w:szCs w:val="20"/>
                <w:color w:val="auto"/>
              </w:rPr>
            </w:pPr>
            <w:r>
              <w:rPr>
                <w:rFonts w:ascii="Arial" w:cs="Arial" w:eastAsia="Arial" w:hAnsi="Arial"/>
                <w:sz w:val="18"/>
                <w:szCs w:val="18"/>
                <w:color w:val="auto"/>
                <w:w w:val="89"/>
              </w:rPr>
              <w:t>Loss</w:t>
            </w:r>
          </w:p>
        </w:tc>
        <w:tc>
          <w:tcPr>
            <w:tcW w:w="16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w w:val="92"/>
              </w:rPr>
              <w:t>Earnings</w:t>
            </w:r>
          </w:p>
        </w:tc>
        <w:tc>
          <w:tcPr>
            <w:tcW w:w="160" w:type="dxa"/>
            <w:vAlign w:val="bottom"/>
          </w:tcPr>
          <w:p>
            <w:pPr>
              <w:spacing w:after="0"/>
              <w:rPr>
                <w:sz w:val="20"/>
                <w:szCs w:val="20"/>
                <w:color w:val="auto"/>
              </w:rPr>
            </w:pPr>
          </w:p>
        </w:tc>
        <w:tc>
          <w:tcPr>
            <w:tcW w:w="860" w:type="dxa"/>
            <w:vAlign w:val="bottom"/>
          </w:tcPr>
          <w:p>
            <w:pPr>
              <w:jc w:val="center"/>
              <w:ind w:right="50"/>
              <w:spacing w:after="0"/>
              <w:rPr>
                <w:sz w:val="20"/>
                <w:szCs w:val="20"/>
                <w:color w:val="auto"/>
              </w:rPr>
            </w:pPr>
            <w:r>
              <w:rPr>
                <w:rFonts w:ascii="Arial" w:cs="Arial" w:eastAsia="Arial" w:hAnsi="Arial"/>
                <w:sz w:val="18"/>
                <w:szCs w:val="18"/>
                <w:color w:val="auto"/>
                <w:w w:val="88"/>
              </w:rPr>
              <w:t>Stock</w:t>
            </w:r>
          </w:p>
        </w:tc>
        <w:tc>
          <w:tcPr>
            <w:tcW w:w="18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29, 2018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78,167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672,503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74,840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743,154</w:t>
            </w:r>
          </w:p>
        </w:tc>
        <w:tc>
          <w:tcPr>
            <w:tcW w:w="0" w:type="dxa"/>
            <w:vAlign w:val="bottom"/>
          </w:tcPr>
          <w:p>
            <w:pPr>
              <w:spacing w:after="0"/>
              <w:rPr>
                <w:sz w:val="1"/>
                <w:szCs w:val="1"/>
                <w:color w:val="auto"/>
              </w:rPr>
            </w:pPr>
          </w:p>
        </w:tc>
      </w:tr>
      <w:tr>
        <w:trPr>
          <w:trHeight w:val="229"/>
        </w:trPr>
        <w:tc>
          <w:tcPr>
            <w:tcW w:w="3280" w:type="dxa"/>
            <w:vAlign w:val="bottom"/>
          </w:tcPr>
          <w:p>
            <w:pPr>
              <w:ind w:left="180"/>
              <w:spacing w:after="0"/>
              <w:rPr>
                <w:sz w:val="20"/>
                <w:szCs w:val="20"/>
                <w:color w:val="auto"/>
              </w:rPr>
            </w:pPr>
            <w:r>
              <w:rPr>
                <w:rFonts w:ascii="Arial" w:cs="Arial" w:eastAsia="Arial" w:hAnsi="Arial"/>
                <w:sz w:val="18"/>
                <w:szCs w:val="18"/>
                <w:color w:val="auto"/>
                <w:w w:val="92"/>
              </w:rPr>
              <w:t>Cumulative effect of change in accounting</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principle</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(506)</w:t>
            </w: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Balances at December 30, 2018 - as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78,167</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782</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672,503</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74,334</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742,648</w:t>
            </w:r>
          </w:p>
        </w:tc>
        <w:tc>
          <w:tcPr>
            <w:tcW w:w="0" w:type="dxa"/>
            <w:vAlign w:val="bottom"/>
          </w:tcPr>
          <w:p>
            <w:pPr>
              <w:spacing w:after="0"/>
              <w:rPr>
                <w:sz w:val="1"/>
                <w:szCs w:val="1"/>
                <w:color w:val="auto"/>
              </w:rPr>
            </w:pPr>
          </w:p>
        </w:tc>
      </w:tr>
      <w:tr>
        <w:trPr>
          <w:trHeight w:val="243"/>
        </w:trPr>
        <w:tc>
          <w:tcPr>
            <w:tcW w:w="3280" w:type="dxa"/>
            <w:vAlign w:val="bottom"/>
          </w:tcPr>
          <w:p>
            <w:pPr>
              <w:ind w:left="180"/>
              <w:spacing w:after="0"/>
              <w:rPr>
                <w:sz w:val="20"/>
                <w:szCs w:val="20"/>
                <w:color w:val="auto"/>
              </w:rPr>
            </w:pPr>
            <w:r>
              <w:rPr>
                <w:rFonts w:ascii="Arial" w:cs="Arial" w:eastAsia="Arial" w:hAnsi="Arial"/>
                <w:sz w:val="18"/>
                <w:szCs w:val="18"/>
                <w:color w:val="auto"/>
              </w:rPr>
              <w:t>Issuance of common stock</w:t>
            </w: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512</w:t>
            </w:r>
          </w:p>
        </w:tc>
        <w:tc>
          <w:tcPr>
            <w:tcW w:w="2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based compensation</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2,937</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2,937</w:t>
            </w:r>
          </w:p>
        </w:tc>
        <w:tc>
          <w:tcPr>
            <w:tcW w:w="0" w:type="dxa"/>
            <w:vAlign w:val="bottom"/>
          </w:tcPr>
          <w:p>
            <w:pPr>
              <w:spacing w:after="0"/>
              <w:rPr>
                <w:sz w:val="1"/>
                <w:szCs w:val="1"/>
                <w:color w:val="auto"/>
              </w:rPr>
            </w:pPr>
          </w:p>
        </w:tc>
      </w:tr>
      <w:tr>
        <w:trPr>
          <w:trHeight w:val="229"/>
        </w:trPr>
        <w:tc>
          <w:tcPr>
            <w:tcW w:w="3280" w:type="dxa"/>
            <w:vAlign w:val="bottom"/>
          </w:tcPr>
          <w:p>
            <w:pPr>
              <w:ind w:left="180"/>
              <w:spacing w:after="0"/>
              <w:rPr>
                <w:sz w:val="20"/>
                <w:szCs w:val="20"/>
                <w:color w:val="auto"/>
              </w:rPr>
            </w:pPr>
            <w:r>
              <w:rPr>
                <w:rFonts w:ascii="Arial" w:cs="Arial" w:eastAsia="Arial" w:hAnsi="Arial"/>
                <w:sz w:val="18"/>
                <w:szCs w:val="18"/>
                <w:color w:val="auto"/>
              </w:rPr>
              <w:t>Unrealized gain (loss) on hedge</w:t>
            </w: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instruments, net of tax</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(947)</w:t>
            </w: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17,429</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17,429</w:t>
            </w:r>
          </w:p>
        </w:tc>
        <w:tc>
          <w:tcPr>
            <w:tcW w:w="0" w:type="dxa"/>
            <w:vAlign w:val="bottom"/>
          </w:tcPr>
          <w:p>
            <w:pPr>
              <w:spacing w:after="0"/>
              <w:rPr>
                <w:sz w:val="1"/>
                <w:szCs w:val="1"/>
                <w:color w:val="auto"/>
              </w:rPr>
            </w:pPr>
          </w:p>
        </w:tc>
      </w:tr>
      <w:tr>
        <w:trPr>
          <w:trHeight w:val="257"/>
        </w:trPr>
        <w:tc>
          <w:tcPr>
            <w:tcW w:w="3280" w:type="dxa"/>
            <w:vAlign w:val="bottom"/>
          </w:tcPr>
          <w:p>
            <w:pPr>
              <w:ind w:left="40"/>
              <w:spacing w:after="0"/>
              <w:rPr>
                <w:sz w:val="20"/>
                <w:szCs w:val="20"/>
                <w:color w:val="auto"/>
              </w:rPr>
            </w:pPr>
            <w:r>
              <w:rPr>
                <w:rFonts w:ascii="Arial" w:cs="Arial" w:eastAsia="Arial" w:hAnsi="Arial"/>
                <w:sz w:val="18"/>
                <w:szCs w:val="18"/>
                <w:color w:val="auto"/>
              </w:rPr>
              <w:t>Balances at March 30, 2019</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783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675,952</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91,763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762,580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28, 2020 and March 30,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60" w:type="dxa"/>
            <w:vAlign w:val="bottom"/>
            <w:gridSpan w:val="4"/>
          </w:tcPr>
          <w:p>
            <w:pPr>
              <w:jc w:val="right"/>
              <w:ind w:right="959"/>
              <w:spacing w:after="0"/>
              <w:rPr>
                <w:sz w:val="20"/>
                <w:szCs w:val="20"/>
                <w:color w:val="auto"/>
              </w:rPr>
            </w:pPr>
            <w:r>
              <w:rPr>
                <w:rFonts w:ascii="Arial" w:cs="Arial" w:eastAsia="Arial" w:hAnsi="Arial"/>
                <w:sz w:val="16"/>
                <w:szCs w:val="16"/>
                <w:color w:val="auto"/>
              </w:rPr>
              <w:t>Three Months Ended</w:t>
            </w:r>
          </w:p>
        </w:tc>
      </w:tr>
      <w:tr>
        <w:trPr>
          <w:trHeight w:val="33"/>
        </w:trPr>
        <w:tc>
          <w:tcPr>
            <w:tcW w:w="77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Arial" w:cs="Arial" w:eastAsia="Arial" w:hAnsi="Arial"/>
                <w:sz w:val="16"/>
                <w:szCs w:val="16"/>
                <w:color w:val="auto"/>
              </w:rPr>
              <w:t>March 28, 2020</w:t>
            </w:r>
          </w:p>
        </w:tc>
        <w:tc>
          <w:tcPr>
            <w:tcW w:w="220" w:type="dxa"/>
            <w:vAlign w:val="bottom"/>
          </w:tcPr>
          <w:p>
            <w:pPr>
              <w:spacing w:after="0"/>
              <w:rPr>
                <w:sz w:val="20"/>
                <w:szCs w:val="20"/>
                <w:color w:val="auto"/>
              </w:rPr>
            </w:pP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March 30, 2019</w:t>
            </w: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9,742</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17,429</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24,810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20,415</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loan costs</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406</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Asset impairment</w:t>
            </w: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11,355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2,082</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 expense (benefit)</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5,910</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Stock based compensation expense</w:t>
            </w: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2,093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2,976</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Inventory adjustments</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1,319</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Credit loss expense</w:t>
            </w: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2,021</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1,041</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Changes in operating assets and liabilities:</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(9,307)</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(4,511)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2,767</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5,791</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19,171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1,445</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revenue</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4,684</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Other liabilities</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24,035</w:t>
            </w: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86,060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83,014</w:t>
            </w:r>
          </w:p>
        </w:tc>
      </w:tr>
      <w:tr>
        <w:trPr>
          <w:trHeight w:val="23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 of property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(25,992)</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186</w:t>
            </w: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for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(25,806)</w:t>
            </w:r>
          </w:p>
        </w:tc>
      </w:tr>
      <w:tr>
        <w:trPr>
          <w:trHeight w:val="230"/>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issuance of long-term debt, net of discounts</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146,269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Proceeds from exercise of stock options</w:t>
            </w: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5,120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513</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Principal payments on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(1,250)</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Purchase of treasury stock</w:t>
            </w:r>
          </w:p>
        </w:tc>
        <w:tc>
          <w:tcPr>
            <w:tcW w:w="2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on finance lease obligations</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(617)</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Net cash provided by (used for) financing activities</w:t>
            </w: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150,601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(1,354)</w:t>
            </w: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cash, cash equivalents and restricted cash</w:t>
            </w: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223,807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55,854</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 beginning of year</w:t>
            </w: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40,307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17,998</w:t>
            </w:r>
          </w:p>
        </w:tc>
      </w:tr>
      <w:tr>
        <w:trPr>
          <w:trHeight w:val="33"/>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end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264,114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73,852</w:t>
            </w: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03"/>
        </w:trPr>
        <w:tc>
          <w:tcPr>
            <w:tcW w:w="7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cash flow disclosure information:</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Cash paid for interest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7,065</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9,857</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expenditures accrued at the end of the period</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13,980</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Right of use assets acquired under finance leases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1,244</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7,270</w:t>
            </w:r>
          </w:p>
        </w:tc>
      </w:tr>
      <w:tr>
        <w:trPr>
          <w:trHeight w:val="33"/>
        </w:trPr>
        <w:tc>
          <w:tcPr>
            <w:tcW w:w="7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Right of use assets acquired under operating leases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17,658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32,981</w:t>
            </w:r>
          </w:p>
        </w:tc>
      </w:tr>
      <w:tr>
        <w:trPr>
          <w:trHeight w:val="33"/>
        </w:trPr>
        <w:tc>
          <w:tcPr>
            <w:tcW w:w="77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Operations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National Vision Holdings, Inc. (“NVHI,” the “Company,” “we,” “our,” or “us”) is a holding company whose operating subsidiaries include its indirect wholly owned subsidiary, National Vision, Inc. (“NVI”) and NVI’s direct wholly owned subsidiaries. We are a leading value retailer of eyeglasses and contact lenses in the United States and its territories. We operated 1,173 and 1,151 retail optical locations as of March 28, 2020 and December 28, 2019, respectively, through our five store brands, including America’s Best Contacts and Eyeglasses (“America’s Best”), Eyeglass World, Vista Optical locations on U.S. Army/Air Force military bases (“Military”) and within Fred Meyer stores, and our management &amp; services arrangement with Walmart (“Legacy”).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prepared the accompanying unaudited interim condensed consolidated financial statements in accordance with accounting principles generally accepted in the United States of America (“U.S. GAAP”) for interim financial information and, therefore, do not include all information and disclosures required by U.S. GAAP for complete consolidated financial statements. The condensed consolidated balance sheet as of December 28, 2019 has been derived from the audited consolidated balance sheet for the fiscal year then ended. These condensed consolidated financial statements reflect all normal and recurring adjustments which are, in the opinion of management, necessary to present fairly the Company’s consolidated financial position as of March 28, 2020, the consolidated results of operations and comprehensive income, the statements of changes in stockholders’ equity for the three months ended March 28, 2020 and March 30, 2019, and its statements of cash flows for the three months ended March 28, 2020 and March 30, 2019.</w:t>
      </w:r>
    </w:p>
    <w:p>
      <w:pPr>
        <w:spacing w:after="0" w:line="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Certain information and disclosures normally included in our annual consolidated financial statements have been condensed or omitted; however, we believe that the disclosures included herein are sufficient for a fair presentation of the information presented. These condensed consolidated financial statements should be read in conjunction with our audited consolidated financial statements and the notes thereto for the fiscal year ended December 28, 2019 included in the Company’s Annual Report on Form 10-K filed with the SEC on February 26, 2020. The Company’s significant accounting policies are set forth in Note 1 within those consolidated financial statements. We use the same accounting policies in preparing interim condensed consolidated financial information and annual consolidated financial statements. There were no changes to our significant accounting policies during the three months ended March 28, 2020, except for the adoption of Accounting Standards Update (“ASU”) No. 2018-15, </w:t>
      </w:r>
      <w:r>
        <w:rPr>
          <w:rFonts w:ascii="Arial" w:cs="Arial" w:eastAsia="Arial" w:hAnsi="Arial"/>
          <w:sz w:val="17"/>
          <w:szCs w:val="17"/>
          <w:i w:val="1"/>
          <w:iCs w:val="1"/>
          <w:color w:val="auto"/>
        </w:rPr>
        <w:t>Customer’s Accounting for Implementation Costs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Incurred in a Cloud Computing Arrangement That Is a Service Contract </w:t>
      </w:r>
      <w:r>
        <w:rPr>
          <w:rFonts w:ascii="Arial" w:cs="Arial" w:eastAsia="Arial" w:hAnsi="Arial"/>
          <w:sz w:val="17"/>
          <w:szCs w:val="17"/>
          <w:color w:val="auto"/>
        </w:rPr>
        <w:t>and ASU No. 2016-13,</w:t>
      </w:r>
      <w:r>
        <w:rPr>
          <w:rFonts w:ascii="Arial" w:cs="Arial" w:eastAsia="Arial" w:hAnsi="Arial"/>
          <w:sz w:val="17"/>
          <w:szCs w:val="17"/>
          <w:i w:val="1"/>
          <w:iCs w:val="1"/>
          <w:color w:val="auto"/>
        </w:rPr>
        <w:t xml:space="preserve"> Measurement of Credit Losses on Financial Instruments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See “Adoption of New Accounting Pronouncements” below for further discussion.</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include our accounts and those of our subsidiaries, all of which are wholly-owned. All intercompany balances and transactions have been eliminated in consolidation.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fiscal year consists of 52 or 53 weeks ending on the Saturday closest to December 31. Fiscal year 2020 contains 53 weeks and will end on January 2, 2021. All three month periods presented herein contain 13 weeks. All references to years and quarters relate to fiscal periods rather than calendar periods.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consolidated results of operations for the three months ended March 28, 2020 and March 30, 2019 are not necessarily indicative of the results to be expected for the full fiscal year due to seasonality and uncertainty of general economic conditions that may impact our key end markets. Historically, our business has realized a higher portion of net revenue, income from operations, and cash flows from operations in the first half of the year, and a lower portion of net revenue, income from operations, and cash flows from operations in the fourth fiscal quarter. The first half seasonality is attributable primarily to the timing of our customers’ personal income tax refunds and annual health insurance program start/reset periods. Seasonality related to fourth quarter holiday spending by retail customers generally does not impact our business. Our quarterly consolidated results generally may also be affected by the timing of new store openings, store closings, and certain holidays. The COVID-19 pandemic has caused changes in fiscal year 2020 seasonality and may cause changes beyond 2020 to the seasonality we have historically experienced.</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evaluate impairment of long-lived tangible and right of use (“ROU”) store assets at the store level, which is the lowest level at which independent cash flows can be identified, when events or conditions indicate the carrying value of such assets may not be recoverable. In making this evaluation, we may consider multiple factors including financial performance of the stores, regional and local business climates, future plans for the store operations and other qualitative factors. If the store’s projected undiscounted net cash flows expected to be generated by the related assets over the life of the primary asset within the asset group (generally leasehold improvements) are less than the carrying value of the subject assets, we determine an estimate of the fair value of the asset group using an income approach based on discounted cash flows, which require estimates and assumptions related to forecasted store revenue growth rates and store profitability. The cash flows used in estimating fair value were discounted using a market rate of approximately 8%. If the fair value of the asset group is less than its carrying value, the loss is allocated to the long-lived assets of the group on a pro rata basis using the relative carrying amounts of those assets, except that the loss allocated to an individual long lived asset of the group shall not reduce the carrying amount of that asset below its fair value. A significant decrease in the estimated cash flows would lead to a lower fair value measurement, as would a significant increase in the discount rate. These non-recurring fair value measurements are classified as Level 3 measurements in the fair value hierarchy.</w:t>
      </w: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identified indicators of impairment of certain stores and other assets and recorded $11.4 million of related asset impairment charges during the three months ended March 28, 2020 in Corporate/Other. These impairment charges were primarily driven by lower than projected customer sales volume in certain stores; we also considered the effect of store closures and uncertainty in store revenues over the remaining useful life of the asset group as a result of the COVID-19 pandemic. The estimated remaining fair value of the impaired assets was $16.6 million as of March 28, 2020. Substantially all of the remaining fair value of the impaired store assets in fiscal year 2020 represent the fair value of ROU assets.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income tax benefit for the three months ended March 28, 2020 reflected income tax expense at our statutory federal and state rate of 25.5%, offset by a discrete benefit of $2.7 million associated primarily with stock option exercises. In comparison, the income tax rate associated with the three months ended March 30, 2019 reflected income tax expense at our statutory federal and state rate of 25.7% and was reduced by a $0.2 million income tax benefit resulting from stock option exercises.</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27, 2020, the Coronavirus Aid, Relief, and Economic Security (“CARES”) Act was enacted in response to the COVID-19 pandemic. The CARES Act, among other things, accelerates a company’s ability to recover Alternative Minimum Tax (“AMT”) refundable credits that otherwise could have been claimed in 2020 and 2021, to 2018 and 2019, with an option to elect recovery of the full credit amount for 2018. The Company has elected to apply the AMT refundable credit provision of the CARES Act and has reclassified $1.3 million of AMT credits from deferred income taxes, net as of December 28, 2019 to Other assets as of March 28, 2020. The CARES Act also includes a technical correction wherein qualified improvement property placed in service in 2018 and after is eligible for 100% bonus depreciation. This provision of the CARES Act resulted in an increase in our NOL carry-forwards with an offsetting increase in our gross deferred tax liability relating to property and equipment of approximately $25.0 million as of March 28, 2020. We are evaluating the applicability of the CARES Act to the Company, and the potential impacts on our business. There is no guarantee that we will meet the eligibility requirements to participate in such programs or, even if we are able to participate, that such programs will provide meaningful benefit to our business. Consequently, it is not possible to estimate at this time the availability, extent or impact of any such relief.</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New Accounting Pronouncements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252525"/>
        </w:rPr>
        <w:t xml:space="preserve">Cloud Computing. </w:t>
      </w:r>
      <w:r>
        <w:rPr>
          <w:rFonts w:ascii="Arial" w:cs="Arial" w:eastAsia="Arial" w:hAnsi="Arial"/>
          <w:sz w:val="18"/>
          <w:szCs w:val="18"/>
          <w:color w:val="000000"/>
        </w:rPr>
        <w:t>In August 2018, the FASB issued ASU No. 2018-15,</w:t>
      </w:r>
      <w:r>
        <w:rPr>
          <w:rFonts w:ascii="Arial" w:cs="Arial" w:eastAsia="Arial" w:hAnsi="Arial"/>
          <w:sz w:val="18"/>
          <w:szCs w:val="18"/>
          <w:i w:val="1"/>
          <w:iCs w:val="1"/>
          <w:color w:val="252525"/>
        </w:rPr>
        <w:t xml:space="preserve"> </w:t>
      </w:r>
      <w:r>
        <w:rPr>
          <w:rFonts w:ascii="Arial" w:cs="Arial" w:eastAsia="Arial" w:hAnsi="Arial"/>
          <w:sz w:val="18"/>
          <w:szCs w:val="18"/>
          <w:i w:val="1"/>
          <w:iCs w:val="1"/>
          <w:color w:val="000000"/>
        </w:rPr>
        <w:t>Customer’s Accounting for Implementation Costs Incurred in a Cloud Computing</w:t>
      </w:r>
      <w:r>
        <w:rPr>
          <w:rFonts w:ascii="Arial" w:cs="Arial" w:eastAsia="Arial" w:hAnsi="Arial"/>
          <w:sz w:val="18"/>
          <w:szCs w:val="18"/>
          <w:i w:val="1"/>
          <w:iCs w:val="1"/>
          <w:color w:val="252525"/>
        </w:rPr>
        <w:t xml:space="preserve"> </w:t>
      </w:r>
      <w:r>
        <w:rPr>
          <w:rFonts w:ascii="Arial" w:cs="Arial" w:eastAsia="Arial" w:hAnsi="Arial"/>
          <w:sz w:val="18"/>
          <w:szCs w:val="18"/>
          <w:i w:val="1"/>
          <w:iCs w:val="1"/>
          <w:color w:val="000000"/>
        </w:rPr>
        <w:t xml:space="preserve">Arrangement That Is a Service Contract. </w:t>
      </w:r>
      <w:r>
        <w:rPr>
          <w:rFonts w:ascii="Arial" w:cs="Arial" w:eastAsia="Arial" w:hAnsi="Arial"/>
          <w:sz w:val="18"/>
          <w:szCs w:val="18"/>
          <w:color w:val="000000"/>
        </w:rPr>
        <w:t>This new guidance aligns the requirements for capitalizing implementation costs incurred in a hosting</w:t>
      </w:r>
      <w:r>
        <w:rPr>
          <w:rFonts w:ascii="Arial" w:cs="Arial" w:eastAsia="Arial" w:hAnsi="Arial"/>
          <w:sz w:val="18"/>
          <w:szCs w:val="18"/>
          <w:i w:val="1"/>
          <w:iCs w:val="1"/>
          <w:color w:val="000000"/>
        </w:rPr>
        <w:t xml:space="preserve"> </w:t>
      </w:r>
      <w:r>
        <w:rPr>
          <w:rFonts w:ascii="Arial" w:cs="Arial" w:eastAsia="Arial" w:hAnsi="Arial"/>
          <w:sz w:val="18"/>
          <w:szCs w:val="18"/>
          <w:color w:val="000000"/>
        </w:rPr>
        <w:t>arrangement that is a service contract with the requirements for capitalizing implementation costs incurred to develop or obtain internal-use software (and hosting arrangements that include an internal-use software license). This new guidance is effective for fiscal years beginning after December 15, 2019, and for interim periods within those fiscal years and may be adopted on a prospective or retrospective basis. We adopted the accounting standard on a prospective basis in the first quarter of 2020. The adoption of this guidance did not have a material impact on the Company’s financial condition, results of operations or cash flows.</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Credit Losses</w:t>
      </w:r>
      <w:r>
        <w:rPr>
          <w:rFonts w:ascii="Arial" w:cs="Arial" w:eastAsia="Arial" w:hAnsi="Arial"/>
          <w:sz w:val="18"/>
          <w:szCs w:val="18"/>
          <w:color w:val="auto"/>
        </w:rPr>
        <w:t>. In June 2016, the FASB issued ASU No. 2016-13,</w:t>
      </w:r>
      <w:r>
        <w:rPr>
          <w:rFonts w:ascii="Arial" w:cs="Arial" w:eastAsia="Arial" w:hAnsi="Arial"/>
          <w:sz w:val="18"/>
          <w:szCs w:val="18"/>
          <w:i w:val="1"/>
          <w:iCs w:val="1"/>
          <w:color w:val="auto"/>
        </w:rPr>
        <w:t xml:space="preserve"> Measurement of Credit Losses on Financial Instruments. </w:t>
      </w:r>
      <w:r>
        <w:rPr>
          <w:rFonts w:ascii="Arial" w:cs="Arial" w:eastAsia="Arial" w:hAnsi="Arial"/>
          <w:sz w:val="18"/>
          <w:szCs w:val="18"/>
          <w:color w:val="auto"/>
        </w:rPr>
        <w:t>This new guidance requires an</w:t>
      </w:r>
      <w:r>
        <w:rPr>
          <w:rFonts w:ascii="Arial" w:cs="Arial" w:eastAsia="Arial" w:hAnsi="Arial"/>
          <w:sz w:val="18"/>
          <w:szCs w:val="18"/>
          <w:i w:val="1"/>
          <w:iCs w:val="1"/>
          <w:color w:val="auto"/>
        </w:rPr>
        <w:t xml:space="preserve"> </w:t>
      </w:r>
      <w:r>
        <w:rPr>
          <w:rFonts w:ascii="Arial" w:cs="Arial" w:eastAsia="Arial" w:hAnsi="Arial"/>
          <w:sz w:val="18"/>
          <w:szCs w:val="18"/>
          <w:color w:val="auto"/>
        </w:rPr>
        <w:t>entity to assess impairment of its financial instruments based on its estimate of expected credit losses. Initial adoption of ASU 2016-13 is required to be reported on a modified retrospective basis, with a cumulative-effect adjustment to retained earnings as of the beginning of the year of adoption, except for certain provisions that are required to be applied prospectively. This guidance is effective for fiscal years beginning after December 15, 2019, and for interim reporting periods within those fiscal years.</w:t>
      </w:r>
    </w:p>
    <w:p>
      <w:pPr>
        <w:spacing w:after="0" w:line="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adopted ASU No. 2016-13 as of December 29, 2019 (the first day of fiscal year 2020), using the modified retrospective approach without adjusting the comparative periods presented. Upon adoption, the Company recorded a $0.7 million increase to the allowance for credit losses as a result of increases in our allowance for credit losses of notes receivable (Refer to Note 6. “Equity in Assets of Non-Consolidated Investee” for more information on our non-consolidated investee’s secured convertible promissory note). After adjusting for deferred taxes, we recorded a $0.5 million decrease in retained earnings through a cumulative-effect adjustment. Adoption of this new guidance did not have a material impact on the Company’s financial condition, results of operations or cash flows.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Pronouncements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Reference Rate Reform. </w:t>
      </w:r>
      <w:r>
        <w:rPr>
          <w:rFonts w:ascii="Arial" w:cs="Arial" w:eastAsia="Arial" w:hAnsi="Arial"/>
          <w:sz w:val="18"/>
          <w:szCs w:val="18"/>
          <w:color w:val="auto"/>
        </w:rPr>
        <w:t>In March 2020, the FASB issued ASU No. 2020-04,</w:t>
      </w:r>
      <w:r>
        <w:rPr>
          <w:rFonts w:ascii="Arial" w:cs="Arial" w:eastAsia="Arial" w:hAnsi="Arial"/>
          <w:sz w:val="18"/>
          <w:szCs w:val="18"/>
          <w:i w:val="1"/>
          <w:iCs w:val="1"/>
          <w:color w:val="auto"/>
        </w:rPr>
        <w:t xml:space="preserve"> Facilitation of the Effects of Reference Rate Reform on Financial Reporting </w:t>
      </w:r>
      <w:r>
        <w:rPr>
          <w:rFonts w:ascii="Arial" w:cs="Arial" w:eastAsia="Arial" w:hAnsi="Arial"/>
          <w:sz w:val="18"/>
          <w:szCs w:val="18"/>
          <w:color w:val="auto"/>
        </w:rPr>
        <w:t>(“ASU 2020-04”). This guidance provides optional expedients for applying U.S. GAAP to contracts that may be affected by the cessation of the London Inter-bank Offered Rate (“LIBOR.”) ASU 2020-04 is effective from March 2020 through December 2022. A substantial portion of our debt is subject to interest payments that are indexed to LIBOR; additionally, we are party to multiple interest rate derivatives based on LIBOR. We are currently evaluating the effect of this guidance.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Arial" w:cs="Arial" w:eastAsia="Arial" w:hAnsi="Arial"/>
                <w:sz w:val="18"/>
                <w:szCs w:val="18"/>
                <w:b w:val="1"/>
                <w:bCs w:val="1"/>
                <w:color w:val="auto"/>
              </w:rPr>
              <w:t>2. Details of Certain Balance Sheet Accounts</w:t>
            </w:r>
          </w:p>
        </w:tc>
        <w:tc>
          <w:tcPr>
            <w:tcW w:w="3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418"/>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0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As of</w:t>
            </w:r>
          </w:p>
        </w:tc>
        <w:tc>
          <w:tcPr>
            <w:tcW w:w="300" w:type="dxa"/>
            <w:vAlign w:val="bottom"/>
          </w:tcPr>
          <w:p>
            <w:pPr>
              <w:spacing w:after="0"/>
              <w:rPr>
                <w:sz w:val="24"/>
                <w:szCs w:val="24"/>
                <w:color w:val="auto"/>
              </w:rPr>
            </w:pPr>
          </w:p>
        </w:tc>
        <w:tc>
          <w:tcPr>
            <w:tcW w:w="2060" w:type="dxa"/>
            <w:vAlign w:val="bottom"/>
          </w:tcPr>
          <w:p>
            <w:pPr>
              <w:jc w:val="center"/>
              <w:ind w:right="210"/>
              <w:spacing w:after="0"/>
              <w:rPr>
                <w:sz w:val="20"/>
                <w:szCs w:val="20"/>
                <w:color w:val="auto"/>
              </w:rPr>
            </w:pPr>
            <w:r>
              <w:rPr>
                <w:rFonts w:ascii="Arial" w:cs="Arial" w:eastAsia="Arial" w:hAnsi="Arial"/>
                <w:sz w:val="18"/>
                <w:szCs w:val="18"/>
                <w:color w:val="auto"/>
                <w:w w:val="97"/>
              </w:rPr>
              <w:t>As of</w:t>
            </w: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Pr>
          <w:p>
            <w:pPr>
              <w:spacing w:after="0"/>
              <w:rPr>
                <w:sz w:val="20"/>
                <w:szCs w:val="20"/>
                <w:color w:val="auto"/>
              </w:rPr>
            </w:pPr>
          </w:p>
        </w:tc>
        <w:tc>
          <w:tcPr>
            <w:tcW w:w="210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March 28, 2020</w:t>
            </w:r>
          </w:p>
        </w:tc>
        <w:tc>
          <w:tcPr>
            <w:tcW w:w="300" w:type="dxa"/>
            <w:vAlign w:val="bottom"/>
          </w:tcPr>
          <w:p>
            <w:pPr>
              <w:spacing w:after="0"/>
              <w:rPr>
                <w:sz w:val="20"/>
                <w:szCs w:val="20"/>
                <w:color w:val="auto"/>
              </w:rPr>
            </w:pPr>
          </w:p>
        </w:tc>
        <w:tc>
          <w:tcPr>
            <w:tcW w:w="2060" w:type="dxa"/>
            <w:vAlign w:val="bottom"/>
          </w:tcPr>
          <w:p>
            <w:pPr>
              <w:jc w:val="center"/>
              <w:ind w:right="210"/>
              <w:spacing w:after="0"/>
              <w:rPr>
                <w:sz w:val="20"/>
                <w:szCs w:val="20"/>
                <w:color w:val="auto"/>
              </w:rPr>
            </w:pPr>
            <w:r>
              <w:rPr>
                <w:rFonts w:ascii="Arial" w:cs="Arial" w:eastAsia="Arial" w:hAnsi="Arial"/>
                <w:sz w:val="18"/>
                <w:szCs w:val="18"/>
                <w:color w:val="auto"/>
                <w:w w:val="88"/>
              </w:rPr>
              <w:t>December 28, 2019</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Accounts receivable, net:</w:t>
            </w:r>
          </w:p>
        </w:tc>
        <w:tc>
          <w:tcPr>
            <w:tcW w:w="3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Trade receivables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22,763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28,635</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Credit card receivables</w:t>
            </w:r>
          </w:p>
        </w:tc>
        <w:tc>
          <w:tcPr>
            <w:tcW w:w="3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14,173</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Other receivables</w:t>
            </w:r>
          </w:p>
        </w:tc>
        <w:tc>
          <w:tcPr>
            <w:tcW w:w="38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3,344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4,707</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 for credit losses</w:t>
            </w:r>
          </w:p>
        </w:tc>
        <w:tc>
          <w:tcPr>
            <w:tcW w:w="3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(3,040)</w:t>
            </w:r>
          </w:p>
        </w:tc>
      </w:tr>
      <w:tr>
        <w:trPr>
          <w:trHeight w:val="237"/>
        </w:trPr>
        <w:tc>
          <w:tcPr>
            <w:tcW w:w="64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27,596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44,475</w:t>
            </w: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614"/>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0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As of</w:t>
            </w:r>
          </w:p>
        </w:tc>
        <w:tc>
          <w:tcPr>
            <w:tcW w:w="300" w:type="dxa"/>
            <w:vAlign w:val="bottom"/>
          </w:tcPr>
          <w:p>
            <w:pPr>
              <w:spacing w:after="0"/>
              <w:rPr>
                <w:sz w:val="24"/>
                <w:szCs w:val="24"/>
                <w:color w:val="auto"/>
              </w:rPr>
            </w:pPr>
          </w:p>
        </w:tc>
        <w:tc>
          <w:tcPr>
            <w:tcW w:w="2060" w:type="dxa"/>
            <w:vAlign w:val="bottom"/>
          </w:tcPr>
          <w:p>
            <w:pPr>
              <w:jc w:val="center"/>
              <w:ind w:right="210"/>
              <w:spacing w:after="0"/>
              <w:rPr>
                <w:sz w:val="20"/>
                <w:szCs w:val="20"/>
                <w:color w:val="auto"/>
              </w:rPr>
            </w:pPr>
            <w:r>
              <w:rPr>
                <w:rFonts w:ascii="Arial" w:cs="Arial" w:eastAsia="Arial" w:hAnsi="Arial"/>
                <w:sz w:val="18"/>
                <w:szCs w:val="18"/>
                <w:color w:val="auto"/>
                <w:w w:val="97"/>
              </w:rPr>
              <w:t>As of</w:t>
            </w: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Pr>
          <w:p>
            <w:pPr>
              <w:spacing w:after="0"/>
              <w:rPr>
                <w:sz w:val="20"/>
                <w:szCs w:val="20"/>
                <w:color w:val="auto"/>
              </w:rPr>
            </w:pPr>
          </w:p>
        </w:tc>
        <w:tc>
          <w:tcPr>
            <w:tcW w:w="210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March 28, 2020</w:t>
            </w:r>
          </w:p>
        </w:tc>
        <w:tc>
          <w:tcPr>
            <w:tcW w:w="300" w:type="dxa"/>
            <w:vAlign w:val="bottom"/>
          </w:tcPr>
          <w:p>
            <w:pPr>
              <w:spacing w:after="0"/>
              <w:rPr>
                <w:sz w:val="20"/>
                <w:szCs w:val="20"/>
                <w:color w:val="auto"/>
              </w:rPr>
            </w:pPr>
          </w:p>
        </w:tc>
        <w:tc>
          <w:tcPr>
            <w:tcW w:w="2060" w:type="dxa"/>
            <w:vAlign w:val="bottom"/>
          </w:tcPr>
          <w:p>
            <w:pPr>
              <w:jc w:val="center"/>
              <w:ind w:right="210"/>
              <w:spacing w:after="0"/>
              <w:rPr>
                <w:sz w:val="20"/>
                <w:szCs w:val="20"/>
                <w:color w:val="auto"/>
              </w:rPr>
            </w:pPr>
            <w:r>
              <w:rPr>
                <w:rFonts w:ascii="Arial" w:cs="Arial" w:eastAsia="Arial" w:hAnsi="Arial"/>
                <w:sz w:val="18"/>
                <w:szCs w:val="18"/>
                <w:color w:val="auto"/>
                <w:w w:val="88"/>
              </w:rPr>
              <w:t>December 28, 2019</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3"/>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Inventories:</w:t>
            </w:r>
          </w:p>
        </w:tc>
        <w:tc>
          <w:tcPr>
            <w:tcW w:w="3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70"/>
        </w:trPr>
        <w:tc>
          <w:tcPr>
            <w:tcW w:w="64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Raw materials and work in process </w:t>
            </w:r>
            <w:r>
              <w:rPr>
                <w:rFonts w:ascii="Arial" w:cs="Arial" w:eastAsia="Arial" w:hAnsi="Arial"/>
                <w:sz w:val="25"/>
                <w:szCs w:val="25"/>
                <w:color w:val="auto"/>
                <w:vertAlign w:val="superscript"/>
              </w:rPr>
              <w:t>(1)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69,706</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65,179</w:t>
            </w: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Finished goods</w:t>
            </w:r>
          </w:p>
        </w:tc>
        <w:tc>
          <w:tcPr>
            <w:tcW w:w="3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60,666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62,377</w:t>
            </w:r>
          </w:p>
        </w:tc>
      </w:tr>
      <w:tr>
        <w:trPr>
          <w:trHeight w:val="236"/>
        </w:trPr>
        <w:tc>
          <w:tcPr>
            <w:tcW w:w="64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130,372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127,556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17145</wp:posOffset>
            </wp:positionV>
            <wp:extent cx="3068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29" w:lineRule="exact"/>
        <w:rPr>
          <w:sz w:val="20"/>
          <w:szCs w:val="20"/>
          <w:color w:val="auto"/>
        </w:rPr>
      </w:pPr>
    </w:p>
    <w:p>
      <w:pPr>
        <w:ind w:left="40" w:right="380" w:hanging="5"/>
        <w:spacing w:after="0" w:line="253" w:lineRule="auto"/>
        <w:tabs>
          <w:tab w:leader="none" w:pos="283" w:val="left"/>
        </w:tabs>
        <w:numPr>
          <w:ilvl w:val="0"/>
          <w:numId w:val="5"/>
        </w:numPr>
        <w:rPr>
          <w:rFonts w:ascii="Arial" w:cs="Arial" w:eastAsia="Arial" w:hAnsi="Arial"/>
          <w:sz w:val="14"/>
          <w:szCs w:val="14"/>
          <w:color w:val="auto"/>
        </w:rPr>
      </w:pPr>
      <w:r>
        <w:rPr>
          <w:rFonts w:ascii="Arial" w:cs="Arial" w:eastAsia="Arial" w:hAnsi="Arial"/>
          <w:sz w:val="14"/>
          <w:szCs w:val="14"/>
          <w:color w:val="auto"/>
        </w:rPr>
        <w:t>Due to the immaterial amount of estimated work in process and the short lead times for the conversion of raw materials to finished goods, the Company does not separately present raw materials and 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-211455</wp:posOffset>
            </wp:positionV>
            <wp:extent cx="3068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Details of Certain Balance Sheet Accounts (continued)</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0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As of</w:t>
            </w:r>
          </w:p>
        </w:tc>
        <w:tc>
          <w:tcPr>
            <w:tcW w:w="300" w:type="dxa"/>
            <w:vAlign w:val="bottom"/>
          </w:tcPr>
          <w:p>
            <w:pPr>
              <w:spacing w:after="0"/>
              <w:rPr>
                <w:sz w:val="18"/>
                <w:szCs w:val="18"/>
                <w:color w:val="auto"/>
              </w:rPr>
            </w:pPr>
          </w:p>
        </w:tc>
        <w:tc>
          <w:tcPr>
            <w:tcW w:w="2060" w:type="dxa"/>
            <w:vAlign w:val="bottom"/>
          </w:tcPr>
          <w:p>
            <w:pPr>
              <w:jc w:val="center"/>
              <w:ind w:right="210"/>
              <w:spacing w:after="0"/>
              <w:rPr>
                <w:sz w:val="20"/>
                <w:szCs w:val="20"/>
                <w:color w:val="auto"/>
              </w:rPr>
            </w:pPr>
            <w:r>
              <w:rPr>
                <w:rFonts w:ascii="Arial" w:cs="Arial" w:eastAsia="Arial" w:hAnsi="Arial"/>
                <w:sz w:val="18"/>
                <w:szCs w:val="18"/>
                <w:color w:val="auto"/>
                <w:w w:val="97"/>
              </w:rPr>
              <w:t>As of</w:t>
            </w: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Pr>
          <w:p>
            <w:pPr>
              <w:spacing w:after="0"/>
              <w:rPr>
                <w:sz w:val="20"/>
                <w:szCs w:val="20"/>
                <w:color w:val="auto"/>
              </w:rPr>
            </w:pPr>
          </w:p>
        </w:tc>
        <w:tc>
          <w:tcPr>
            <w:tcW w:w="210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March 28, 2020</w:t>
            </w:r>
          </w:p>
        </w:tc>
        <w:tc>
          <w:tcPr>
            <w:tcW w:w="300" w:type="dxa"/>
            <w:vAlign w:val="bottom"/>
          </w:tcPr>
          <w:p>
            <w:pPr>
              <w:spacing w:after="0"/>
              <w:rPr>
                <w:sz w:val="20"/>
                <w:szCs w:val="20"/>
                <w:color w:val="auto"/>
              </w:rPr>
            </w:pPr>
          </w:p>
        </w:tc>
        <w:tc>
          <w:tcPr>
            <w:tcW w:w="2060" w:type="dxa"/>
            <w:vAlign w:val="bottom"/>
          </w:tcPr>
          <w:p>
            <w:pPr>
              <w:jc w:val="center"/>
              <w:ind w:right="210"/>
              <w:spacing w:after="0"/>
              <w:rPr>
                <w:sz w:val="20"/>
                <w:szCs w:val="20"/>
                <w:color w:val="auto"/>
              </w:rPr>
            </w:pPr>
            <w:r>
              <w:rPr>
                <w:rFonts w:ascii="Arial" w:cs="Arial" w:eastAsia="Arial" w:hAnsi="Arial"/>
                <w:sz w:val="18"/>
                <w:szCs w:val="18"/>
                <w:color w:val="auto"/>
                <w:w w:val="88"/>
              </w:rPr>
              <w:t>December 28, 2019</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3"/>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Property and equipment, net:</w:t>
            </w:r>
          </w:p>
        </w:tc>
        <w:tc>
          <w:tcPr>
            <w:tcW w:w="3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Land and building</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3,624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3,632</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3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188,239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188,593</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Information technology hardware and software</w:t>
            </w:r>
          </w:p>
        </w:tc>
        <w:tc>
          <w:tcPr>
            <w:tcW w:w="38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116,569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115,283</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Furniture and fixtures</w:t>
            </w:r>
          </w:p>
        </w:tc>
        <w:tc>
          <w:tcPr>
            <w:tcW w:w="3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55,146</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Leasehold improvements</w:t>
            </w:r>
          </w:p>
        </w:tc>
        <w:tc>
          <w:tcPr>
            <w:tcW w:w="38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212,431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213,124</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Construction in progress</w:t>
            </w:r>
          </w:p>
        </w:tc>
        <w:tc>
          <w:tcPr>
            <w:tcW w:w="3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26,517</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Right of use assets under finance leases</w:t>
            </w:r>
          </w:p>
        </w:tc>
        <w:tc>
          <w:tcPr>
            <w:tcW w:w="38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36,073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36,437</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3"/>
        </w:trPr>
        <w:tc>
          <w:tcPr>
            <w:tcW w:w="64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633,930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638,732</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Less: Accumulated depreciation</w:t>
            </w:r>
          </w:p>
        </w:tc>
        <w:tc>
          <w:tcPr>
            <w:tcW w:w="38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284,163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271,965</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68"/>
        </w:trPr>
        <w:tc>
          <w:tcPr>
            <w:tcW w:w="64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349,767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366,767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r>
      <w:tr>
        <w:trPr>
          <w:trHeight w:val="614"/>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0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As of</w:t>
            </w:r>
          </w:p>
        </w:tc>
        <w:tc>
          <w:tcPr>
            <w:tcW w:w="300" w:type="dxa"/>
            <w:vAlign w:val="bottom"/>
          </w:tcPr>
          <w:p>
            <w:pPr>
              <w:spacing w:after="0"/>
              <w:rPr>
                <w:sz w:val="24"/>
                <w:szCs w:val="24"/>
                <w:color w:val="auto"/>
              </w:rPr>
            </w:pPr>
          </w:p>
        </w:tc>
        <w:tc>
          <w:tcPr>
            <w:tcW w:w="2060" w:type="dxa"/>
            <w:vAlign w:val="bottom"/>
          </w:tcPr>
          <w:p>
            <w:pPr>
              <w:jc w:val="center"/>
              <w:ind w:right="210"/>
              <w:spacing w:after="0"/>
              <w:rPr>
                <w:sz w:val="20"/>
                <w:szCs w:val="20"/>
                <w:color w:val="auto"/>
              </w:rPr>
            </w:pPr>
            <w:r>
              <w:rPr>
                <w:rFonts w:ascii="Arial" w:cs="Arial" w:eastAsia="Arial" w:hAnsi="Arial"/>
                <w:sz w:val="18"/>
                <w:szCs w:val="18"/>
                <w:color w:val="auto"/>
                <w:w w:val="97"/>
              </w:rPr>
              <w:t>As of</w:t>
            </w: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Pr>
          <w:p>
            <w:pPr>
              <w:spacing w:after="0"/>
              <w:rPr>
                <w:sz w:val="20"/>
                <w:szCs w:val="20"/>
                <w:color w:val="auto"/>
              </w:rPr>
            </w:pPr>
          </w:p>
        </w:tc>
        <w:tc>
          <w:tcPr>
            <w:tcW w:w="210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March 28, 2020</w:t>
            </w:r>
          </w:p>
        </w:tc>
        <w:tc>
          <w:tcPr>
            <w:tcW w:w="300" w:type="dxa"/>
            <w:vAlign w:val="bottom"/>
          </w:tcPr>
          <w:p>
            <w:pPr>
              <w:spacing w:after="0"/>
              <w:rPr>
                <w:sz w:val="20"/>
                <w:szCs w:val="20"/>
                <w:color w:val="auto"/>
              </w:rPr>
            </w:pPr>
          </w:p>
        </w:tc>
        <w:tc>
          <w:tcPr>
            <w:tcW w:w="2060" w:type="dxa"/>
            <w:vAlign w:val="bottom"/>
          </w:tcPr>
          <w:p>
            <w:pPr>
              <w:jc w:val="center"/>
              <w:ind w:right="210"/>
              <w:spacing w:after="0"/>
              <w:rPr>
                <w:sz w:val="20"/>
                <w:szCs w:val="20"/>
                <w:color w:val="auto"/>
              </w:rPr>
            </w:pPr>
            <w:r>
              <w:rPr>
                <w:rFonts w:ascii="Arial" w:cs="Arial" w:eastAsia="Arial" w:hAnsi="Arial"/>
                <w:sz w:val="18"/>
                <w:szCs w:val="18"/>
                <w:color w:val="auto"/>
                <w:w w:val="88"/>
              </w:rPr>
              <w:t>December 28, 2019</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3"/>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payables and accrued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Employee compensation and benefits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30,680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28,347</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Advertising</w:t>
            </w:r>
          </w:p>
        </w:tc>
        <w:tc>
          <w:tcPr>
            <w:tcW w:w="3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2,919</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Self-insurance liabilities</w:t>
            </w:r>
          </w:p>
        </w:tc>
        <w:tc>
          <w:tcPr>
            <w:tcW w:w="38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8,313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8,403</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Reserves for customer returns and remakes</w:t>
            </w:r>
          </w:p>
        </w:tc>
        <w:tc>
          <w:tcPr>
            <w:tcW w:w="3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7,158</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38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10,062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6,782</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Legacy management &amp; services agreement</w:t>
            </w:r>
          </w:p>
        </w:tc>
        <w:tc>
          <w:tcPr>
            <w:tcW w:w="3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4,461</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Fair value of derivative liabilities</w:t>
            </w:r>
          </w:p>
        </w:tc>
        <w:tc>
          <w:tcPr>
            <w:tcW w:w="38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8,230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6,382</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Supplies and other store support expenses</w:t>
            </w:r>
          </w:p>
        </w:tc>
        <w:tc>
          <w:tcPr>
            <w:tcW w:w="3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2,926</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Litigation settlements</w:t>
            </w:r>
          </w:p>
        </w:tc>
        <w:tc>
          <w:tcPr>
            <w:tcW w:w="38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8,228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3,840</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16,298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11,611</w:t>
            </w:r>
          </w:p>
        </w:tc>
      </w:tr>
      <w:tr>
        <w:trPr>
          <w:trHeight w:val="236"/>
        </w:trPr>
        <w:tc>
          <w:tcPr>
            <w:tcW w:w="64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98,972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82,829</w:t>
            </w: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614"/>
        </w:trPr>
        <w:tc>
          <w:tcPr>
            <w:tcW w:w="6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0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As of</w:t>
            </w:r>
          </w:p>
        </w:tc>
        <w:tc>
          <w:tcPr>
            <w:tcW w:w="300" w:type="dxa"/>
            <w:vAlign w:val="bottom"/>
          </w:tcPr>
          <w:p>
            <w:pPr>
              <w:spacing w:after="0"/>
              <w:rPr>
                <w:sz w:val="24"/>
                <w:szCs w:val="24"/>
                <w:color w:val="auto"/>
              </w:rPr>
            </w:pPr>
          </w:p>
        </w:tc>
        <w:tc>
          <w:tcPr>
            <w:tcW w:w="2060" w:type="dxa"/>
            <w:vAlign w:val="bottom"/>
          </w:tcPr>
          <w:p>
            <w:pPr>
              <w:jc w:val="center"/>
              <w:ind w:right="210"/>
              <w:spacing w:after="0"/>
              <w:rPr>
                <w:sz w:val="20"/>
                <w:szCs w:val="20"/>
                <w:color w:val="auto"/>
              </w:rPr>
            </w:pPr>
            <w:r>
              <w:rPr>
                <w:rFonts w:ascii="Arial" w:cs="Arial" w:eastAsia="Arial" w:hAnsi="Arial"/>
                <w:sz w:val="18"/>
                <w:szCs w:val="18"/>
                <w:color w:val="auto"/>
                <w:w w:val="97"/>
              </w:rPr>
              <w:t>As of</w:t>
            </w: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Pr>
          <w:p>
            <w:pPr>
              <w:spacing w:after="0"/>
              <w:rPr>
                <w:sz w:val="20"/>
                <w:szCs w:val="20"/>
                <w:color w:val="auto"/>
              </w:rPr>
            </w:pPr>
          </w:p>
        </w:tc>
        <w:tc>
          <w:tcPr>
            <w:tcW w:w="210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March 28, 2020</w:t>
            </w:r>
          </w:p>
        </w:tc>
        <w:tc>
          <w:tcPr>
            <w:tcW w:w="300" w:type="dxa"/>
            <w:vAlign w:val="bottom"/>
          </w:tcPr>
          <w:p>
            <w:pPr>
              <w:spacing w:after="0"/>
              <w:rPr>
                <w:sz w:val="20"/>
                <w:szCs w:val="20"/>
                <w:color w:val="auto"/>
              </w:rPr>
            </w:pPr>
          </w:p>
        </w:tc>
        <w:tc>
          <w:tcPr>
            <w:tcW w:w="2060" w:type="dxa"/>
            <w:vAlign w:val="bottom"/>
          </w:tcPr>
          <w:p>
            <w:pPr>
              <w:jc w:val="center"/>
              <w:ind w:right="210"/>
              <w:spacing w:after="0"/>
              <w:rPr>
                <w:sz w:val="20"/>
                <w:szCs w:val="20"/>
                <w:color w:val="auto"/>
              </w:rPr>
            </w:pPr>
            <w:r>
              <w:rPr>
                <w:rFonts w:ascii="Arial" w:cs="Arial" w:eastAsia="Arial" w:hAnsi="Arial"/>
                <w:sz w:val="18"/>
                <w:szCs w:val="18"/>
                <w:color w:val="auto"/>
                <w:w w:val="88"/>
              </w:rPr>
              <w:t>December 28, 2019</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Fair value of derivative liabilities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8,613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1,603</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Self-insurance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7,283</w:t>
            </w:r>
          </w:p>
        </w:tc>
      </w:tr>
      <w:tr>
        <w:trPr>
          <w:trHeight w:val="243"/>
        </w:trPr>
        <w:tc>
          <w:tcPr>
            <w:tcW w:w="6400" w:type="dxa"/>
            <w:vAlign w:val="bottom"/>
          </w:tcPr>
          <w:p>
            <w:pPr>
              <w:ind w:left="1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4,562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4,845</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68"/>
        </w:trPr>
        <w:tc>
          <w:tcPr>
            <w:tcW w:w="64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20,526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13,731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 of Financial Assets and Liabilities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a fair value hierarchy that is intended to increase consistency and comparability in fair value measurements and related disclosures.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pricing based upon a reporting entity’s own market assumptions.</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required to measure certain assets and liabilities at fair value or disclose the fair values of certain assets and liabilities recorded at cost. Accounting standards define fair value as the price that would be received to sell an asset or paid to transfer a liability in an orderly transaction between market participants at the measurement date. Fair value is estimated assuming the transaction occurs in the principal or most advantageous market for the asset or liability and includes consideration of non-performance risk and credit risk of both parties. A three-tier fair value hierarchy prioritizes the inputs used in measuring fair value. These tiers include:</w:t>
      </w:r>
    </w:p>
    <w:p>
      <w:pPr>
        <w:sectPr>
          <w:pgSz w:w="11900" w:h="16838" w:orient="portrait"/>
          <w:cols w:equalWidth="0" w:num="1">
            <w:col w:w="11240"/>
          </w:cols>
          <w:pgMar w:left="320" w:top="314" w:right="339" w:bottom="1440" w:gutter="0" w:footer="0" w:header="0"/>
        </w:sect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314"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 of Financial Assets and Liabilities (continued)</w:t>
      </w:r>
    </w:p>
    <w:p>
      <w:pPr>
        <w:spacing w:after="0" w:line="229" w:lineRule="exact"/>
        <w:rPr>
          <w:rFonts w:ascii="Arial" w:cs="Arial" w:eastAsia="Arial" w:hAnsi="Arial"/>
          <w:sz w:val="18"/>
          <w:szCs w:val="18"/>
          <w:b w:val="1"/>
          <w:bCs w:val="1"/>
          <w:color w:val="auto"/>
        </w:rPr>
      </w:pPr>
    </w:p>
    <w:p>
      <w:pPr>
        <w:ind w:left="660" w:hanging="328"/>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Level 1 - Valuation inputs are based upon unadjusted quoted prices for identical instruments traded in active markets.</w:t>
      </w:r>
    </w:p>
    <w:p>
      <w:pPr>
        <w:spacing w:after="0" w:line="11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Level 2 - Valuation inputs are based upon quoted prices for similar instruments in active markets, quoted prices for identical or similar instruments in inactive markets, and model-based valuation techniques for which all significant assumptions are observable in the market or can be corroborated by observable market data for substantially the full term of the instruments.</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Level 3 - Valuation inputs are unobservable and typically reflect management’s estimates of assumptions that market participants would use in pricing the asset or liability. The fair values are determined using model-based techniques that include discounted cash flow models and similar techniques.</w:t>
      </w:r>
    </w:p>
    <w:p>
      <w:pPr>
        <w:spacing w:after="0" w:line="7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fair value estimates of financial instruments are not necessarily indicative of the amounts we might pay or receive in actual market transactions. The use of different market assumptions and/or estimation methodologies may have a material impact on the estimated fair value amounts.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 and Restricted Cash</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carrying amount of cash equivalents approximates fair value due to the short-term maturity of the instruments. All cash and cash equivalents are denominated in U.S. currency.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 of accounts receivable approximates fair value due to the short-term nature of those items and the effect of related allowances for credit losses.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Payable and Other Payables and Accrued Expenses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carrying amounts of accounts payable and other payables and accrued expenses approximate fair value due to the short-term nature of those items.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 - Term Loan and Revolving Credit Facility</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the borrowings under our term loan and revolving credit facility utilize variable interest rate setting mechanisms such as LIBOR, the fair values of these borrowings are deemed to approximate the carrying values. Refer to Note 4. “Long-term Debt” and Note 14. “Subsequent Events” for additional information on our term loan and revolving credit facility.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Lease Obligations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finance lease obligations is based on estimated future contractual cash flows discounted at an appropriate market rate of interest (Level 2 inputs). The estimated fair values of our finance leases were $38.5 million and $38.2 million as of March 28, 2020 and December 28, 2019, respectively, compared to carrying values of $33.9 million and $33.3 million,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Derivatives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is party to pay-fixed and receive-floating interest rate swap agreements to offset the variability of cash flows in LIBOR-indexed debt interest payments, subject to a 1.0% floor, attributable to changes in the benchmark interest rate from March 13, 2017 to March 13, 2021 related to its credit agreement. During the first quarter of 2020, in accordance with the original agreements with the counterparties, the notional amount of one swap decreased from $105.0 million to $70.0 million. There were no other changes in the terms of the agreements. Also, during the first quarter of 2020, the Company entered into a forward-starting interest rate collar that will hedge variability of cash flows of LIBOR-indexed debt interest payments from March 13, 2021 to July 18, 2024, following the maturity of the interest rate swap agreements, with an aggregate notional amount of $375 million.</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recognize as assets or liabilities at fair value the estimated amounts we would receive or pay upon a termination of interest rate derivatives prior to their scheduled expiration dates. Fair value is based on information that is model-driven and whose inputs are observable (Level 2 inputs). Cumulative unrealized losses on derivative instruments are recorded in accumulated other comprehensive loss (“AOCL”), net of tax. As of March 28, 2020, the Company expects to reclassify $6.1 million of unrealized losses on derivative instruments, net of tax, from AOCL into earnings in the next 12 months as the derivative instruments mature. See Note 13. “Accumulated Other Comprehensive Loss” for further details.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 of Financial Assets and Liabilities (continued)</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Changes in the cash flows of each derivative are expected to be highly effective in offsetting the changes in interest payments on a principal balance equal to the derivative’s notional amount, attributable to the hedged risk. Our hedges have been deemed highly effective since inception as a result of our quarterly hedge effectiveness testing.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Our cash flow hedge position related to interest rate derivative contracts is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Other Payables and</w:t>
            </w: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57"/>
        </w:trPr>
        <w:tc>
          <w:tcPr>
            <w:tcW w:w="32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2"/>
                <w:szCs w:val="22"/>
                <w:color w:val="auto"/>
              </w:rPr>
            </w:pP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Notional Amount</w:t>
            </w:r>
          </w:p>
        </w:tc>
        <w:tc>
          <w:tcPr>
            <w:tcW w:w="180" w:type="dxa"/>
            <w:vAlign w:val="bottom"/>
          </w:tcPr>
          <w:p>
            <w:pPr>
              <w:spacing w:after="0"/>
              <w:rPr>
                <w:sz w:val="22"/>
                <w:szCs w:val="22"/>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Accrued Expenses</w:t>
            </w:r>
          </w:p>
        </w:tc>
        <w:tc>
          <w:tcPr>
            <w:tcW w:w="220" w:type="dxa"/>
            <w:vAlign w:val="bottom"/>
          </w:tcPr>
          <w:p>
            <w:pPr>
              <w:spacing w:after="0"/>
              <w:rPr>
                <w:sz w:val="22"/>
                <w:szCs w:val="22"/>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2"/>
                <w:szCs w:val="22"/>
                <w:color w:val="auto"/>
              </w:rPr>
            </w:pPr>
          </w:p>
        </w:tc>
        <w:tc>
          <w:tcPr>
            <w:tcW w:w="1740" w:type="dxa"/>
            <w:vAlign w:val="bottom"/>
          </w:tcPr>
          <w:p>
            <w:pPr>
              <w:jc w:val="right"/>
              <w:ind w:right="90"/>
              <w:spacing w:after="0" w:line="257" w:lineRule="exact"/>
              <w:rPr>
                <w:sz w:val="20"/>
                <w:szCs w:val="20"/>
                <w:color w:val="auto"/>
              </w:rPr>
            </w:pPr>
            <w:r>
              <w:rPr>
                <w:rFonts w:ascii="Arial" w:cs="Arial" w:eastAsia="Arial" w:hAnsi="Arial"/>
                <w:sz w:val="18"/>
                <w:szCs w:val="18"/>
                <w:color w:val="auto"/>
                <w:w w:val="91"/>
              </w:rPr>
              <w:t xml:space="preserve">AOCL, Net of Tax </w:t>
            </w:r>
            <w:r>
              <w:rPr>
                <w:rFonts w:ascii="Arial" w:cs="Arial" w:eastAsia="Arial" w:hAnsi="Arial"/>
                <w:sz w:val="25"/>
                <w:szCs w:val="25"/>
                <w:color w:val="auto"/>
                <w:w w:val="91"/>
                <w:vertAlign w:val="superscript"/>
              </w:rPr>
              <w:t>(1)</w:t>
            </w:r>
          </w:p>
        </w:tc>
      </w:tr>
      <w:tr>
        <w:trPr>
          <w:trHeight w:val="209"/>
        </w:trPr>
        <w:tc>
          <w:tcPr>
            <w:tcW w:w="32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7"/>
              </w:rPr>
              <w:t>As of</w:t>
            </w:r>
          </w:p>
        </w:tc>
        <w:tc>
          <w:tcPr>
            <w:tcW w:w="2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r>
      <w:tr>
        <w:trPr>
          <w:trHeight w:val="237"/>
        </w:trPr>
        <w:tc>
          <w:tcPr>
            <w:tcW w:w="3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March 28, 2020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395,000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8,613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10,416</w:t>
            </w:r>
          </w:p>
        </w:tc>
      </w:tr>
      <w:tr>
        <w:trPr>
          <w:trHeight w:val="229"/>
        </w:trPr>
        <w:tc>
          <w:tcPr>
            <w:tcW w:w="3240" w:type="dxa"/>
            <w:vAlign w:val="bottom"/>
          </w:tcPr>
          <w:p>
            <w:pPr>
              <w:jc w:val="center"/>
              <w:spacing w:after="0"/>
              <w:rPr>
                <w:sz w:val="20"/>
                <w:szCs w:val="20"/>
                <w:color w:val="auto"/>
              </w:rPr>
            </w:pPr>
            <w:r>
              <w:rPr>
                <w:rFonts w:ascii="Arial" w:cs="Arial" w:eastAsia="Arial" w:hAnsi="Arial"/>
                <w:sz w:val="18"/>
                <w:szCs w:val="18"/>
                <w:color w:val="auto"/>
                <w:w w:val="97"/>
              </w:rPr>
              <w:t>As of</w:t>
            </w: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3240" w:type="dxa"/>
            <w:vAlign w:val="bottom"/>
          </w:tcPr>
          <w:p>
            <w:pPr>
              <w:jc w:val="center"/>
              <w:spacing w:after="0"/>
              <w:rPr>
                <w:sz w:val="20"/>
                <w:szCs w:val="20"/>
                <w:color w:val="auto"/>
              </w:rPr>
            </w:pPr>
            <w:r>
              <w:rPr>
                <w:rFonts w:ascii="Arial" w:cs="Arial" w:eastAsia="Arial" w:hAnsi="Arial"/>
                <w:sz w:val="18"/>
                <w:szCs w:val="18"/>
                <w:color w:val="auto"/>
                <w:w w:val="88"/>
              </w:rPr>
              <w:t>December 28, 2019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430,000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6,382</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3,814</w:t>
            </w:r>
          </w:p>
        </w:tc>
      </w:tr>
    </w:tbl>
    <w:p>
      <w:pPr>
        <w:spacing w:after="0" w:line="116" w:lineRule="exact"/>
        <w:rPr>
          <w:sz w:val="20"/>
          <w:szCs w:val="20"/>
          <w:color w:val="auto"/>
        </w:rPr>
      </w:pPr>
    </w:p>
    <w:p>
      <w:pPr>
        <w:ind w:left="660" w:hanging="328"/>
        <w:spacing w:after="0"/>
        <w:tabs>
          <w:tab w:leader="none" w:pos="660" w:val="left"/>
        </w:tabs>
        <w:numPr>
          <w:ilvl w:val="1"/>
          <w:numId w:val="7"/>
        </w:numPr>
        <w:rPr>
          <w:rFonts w:ascii="Arial" w:cs="Arial" w:eastAsia="Arial" w:hAnsi="Arial"/>
          <w:sz w:val="14"/>
          <w:szCs w:val="14"/>
          <w:color w:val="auto"/>
        </w:rPr>
      </w:pPr>
      <w:r>
        <w:rPr>
          <w:rFonts w:ascii="Arial" w:cs="Arial" w:eastAsia="Arial" w:hAnsi="Arial"/>
          <w:sz w:val="14"/>
          <w:szCs w:val="14"/>
          <w:color w:val="auto"/>
        </w:rPr>
        <w:t>Includes stranded tax benefit of $2.1 million within AOCL from adopting provisions of the Tax Cuts and Jobs Act of 2017 during the year ended December 30, 2017.</w:t>
      </w:r>
    </w:p>
    <w:p>
      <w:pPr>
        <w:spacing w:after="0" w:line="217" w:lineRule="exact"/>
        <w:rPr>
          <w:rFonts w:ascii="Arial" w:cs="Arial" w:eastAsia="Arial" w:hAnsi="Arial"/>
          <w:sz w:val="14"/>
          <w:szCs w:val="14"/>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consists of the following:</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center"/>
              <w:ind w:right="420"/>
              <w:spacing w:after="0"/>
              <w:rPr>
                <w:sz w:val="20"/>
                <w:szCs w:val="20"/>
                <w:color w:val="auto"/>
              </w:rPr>
            </w:pPr>
            <w:r>
              <w:rPr>
                <w:rFonts w:ascii="Arial" w:cs="Arial" w:eastAsia="Arial" w:hAnsi="Arial"/>
                <w:sz w:val="18"/>
                <w:szCs w:val="18"/>
                <w:color w:val="auto"/>
                <w:w w:val="92"/>
              </w:rPr>
              <w:t>As of</w:t>
            </w:r>
          </w:p>
        </w:tc>
        <w:tc>
          <w:tcPr>
            <w:tcW w:w="240" w:type="dxa"/>
            <w:vAlign w:val="bottom"/>
          </w:tcPr>
          <w:p>
            <w:pPr>
              <w:spacing w:after="0"/>
              <w:rPr>
                <w:sz w:val="18"/>
                <w:szCs w:val="18"/>
                <w:color w:val="auto"/>
              </w:rPr>
            </w:pPr>
          </w:p>
        </w:tc>
        <w:tc>
          <w:tcPr>
            <w:tcW w:w="1900" w:type="dxa"/>
            <w:vAlign w:val="bottom"/>
          </w:tcPr>
          <w:p>
            <w:pPr>
              <w:jc w:val="right"/>
              <w:ind w:right="770"/>
              <w:spacing w:after="0"/>
              <w:rPr>
                <w:sz w:val="20"/>
                <w:szCs w:val="20"/>
                <w:color w:val="auto"/>
              </w:rPr>
            </w:pPr>
            <w:r>
              <w:rPr>
                <w:rFonts w:ascii="Arial" w:cs="Arial" w:eastAsia="Arial" w:hAnsi="Arial"/>
                <w:sz w:val="18"/>
                <w:szCs w:val="18"/>
                <w:color w:val="auto"/>
              </w:rPr>
              <w:t>As of</w:t>
            </w:r>
          </w:p>
        </w:tc>
      </w:tr>
      <w:tr>
        <w:trPr>
          <w:trHeight w:val="230"/>
        </w:trPr>
        <w:tc>
          <w:tcPr>
            <w:tcW w:w="686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320" w:type="dxa"/>
            <w:vAlign w:val="bottom"/>
          </w:tcPr>
          <w:p>
            <w:pPr>
              <w:spacing w:after="0"/>
              <w:rPr>
                <w:sz w:val="20"/>
                <w:szCs w:val="20"/>
                <w:color w:val="auto"/>
              </w:rPr>
            </w:pPr>
          </w:p>
        </w:tc>
        <w:tc>
          <w:tcPr>
            <w:tcW w:w="192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March 28, 2020</w:t>
            </w:r>
          </w:p>
        </w:tc>
        <w:tc>
          <w:tcPr>
            <w:tcW w:w="240" w:type="dxa"/>
            <w:vAlign w:val="bottom"/>
          </w:tcPr>
          <w:p>
            <w:pPr>
              <w:spacing w:after="0"/>
              <w:rPr>
                <w:sz w:val="20"/>
                <w:szCs w:val="20"/>
                <w:color w:val="auto"/>
              </w:rPr>
            </w:pPr>
          </w:p>
        </w:tc>
        <w:tc>
          <w:tcPr>
            <w:tcW w:w="1900" w:type="dxa"/>
            <w:vAlign w:val="bottom"/>
          </w:tcPr>
          <w:p>
            <w:pPr>
              <w:jc w:val="right"/>
              <w:ind w:right="270"/>
              <w:spacing w:after="0"/>
              <w:rPr>
                <w:sz w:val="20"/>
                <w:szCs w:val="20"/>
                <w:color w:val="auto"/>
              </w:rPr>
            </w:pPr>
            <w:r>
              <w:rPr>
                <w:rFonts w:ascii="Arial" w:cs="Arial" w:eastAsia="Arial" w:hAnsi="Arial"/>
                <w:sz w:val="18"/>
                <w:szCs w:val="18"/>
                <w:color w:val="auto"/>
                <w:w w:val="96"/>
              </w:rPr>
              <w:t>December 28, 2019</w:t>
            </w:r>
          </w:p>
        </w:tc>
      </w:tr>
      <w:tr>
        <w:trPr>
          <w:trHeight w:val="27"/>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due July 18, 2024</w:t>
            </w:r>
          </w:p>
        </w:tc>
        <w:tc>
          <w:tcPr>
            <w:tcW w:w="3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392,375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392,375</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Revolving credit facility, due July 18, 2024</w:t>
            </w:r>
          </w:p>
        </w:tc>
        <w:tc>
          <w:tcPr>
            <w:tcW w:w="32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294,269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148,000</w:t>
            </w:r>
          </w:p>
        </w:tc>
      </w:tr>
      <w:tr>
        <w:trPr>
          <w:trHeight w:val="27"/>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and revolving credit facility before unamortized discount</w:t>
            </w:r>
          </w:p>
        </w:tc>
        <w:tc>
          <w:tcPr>
            <w:tcW w:w="3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686,644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540,375</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Unamortized discount</w:t>
            </w:r>
          </w:p>
        </w:tc>
        <w:tc>
          <w:tcPr>
            <w:tcW w:w="3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(3,762)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(3,979)</w:t>
            </w:r>
          </w:p>
        </w:tc>
      </w:tr>
      <w:tr>
        <w:trPr>
          <w:trHeight w:val="27"/>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3"/>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term loan and revolving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682,882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536,396</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Less current maturities</w:t>
            </w:r>
          </w:p>
        </w:tc>
        <w:tc>
          <w:tcPr>
            <w:tcW w:w="320" w:type="dxa"/>
            <w:vAlign w:val="bottom"/>
          </w:tcPr>
          <w:p>
            <w:pPr>
              <w:spacing w:after="0"/>
              <w:rPr>
                <w:sz w:val="21"/>
                <w:szCs w:val="21"/>
                <w:color w:val="auto"/>
              </w:rPr>
            </w:pPr>
          </w:p>
        </w:tc>
        <w:tc>
          <w:tcPr>
            <w:tcW w:w="1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(10,500)</w:t>
            </w:r>
          </w:p>
        </w:tc>
      </w:tr>
      <w:tr>
        <w:trPr>
          <w:trHeight w:val="27"/>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and revolving credit facility - non-current portion</w:t>
            </w:r>
          </w:p>
        </w:tc>
        <w:tc>
          <w:tcPr>
            <w:tcW w:w="3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682,882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525,896</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Finance lease obligations</w:t>
            </w:r>
          </w:p>
        </w:tc>
        <w:tc>
          <w:tcPr>
            <w:tcW w:w="32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33,895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33,296</w:t>
            </w: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maturities</w:t>
            </w:r>
          </w:p>
        </w:tc>
        <w:tc>
          <w:tcPr>
            <w:tcW w:w="3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(3,259)</w:t>
            </w:r>
          </w:p>
        </w:tc>
      </w:tr>
      <w:tr>
        <w:trPr>
          <w:trHeight w:val="257"/>
        </w:trPr>
        <w:tc>
          <w:tcPr>
            <w:tcW w:w="6860" w:type="dxa"/>
            <w:vAlign w:val="bottom"/>
          </w:tcPr>
          <w:p>
            <w:pPr>
              <w:ind w:left="40"/>
              <w:spacing w:after="0"/>
              <w:rPr>
                <w:sz w:val="20"/>
                <w:szCs w:val="20"/>
                <w:color w:val="auto"/>
              </w:rPr>
            </w:pPr>
            <w:r>
              <w:rPr>
                <w:rFonts w:ascii="Arial" w:cs="Arial" w:eastAsia="Arial" w:hAnsi="Arial"/>
                <w:sz w:val="18"/>
                <w:szCs w:val="18"/>
                <w:color w:val="auto"/>
              </w:rPr>
              <w:t>Long-term debt, less current portion and unamortized debt discount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713,246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555,933</w:t>
            </w: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made a $25.0 million principal prepayment in 2019; the table below reflects the application of the prepayment towards quarterly principal payment obligations in 2020, 2021 and 2022.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Scheduled annual maturities of debt are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00" w:type="dxa"/>
            <w:vAlign w:val="bottom"/>
            <w:gridSpan w:val="2"/>
          </w:tcPr>
          <w:p>
            <w:pPr>
              <w:ind w:left="40"/>
              <w:spacing w:after="0"/>
              <w:rPr>
                <w:sz w:val="20"/>
                <w:szCs w:val="20"/>
                <w:color w:val="auto"/>
              </w:rPr>
            </w:pPr>
            <w:r>
              <w:rPr>
                <w:rFonts w:ascii="Arial" w:cs="Arial" w:eastAsia="Arial" w:hAnsi="Arial"/>
                <w:sz w:val="18"/>
                <w:szCs w:val="18"/>
                <w:color w:val="auto"/>
              </w:rPr>
              <w:t>Fiscal Period</w:t>
            </w:r>
          </w:p>
        </w:tc>
        <w:tc>
          <w:tcPr>
            <w:tcW w:w="620" w:type="dxa"/>
            <w:vAlign w:val="bottom"/>
          </w:tcPr>
          <w:p>
            <w:pPr>
              <w:spacing w:after="0"/>
              <w:rPr>
                <w:sz w:val="20"/>
                <w:szCs w:val="20"/>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i w:val="1"/>
                <w:iCs w:val="1"/>
                <w:color w:val="auto"/>
              </w:rPr>
              <w:t>In thousands</w:t>
            </w:r>
          </w:p>
        </w:tc>
      </w:tr>
      <w:tr>
        <w:trPr>
          <w:trHeight w:val="27"/>
        </w:trPr>
        <w:tc>
          <w:tcPr>
            <w:tcW w:w="9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91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2020 - remaining fiscal year</w:t>
            </w: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000" w:type="dxa"/>
            <w:vAlign w:val="bottom"/>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9,125</w:t>
            </w:r>
          </w:p>
        </w:tc>
      </w:tr>
      <w:tr>
        <w:trPr>
          <w:trHeight w:val="243"/>
        </w:trPr>
        <w:tc>
          <w:tcPr>
            <w:tcW w:w="9000" w:type="dxa"/>
            <w:vAlign w:val="bottom"/>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21,000</w:t>
            </w:r>
          </w:p>
        </w:tc>
      </w:tr>
      <w:tr>
        <w:trPr>
          <w:trHeight w:val="27"/>
        </w:trPr>
        <w:tc>
          <w:tcPr>
            <w:tcW w:w="9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656,519</w:t>
            </w:r>
          </w:p>
        </w:tc>
      </w:tr>
      <w:tr>
        <w:trPr>
          <w:trHeight w:val="236"/>
        </w:trPr>
        <w:tc>
          <w:tcPr>
            <w:tcW w:w="9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686,644</w:t>
            </w:r>
          </w:p>
        </w:tc>
      </w:tr>
      <w:tr>
        <w:trPr>
          <w:trHeight w:val="27"/>
        </w:trPr>
        <w:tc>
          <w:tcPr>
            <w:tcW w:w="9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9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were in compliance with all covenants related to our long-term debt as of March 28, 2020. In March 2020, as a precautionary measure to preserve financial flexibility in light of the uncertainties surrounding the COVID-19 pandemic, the Company borrowed the remaining $146.3 million in available funds under its revolving credit facility all due in 2024. Refer to Note 14. “Subsequent Events” for more information on our long-term debt.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 Incentive Plans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three months ended March 28, 2020, the Company granted 158,206 stock options, 124,863 performance-based restricted stock units (“PSUs”) and 155,550 restricted stock units (“RSUs”) to eligible employees under the National Vision Holdings, Inc. 2017 Omnibus Incentive Plan (the “2017 Omnibus Incentive Plan”). The time-based options granted in fiscal 2020 vest in three equal annual installments, with one-third of the total options vesting on each of the first, second, and third anniversaries of the grant date, subject to continued employment through the applicable vesting date. The PSUs granted in fiscal 2020 are settled after the end of the performance period (i.e., cliff vesting), which begins on the first day of our 2020 fiscal year and ends on the last day of our 2022 fiscal year, and are based on the Company’s achievement of certain performance targets. The RSUs granted in fiscal 2020 vest primarily in three equal installments through February 28, 2023.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Equity in Net Assets of Non-Consolidated Investee</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an investment in a private start-up company whose principal business is licensing software to eyeglass retailers. Under the equity method of accounting, we are required to record our interest in the investee’s reported net income or loss for each reporting period, which is presented in other expense, net in the Company’s condensed consolidated statements of operations. After adjusting the carrying value of our interest in the investee’s reported net losses, there is no remaining equity investment balance associated with this investee as of March 28, 2020.</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August 29, 2017, the investee issued a secured convertible promissory note to the Company, in the principal amount of $1.5 million, due on August 29, 2020. Upon adoption of ASU No.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in the first quarter of 2020, the Company increased the allowance for credit losses related to the convertible promissory note to $1.5 million. After adjusting for the estimated credit losses, there is no remaining carrying value of the convertible promissory note as of March 28, 2020. Interest income associated with the note was immaterial for the three months ended March 28, 2020 and March 30, 2019. In April 2020, subsequent to the date of the financial statements, the Company converted the promissory note to an equity investment.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Revenue from Contracts with Customers</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Company’s revenues are recognized either at the point of sale or upon delivery and customer acceptance, paid for at the time of sale in cash, credit card, or on account with managed care payors having terms generally between 14 and 120 days, with most paying within 90 days. Our point in time revenues include 1) retail sales of prescription and non-prescription eyewear, contact lenses and related accessories to retail customers (including those covered by managed care), 2) eye exams and 3) wholesale sales of inventory in which our customer is another retail entity. Revenues recognized over time primarily include product protection plans, eye care club memberships and management fees earned from our legacy partner.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disaggregation of revenues is based on the timing of revenue recognition:</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80" w:type="dxa"/>
            <w:vAlign w:val="bottom"/>
            <w:gridSpan w:val="4"/>
          </w:tcPr>
          <w:p>
            <w:pPr>
              <w:jc w:val="right"/>
              <w:ind w:right="870"/>
              <w:spacing w:after="0"/>
              <w:rPr>
                <w:sz w:val="20"/>
                <w:szCs w:val="20"/>
                <w:color w:val="auto"/>
              </w:rPr>
            </w:pPr>
            <w:r>
              <w:rPr>
                <w:rFonts w:ascii="Arial" w:cs="Arial" w:eastAsia="Arial" w:hAnsi="Arial"/>
                <w:sz w:val="18"/>
                <w:szCs w:val="18"/>
                <w:color w:val="auto"/>
              </w:rPr>
              <w:t>Three Months Ended</w:t>
            </w:r>
          </w:p>
        </w:tc>
      </w:tr>
      <w:tr>
        <w:trPr>
          <w:trHeight w:val="27"/>
        </w:trPr>
        <w:tc>
          <w:tcPr>
            <w:tcW w:w="7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color w:val="auto"/>
              </w:rPr>
              <w:t>March 28, 2020</w:t>
            </w:r>
          </w:p>
        </w:tc>
        <w:tc>
          <w:tcPr>
            <w:tcW w:w="180" w:type="dxa"/>
            <w:vAlign w:val="bottom"/>
          </w:tcPr>
          <w:p>
            <w:pPr>
              <w:spacing w:after="0"/>
              <w:rPr>
                <w:sz w:val="20"/>
                <w:szCs w:val="20"/>
                <w:color w:val="auto"/>
              </w:rPr>
            </w:pPr>
          </w:p>
        </w:tc>
        <w:tc>
          <w:tcPr>
            <w:tcW w:w="1500" w:type="dxa"/>
            <w:vAlign w:val="bottom"/>
          </w:tcPr>
          <w:p>
            <w:pPr>
              <w:jc w:val="right"/>
              <w:ind w:right="190"/>
              <w:spacing w:after="0"/>
              <w:rPr>
                <w:sz w:val="20"/>
                <w:szCs w:val="20"/>
                <w:color w:val="auto"/>
              </w:rPr>
            </w:pPr>
            <w:r>
              <w:rPr>
                <w:rFonts w:ascii="Arial" w:cs="Arial" w:eastAsia="Arial" w:hAnsi="Arial"/>
                <w:sz w:val="18"/>
                <w:szCs w:val="18"/>
                <w:color w:val="auto"/>
                <w:w w:val="95"/>
              </w:rPr>
              <w:t>March 30, 2019</w:t>
            </w:r>
          </w:p>
        </w:tc>
      </w:tr>
      <w:tr>
        <w:trPr>
          <w:trHeight w:val="27"/>
        </w:trPr>
        <w:tc>
          <w:tcPr>
            <w:tcW w:w="7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recognized at a point in time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434,179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424,214</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Revenues recognized over time</w:t>
            </w:r>
          </w:p>
        </w:tc>
        <w:tc>
          <w:tcPr>
            <w:tcW w:w="2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35,525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37,001</w:t>
            </w:r>
          </w:p>
        </w:tc>
      </w:tr>
      <w:tr>
        <w:trPr>
          <w:trHeight w:val="27"/>
        </w:trPr>
        <w:tc>
          <w:tcPr>
            <w:tcW w:w="77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469,704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461,215</w:t>
            </w:r>
          </w:p>
        </w:tc>
      </w:tr>
      <w:tr>
        <w:trPr>
          <w:trHeight w:val="20"/>
        </w:trPr>
        <w:tc>
          <w:tcPr>
            <w:tcW w:w="7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Refer to Note 10. “Segment Reporting” for the Company’s disaggregation of net revenue by reportable segment. As the reportable segments are aligned by similar economic factors, trends and customers, the reportable segment disaggregation view best depicts how the nature, amount and uncertainty of revenue and cash flows are affected by economic factors.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contract assets and contract liabilities primarily result from timing differences between the performance of our obligations and the customer’s payment.</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Revenue From Contracts with Customers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Accounts receivable associated with revenues consist primarily of trade receivables and credit card receivables. Trade receivables consist primarily of receivables from managed care payors and receivables from major retailers. While we have relationships with almost all vision care insurers in the United States and with all of the major carriers, currently, a relatively small number of payors comprise the majority of our managed care revenues, subjecting us to concentration risk. Accounts receivable are reduced by allowances for credit losses. Estimates of our allowance for credit losses are based on our historical and current operating, billing, and collection trends, as well as current conditions and reasonable and supportable forecasts about the future. Accounts receivable are written off after all collection attempts have been exhausted. Credit loss expense recognized on our receivables, which is presented in SG&amp;A expenses in the Company’s condensed consolidated statements of operations, were approximately $0.4 million for the three months ended March 28, 2020 as compared to $2.0 million for the three months ended March 30, 2019.</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of allowance for expected credit losses for the three months ended March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168910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tcPr>
          <w:p>
            <w:pPr>
              <w:spacing w:after="0"/>
              <w:rPr>
                <w:sz w:val="18"/>
                <w:szCs w:val="18"/>
                <w:color w:val="auto"/>
              </w:rPr>
            </w:pPr>
          </w:p>
        </w:tc>
        <w:tc>
          <w:tcPr>
            <w:tcW w:w="2240" w:type="dxa"/>
            <w:vAlign w:val="bottom"/>
          </w:tcPr>
          <w:p>
            <w:pPr>
              <w:jc w:val="right"/>
              <w:ind w:right="270"/>
              <w:spacing w:after="0"/>
              <w:rPr>
                <w:sz w:val="20"/>
                <w:szCs w:val="20"/>
                <w:color w:val="auto"/>
              </w:rPr>
            </w:pPr>
            <w:r>
              <w:rPr>
                <w:rFonts w:ascii="Arial" w:cs="Arial" w:eastAsia="Arial" w:hAnsi="Arial"/>
                <w:sz w:val="18"/>
                <w:szCs w:val="18"/>
                <w:color w:val="auto"/>
              </w:rPr>
              <w:t>Three Months Ended</w:t>
            </w:r>
          </w:p>
        </w:tc>
      </w:tr>
      <w:tr>
        <w:trPr>
          <w:trHeight w:val="230"/>
        </w:trPr>
        <w:tc>
          <w:tcPr>
            <w:tcW w:w="90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240" w:type="dxa"/>
            <w:vAlign w:val="bottom"/>
          </w:tcPr>
          <w:p>
            <w:pPr>
              <w:jc w:val="right"/>
              <w:ind w:right="450"/>
              <w:spacing w:after="0"/>
              <w:rPr>
                <w:sz w:val="20"/>
                <w:szCs w:val="20"/>
                <w:color w:val="auto"/>
              </w:rPr>
            </w:pPr>
            <w:r>
              <w:rPr>
                <w:rFonts w:ascii="Arial" w:cs="Arial" w:eastAsia="Arial" w:hAnsi="Arial"/>
                <w:sz w:val="18"/>
                <w:szCs w:val="18"/>
                <w:color w:val="auto"/>
              </w:rPr>
              <w:t>March 28, 2020</w:t>
            </w:r>
          </w:p>
        </w:tc>
      </w:tr>
      <w:tr>
        <w:trPr>
          <w:trHeight w:val="27"/>
        </w:trPr>
        <w:tc>
          <w:tcPr>
            <w:tcW w:w="90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3"/>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as of December 28, 2019</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(3,040)</w:t>
            </w:r>
          </w:p>
        </w:tc>
      </w:tr>
      <w:tr>
        <w:trPr>
          <w:trHeight w:val="243"/>
        </w:trPr>
        <w:tc>
          <w:tcPr>
            <w:tcW w:w="9000" w:type="dxa"/>
            <w:vAlign w:val="bottom"/>
          </w:tcPr>
          <w:p>
            <w:pPr>
              <w:ind w:left="40"/>
              <w:spacing w:after="0"/>
              <w:rPr>
                <w:sz w:val="20"/>
                <w:szCs w:val="20"/>
                <w:color w:val="auto"/>
              </w:rPr>
            </w:pPr>
            <w:r>
              <w:rPr>
                <w:rFonts w:ascii="Arial" w:cs="Arial" w:eastAsia="Arial" w:hAnsi="Arial"/>
                <w:sz w:val="18"/>
                <w:szCs w:val="18"/>
                <w:color w:val="auto"/>
              </w:rPr>
              <w:t>Current-period provision for expected credit losses</w:t>
            </w:r>
          </w:p>
        </w:tc>
        <w:tc>
          <w:tcPr>
            <w:tcW w:w="2240" w:type="dxa"/>
            <w:vAlign w:val="bottom"/>
          </w:tcPr>
          <w:p>
            <w:pPr>
              <w:jc w:val="right"/>
              <w:spacing w:after="0"/>
              <w:rPr>
                <w:sz w:val="20"/>
                <w:szCs w:val="20"/>
                <w:color w:val="auto"/>
              </w:rPr>
            </w:pPr>
            <w:r>
              <w:rPr>
                <w:rFonts w:ascii="Arial" w:cs="Arial" w:eastAsia="Arial" w:hAnsi="Arial"/>
                <w:sz w:val="18"/>
                <w:szCs w:val="18"/>
                <w:color w:val="auto"/>
              </w:rPr>
              <w:t>(448)</w:t>
            </w:r>
          </w:p>
        </w:tc>
      </w:tr>
      <w:tr>
        <w:trPr>
          <w:trHeight w:val="27"/>
        </w:trPr>
        <w:tc>
          <w:tcPr>
            <w:tcW w:w="90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Write-offs charged against the allowance</w:t>
            </w: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w:t>
            </w:r>
          </w:p>
        </w:tc>
      </w:tr>
      <w:tr>
        <w:trPr>
          <w:trHeight w:val="270"/>
        </w:trPr>
        <w:tc>
          <w:tcPr>
            <w:tcW w:w="90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Other adjustments </w:t>
            </w:r>
            <w:r>
              <w:rPr>
                <w:rFonts w:ascii="Arial" w:cs="Arial" w:eastAsia="Arial" w:hAnsi="Arial"/>
                <w:sz w:val="25"/>
                <w:szCs w:val="25"/>
                <w:color w:val="auto"/>
                <w:vertAlign w:val="superscript"/>
              </w:rPr>
              <w:t>(1)</w:t>
            </w:r>
          </w:p>
        </w:tc>
        <w:tc>
          <w:tcPr>
            <w:tcW w:w="2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2,207</w:t>
            </w:r>
          </w:p>
        </w:tc>
      </w:tr>
      <w:tr>
        <w:trPr>
          <w:trHeight w:val="237"/>
        </w:trPr>
        <w:tc>
          <w:tcPr>
            <w:tcW w:w="9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Ending balance as of March 28, 2020</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r>
      <w:tr>
        <w:trPr>
          <w:trHeight w:val="27"/>
        </w:trPr>
        <w:tc>
          <w:tcPr>
            <w:tcW w:w="90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r>
    </w:tbl>
    <w:p>
      <w:pPr>
        <w:spacing w:after="0" w:line="13" w:lineRule="exact"/>
        <w:rPr>
          <w:sz w:val="20"/>
          <w:szCs w:val="20"/>
          <w:color w:val="auto"/>
        </w:rPr>
      </w:pPr>
    </w:p>
    <w:p>
      <w:pPr>
        <w:jc w:val="both"/>
        <w:ind w:left="40" w:right="20" w:hanging="5"/>
        <w:spacing w:after="0" w:line="226" w:lineRule="auto"/>
        <w:tabs>
          <w:tab w:leader="none" w:pos="245"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As part of our adoption of ASU 2016-13 we adjusted the allowance for certain amounts recognized in prior periods that no longer represented an allowance for credit losses. The adjustment was immaterial to the financial results of current and prior periods. See Note 2. “Details of Certain Balance Sheet Accounts” for further details.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Unsatisfied Performance Obligations (Contract Liabilities)</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Our retail customers generally make payments for prescription eyewear products at the time they place an order. Amounts we collect in advance for undelivered merchandise are reported as unearned revenue in the accompanying condensed consolidated balance sheets. Unearned revenue at the end of a reporting period is estimated based on delivery times throughout the current month and generally ranges from approximately seven to 10 days; all unearned revenue at the end of a reporting period is recognized in the next fiscal period. Due to the temporary closure of our stores on March 19, 2020, we additionally evaluated eyeglass sales orders placed closer to March 19, 2020 for unearned revenue considering ship-to-home and delivery dates. The unearned revenue methodology for unearned revenue on contact lenses remained the same as a majority of contact lenses sales are ship-to-home which do not require store pick-up.</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contract liabilities also consist of deferred revenue on services and plans obligations, primarily product protection plans and eyecare club memberships. The unamortized portion of amounts we collect in advance for these services and plans is reported as deferred revenue in the accompanying condensed consolidated balance sheets (current and non-current portions). Our deferred revenue balance as of March 28, 2020 was $77.9 million. We expect future revenue recognition of this balance of $48.5 million, $21.1 million, $7.7 million, $0.5 million, and $0.1 million in fiscal years 2020, 2021, 2022, 2023, and 2024, respectively. We recognized $28.0 million of previously deferred revenues during the three months ended March 28, 2020, and $27.7 million during the three months ended March 30, 2019.</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lease our stores, laboratories, distribution centers, and corporate offices. These leases generally have noncancelable lease terms of between five and 10 years, with an option to renew for additional terms of one to 10 years or more. The lease term includes renewal option periods when the renewal is deemed reasonably certain after considering the value of the leasehold improvements at the end of the noncancelable lease period. Most leases for our stores provide for a minimum rent and typically include escalating rent over time with the exception of Military for which lease payments are variable and based on a percentage of sales. For Vista Optical locations in Fred Meyer stores, we pay fixed rent plus a percentage of sales after certain minimum thresholds are achieved. The Company’s leases generally require us to pay insurance, real estate taxes and common area maintenance expenses, substantially all of which are variable and not included in the measurement of the lease liability. Our lease agreements do not contain any material residual value guarantees or material restrictive covenants. With respect to lease accounting guidance, the Company’s management &amp; services agreement with its legacy partner does not contain a lease arrangement.</w:t>
      </w:r>
    </w:p>
    <w:p>
      <w:pPr>
        <w:spacing w:after="0" w:line="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lease arrangements include Tenant Improvement Allowances (“TIAs”), which are contractual amounts received from a lessor for improvements made to leased properties by the Company. For operating leases, TIAs are treated as a reduction of the lease payments used to measure the ROU assets in the accompanying consolidated balance sheets, and are amortized as a reduction in rental expense over the life of the respective leases.</w:t>
      </w:r>
    </w:p>
    <w:p>
      <w:pPr>
        <w:spacing w:after="0" w:line="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rent or sublease certain parts of our stores to third parties. Our sublease portfolio consists mainly of operating leases with our ophthalmologists and optometrists within our stores.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4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right"/>
              <w:ind w:right="730"/>
              <w:spacing w:after="0"/>
              <w:rPr>
                <w:sz w:val="20"/>
                <w:szCs w:val="20"/>
                <w:color w:val="auto"/>
              </w:rPr>
            </w:pPr>
            <w:r>
              <w:rPr>
                <w:rFonts w:ascii="Arial" w:cs="Arial" w:eastAsia="Arial" w:hAnsi="Arial"/>
                <w:sz w:val="18"/>
                <w:szCs w:val="18"/>
                <w:color w:val="auto"/>
              </w:rPr>
              <w:t>As of</w:t>
            </w:r>
          </w:p>
        </w:tc>
        <w:tc>
          <w:tcPr>
            <w:tcW w:w="300" w:type="dxa"/>
            <w:vAlign w:val="bottom"/>
          </w:tcPr>
          <w:p>
            <w:pPr>
              <w:spacing w:after="0"/>
              <w:rPr>
                <w:sz w:val="18"/>
                <w:szCs w:val="18"/>
                <w:color w:val="auto"/>
              </w:rPr>
            </w:pPr>
          </w:p>
        </w:tc>
        <w:tc>
          <w:tcPr>
            <w:tcW w:w="1820" w:type="dxa"/>
            <w:vAlign w:val="bottom"/>
          </w:tcPr>
          <w:p>
            <w:pPr>
              <w:jc w:val="right"/>
              <w:ind w:right="73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30"/>
        </w:trPr>
        <w:tc>
          <w:tcPr>
            <w:tcW w:w="1040" w:type="dxa"/>
            <w:vAlign w:val="bottom"/>
          </w:tcPr>
          <w:p>
            <w:pPr>
              <w:ind w:left="20"/>
              <w:spacing w:after="0"/>
              <w:rPr>
                <w:sz w:val="20"/>
                <w:szCs w:val="20"/>
                <w:color w:val="auto"/>
              </w:rPr>
            </w:pPr>
            <w:r>
              <w:rPr>
                <w:rFonts w:ascii="Arial" w:cs="Arial" w:eastAsia="Arial" w:hAnsi="Arial"/>
                <w:sz w:val="18"/>
                <w:szCs w:val="18"/>
                <w:i w:val="1"/>
                <w:iCs w:val="1"/>
                <w:color w:val="auto"/>
                <w:w w:val="96"/>
              </w:rPr>
              <w:t>In thousands</w:t>
            </w:r>
          </w:p>
        </w:tc>
        <w:tc>
          <w:tcPr>
            <w:tcW w:w="6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jc w:val="right"/>
              <w:ind w:right="350"/>
              <w:spacing w:after="0"/>
              <w:rPr>
                <w:sz w:val="20"/>
                <w:szCs w:val="20"/>
                <w:color w:val="auto"/>
              </w:rPr>
            </w:pPr>
            <w:r>
              <w:rPr>
                <w:rFonts w:ascii="Arial" w:cs="Arial" w:eastAsia="Arial" w:hAnsi="Arial"/>
                <w:sz w:val="18"/>
                <w:szCs w:val="18"/>
                <w:color w:val="auto"/>
              </w:rPr>
              <w:t>March 28, 2020</w:t>
            </w:r>
          </w:p>
        </w:tc>
        <w:tc>
          <w:tcPr>
            <w:tcW w:w="300" w:type="dxa"/>
            <w:vAlign w:val="bottom"/>
          </w:tcPr>
          <w:p>
            <w:pPr>
              <w:spacing w:after="0"/>
              <w:rPr>
                <w:sz w:val="20"/>
                <w:szCs w:val="20"/>
                <w:color w:val="auto"/>
              </w:rPr>
            </w:pPr>
          </w:p>
        </w:tc>
        <w:tc>
          <w:tcPr>
            <w:tcW w:w="1820" w:type="dxa"/>
            <w:vAlign w:val="bottom"/>
          </w:tcPr>
          <w:p>
            <w:pPr>
              <w:jc w:val="right"/>
              <w:ind w:right="210"/>
              <w:spacing w:after="0"/>
              <w:rPr>
                <w:sz w:val="20"/>
                <w:szCs w:val="20"/>
                <w:color w:val="auto"/>
              </w:rPr>
            </w:pPr>
            <w:r>
              <w:rPr>
                <w:rFonts w:ascii="Arial" w:cs="Arial" w:eastAsia="Arial" w:hAnsi="Arial"/>
                <w:sz w:val="18"/>
                <w:szCs w:val="18"/>
                <w:color w:val="auto"/>
                <w:w w:val="94"/>
              </w:rPr>
              <w:t>December 28, 2019</w:t>
            </w:r>
          </w:p>
        </w:tc>
        <w:tc>
          <w:tcPr>
            <w:tcW w:w="0" w:type="dxa"/>
            <w:vAlign w:val="bottom"/>
          </w:tcPr>
          <w:p>
            <w:pPr>
              <w:spacing w:after="0"/>
              <w:rPr>
                <w:sz w:val="1"/>
                <w:szCs w:val="1"/>
                <w:color w:val="auto"/>
              </w:rPr>
            </w:pPr>
          </w:p>
        </w:tc>
      </w:tr>
      <w:tr>
        <w:trPr>
          <w:trHeight w:val="27"/>
        </w:trPr>
        <w:tc>
          <w:tcPr>
            <w:tcW w:w="1040" w:type="dxa"/>
            <w:vAlign w:val="bottom"/>
            <w:tcBorders>
              <w:bottom w:val="single" w:sz="8" w:color="CCEEFF"/>
            </w:tcBorders>
          </w:tcPr>
          <w:p>
            <w:pPr>
              <w:spacing w:after="0"/>
              <w:rPr>
                <w:sz w:val="2"/>
                <w:szCs w:val="2"/>
                <w:color w:val="auto"/>
              </w:rPr>
            </w:pPr>
          </w:p>
        </w:tc>
        <w:tc>
          <w:tcPr>
            <w:tcW w:w="6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Type</w:t>
            </w:r>
          </w:p>
        </w:tc>
        <w:tc>
          <w:tcPr>
            <w:tcW w:w="6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Classification</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6000" w:type="dxa"/>
            <w:vAlign w:val="bottom"/>
          </w:tcPr>
          <w:p>
            <w:pPr>
              <w:ind w:left="10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w:t>
            </w:r>
          </w:p>
        </w:tc>
        <w:tc>
          <w:tcPr>
            <w:tcW w:w="6000" w:type="dxa"/>
            <w:vAlign w:val="bottom"/>
            <w:shd w:val="clear" w:color="auto" w:fill="CCEEFF"/>
          </w:tcPr>
          <w:p>
            <w:pPr>
              <w:ind w:left="100"/>
              <w:spacing w:after="0" w:line="270" w:lineRule="exact"/>
              <w:rPr>
                <w:sz w:val="20"/>
                <w:szCs w:val="20"/>
                <w:color w:val="auto"/>
              </w:rPr>
            </w:pPr>
            <w:r>
              <w:rPr>
                <w:rFonts w:ascii="Arial" w:cs="Arial" w:eastAsia="Arial" w:hAnsi="Arial"/>
                <w:sz w:val="18"/>
                <w:szCs w:val="18"/>
                <w:color w:val="auto"/>
              </w:rPr>
              <w:t xml:space="preserve">Property and equipment, net </w:t>
            </w:r>
            <w:r>
              <w:rPr>
                <w:rFonts w:ascii="Arial" w:cs="Arial" w:eastAsia="Arial" w:hAnsi="Arial"/>
                <w:sz w:val="25"/>
                <w:szCs w:val="25"/>
                <w:color w:val="auto"/>
                <w:vertAlign w:val="superscript"/>
              </w:rPr>
              <w:t>(a)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26,716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28,128</w:t>
            </w:r>
          </w:p>
        </w:tc>
        <w:tc>
          <w:tcPr>
            <w:tcW w:w="0" w:type="dxa"/>
            <w:vAlign w:val="bottom"/>
          </w:tcPr>
          <w:p>
            <w:pPr>
              <w:spacing w:after="0"/>
              <w:rPr>
                <w:sz w:val="1"/>
                <w:szCs w:val="1"/>
                <w:color w:val="auto"/>
              </w:rPr>
            </w:pPr>
          </w:p>
        </w:tc>
      </w:tr>
      <w:tr>
        <w:trPr>
          <w:trHeight w:val="270"/>
        </w:trPr>
        <w:tc>
          <w:tcPr>
            <w:tcW w:w="1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w:t>
            </w:r>
          </w:p>
        </w:tc>
        <w:tc>
          <w:tcPr>
            <w:tcW w:w="6000" w:type="dxa"/>
            <w:vAlign w:val="bottom"/>
            <w:tcBorders>
              <w:bottom w:val="single" w:sz="8" w:color="CCEEFF"/>
            </w:tcBorders>
          </w:tcPr>
          <w:p>
            <w:pPr>
              <w:ind w:left="100"/>
              <w:spacing w:after="0" w:line="270" w:lineRule="exact"/>
              <w:rPr>
                <w:sz w:val="20"/>
                <w:szCs w:val="20"/>
                <w:color w:val="auto"/>
              </w:rPr>
            </w:pPr>
            <w:r>
              <w:rPr>
                <w:rFonts w:ascii="Arial" w:cs="Arial" w:eastAsia="Arial" w:hAnsi="Arial"/>
                <w:sz w:val="18"/>
                <w:szCs w:val="18"/>
                <w:color w:val="auto"/>
              </w:rPr>
              <w:t xml:space="preserve">Right of use assets </w:t>
            </w:r>
            <w:r>
              <w:rPr>
                <w:rFonts w:ascii="Arial" w:cs="Arial" w:eastAsia="Arial" w:hAnsi="Arial"/>
                <w:sz w:val="25"/>
                <w:szCs w:val="25"/>
                <w:color w:val="auto"/>
                <w:vertAlign w:val="superscript"/>
              </w:rPr>
              <w:t>(b)</w:t>
            </w:r>
          </w:p>
        </w:tc>
        <w:tc>
          <w:tcPr>
            <w:tcW w:w="28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343,731</w:t>
            </w:r>
          </w:p>
        </w:tc>
        <w:tc>
          <w:tcPr>
            <w:tcW w:w="30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348,090</w:t>
            </w:r>
          </w:p>
        </w:tc>
        <w:tc>
          <w:tcPr>
            <w:tcW w:w="0" w:type="dxa"/>
            <w:vAlign w:val="bottom"/>
          </w:tcPr>
          <w:p>
            <w:pPr>
              <w:spacing w:after="0"/>
              <w:rPr>
                <w:sz w:val="1"/>
                <w:szCs w:val="1"/>
                <w:color w:val="auto"/>
              </w:rPr>
            </w:pPr>
          </w:p>
        </w:tc>
      </w:tr>
      <w:tr>
        <w:trPr>
          <w:trHeight w:val="257"/>
        </w:trPr>
        <w:tc>
          <w:tcPr>
            <w:tcW w:w="1040" w:type="dxa"/>
            <w:vAlign w:val="bottom"/>
            <w:tcBorders>
              <w:bottom w:val="single" w:sz="8" w:color="CCEEFF"/>
            </w:tcBorders>
            <w:shd w:val="clear" w:color="auto" w:fill="CCEEFF"/>
          </w:tcPr>
          <w:p>
            <w:pPr>
              <w:spacing w:after="0"/>
              <w:rPr>
                <w:sz w:val="22"/>
                <w:szCs w:val="22"/>
                <w:color w:val="auto"/>
              </w:rPr>
            </w:pPr>
          </w:p>
        </w:tc>
        <w:tc>
          <w:tcPr>
            <w:tcW w:w="6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 leased assets</w:t>
            </w:r>
          </w:p>
        </w:tc>
        <w:tc>
          <w:tcPr>
            <w:tcW w:w="28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370,447</w:t>
            </w:r>
          </w:p>
        </w:tc>
        <w:tc>
          <w:tcPr>
            <w:tcW w:w="300" w:type="dxa"/>
            <w:vAlign w:val="bottom"/>
            <w:tcBorders>
              <w:bottom w:val="single" w:sz="8" w:color="auto"/>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376,218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40" w:type="dxa"/>
            <w:vAlign w:val="bottom"/>
          </w:tcPr>
          <w:p>
            <w:pPr>
              <w:spacing w:after="0"/>
              <w:rPr>
                <w:sz w:val="20"/>
                <w:szCs w:val="20"/>
                <w:color w:val="auto"/>
              </w:rPr>
            </w:pPr>
          </w:p>
        </w:tc>
        <w:tc>
          <w:tcPr>
            <w:tcW w:w="60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Borders>
              <w:bottom w:val="single" w:sz="8" w:color="CCEEFF"/>
            </w:tcBorders>
            <w:shd w:val="clear" w:color="auto" w:fill="CCEEFF"/>
          </w:tcPr>
          <w:p>
            <w:pPr>
              <w:spacing w:after="0"/>
              <w:rPr>
                <w:sz w:val="21"/>
                <w:szCs w:val="21"/>
                <w:color w:val="auto"/>
              </w:rPr>
            </w:pPr>
          </w:p>
        </w:tc>
        <w:tc>
          <w:tcPr>
            <w:tcW w:w="6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ind w:left="20"/>
              <w:spacing w:after="0"/>
              <w:rPr>
                <w:sz w:val="20"/>
                <w:szCs w:val="20"/>
                <w:color w:val="auto"/>
              </w:rPr>
            </w:pPr>
            <w:r>
              <w:rPr>
                <w:rFonts w:ascii="Arial" w:cs="Arial" w:eastAsia="Arial" w:hAnsi="Arial"/>
                <w:sz w:val="18"/>
                <w:szCs w:val="18"/>
                <w:color w:val="auto"/>
              </w:rPr>
              <w:t>Finance</w:t>
            </w:r>
          </w:p>
        </w:tc>
        <w:tc>
          <w:tcPr>
            <w:tcW w:w="6000" w:type="dxa"/>
            <w:vAlign w:val="bottom"/>
          </w:tcPr>
          <w:p>
            <w:pPr>
              <w:ind w:left="100"/>
              <w:spacing w:after="0"/>
              <w:rPr>
                <w:sz w:val="20"/>
                <w:szCs w:val="20"/>
                <w:color w:val="auto"/>
              </w:rPr>
            </w:pPr>
            <w:r>
              <w:rPr>
                <w:rFonts w:ascii="Arial" w:cs="Arial" w:eastAsia="Arial" w:hAnsi="Arial"/>
                <w:sz w:val="18"/>
                <w:szCs w:val="18"/>
                <w:color w:val="auto"/>
              </w:rPr>
              <w:t>Current maturities of long-term debt and finance lease obligations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3,531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3,259</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w:t>
            </w:r>
          </w:p>
        </w:tc>
        <w:tc>
          <w:tcPr>
            <w:tcW w:w="6000" w:type="dxa"/>
            <w:vAlign w:val="bottom"/>
            <w:shd w:val="clear" w:color="auto" w:fill="CCEEFF"/>
          </w:tcPr>
          <w:p>
            <w:pPr>
              <w:ind w:left="100"/>
              <w:spacing w:after="0" w:line="270" w:lineRule="exact"/>
              <w:rPr>
                <w:sz w:val="20"/>
                <w:szCs w:val="20"/>
                <w:color w:val="auto"/>
              </w:rPr>
            </w:pPr>
            <w:r>
              <w:rPr>
                <w:rFonts w:ascii="Arial" w:cs="Arial" w:eastAsia="Arial" w:hAnsi="Arial"/>
                <w:sz w:val="18"/>
                <w:szCs w:val="18"/>
                <w:color w:val="auto"/>
              </w:rPr>
              <w:t xml:space="preserve">Current operating lease obligations </w:t>
            </w:r>
            <w:r>
              <w:rPr>
                <w:rFonts w:ascii="Arial" w:cs="Arial" w:eastAsia="Arial" w:hAnsi="Arial"/>
                <w:sz w:val="25"/>
                <w:szCs w:val="25"/>
                <w:color w:val="auto"/>
                <w:vertAlign w:val="superscript"/>
              </w:rPr>
              <w:t>(c)</w:t>
            </w:r>
          </w:p>
        </w:tc>
        <w:tc>
          <w:tcPr>
            <w:tcW w:w="28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60,014</w:t>
            </w:r>
          </w:p>
        </w:tc>
        <w:tc>
          <w:tcPr>
            <w:tcW w:w="30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51,937</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6000" w:type="dxa"/>
            <w:vAlign w:val="bottom"/>
          </w:tcPr>
          <w:p>
            <w:pPr>
              <w:ind w:left="100"/>
              <w:spacing w:after="0"/>
              <w:rPr>
                <w:sz w:val="20"/>
                <w:szCs w:val="20"/>
                <w:color w:val="auto"/>
              </w:rPr>
            </w:pPr>
            <w:r>
              <w:rPr>
                <w:rFonts w:ascii="Arial" w:cs="Arial" w:eastAsia="Arial" w:hAnsi="Arial"/>
                <w:sz w:val="18"/>
                <w:szCs w:val="18"/>
                <w:b w:val="1"/>
                <w:bCs w:val="1"/>
                <w:color w:val="auto"/>
              </w:rPr>
              <w:t>Other non-current liabilities:</w:t>
            </w:r>
          </w:p>
        </w:tc>
        <w:tc>
          <w:tcPr>
            <w:tcW w:w="2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6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40" w:type="dxa"/>
            <w:vAlign w:val="bottom"/>
            <w:shd w:val="clear" w:color="auto" w:fill="CCEEFF"/>
          </w:tcPr>
          <w:p>
            <w:pPr>
              <w:spacing w:after="0"/>
              <w:rPr>
                <w:sz w:val="19"/>
                <w:szCs w:val="19"/>
                <w:color w:val="auto"/>
              </w:rPr>
            </w:pPr>
          </w:p>
        </w:tc>
        <w:tc>
          <w:tcPr>
            <w:tcW w:w="60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Long-term debt and finance lease obligations, less current portion and debt</w:t>
            </w:r>
          </w:p>
        </w:tc>
        <w:tc>
          <w:tcPr>
            <w:tcW w:w="2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w:t>
            </w:r>
          </w:p>
        </w:tc>
        <w:tc>
          <w:tcPr>
            <w:tcW w:w="6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discount</w:t>
            </w:r>
          </w:p>
        </w:tc>
        <w:tc>
          <w:tcPr>
            <w:tcW w:w="2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30,364</w:t>
            </w:r>
          </w:p>
        </w:tc>
        <w:tc>
          <w:tcPr>
            <w:tcW w:w="3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30,037</w:t>
            </w:r>
          </w:p>
        </w:tc>
        <w:tc>
          <w:tcPr>
            <w:tcW w:w="0" w:type="dxa"/>
            <w:vAlign w:val="bottom"/>
          </w:tcPr>
          <w:p>
            <w:pPr>
              <w:spacing w:after="0"/>
              <w:rPr>
                <w:sz w:val="1"/>
                <w:szCs w:val="1"/>
                <w:color w:val="auto"/>
              </w:rPr>
            </w:pPr>
          </w:p>
        </w:tc>
      </w:tr>
      <w:tr>
        <w:trPr>
          <w:trHeight w:val="243"/>
        </w:trPr>
        <w:tc>
          <w:tcPr>
            <w:tcW w:w="1040" w:type="dxa"/>
            <w:vAlign w:val="bottom"/>
          </w:tcPr>
          <w:p>
            <w:pPr>
              <w:ind w:left="20"/>
              <w:spacing w:after="0"/>
              <w:rPr>
                <w:sz w:val="20"/>
                <w:szCs w:val="20"/>
                <w:color w:val="auto"/>
              </w:rPr>
            </w:pPr>
            <w:r>
              <w:rPr>
                <w:rFonts w:ascii="Arial" w:cs="Arial" w:eastAsia="Arial" w:hAnsi="Arial"/>
                <w:sz w:val="18"/>
                <w:szCs w:val="18"/>
                <w:color w:val="auto"/>
              </w:rPr>
              <w:t>Operating</w:t>
            </w:r>
          </w:p>
        </w:tc>
        <w:tc>
          <w:tcPr>
            <w:tcW w:w="6000" w:type="dxa"/>
            <w:vAlign w:val="bottom"/>
          </w:tcPr>
          <w:p>
            <w:pPr>
              <w:ind w:left="100"/>
              <w:spacing w:after="0"/>
              <w:rPr>
                <w:sz w:val="20"/>
                <w:szCs w:val="20"/>
                <w:color w:val="auto"/>
              </w:rPr>
            </w:pPr>
            <w:r>
              <w:rPr>
                <w:rFonts w:ascii="Arial" w:cs="Arial" w:eastAsia="Arial" w:hAnsi="Arial"/>
                <w:sz w:val="18"/>
                <w:szCs w:val="18"/>
                <w:color w:val="auto"/>
              </w:rPr>
              <w:t>Non-current operating lease obligations</w:t>
            </w:r>
          </w:p>
        </w:tc>
        <w:tc>
          <w:tcPr>
            <w:tcW w:w="280" w:type="dxa"/>
            <w:vAlign w:val="bottom"/>
          </w:tcPr>
          <w:p>
            <w:pPr>
              <w:spacing w:after="0"/>
              <w:rPr>
                <w:sz w:val="21"/>
                <w:szCs w:val="21"/>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331,234</w:t>
            </w:r>
          </w:p>
        </w:tc>
        <w:tc>
          <w:tcPr>
            <w:tcW w:w="300" w:type="dxa"/>
            <w:vAlign w:val="bottom"/>
          </w:tcPr>
          <w:p>
            <w:pPr>
              <w:spacing w:after="0"/>
              <w:rPr>
                <w:sz w:val="21"/>
                <w:szCs w:val="21"/>
                <w:color w:val="auto"/>
              </w:rPr>
            </w:pPr>
          </w:p>
        </w:tc>
        <w:tc>
          <w:tcPr>
            <w:tcW w:w="1820" w:type="dxa"/>
            <w:vAlign w:val="bottom"/>
          </w:tcPr>
          <w:p>
            <w:pPr>
              <w:jc w:val="right"/>
              <w:ind w:right="30"/>
              <w:spacing w:after="0"/>
              <w:rPr>
                <w:sz w:val="20"/>
                <w:szCs w:val="20"/>
                <w:color w:val="auto"/>
              </w:rPr>
            </w:pPr>
            <w:r>
              <w:rPr>
                <w:rFonts w:ascii="Arial" w:cs="Arial" w:eastAsia="Arial" w:hAnsi="Arial"/>
                <w:sz w:val="18"/>
                <w:szCs w:val="18"/>
                <w:color w:val="auto"/>
              </w:rPr>
              <w:t>331,769</w:t>
            </w:r>
          </w:p>
        </w:tc>
        <w:tc>
          <w:tcPr>
            <w:tcW w:w="0" w:type="dxa"/>
            <w:vAlign w:val="bottom"/>
          </w:tcPr>
          <w:p>
            <w:pPr>
              <w:spacing w:after="0"/>
              <w:rPr>
                <w:sz w:val="1"/>
                <w:szCs w:val="1"/>
                <w:color w:val="auto"/>
              </w:rPr>
            </w:pPr>
          </w:p>
        </w:tc>
      </w:tr>
      <w:tr>
        <w:trPr>
          <w:trHeight w:val="27"/>
        </w:trPr>
        <w:tc>
          <w:tcPr>
            <w:tcW w:w="1040" w:type="dxa"/>
            <w:vAlign w:val="bottom"/>
            <w:tcBorders>
              <w:bottom w:val="single" w:sz="8" w:color="CCEEFF"/>
            </w:tcBorders>
          </w:tcPr>
          <w:p>
            <w:pPr>
              <w:spacing w:after="0"/>
              <w:rPr>
                <w:sz w:val="2"/>
                <w:szCs w:val="2"/>
                <w:color w:val="auto"/>
              </w:rPr>
            </w:pPr>
          </w:p>
        </w:tc>
        <w:tc>
          <w:tcPr>
            <w:tcW w:w="6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040" w:type="dxa"/>
            <w:vAlign w:val="bottom"/>
            <w:tcBorders>
              <w:bottom w:val="single" w:sz="8" w:color="CCEEFF"/>
            </w:tcBorders>
            <w:shd w:val="clear" w:color="auto" w:fill="CCEEFF"/>
          </w:tcPr>
          <w:p>
            <w:pPr>
              <w:spacing w:after="0"/>
              <w:rPr>
                <w:sz w:val="22"/>
                <w:szCs w:val="22"/>
                <w:color w:val="auto"/>
              </w:rPr>
            </w:pPr>
          </w:p>
        </w:tc>
        <w:tc>
          <w:tcPr>
            <w:tcW w:w="6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 lease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425,143</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417,002</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jc w:val="both"/>
        <w:ind w:left="60" w:right="60"/>
        <w:spacing w:after="0" w:line="253" w:lineRule="auto"/>
        <w:rPr>
          <w:sz w:val="20"/>
          <w:szCs w:val="20"/>
          <w:color w:val="auto"/>
        </w:rPr>
      </w:pPr>
      <w:r>
        <w:rPr>
          <w:rFonts w:ascii="Arial" w:cs="Arial" w:eastAsia="Arial" w:hAnsi="Arial"/>
          <w:sz w:val="14"/>
          <w:szCs w:val="14"/>
          <w:color w:val="auto"/>
        </w:rPr>
        <w:t>As most of our leases do not provide an implicit rate, we use our incremental borrowing rate based on the information available at commencement date in determining the net present value of minimum lease payments. We used the incremental borrowing rate on December 30, 2018, for operating leases that commenced prior to that date.</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_________</w:t>
      </w:r>
    </w:p>
    <w:p>
      <w:pPr>
        <w:spacing w:after="0" w:line="13"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Finance lease assets are recorded net of accumulated amortization of $9.4 million and $8.3 million as of March 28, 2020 and December 28, 2019, respectively.</w:t>
      </w:r>
    </w:p>
    <w:p>
      <w:pPr>
        <w:spacing w:after="0" w:line="1" w:lineRule="exact"/>
        <w:rPr>
          <w:rFonts w:ascii="Arial" w:cs="Arial" w:eastAsia="Arial" w:hAnsi="Arial"/>
          <w:sz w:val="14"/>
          <w:szCs w:val="14"/>
          <w:color w:val="auto"/>
        </w:rPr>
      </w:pPr>
    </w:p>
    <w:p>
      <w:pPr>
        <w:ind w:firstLine="8"/>
        <w:spacing w:after="0" w:line="260" w:lineRule="auto"/>
        <w:tabs>
          <w:tab w:leader="none" w:pos="208" w:val="left"/>
        </w:tabs>
        <w:numPr>
          <w:ilvl w:val="0"/>
          <w:numId w:val="10"/>
        </w:numPr>
        <w:rPr>
          <w:rFonts w:ascii="Arial" w:cs="Arial" w:eastAsia="Arial" w:hAnsi="Arial"/>
          <w:sz w:val="13"/>
          <w:szCs w:val="13"/>
          <w:color w:val="auto"/>
        </w:rPr>
      </w:pPr>
      <w:r>
        <w:rPr>
          <w:rFonts w:ascii="Arial" w:cs="Arial" w:eastAsia="Arial" w:hAnsi="Arial"/>
          <w:sz w:val="13"/>
          <w:szCs w:val="13"/>
          <w:color w:val="auto"/>
        </w:rPr>
        <w:t>TIA of $35.5 million and $35.2 million are treated as reductions of lease payments used to measure ROU assets as of March 28, 2020 and December 28, 2019, respectively. Deferred rent of $15.7 million and $15.0 million are treated as reductions of lease payments used to measure ROU assets as of March 28, 2020 and December 28, 2019, respectively.</w:t>
      </w:r>
    </w:p>
    <w:p>
      <w:pPr>
        <w:ind w:left="200" w:hanging="192"/>
        <w:spacing w:after="0"/>
        <w:tabs>
          <w:tab w:leader="none" w:pos="2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Current operating lease liabilities are measured net of TIA receivables of $4.6 million and $5.9 million as of March 28, 2020 and December 28, 2019, respectively.</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r>
              <w:rPr>
                <w:rFonts w:ascii="Arial" w:cs="Arial" w:eastAsia="Arial" w:hAnsi="Arial"/>
                <w:sz w:val="18"/>
                <w:szCs w:val="18"/>
                <w:b w:val="1"/>
                <w:bCs w:val="1"/>
                <w:color w:val="auto"/>
              </w:rPr>
              <w:t>8. Leases (continued)</w:t>
            </w:r>
          </w:p>
        </w:tc>
        <w:tc>
          <w:tcPr>
            <w:tcW w:w="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580"/>
        </w:trPr>
        <w:tc>
          <w:tcPr>
            <w:tcW w:w="7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jc w:val="right"/>
              <w:ind w:right="750"/>
              <w:spacing w:after="0"/>
              <w:rPr>
                <w:sz w:val="20"/>
                <w:szCs w:val="20"/>
                <w:color w:val="auto"/>
              </w:rPr>
            </w:pPr>
            <w:r>
              <w:rPr>
                <w:rFonts w:ascii="Arial" w:cs="Arial" w:eastAsia="Arial" w:hAnsi="Arial"/>
                <w:sz w:val="18"/>
                <w:szCs w:val="18"/>
                <w:color w:val="auto"/>
              </w:rPr>
              <w:t>As of</w:t>
            </w:r>
          </w:p>
        </w:tc>
        <w:tc>
          <w:tcPr>
            <w:tcW w:w="340" w:type="dxa"/>
            <w:vAlign w:val="bottom"/>
          </w:tcPr>
          <w:p>
            <w:pPr>
              <w:spacing w:after="0"/>
              <w:rPr>
                <w:sz w:val="24"/>
                <w:szCs w:val="24"/>
                <w:color w:val="auto"/>
              </w:rPr>
            </w:pPr>
          </w:p>
        </w:tc>
        <w:tc>
          <w:tcPr>
            <w:tcW w:w="1740" w:type="dxa"/>
            <w:vAlign w:val="bottom"/>
          </w:tcPr>
          <w:p>
            <w:pPr>
              <w:jc w:val="right"/>
              <w:ind w:right="710"/>
              <w:spacing w:after="0"/>
              <w:rPr>
                <w:sz w:val="20"/>
                <w:szCs w:val="20"/>
                <w:color w:val="auto"/>
              </w:rPr>
            </w:pPr>
            <w:r>
              <w:rPr>
                <w:rFonts w:ascii="Arial" w:cs="Arial" w:eastAsia="Arial" w:hAnsi="Arial"/>
                <w:sz w:val="18"/>
                <w:szCs w:val="18"/>
                <w:color w:val="auto"/>
              </w:rPr>
              <w:t>As of</w:t>
            </w:r>
          </w:p>
        </w:tc>
      </w:tr>
      <w:tr>
        <w:trPr>
          <w:trHeight w:val="230"/>
        </w:trPr>
        <w:tc>
          <w:tcPr>
            <w:tcW w:w="70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780" w:type="dxa"/>
            <w:vAlign w:val="bottom"/>
          </w:tcPr>
          <w:p>
            <w:pPr>
              <w:jc w:val="right"/>
              <w:ind w:right="390"/>
              <w:spacing w:after="0"/>
              <w:rPr>
                <w:sz w:val="20"/>
                <w:szCs w:val="20"/>
                <w:color w:val="auto"/>
              </w:rPr>
            </w:pPr>
            <w:r>
              <w:rPr>
                <w:rFonts w:ascii="Arial" w:cs="Arial" w:eastAsia="Arial" w:hAnsi="Arial"/>
                <w:sz w:val="18"/>
                <w:szCs w:val="18"/>
                <w:color w:val="auto"/>
              </w:rPr>
              <w:t>March 28, 2020</w:t>
            </w:r>
          </w:p>
        </w:tc>
        <w:tc>
          <w:tcPr>
            <w:tcW w:w="340" w:type="dxa"/>
            <w:vAlign w:val="bottom"/>
          </w:tcPr>
          <w:p>
            <w:pPr>
              <w:spacing w:after="0"/>
              <w:rPr>
                <w:sz w:val="20"/>
                <w:szCs w:val="20"/>
                <w:color w:val="auto"/>
              </w:rPr>
            </w:pPr>
          </w:p>
        </w:tc>
        <w:tc>
          <w:tcPr>
            <w:tcW w:w="1740" w:type="dxa"/>
            <w:vAlign w:val="bottom"/>
          </w:tcPr>
          <w:p>
            <w:pPr>
              <w:jc w:val="right"/>
              <w:ind w:right="350"/>
              <w:spacing w:after="0"/>
              <w:rPr>
                <w:sz w:val="20"/>
                <w:szCs w:val="20"/>
                <w:color w:val="auto"/>
              </w:rPr>
            </w:pPr>
            <w:r>
              <w:rPr>
                <w:rFonts w:ascii="Arial" w:cs="Arial" w:eastAsia="Arial" w:hAnsi="Arial"/>
                <w:sz w:val="18"/>
                <w:szCs w:val="18"/>
                <w:color w:val="auto"/>
              </w:rPr>
              <w:t>March 30, 2019</w:t>
            </w:r>
          </w:p>
        </w:tc>
      </w:tr>
      <w:tr>
        <w:trPr>
          <w:trHeight w:val="27"/>
        </w:trPr>
        <w:tc>
          <w:tcPr>
            <w:tcW w:w="7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3"/>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Operating lease cost</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70"/>
        </w:trPr>
        <w:tc>
          <w:tcPr>
            <w:tcW w:w="70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Fixed lease cost </w:t>
            </w:r>
            <w:r>
              <w:rPr>
                <w:rFonts w:ascii="Arial" w:cs="Arial" w:eastAsia="Arial" w:hAnsi="Arial"/>
                <w:sz w:val="25"/>
                <w:szCs w:val="25"/>
                <w:color w:val="auto"/>
                <w:vertAlign w:val="superscript"/>
              </w:rPr>
              <w:t>(a)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19,312</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18,163</w:t>
            </w:r>
          </w:p>
        </w:tc>
      </w:tr>
      <w:tr>
        <w:trPr>
          <w:trHeight w:val="270"/>
        </w:trPr>
        <w:tc>
          <w:tcPr>
            <w:tcW w:w="70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Variable lease cost </w:t>
            </w:r>
            <w:r>
              <w:rPr>
                <w:rFonts w:ascii="Arial" w:cs="Arial" w:eastAsia="Arial" w:hAnsi="Arial"/>
                <w:sz w:val="25"/>
                <w:szCs w:val="25"/>
                <w:color w:val="auto"/>
                <w:vertAlign w:val="superscript"/>
              </w:rPr>
              <w:t>(b)</w:t>
            </w:r>
          </w:p>
        </w:tc>
        <w:tc>
          <w:tcPr>
            <w:tcW w:w="2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6,810</w:t>
            </w:r>
          </w:p>
        </w:tc>
        <w:tc>
          <w:tcPr>
            <w:tcW w:w="340" w:type="dxa"/>
            <w:vAlign w:val="bottom"/>
            <w:shd w:val="clear" w:color="auto" w:fill="CCEEFF"/>
          </w:tcPr>
          <w:p>
            <w:pPr>
              <w:spacing w:after="0"/>
              <w:rPr>
                <w:sz w:val="23"/>
                <w:szCs w:val="23"/>
                <w:color w:val="auto"/>
              </w:rPr>
            </w:pPr>
          </w:p>
        </w:tc>
        <w:tc>
          <w:tcPr>
            <w:tcW w:w="1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6,466</w:t>
            </w:r>
          </w:p>
        </w:tc>
      </w:tr>
      <w:tr>
        <w:trPr>
          <w:trHeight w:val="270"/>
        </w:trPr>
        <w:tc>
          <w:tcPr>
            <w:tcW w:w="7020" w:type="dxa"/>
            <w:vAlign w:val="bottom"/>
          </w:tcPr>
          <w:p>
            <w:pPr>
              <w:ind w:left="40"/>
              <w:spacing w:after="0" w:line="270" w:lineRule="exact"/>
              <w:rPr>
                <w:sz w:val="20"/>
                <w:szCs w:val="20"/>
                <w:color w:val="auto"/>
              </w:rPr>
            </w:pPr>
            <w:r>
              <w:rPr>
                <w:rFonts w:ascii="Arial" w:cs="Arial" w:eastAsia="Arial" w:hAnsi="Arial"/>
                <w:sz w:val="18"/>
                <w:szCs w:val="18"/>
                <w:color w:val="auto"/>
              </w:rPr>
              <w:t>Sublease income</w:t>
            </w:r>
            <w:r>
              <w:rPr>
                <w:rFonts w:ascii="Arial" w:cs="Arial" w:eastAsia="Arial" w:hAnsi="Arial"/>
                <w:sz w:val="25"/>
                <w:szCs w:val="25"/>
                <w:color w:val="auto"/>
                <w:vertAlign w:val="superscript"/>
              </w:rPr>
              <w:t>(c)</w:t>
            </w:r>
          </w:p>
        </w:tc>
        <w:tc>
          <w:tcPr>
            <w:tcW w:w="280" w:type="dxa"/>
            <w:vAlign w:val="bottom"/>
          </w:tcPr>
          <w:p>
            <w:pPr>
              <w:spacing w:after="0"/>
              <w:rPr>
                <w:sz w:val="23"/>
                <w:szCs w:val="23"/>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(591)</w:t>
            </w:r>
          </w:p>
        </w:tc>
        <w:tc>
          <w:tcPr>
            <w:tcW w:w="34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(962)</w:t>
            </w:r>
          </w:p>
        </w:tc>
      </w:tr>
      <w:tr>
        <w:trPr>
          <w:trHeight w:val="297"/>
        </w:trPr>
        <w:tc>
          <w:tcPr>
            <w:tcW w:w="7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Finance lease cost</w:t>
            </w:r>
          </w:p>
        </w:tc>
        <w:tc>
          <w:tcPr>
            <w:tcW w:w="2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40" w:type="dxa"/>
            <w:vAlign w:val="bottom"/>
          </w:tcPr>
          <w:p>
            <w:pPr>
              <w:spacing w:after="0"/>
              <w:rPr>
                <w:sz w:val="21"/>
                <w:szCs w:val="21"/>
                <w:color w:val="auto"/>
              </w:rPr>
            </w:pPr>
          </w:p>
        </w:tc>
      </w:tr>
      <w:tr>
        <w:trPr>
          <w:trHeight w:val="27"/>
        </w:trPr>
        <w:tc>
          <w:tcPr>
            <w:tcW w:w="7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finance lease assets</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1,156</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978</w:t>
            </w:r>
          </w:p>
        </w:tc>
      </w:tr>
      <w:tr>
        <w:trPr>
          <w:trHeight w:val="297"/>
        </w:trPr>
        <w:tc>
          <w:tcPr>
            <w:tcW w:w="7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Interest on finance lease liabilities</w:t>
            </w:r>
          </w:p>
        </w:tc>
        <w:tc>
          <w:tcPr>
            <w:tcW w:w="280" w:type="dxa"/>
            <w:vAlign w:val="bottom"/>
          </w:tcPr>
          <w:p>
            <w:pPr>
              <w:spacing w:after="0"/>
              <w:rPr>
                <w:sz w:val="21"/>
                <w:szCs w:val="21"/>
                <w:color w:val="auto"/>
              </w:rPr>
            </w:pPr>
          </w:p>
        </w:tc>
        <w:tc>
          <w:tcPr>
            <w:tcW w:w="1780" w:type="dxa"/>
            <w:vAlign w:val="bottom"/>
          </w:tcPr>
          <w:p>
            <w:pPr>
              <w:jc w:val="right"/>
              <w:ind w:right="50"/>
              <w:spacing w:after="0"/>
              <w:rPr>
                <w:sz w:val="20"/>
                <w:szCs w:val="20"/>
                <w:color w:val="auto"/>
              </w:rPr>
            </w:pPr>
            <w:r>
              <w:rPr>
                <w:rFonts w:ascii="Arial" w:cs="Arial" w:eastAsia="Arial" w:hAnsi="Arial"/>
                <w:sz w:val="18"/>
                <w:szCs w:val="18"/>
                <w:color w:val="auto"/>
              </w:rPr>
              <w:t>872</w:t>
            </w:r>
          </w:p>
        </w:tc>
        <w:tc>
          <w:tcPr>
            <w:tcW w:w="34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890</w:t>
            </w:r>
          </w:p>
        </w:tc>
      </w:tr>
      <w:tr>
        <w:trPr>
          <w:trHeight w:val="27"/>
        </w:trPr>
        <w:tc>
          <w:tcPr>
            <w:tcW w:w="7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97"/>
        </w:trPr>
        <w:tc>
          <w:tcPr>
            <w:tcW w:w="70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78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740" w:type="dxa"/>
            <w:vAlign w:val="bottom"/>
            <w:tcBorders>
              <w:bottom w:val="single" w:sz="8" w:color="auto"/>
            </w:tcBorders>
            <w:shd w:val="clear" w:color="auto" w:fill="CCEEFF"/>
          </w:tcPr>
          <w:p>
            <w:pPr>
              <w:spacing w:after="0"/>
              <w:rPr>
                <w:sz w:val="24"/>
                <w:szCs w:val="24"/>
                <w:color w:val="auto"/>
              </w:rPr>
            </w:pPr>
          </w:p>
        </w:tc>
      </w:tr>
      <w:tr>
        <w:trPr>
          <w:trHeight w:val="257"/>
        </w:trPr>
        <w:tc>
          <w:tcPr>
            <w:tcW w:w="7020" w:type="dxa"/>
            <w:vAlign w:val="bottom"/>
          </w:tcPr>
          <w:p>
            <w:pPr>
              <w:ind w:left="40"/>
              <w:spacing w:after="0"/>
              <w:rPr>
                <w:sz w:val="20"/>
                <w:szCs w:val="20"/>
                <w:color w:val="auto"/>
              </w:rPr>
            </w:pPr>
            <w:r>
              <w:rPr>
                <w:rFonts w:ascii="Arial" w:cs="Arial" w:eastAsia="Arial" w:hAnsi="Arial"/>
                <w:sz w:val="18"/>
                <w:szCs w:val="18"/>
                <w:b w:val="1"/>
                <w:bCs w:val="1"/>
                <w:color w:val="auto"/>
              </w:rPr>
              <w:t>Net lease cost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27,559</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25,535</w:t>
            </w:r>
          </w:p>
        </w:tc>
      </w:tr>
      <w:tr>
        <w:trPr>
          <w:trHeight w:val="20"/>
        </w:trPr>
        <w:tc>
          <w:tcPr>
            <w:tcW w:w="7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280" w:hanging="245"/>
        <w:spacing w:after="0"/>
        <w:tabs>
          <w:tab w:leader="none" w:pos="2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short-term leases, which are immaterial.</w:t>
      </w:r>
    </w:p>
    <w:p>
      <w:pPr>
        <w:spacing w:after="0" w:line="41" w:lineRule="exact"/>
        <w:rPr>
          <w:rFonts w:ascii="Arial" w:cs="Arial" w:eastAsia="Arial" w:hAnsi="Arial"/>
          <w:sz w:val="14"/>
          <w:szCs w:val="14"/>
          <w:color w:val="auto"/>
        </w:rPr>
      </w:pPr>
    </w:p>
    <w:p>
      <w:pPr>
        <w:ind w:left="40" w:right="100" w:hanging="5"/>
        <w:spacing w:after="0" w:line="253" w:lineRule="auto"/>
        <w:tabs>
          <w:tab w:leader="none" w:pos="283"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costs for insurance, real estate taxes and common area maintenance expenses, which are variable as well as lease costs above minimum thresholds for Fred Meyer stores and lease costs for Military stores.</w:t>
      </w:r>
    </w:p>
    <w:p>
      <w:pPr>
        <w:spacing w:after="0" w:line="11" w:lineRule="exact"/>
        <w:rPr>
          <w:rFonts w:ascii="Arial" w:cs="Arial" w:eastAsia="Arial" w:hAnsi="Arial"/>
          <w:sz w:val="14"/>
          <w:szCs w:val="14"/>
          <w:color w:val="auto"/>
        </w:rPr>
      </w:pPr>
    </w:p>
    <w:p>
      <w:pPr>
        <w:ind w:left="280" w:hanging="245"/>
        <w:spacing w:after="0"/>
        <w:tabs>
          <w:tab w:leader="none" w:pos="2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Income from sub-leasing of stores includes rental income from operating lease properties to ophthalmologists and optometrists who are independent contractors.</w:t>
      </w:r>
    </w:p>
    <w:p>
      <w:pPr>
        <w:spacing w:after="0" w:line="200" w:lineRule="exact"/>
        <w:rPr>
          <w:sz w:val="20"/>
          <w:szCs w:val="20"/>
          <w:color w:val="auto"/>
        </w:rPr>
      </w:pP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73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Lease Term and Discount Rate</w:t>
            </w:r>
          </w:p>
        </w:tc>
        <w:tc>
          <w:tcPr>
            <w:tcW w:w="1980" w:type="dxa"/>
            <w:vAlign w:val="bottom"/>
          </w:tcPr>
          <w:p>
            <w:pPr>
              <w:jc w:val="right"/>
              <w:ind w:right="790"/>
              <w:spacing w:after="0"/>
              <w:rPr>
                <w:sz w:val="20"/>
                <w:szCs w:val="20"/>
                <w:color w:val="auto"/>
              </w:rPr>
            </w:pPr>
            <w:r>
              <w:rPr>
                <w:rFonts w:ascii="Arial" w:cs="Arial" w:eastAsia="Arial" w:hAnsi="Arial"/>
                <w:sz w:val="18"/>
                <w:szCs w:val="18"/>
                <w:color w:val="auto"/>
              </w:rPr>
              <w:t>As of</w:t>
            </w:r>
          </w:p>
        </w:tc>
        <w:tc>
          <w:tcPr>
            <w:tcW w:w="1800" w:type="dxa"/>
            <w:vAlign w:val="bottom"/>
          </w:tcPr>
          <w:p>
            <w:pPr>
              <w:jc w:val="right"/>
              <w:ind w:right="63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30"/>
        </w:trPr>
        <w:tc>
          <w:tcPr>
            <w:tcW w:w="7340" w:type="dxa"/>
            <w:vAlign w:val="bottom"/>
            <w:gridSpan w:val="2"/>
            <w:vMerge w:val="continue"/>
          </w:tcPr>
          <w:p>
            <w:pPr>
              <w:spacing w:after="0"/>
              <w:rPr>
                <w:sz w:val="20"/>
                <w:szCs w:val="20"/>
                <w:color w:val="auto"/>
              </w:rPr>
            </w:pPr>
          </w:p>
        </w:tc>
        <w:tc>
          <w:tcPr>
            <w:tcW w:w="1980" w:type="dxa"/>
            <w:vAlign w:val="bottom"/>
          </w:tcPr>
          <w:p>
            <w:pPr>
              <w:jc w:val="right"/>
              <w:ind w:right="410"/>
              <w:spacing w:after="0"/>
              <w:rPr>
                <w:sz w:val="20"/>
                <w:szCs w:val="20"/>
                <w:color w:val="auto"/>
              </w:rPr>
            </w:pPr>
            <w:r>
              <w:rPr>
                <w:rFonts w:ascii="Arial" w:cs="Arial" w:eastAsia="Arial" w:hAnsi="Arial"/>
                <w:sz w:val="18"/>
                <w:szCs w:val="18"/>
                <w:color w:val="auto"/>
              </w:rPr>
              <w:t>March 28, 2020</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w w:val="98"/>
              </w:rPr>
              <w:t>December 28, 2019</w:t>
            </w:r>
          </w:p>
        </w:tc>
        <w:tc>
          <w:tcPr>
            <w:tcW w:w="0" w:type="dxa"/>
            <w:vAlign w:val="bottom"/>
          </w:tcPr>
          <w:p>
            <w:pPr>
              <w:spacing w:after="0"/>
              <w:rPr>
                <w:sz w:val="1"/>
                <w:szCs w:val="1"/>
                <w:color w:val="auto"/>
              </w:rPr>
            </w:pPr>
          </w:p>
        </w:tc>
      </w:tr>
      <w:tr>
        <w:trPr>
          <w:trHeight w:val="27"/>
        </w:trPr>
        <w:tc>
          <w:tcPr>
            <w:tcW w:w="7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Weighted average remaining lease term (months)</w:t>
            </w:r>
          </w:p>
        </w:tc>
        <w:tc>
          <w:tcPr>
            <w:tcW w:w="19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Operating leases</w:t>
            </w:r>
          </w:p>
        </w:tc>
        <w:tc>
          <w:tcPr>
            <w:tcW w:w="1980" w:type="dxa"/>
            <w:vAlign w:val="bottom"/>
          </w:tcPr>
          <w:p>
            <w:pPr>
              <w:jc w:val="right"/>
              <w:ind w:right="250"/>
              <w:spacing w:after="0"/>
              <w:rPr>
                <w:sz w:val="20"/>
                <w:szCs w:val="20"/>
                <w:color w:val="auto"/>
              </w:rPr>
            </w:pPr>
            <w:r>
              <w:rPr>
                <w:rFonts w:ascii="Arial" w:cs="Arial" w:eastAsia="Arial" w:hAnsi="Arial"/>
                <w:sz w:val="18"/>
                <w:szCs w:val="18"/>
                <w:color w:val="auto"/>
              </w:rPr>
              <w:t>81</w:t>
            </w: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7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19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87</w:t>
            </w:r>
          </w:p>
        </w:tc>
        <w:tc>
          <w:tcPr>
            <w:tcW w:w="18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0"/>
        </w:trPr>
        <w:tc>
          <w:tcPr>
            <w:tcW w:w="7340" w:type="dxa"/>
            <w:vAlign w:val="bottom"/>
            <w:gridSpan w:val="2"/>
          </w:tcPr>
          <w:p>
            <w:pPr>
              <w:ind w:left="20"/>
              <w:spacing w:after="0" w:line="270" w:lineRule="exact"/>
              <w:rPr>
                <w:sz w:val="20"/>
                <w:szCs w:val="20"/>
                <w:color w:val="auto"/>
              </w:rPr>
            </w:pPr>
            <w:r>
              <w:rPr>
                <w:rFonts w:ascii="Arial" w:cs="Arial" w:eastAsia="Arial" w:hAnsi="Arial"/>
                <w:sz w:val="18"/>
                <w:szCs w:val="18"/>
                <w:i w:val="1"/>
                <w:iCs w:val="1"/>
                <w:color w:val="auto"/>
              </w:rPr>
              <w:t xml:space="preserve">Weighted average discount rate </w:t>
            </w:r>
            <w:r>
              <w:rPr>
                <w:rFonts w:ascii="Arial" w:cs="Arial" w:eastAsia="Arial" w:hAnsi="Arial"/>
                <w:sz w:val="25"/>
                <w:szCs w:val="25"/>
                <w:i w:val="1"/>
                <w:iCs w:val="1"/>
                <w:color w:val="auto"/>
                <w:vertAlign w:val="superscript"/>
              </w:rPr>
              <w:t>(a)</w:t>
            </w:r>
          </w:p>
        </w:tc>
        <w:tc>
          <w:tcPr>
            <w:tcW w:w="198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9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90"/>
        </w:trPr>
        <w:tc>
          <w:tcPr>
            <w:tcW w:w="7340" w:type="dxa"/>
            <w:vAlign w:val="bottom"/>
            <w:gridSpan w:val="2"/>
          </w:tcPr>
          <w:p>
            <w:pPr>
              <w:ind w:left="20"/>
              <w:spacing w:after="0"/>
              <w:rPr>
                <w:sz w:val="20"/>
                <w:szCs w:val="20"/>
                <w:color w:val="auto"/>
              </w:rPr>
            </w:pPr>
            <w:r>
              <w:rPr>
                <w:rFonts w:ascii="Arial" w:cs="Arial" w:eastAsia="Arial" w:hAnsi="Arial"/>
                <w:sz w:val="18"/>
                <w:szCs w:val="18"/>
                <w:color w:val="auto"/>
              </w:rPr>
              <w:t xml:space="preserve">Finance leases </w:t>
            </w:r>
            <w:r>
              <w:rPr>
                <w:rFonts w:ascii="Arial" w:cs="Arial" w:eastAsia="Arial" w:hAnsi="Arial"/>
                <w:sz w:val="25"/>
                <w:szCs w:val="25"/>
                <w:color w:val="auto"/>
                <w:vertAlign w:val="superscript"/>
              </w:rPr>
              <w:t>(b)</w:t>
            </w:r>
          </w:p>
        </w:tc>
        <w:tc>
          <w:tcPr>
            <w:tcW w:w="1980" w:type="dxa"/>
            <w:vAlign w:val="bottom"/>
          </w:tcPr>
          <w:p>
            <w:pPr>
              <w:jc w:val="right"/>
              <w:ind w:right="110"/>
              <w:spacing w:after="0"/>
              <w:rPr>
                <w:sz w:val="20"/>
                <w:szCs w:val="20"/>
                <w:color w:val="auto"/>
              </w:rPr>
            </w:pPr>
            <w:r>
              <w:rPr>
                <w:rFonts w:ascii="Arial" w:cs="Arial" w:eastAsia="Arial" w:hAnsi="Arial"/>
                <w:sz w:val="18"/>
                <w:szCs w:val="18"/>
                <w:color w:val="auto"/>
              </w:rPr>
              <w:t>12.7%</w:t>
            </w:r>
          </w:p>
        </w:tc>
        <w:tc>
          <w:tcPr>
            <w:tcW w:w="180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bl>
    <w:p>
      <w:pPr>
        <w:ind w:left="80" w:right="120" w:firstLine="9"/>
        <w:spacing w:after="0" w:line="232" w:lineRule="auto"/>
        <w:tabs>
          <w:tab w:leader="none" w:pos="323"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discount rate used to determine the lease assets and lease liabilities was derived upon considering (i) incremental borrowing rates on our long-term debt; (ii) fixed rates we pay on our interest rate swaps; (iii) LIBOR margins for issuers of similar credit rating; and (iv) effect of collateralization. As a majority of our leases are five-year and 10-year leases, we determined a lease discount rate for such tenors and determined this discount rate is reasonable for leases that were entered into during the period.</w:t>
      </w:r>
    </w:p>
    <w:p>
      <w:pPr>
        <w:spacing w:after="0" w:line="20" w:lineRule="exact"/>
        <w:rPr>
          <w:rFonts w:ascii="Arial" w:cs="Arial" w:eastAsia="Arial" w:hAnsi="Arial"/>
          <w:sz w:val="14"/>
          <w:szCs w:val="14"/>
          <w:color w:val="auto"/>
        </w:rPr>
      </w:pPr>
    </w:p>
    <w:p>
      <w:pPr>
        <w:ind w:left="80" w:right="360" w:firstLine="9"/>
        <w:spacing w:after="0" w:line="253" w:lineRule="auto"/>
        <w:tabs>
          <w:tab w:leader="none" w:pos="323"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discount rate on finance leases is higher than operating leases because the present value of minimum lease payments was higher than the fair value of leased properties for certain leases entered into prior to adoption of ASC 842. The discount rate differential for those leases is not material to our results of operations.</w:t>
      </w:r>
    </w:p>
    <w:p>
      <w:pPr>
        <w:spacing w:after="0" w:line="200" w:lineRule="exact"/>
        <w:rPr>
          <w:sz w:val="20"/>
          <w:szCs w:val="20"/>
          <w:color w:val="auto"/>
        </w:rPr>
      </w:pP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266"/>
        </w:trPr>
        <w:tc>
          <w:tcPr>
            <w:tcW w:w="53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jc w:val="center"/>
              <w:ind w:right="150"/>
              <w:spacing w:after="0"/>
              <w:rPr>
                <w:sz w:val="20"/>
                <w:szCs w:val="20"/>
                <w:color w:val="auto"/>
              </w:rPr>
            </w:pPr>
            <w:r>
              <w:rPr>
                <w:rFonts w:ascii="Arial" w:cs="Arial" w:eastAsia="Arial" w:hAnsi="Arial"/>
                <w:sz w:val="18"/>
                <w:szCs w:val="18"/>
                <w:color w:val="auto"/>
                <w:w w:val="97"/>
              </w:rPr>
              <w:t>As of</w:t>
            </w:r>
          </w:p>
        </w:tc>
        <w:tc>
          <w:tcPr>
            <w:tcW w:w="320" w:type="dxa"/>
            <w:vAlign w:val="bottom"/>
          </w:tcPr>
          <w:p>
            <w:pPr>
              <w:spacing w:after="0"/>
              <w:rPr>
                <w:sz w:val="23"/>
                <w:szCs w:val="23"/>
                <w:color w:val="auto"/>
              </w:rPr>
            </w:pPr>
          </w:p>
        </w:tc>
        <w:tc>
          <w:tcPr>
            <w:tcW w:w="1560" w:type="dxa"/>
            <w:vAlign w:val="bottom"/>
          </w:tcPr>
          <w:p>
            <w:pPr>
              <w:jc w:val="center"/>
              <w:ind w:right="110"/>
              <w:spacing w:after="0"/>
              <w:rPr>
                <w:sz w:val="20"/>
                <w:szCs w:val="20"/>
                <w:color w:val="auto"/>
              </w:rPr>
            </w:pPr>
            <w:r>
              <w:rPr>
                <w:rFonts w:ascii="Arial" w:cs="Arial" w:eastAsia="Arial" w:hAnsi="Arial"/>
                <w:sz w:val="18"/>
                <w:szCs w:val="18"/>
                <w:color w:val="auto"/>
                <w:w w:val="97"/>
              </w:rPr>
              <w:t>As of</w:t>
            </w:r>
          </w:p>
        </w:tc>
      </w:tr>
      <w:tr>
        <w:trPr>
          <w:trHeight w:val="234"/>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Other Information</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jc w:val="center"/>
              <w:ind w:right="130"/>
              <w:spacing w:after="0"/>
              <w:rPr>
                <w:sz w:val="20"/>
                <w:szCs w:val="20"/>
                <w:color w:val="auto"/>
              </w:rPr>
            </w:pPr>
            <w:r>
              <w:rPr>
                <w:rFonts w:ascii="Arial" w:cs="Arial" w:eastAsia="Arial" w:hAnsi="Arial"/>
                <w:sz w:val="18"/>
                <w:szCs w:val="18"/>
                <w:color w:val="auto"/>
                <w:w w:val="91"/>
              </w:rPr>
              <w:t>March 28, 2020</w:t>
            </w:r>
          </w:p>
        </w:tc>
        <w:tc>
          <w:tcPr>
            <w:tcW w:w="320" w:type="dxa"/>
            <w:vAlign w:val="bottom"/>
          </w:tcPr>
          <w:p>
            <w:pPr>
              <w:spacing w:after="0"/>
              <w:rPr>
                <w:sz w:val="20"/>
                <w:szCs w:val="20"/>
                <w:color w:val="auto"/>
              </w:rPr>
            </w:pPr>
          </w:p>
        </w:tc>
        <w:tc>
          <w:tcPr>
            <w:tcW w:w="1560" w:type="dxa"/>
            <w:vAlign w:val="bottom"/>
          </w:tcPr>
          <w:p>
            <w:pPr>
              <w:jc w:val="center"/>
              <w:ind w:right="130"/>
              <w:spacing w:after="0"/>
              <w:rPr>
                <w:sz w:val="20"/>
                <w:szCs w:val="20"/>
                <w:color w:val="auto"/>
              </w:rPr>
            </w:pPr>
            <w:r>
              <w:rPr>
                <w:rFonts w:ascii="Arial" w:cs="Arial" w:eastAsia="Arial" w:hAnsi="Arial"/>
                <w:sz w:val="18"/>
                <w:szCs w:val="18"/>
                <w:color w:val="auto"/>
                <w:w w:val="91"/>
              </w:rPr>
              <w:t>March 30, 2019</w:t>
            </w:r>
          </w:p>
        </w:tc>
      </w:tr>
      <w:tr>
        <w:trPr>
          <w:trHeight w:val="27"/>
        </w:trPr>
        <w:tc>
          <w:tcPr>
            <w:tcW w:w="5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w w:val="94"/>
              </w:rPr>
              <w:t>Cash paid for amounts included in the measurement of lease liabilities</w:t>
            </w:r>
          </w:p>
        </w:tc>
        <w:tc>
          <w:tcPr>
            <w:tcW w:w="2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Operating cash outflows - operating leases</w:t>
            </w:r>
          </w:p>
        </w:tc>
        <w:tc>
          <w:tcPr>
            <w:tcW w:w="2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15,269</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18,146</w:t>
            </w:r>
          </w:p>
        </w:tc>
      </w:tr>
      <w:tr>
        <w:trPr>
          <w:trHeight w:val="783"/>
        </w:trPr>
        <w:tc>
          <w:tcPr>
            <w:tcW w:w="5300" w:type="dxa"/>
            <w:vAlign w:val="bottom"/>
          </w:tcPr>
          <w:p>
            <w:pPr>
              <w:spacing w:after="0"/>
              <w:rPr>
                <w:sz w:val="24"/>
                <w:szCs w:val="24"/>
                <w:color w:val="auto"/>
              </w:rPr>
            </w:pPr>
          </w:p>
        </w:tc>
        <w:tc>
          <w:tcPr>
            <w:tcW w:w="2040" w:type="dxa"/>
            <w:vAlign w:val="bottom"/>
          </w:tcPr>
          <w:p>
            <w:pPr>
              <w:jc w:val="right"/>
              <w:ind w:right="159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180"/>
          </w:cols>
          <w:pgMar w:left="320" w:top="125" w:right="39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maturity of our lease liabilities as of March 28, 2020:</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640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w:t>
            </w:r>
          </w:p>
        </w:tc>
        <w:tc>
          <w:tcPr>
            <w:tcW w:w="300" w:type="dxa"/>
            <w:vAlign w:val="bottom"/>
          </w:tcPr>
          <w:p>
            <w:pPr>
              <w:spacing w:after="0"/>
              <w:rPr>
                <w:sz w:val="24"/>
                <w:szCs w:val="24"/>
                <w:color w:val="auto"/>
              </w:rPr>
            </w:pPr>
          </w:p>
        </w:tc>
        <w:tc>
          <w:tcPr>
            <w:tcW w:w="2180" w:type="dxa"/>
            <w:vAlign w:val="bottom"/>
            <w:gridSpan w:val="2"/>
          </w:tcPr>
          <w:p>
            <w:pPr>
              <w:ind w:left="160"/>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5"/>
                <w:szCs w:val="25"/>
                <w:color w:val="auto"/>
                <w:vertAlign w:val="superscript"/>
              </w:rPr>
              <w:t>(a)</w:t>
            </w:r>
          </w:p>
        </w:tc>
        <w:tc>
          <w:tcPr>
            <w:tcW w:w="320" w:type="dxa"/>
            <w:vAlign w:val="bottom"/>
          </w:tcPr>
          <w:p>
            <w:pPr>
              <w:spacing w:after="0"/>
              <w:rPr>
                <w:sz w:val="24"/>
                <w:szCs w:val="24"/>
                <w:color w:val="auto"/>
              </w:rPr>
            </w:pPr>
          </w:p>
        </w:tc>
        <w:tc>
          <w:tcPr>
            <w:tcW w:w="2040" w:type="dxa"/>
            <w:vAlign w:val="bottom"/>
          </w:tcPr>
          <w:p>
            <w:pPr>
              <w:jc w:val="right"/>
              <w:ind w:right="450"/>
              <w:spacing w:after="0"/>
              <w:rPr>
                <w:sz w:val="20"/>
                <w:szCs w:val="20"/>
                <w:color w:val="auto"/>
              </w:rPr>
            </w:pPr>
            <w:r>
              <w:rPr>
                <w:rFonts w:ascii="Arial" w:cs="Arial" w:eastAsia="Arial" w:hAnsi="Arial"/>
                <w:sz w:val="18"/>
                <w:szCs w:val="18"/>
                <w:color w:val="auto"/>
                <w:w w:val="97"/>
              </w:rPr>
              <w:t xml:space="preserve">Finance Leases </w:t>
            </w:r>
            <w:r>
              <w:rPr>
                <w:rFonts w:ascii="Arial" w:cs="Arial" w:eastAsia="Arial" w:hAnsi="Arial"/>
                <w:sz w:val="25"/>
                <w:szCs w:val="25"/>
                <w:color w:val="auto"/>
                <w:w w:val="97"/>
                <w:vertAlign w:val="superscript"/>
              </w:rPr>
              <w:t>(b)</w:t>
            </w:r>
          </w:p>
        </w:tc>
      </w:tr>
      <w:tr>
        <w:trPr>
          <w:trHeight w:val="243"/>
        </w:trPr>
        <w:tc>
          <w:tcPr>
            <w:tcW w:w="63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5,319</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77,307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7,280</w:t>
            </w:r>
          </w:p>
        </w:tc>
      </w:tr>
      <w:tr>
        <w:trPr>
          <w:trHeight w:val="27"/>
        </w:trPr>
        <w:tc>
          <w:tcPr>
            <w:tcW w:w="6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7,215</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62,360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6,241</w:t>
            </w:r>
          </w:p>
        </w:tc>
      </w:tr>
      <w:tr>
        <w:trPr>
          <w:trHeight w:val="27"/>
        </w:trPr>
        <w:tc>
          <w:tcPr>
            <w:tcW w:w="6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4,673</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138,152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16,460</w:t>
            </w:r>
          </w:p>
        </w:tc>
      </w:tr>
      <w:tr>
        <w:trPr>
          <w:trHeight w:val="27"/>
        </w:trPr>
        <w:tc>
          <w:tcPr>
            <w:tcW w:w="6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3"/>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458,880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47,188</w:t>
            </w: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Less: Interest</w:t>
            </w:r>
          </w:p>
        </w:tc>
        <w:tc>
          <w:tcPr>
            <w:tcW w:w="3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67,632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13,293</w:t>
            </w:r>
          </w:p>
        </w:tc>
      </w:tr>
      <w:tr>
        <w:trPr>
          <w:trHeight w:val="27"/>
        </w:trPr>
        <w:tc>
          <w:tcPr>
            <w:tcW w:w="6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63"/>
        </w:trPr>
        <w:tc>
          <w:tcPr>
            <w:tcW w:w="6400" w:type="dxa"/>
            <w:vAlign w:val="bottom"/>
            <w:tcBorders>
              <w:bottom w:val="single" w:sz="8" w:color="CCEEFF"/>
            </w:tcBorders>
            <w:gridSpan w:val="2"/>
            <w:shd w:val="clear" w:color="auto" w:fill="CCEEFF"/>
          </w:tcPr>
          <w:p>
            <w:pPr>
              <w:ind w:left="40"/>
              <w:spacing w:after="0" w:line="263" w:lineRule="exact"/>
              <w:rPr>
                <w:sz w:val="20"/>
                <w:szCs w:val="20"/>
                <w:color w:val="auto"/>
              </w:rPr>
            </w:pPr>
            <w:r>
              <w:rPr>
                <w:rFonts w:ascii="Arial" w:cs="Arial" w:eastAsia="Arial" w:hAnsi="Arial"/>
                <w:sz w:val="18"/>
                <w:szCs w:val="18"/>
                <w:color w:val="auto"/>
              </w:rPr>
              <w:t>Present value of lease liabilities</w:t>
            </w:r>
            <w:r>
              <w:rPr>
                <w:rFonts w:ascii="Arial" w:cs="Arial" w:eastAsia="Arial" w:hAnsi="Arial"/>
                <w:sz w:val="25"/>
                <w:szCs w:val="25"/>
                <w:color w:val="auto"/>
                <w:vertAlign w:val="superscript"/>
              </w:rPr>
              <w:t>(c)</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391,248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33,895</w:t>
            </w:r>
          </w:p>
        </w:tc>
      </w:tr>
    </w:tbl>
    <w:p>
      <w:pPr>
        <w:spacing w:after="0" w:line="8" w:lineRule="exact"/>
        <w:rPr>
          <w:sz w:val="20"/>
          <w:szCs w:val="20"/>
          <w:color w:val="auto"/>
        </w:rPr>
      </w:pPr>
    </w:p>
    <w:p>
      <w:pPr>
        <w:ind w:left="280" w:hanging="245"/>
        <w:spacing w:after="0"/>
        <w:tabs>
          <w:tab w:leader="none" w:pos="280" w:val="left"/>
        </w:tabs>
        <w:numPr>
          <w:ilvl w:val="1"/>
          <w:numId w:val="13"/>
        </w:numPr>
        <w:rPr>
          <w:rFonts w:ascii="Arial" w:cs="Arial" w:eastAsia="Arial" w:hAnsi="Arial"/>
          <w:sz w:val="14"/>
          <w:szCs w:val="14"/>
          <w:color w:val="auto"/>
        </w:rPr>
      </w:pPr>
      <w:r>
        <w:rPr>
          <w:rFonts w:ascii="Arial" w:cs="Arial" w:eastAsia="Arial" w:hAnsi="Arial"/>
          <w:sz w:val="14"/>
          <w:szCs w:val="14"/>
          <w:color w:val="auto"/>
        </w:rPr>
        <w:t>Operating lease payments include $69.8 million related to options to extend lease terms that are reasonably certain of being exercised.</w:t>
      </w:r>
    </w:p>
    <w:p>
      <w:pPr>
        <w:spacing w:after="0" w:line="41" w:lineRule="exact"/>
        <w:rPr>
          <w:rFonts w:ascii="Arial" w:cs="Arial" w:eastAsia="Arial" w:hAnsi="Arial"/>
          <w:sz w:val="14"/>
          <w:szCs w:val="14"/>
          <w:color w:val="auto"/>
        </w:rPr>
      </w:pPr>
    </w:p>
    <w:p>
      <w:pPr>
        <w:ind w:left="280" w:hanging="245"/>
        <w:spacing w:after="0"/>
        <w:tabs>
          <w:tab w:leader="none" w:pos="280" w:val="left"/>
        </w:tabs>
        <w:numPr>
          <w:ilvl w:val="1"/>
          <w:numId w:val="13"/>
        </w:numPr>
        <w:rPr>
          <w:rFonts w:ascii="Arial" w:cs="Arial" w:eastAsia="Arial" w:hAnsi="Arial"/>
          <w:sz w:val="14"/>
          <w:szCs w:val="14"/>
          <w:color w:val="auto"/>
        </w:rPr>
      </w:pPr>
      <w:r>
        <w:rPr>
          <w:rFonts w:ascii="Arial" w:cs="Arial" w:eastAsia="Arial" w:hAnsi="Arial"/>
          <w:sz w:val="14"/>
          <w:szCs w:val="14"/>
          <w:color w:val="auto"/>
        </w:rPr>
        <w:t>Finance lease payments include $1.7 million related to options to extend lease terms that are reasonably certain of being exercised.</w:t>
      </w:r>
    </w:p>
    <w:p>
      <w:pPr>
        <w:spacing w:after="0" w:line="41" w:lineRule="exact"/>
        <w:rPr>
          <w:rFonts w:ascii="Arial" w:cs="Arial" w:eastAsia="Arial" w:hAnsi="Arial"/>
          <w:sz w:val="14"/>
          <w:szCs w:val="14"/>
          <w:color w:val="auto"/>
        </w:rPr>
      </w:pPr>
    </w:p>
    <w:p>
      <w:pPr>
        <w:ind w:left="240" w:hanging="205"/>
        <w:spacing w:after="0"/>
        <w:tabs>
          <w:tab w:leader="none" w:pos="240" w:val="left"/>
        </w:tabs>
        <w:numPr>
          <w:ilvl w:val="1"/>
          <w:numId w:val="13"/>
        </w:numPr>
        <w:rPr>
          <w:rFonts w:ascii="Arial" w:cs="Arial" w:eastAsia="Arial" w:hAnsi="Arial"/>
          <w:sz w:val="14"/>
          <w:szCs w:val="14"/>
          <w:color w:val="auto"/>
        </w:rPr>
      </w:pPr>
      <w:r>
        <w:rPr>
          <w:rFonts w:ascii="Arial" w:cs="Arial" w:eastAsia="Arial" w:hAnsi="Arial"/>
          <w:sz w:val="14"/>
          <w:szCs w:val="14"/>
          <w:color w:val="auto"/>
        </w:rPr>
        <w:t>The present value of lease liabilities excludes $21.0 million of legally binding minimum lease payments for leases signed but not yet commenced.</w:t>
      </w:r>
    </w:p>
    <w:p>
      <w:pPr>
        <w:spacing w:after="0" w:line="200" w:lineRule="exact"/>
        <w:rPr>
          <w:rFonts w:ascii="Arial" w:cs="Arial" w:eastAsia="Arial" w:hAnsi="Arial"/>
          <w:sz w:val="14"/>
          <w:szCs w:val="14"/>
          <w:color w:val="auto"/>
        </w:rPr>
      </w:pPr>
    </w:p>
    <w:p>
      <w:pPr>
        <w:spacing w:after="0" w:line="246" w:lineRule="exact"/>
        <w:rPr>
          <w:rFonts w:ascii="Arial" w:cs="Arial" w:eastAsia="Arial" w:hAnsi="Arial"/>
          <w:sz w:val="14"/>
          <w:szCs w:val="14"/>
          <w:color w:val="auto"/>
        </w:rPr>
      </w:pPr>
    </w:p>
    <w:p>
      <w:pPr>
        <w:ind w:left="180" w:hanging="172"/>
        <w:spacing w:after="0"/>
        <w:tabs>
          <w:tab w:leader="none" w:pos="1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-770890</wp:posOffset>
            </wp:positionV>
            <wp:extent cx="3068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Company is involved in various legal proceedings incidental to its business. Because of the nature and inherent uncertainties of litigation, we cannot predict with certainty the ultimate resolution of these actions and, should the outcome of these actions be unfavorable, the Company’s business, financial position, results of operations or cash flows could be materially and adversely affected.</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reviews the status of its legal proceedings and records a provision for a liability when it is considered probable that both a liability has been incurred and the amount of the loss can be reasonably estimated. This review is updated periodically as additional information becomes available. If either or both of the criteria are not met, we reassess whether there is at least a reasonable possibility that a loss, or additional losses, may be incurred. If there is a reasonable possibility that a loss may be incurred, we disclose the estimate of the amount of the loss or range of losses, or that an estimate of loss cannot be made. The Company expenses its legal fees as incurred.</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We are currently and may in the future become subject to various claims and pending or threatened lawsuits in the ordinary course of our business.</w:t>
      </w:r>
    </w:p>
    <w:p>
      <w:pPr>
        <w:spacing w:after="0" w:line="1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subsidiary, FirstSight Vision Services, Inc. (“FirstSight”), is a defendant in a purported class action in the U.S. District Court for the Southern District of California that alleges that FirstSight participated in arrangements that caused the illegal delivery of eye examinations and that FirstSight thereby violated, among other laws, the corporate practice of optometry and the unfair competition and false advertising laws of California. The lawsuit was filed in 2013 and FirstSight was added as a defendant in 2016. In March 2017, the court granted the motion to dismiss previously filed by FirstSight and dismissed the complaint with prejudice. The plaintiffs filed an appeal with the U.S. Court of Appeals for the Ninth Circuit in April 2017. In July 2018, the U.S. Court of Appeals for the Ninth Circuit vacated in part, and reversed in part, the district court’s dismissal and remanded for further proceedings. In October 2018, the plaintiffs filed a second amended complaint with the district court, and, in November 2018, FirstSight filed a motion to dismiss. On March 23, 2020, the district court granted FirstSight’s motion to dismiss the second amended complaint. On April 24, 2020, the plaintiffs filed a third amended complaint. We believe that the claims alleged are without merit and intend to continue to defend the litigation vigorously.</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 (continued)</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May 2017, a complaint was filed against us and other defendants alleging, on behalf of a proposed class of consumers who purchased contact lenses online, that 1-800 Contacts, Inc. entered into a series of agreements with the other defendants, including our wholly-owned subsidiary, Arlington Contact Lens Service, Inc. (“AC Lens”), to suppress certain online advertising and that each defendant thereby engaged in anticompetitive conduct in violation of the Sherman Antitrust Act. We have settled this litigation for $7.0 million, without admitting liability. Accordingly, we recorded a charge for this amount in litigation settlement in the consolidated statement of operations during the second quarter of fiscal year 2017. On November 8, 2017, the court in the 1-800 Contacts matter entered an order preliminarily approving the settlement agreement, subject to a settlement hearing. Pursuant to this order, we deposited 50% of the settlement amount, or $3.5 million, into an escrow account, to be distributed subject to and in accordance the terms of the settlement agreement and any further order of the court.</w:t>
      </w:r>
    </w:p>
    <w:p>
      <w:pPr>
        <w:spacing w:after="0" w:line="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February 2019, we were served with a lawsuit by a former employee who alleges, on behalf of himself and a proposed class, several violations of California wage and hour laws and seeks unspecified alleged unpaid wages, monetary damages, injunctive relief and attorneys’ fees. On March 21, 2019, we removed the lawsuit from state court to the United States District Court for the Northern District of California. The plaintiff moved to remand the action to state court on April 18, 2019, and the Court denied this motion on July 8, 2019. On July 22, 2019, the plaintiff filed an amended complaint. On July 26, 2019, the parties filed a joint stipulation wherein the Company denied all claims in the amended complaint but joined the plaintiff in seeking a stay of further proceedings in the lawsuit based on the parties’ agreement to attend early mediation in an effort to avoid further costs and expenses of protracted litigation. The parties participated in mediation on February 19, 2020, but a resolution of the matter was not reached at that time. On February 27, 2020, following mediation, the parties agreed to a settlement of all claims alleged by the named claimant on behalf of himself and all putative class members and other aggrieved employees. The Company will pay $3.5 million as the gross settlement fund in connection with this settlement. This settlement is subject to approval by the court following a fairness hearing.</w:t>
      </w:r>
    </w:p>
    <w:p>
      <w:pPr>
        <w:spacing w:after="0" w:line="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November 2019, the Company agreed to enter into a pre-litigation settlement with six former employees who asserted, on behalf of themselves and a proposed class, violations of the Fair Labor Standards Act and of California wage and hour laws. In order to avoid the burden, expense and uncertainty of litigation, and without admitting liability, the Company agreed to a settlement with the named claimants and all participating class members for a maximum settlement amount of $895,000. This settlement is subject to approval by a tribunal following a fairness hearing.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Reporting</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provides its principal products and services through two reportable segments: Owned &amp; Host and Legacy. The “Corporate/Other” category includes the results of operations of our other operating segments, AC Lens and FirstSight, as well as corporate overhead support. The “Reconciliations” category represents other adjustments to reportable segment results necessary for the presentation of consolidated financial results in accordance with U.S. GAAP.</w:t>
      </w:r>
    </w:p>
    <w:p>
      <w:pPr>
        <w:spacing w:after="0" w:line="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following is a summary of certain financial data for each of our segments. Reportable segment information is presented on the same basis as our condensed consolidated financial statements, except for net revenue and associated costs applicable to revenue, which is presented on a cash basis, including point of sales for managed care payors and excluding the effects of unearned and deferred revenue, consistent with what the chief operating decision maker (“CODM”) regularly reviews. Asset information is not included in the following summary since the CODM does not regularly review such information for the reportable segments. Our reportable segment profit measure is earnings before interest, tax, depreciation and amortization (“EBITDA”), or net revenue, less costs applicable to revenue, less selling, general and administrative costs. Depreciation and amortization, asset impairment, litigation settlement and other corporate costs that are not allocated to the reportable segments, including interest expense are excluded from segment EBITDA. There are no revenue transactions between our reportable segments. We measure assets in our reportable segments on the same basis as consolidated assets. There have been no changes from prior periods in the measurement methods used to determine reportable segment profit or loss, and there have been no asymmetrical allocations to segments. As the reportable segments are aligned by similar economic factors, trends and customers, this disaggregation view best depicts how the nature, amount, and uncertainty of revenue and cash flows are affected by economic factors.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Reporting (continued)</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40" w:type="dxa"/>
            <w:vAlign w:val="bottom"/>
            <w:gridSpan w:val="8"/>
          </w:tcPr>
          <w:p>
            <w:pPr>
              <w:ind w:left="700"/>
              <w:spacing w:after="0"/>
              <w:rPr>
                <w:sz w:val="20"/>
                <w:szCs w:val="20"/>
                <w:color w:val="auto"/>
              </w:rPr>
            </w:pPr>
            <w:r>
              <w:rPr>
                <w:rFonts w:ascii="Arial" w:cs="Arial" w:eastAsia="Arial" w:hAnsi="Arial"/>
                <w:sz w:val="18"/>
                <w:szCs w:val="18"/>
                <w:color w:val="auto"/>
              </w:rPr>
              <w:t>Three Months Ended March 28, 2020</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Owned &amp; Host</w:t>
            </w: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Legacy</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Corporate/Other</w:t>
            </w:r>
          </w:p>
        </w:tc>
        <w:tc>
          <w:tcPr>
            <w:tcW w:w="200" w:type="dxa"/>
            <w:vAlign w:val="bottom"/>
          </w:tcPr>
          <w:p>
            <w:pPr>
              <w:spacing w:after="0"/>
              <w:rPr>
                <w:sz w:val="20"/>
                <w:szCs w:val="20"/>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product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281,914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24,418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392,841</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Segment services and plans revenues</w:t>
            </w: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65,313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12,039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76,863</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revenue</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347,227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36,457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469,704</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Costs of products</w:t>
            </w: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81,917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11,404</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57,907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5,142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156,370</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of services and plans</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55,594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62,184</w:t>
            </w:r>
          </w:p>
        </w:tc>
        <w:tc>
          <w:tcPr>
            <w:tcW w:w="0" w:type="dxa"/>
            <w:vAlign w:val="bottom"/>
          </w:tcPr>
          <w:p>
            <w:pPr>
              <w:spacing w:after="0"/>
              <w:rPr>
                <w:sz w:val="1"/>
                <w:szCs w:val="1"/>
                <w:color w:val="auto"/>
              </w:rPr>
            </w:pPr>
          </w:p>
        </w:tc>
      </w:tr>
      <w:tr>
        <w:trPr>
          <w:trHeight w:val="237"/>
        </w:trPr>
        <w:tc>
          <w:tcPr>
            <w:tcW w:w="3720" w:type="dxa"/>
            <w:vAlign w:val="bottom"/>
          </w:tcPr>
          <w:p>
            <w:pPr>
              <w:ind w:left="180"/>
              <w:spacing w:after="0"/>
              <w:rPr>
                <w:sz w:val="20"/>
                <w:szCs w:val="20"/>
                <w:color w:val="auto"/>
              </w:rPr>
            </w:pPr>
            <w:r>
              <w:rPr>
                <w:rFonts w:ascii="Arial" w:cs="Arial" w:eastAsia="Arial" w:hAnsi="Arial"/>
                <w:sz w:val="18"/>
                <w:szCs w:val="18"/>
                <w:color w:val="auto"/>
              </w:rPr>
              <w:t>Total costs applicable to revenue</w:t>
            </w: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137,511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17,994</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57,907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5,142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218,554</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134,714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45,396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193,741</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11,355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11,355</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 settlement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4,395</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75,002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4,832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14,307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ind w:left="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24,810</w:t>
            </w:r>
          </w:p>
        </w:tc>
        <w:tc>
          <w:tcPr>
            <w:tcW w:w="0" w:type="dxa"/>
            <w:vAlign w:val="bottom"/>
          </w:tcPr>
          <w:p>
            <w:pPr>
              <w:spacing w:after="0" w:line="20" w:lineRule="exact"/>
              <w:rPr>
                <w:sz w:val="1"/>
                <w:szCs w:val="1"/>
                <w:color w:val="auto"/>
              </w:rPr>
            </w:pPr>
          </w:p>
        </w:tc>
      </w:tr>
      <w:tr>
        <w:trPr>
          <w:trHeight w:val="230"/>
        </w:trPr>
        <w:tc>
          <w:tcPr>
            <w:tcW w:w="37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7,455</w:t>
            </w:r>
          </w:p>
        </w:tc>
        <w:tc>
          <w:tcPr>
            <w:tcW w:w="0" w:type="dxa"/>
            <w:vAlign w:val="bottom"/>
          </w:tcPr>
          <w:p>
            <w:pPr>
              <w:spacing w:after="0"/>
              <w:rPr>
                <w:sz w:val="1"/>
                <w:szCs w:val="1"/>
                <w:color w:val="auto"/>
              </w:rPr>
            </w:pPr>
          </w:p>
        </w:tc>
      </w:tr>
      <w:tr>
        <w:trPr>
          <w:trHeight w:val="257"/>
        </w:trPr>
        <w:tc>
          <w:tcPr>
            <w:tcW w:w="37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9,460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40" w:type="dxa"/>
            <w:vAlign w:val="bottom"/>
            <w:gridSpan w:val="8"/>
            <w:vMerge w:val="restart"/>
          </w:tcPr>
          <w:p>
            <w:pPr>
              <w:ind w:left="700"/>
              <w:spacing w:after="0"/>
              <w:rPr>
                <w:sz w:val="20"/>
                <w:szCs w:val="20"/>
                <w:color w:val="auto"/>
              </w:rPr>
            </w:pPr>
            <w:r>
              <w:rPr>
                <w:rFonts w:ascii="Arial" w:cs="Arial" w:eastAsia="Arial" w:hAnsi="Arial"/>
                <w:sz w:val="18"/>
                <w:szCs w:val="18"/>
                <w:color w:val="auto"/>
              </w:rPr>
              <w:t>Three Months Ended March 30, 2019</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40" w:type="dxa"/>
            <w:vAlign w:val="bottom"/>
            <w:gridSpan w:val="8"/>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7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Owned &amp; Host</w:t>
            </w:r>
          </w:p>
        </w:tc>
        <w:tc>
          <w:tcPr>
            <w:tcW w:w="26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Legacy</w:t>
            </w:r>
          </w:p>
        </w:tc>
        <w:tc>
          <w:tcPr>
            <w:tcW w:w="1460" w:type="dxa"/>
            <w:vAlign w:val="bottom"/>
            <w:gridSpan w:val="3"/>
          </w:tcPr>
          <w:p>
            <w:pPr>
              <w:ind w:left="80"/>
              <w:spacing w:after="0"/>
              <w:rPr>
                <w:sz w:val="20"/>
                <w:szCs w:val="20"/>
                <w:color w:val="auto"/>
              </w:rPr>
            </w:pPr>
            <w:r>
              <w:rPr>
                <w:rFonts w:ascii="Arial" w:cs="Arial" w:eastAsia="Arial" w:hAnsi="Arial"/>
                <w:sz w:val="18"/>
                <w:szCs w:val="18"/>
                <w:color w:val="auto"/>
              </w:rPr>
              <w:t>Corporate/Other</w:t>
            </w:r>
          </w:p>
        </w:tc>
        <w:tc>
          <w:tcPr>
            <w:tcW w:w="200" w:type="dxa"/>
            <w:vAlign w:val="bottom"/>
          </w:tcPr>
          <w:p>
            <w:pPr>
              <w:spacing w:after="0"/>
              <w:rPr>
                <w:sz w:val="20"/>
                <w:szCs w:val="20"/>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color w:val="auto"/>
              </w:rPr>
              <w:t>Reconciliations</w:t>
            </w: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product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296,919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30,141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383,160</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Segment services and plans revenues</w:t>
            </w: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68,301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14,437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78,055</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revenue</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365,220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461,215</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Costs of products</w:t>
            </w: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85,246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14,130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56,595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(1,967)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154,004</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of services and plans</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51,664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57,965</w:t>
            </w:r>
          </w:p>
        </w:tc>
        <w:tc>
          <w:tcPr>
            <w:tcW w:w="0" w:type="dxa"/>
            <w:vAlign w:val="bottom"/>
          </w:tcPr>
          <w:p>
            <w:pPr>
              <w:spacing w:after="0"/>
              <w:rPr>
                <w:sz w:val="1"/>
                <w:szCs w:val="1"/>
                <w:color w:val="auto"/>
              </w:rPr>
            </w:pPr>
          </w:p>
        </w:tc>
      </w:tr>
      <w:tr>
        <w:trPr>
          <w:trHeight w:val="237"/>
        </w:trPr>
        <w:tc>
          <w:tcPr>
            <w:tcW w:w="3720" w:type="dxa"/>
            <w:vAlign w:val="bottom"/>
          </w:tcPr>
          <w:p>
            <w:pPr>
              <w:ind w:left="180"/>
              <w:spacing w:after="0"/>
              <w:rPr>
                <w:sz w:val="20"/>
                <w:szCs w:val="20"/>
                <w:color w:val="auto"/>
              </w:rPr>
            </w:pPr>
            <w:r>
              <w:rPr>
                <w:rFonts w:ascii="Arial" w:cs="Arial" w:eastAsia="Arial" w:hAnsi="Arial"/>
                <w:sz w:val="18"/>
                <w:szCs w:val="18"/>
                <w:color w:val="auto"/>
              </w:rPr>
              <w:t>Total costs applicable to revenue</w:t>
            </w: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136,910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20,431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56,595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211,969</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133,213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14,237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193,876</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97"/>
        </w:trPr>
        <w:tc>
          <w:tcPr>
            <w:tcW w:w="37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95,097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9,910</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(41,695)</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(10,497)</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20,415</w:t>
            </w:r>
          </w:p>
        </w:tc>
        <w:tc>
          <w:tcPr>
            <w:tcW w:w="0" w:type="dxa"/>
            <w:vAlign w:val="bottom"/>
          </w:tcPr>
          <w:p>
            <w:pPr>
              <w:spacing w:after="0"/>
              <w:rPr>
                <w:sz w:val="1"/>
                <w:szCs w:val="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9,061</w:t>
            </w: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23,339</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Revenues associated with managing operations of our legacy partner were $7.5 million and $9.3 million for the three months ended March 28, 2020 and March 30, 2019, respectively. During the three months ended March 28, 2020, sales associated with our Legacy partner arrangement represented 7.8% of consolidated net revenue. During the three months ended March 28, 2020, AC Lens sales associated with Walmart and Sam’s Club contact lenses distribution arrangements represented 8.6% of consolidated net revenue. This exposes us to concentration of customer risk.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share (“EPS”) is computed by dividing net income by the weighted average number of common shares outstanding for the period. Diluted EPS is computed by dividing net income by the weighted average common shares outstanding for the period and includes the dilutive impact of potential new common shares issuable upon vesting and exercise of stock options and vesting of restricted stock units. Potential shares of common stock are excluded from the computation of diluted EPS if their effect is anti-dilutive. A reconciliation of the numerators and denominators of the basic and diluted EPS calculations is as follows:</w:t>
      </w:r>
    </w:p>
    <w:p>
      <w:pPr>
        <w:sectPr>
          <w:pgSz w:w="11900" w:h="16838" w:orient="portrait"/>
          <w:cols w:equalWidth="0" w:num="1">
            <w:col w:w="11240"/>
          </w:cols>
          <w:pgMar w:left="320" w:top="125" w:right="339" w:bottom="1440" w:gutter="0" w:footer="0" w:header="0"/>
        </w:sect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 (continued)</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0" w:type="dxa"/>
            <w:vAlign w:val="bottom"/>
            <w:gridSpan w:val="4"/>
          </w:tcPr>
          <w:p>
            <w:pPr>
              <w:jc w:val="right"/>
              <w:ind w:right="830"/>
              <w:spacing w:after="0"/>
              <w:rPr>
                <w:sz w:val="20"/>
                <w:szCs w:val="20"/>
                <w:color w:val="auto"/>
              </w:rPr>
            </w:pPr>
            <w:r>
              <w:rPr>
                <w:rFonts w:ascii="Arial" w:cs="Arial" w:eastAsia="Arial" w:hAnsi="Arial"/>
                <w:sz w:val="18"/>
                <w:szCs w:val="18"/>
                <w:color w:val="auto"/>
              </w:rPr>
              <w:t>Three Months Ended</w:t>
            </w:r>
          </w:p>
        </w:tc>
      </w:tr>
      <w:tr>
        <w:trPr>
          <w:trHeight w:val="27"/>
        </w:trPr>
        <w:tc>
          <w:tcPr>
            <w:tcW w:w="7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560" w:type="dxa"/>
            <w:vAlign w:val="bottom"/>
          </w:tcPr>
          <w:p>
            <w:pPr>
              <w:ind w:left="40"/>
              <w:spacing w:after="0"/>
              <w:rPr>
                <w:sz w:val="20"/>
                <w:szCs w:val="20"/>
                <w:color w:val="auto"/>
              </w:rPr>
            </w:pPr>
            <w:r>
              <w:rPr>
                <w:rFonts w:ascii="Arial" w:cs="Arial" w:eastAsia="Arial" w:hAnsi="Arial"/>
                <w:sz w:val="18"/>
                <w:szCs w:val="18"/>
                <w:i w:val="1"/>
                <w:iCs w:val="1"/>
                <w:color w:val="auto"/>
              </w:rPr>
              <w:t>In thousands, except EPS</w:t>
            </w:r>
          </w:p>
        </w:tc>
        <w:tc>
          <w:tcPr>
            <w:tcW w:w="200" w:type="dxa"/>
            <w:vAlign w:val="bottom"/>
          </w:tcPr>
          <w:p>
            <w:pPr>
              <w:spacing w:after="0"/>
              <w:rPr>
                <w:sz w:val="20"/>
                <w:szCs w:val="20"/>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auto"/>
              </w:rPr>
              <w:t>March 28, 2020</w:t>
            </w:r>
          </w:p>
        </w:tc>
        <w:tc>
          <w:tcPr>
            <w:tcW w:w="180" w:type="dxa"/>
            <w:vAlign w:val="bottom"/>
          </w:tcPr>
          <w:p>
            <w:pPr>
              <w:spacing w:after="0"/>
              <w:rPr>
                <w:sz w:val="20"/>
                <w:szCs w:val="20"/>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w w:val="95"/>
              </w:rPr>
              <w:t>March 30, 2019</w:t>
            </w:r>
          </w:p>
        </w:tc>
      </w:tr>
      <w:tr>
        <w:trPr>
          <w:trHeight w:val="27"/>
        </w:trPr>
        <w:tc>
          <w:tcPr>
            <w:tcW w:w="7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17,429</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Weighted average shares outstanding for basic EPS</w:t>
            </w:r>
          </w:p>
        </w:tc>
        <w:tc>
          <w:tcPr>
            <w:tcW w:w="20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80,129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78,205</w:t>
            </w:r>
          </w:p>
        </w:tc>
      </w:tr>
      <w:tr>
        <w:trPr>
          <w:trHeight w:val="27"/>
        </w:trPr>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Effect of dilutive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560" w:type="dxa"/>
            <w:vAlign w:val="bottom"/>
          </w:tcPr>
          <w:p>
            <w:pPr>
              <w:ind w:left="280"/>
              <w:spacing w:after="0"/>
              <w:rPr>
                <w:sz w:val="20"/>
                <w:szCs w:val="20"/>
                <w:color w:val="auto"/>
              </w:rPr>
            </w:pPr>
            <w:r>
              <w:rPr>
                <w:rFonts w:ascii="Arial" w:cs="Arial" w:eastAsia="Arial" w:hAnsi="Arial"/>
                <w:sz w:val="18"/>
                <w:szCs w:val="18"/>
                <w:color w:val="auto"/>
              </w:rPr>
              <w:t>Stock options</w:t>
            </w:r>
          </w:p>
        </w:tc>
        <w:tc>
          <w:tcPr>
            <w:tcW w:w="20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3,221</w:t>
            </w:r>
          </w:p>
        </w:tc>
      </w:tr>
      <w:tr>
        <w:trPr>
          <w:trHeight w:val="27"/>
        </w:trPr>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Restricted stock</w:t>
            </w:r>
          </w:p>
        </w:tc>
        <w:tc>
          <w:tcPr>
            <w:tcW w:w="2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37"/>
        </w:trPr>
        <w:tc>
          <w:tcPr>
            <w:tcW w:w="7560" w:type="dxa"/>
            <w:vAlign w:val="bottom"/>
          </w:tcPr>
          <w:p>
            <w:pPr>
              <w:ind w:left="40"/>
              <w:spacing w:after="0"/>
              <w:rPr>
                <w:sz w:val="20"/>
                <w:szCs w:val="20"/>
                <w:color w:val="auto"/>
              </w:rPr>
            </w:pPr>
            <w:r>
              <w:rPr>
                <w:rFonts w:ascii="Arial" w:cs="Arial" w:eastAsia="Arial" w:hAnsi="Arial"/>
                <w:sz w:val="18"/>
                <w:szCs w:val="18"/>
                <w:color w:val="auto"/>
              </w:rPr>
              <w:t>Weighted average shares outstanding for diluted EPS</w:t>
            </w:r>
          </w:p>
        </w:tc>
        <w:tc>
          <w:tcPr>
            <w:tcW w:w="2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82,242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81,466</w:t>
            </w:r>
          </w:p>
        </w:tc>
      </w:tr>
      <w:tr>
        <w:trPr>
          <w:trHeight w:val="27"/>
        </w:trPr>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EPS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Diluted EPS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0.21</w:t>
            </w:r>
          </w:p>
        </w:tc>
      </w:tr>
      <w:tr>
        <w:trPr>
          <w:trHeight w:val="27"/>
        </w:trPr>
        <w:tc>
          <w:tcPr>
            <w:tcW w:w="7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7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Anti-dilutive options, RSUs outstanding excluded from EPS</w:t>
            </w: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w:t>
            </w:r>
          </w:p>
        </w:tc>
      </w:tr>
      <w:tr>
        <w:trPr>
          <w:trHeight w:val="27"/>
        </w:trPr>
        <w:tc>
          <w:tcPr>
            <w:tcW w:w="7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Restricted Cash</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condensed consolidated balance sheets to the total of cash, cash equivalents and restricted cash shown in the consolidated statement of cash flows: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60" w:type="dxa"/>
            <w:vAlign w:val="bottom"/>
            <w:gridSpan w:val="4"/>
          </w:tcPr>
          <w:p>
            <w:pPr>
              <w:jc w:val="right"/>
              <w:ind w:right="959"/>
              <w:spacing w:after="0"/>
              <w:rPr>
                <w:sz w:val="20"/>
                <w:szCs w:val="20"/>
                <w:color w:val="auto"/>
              </w:rPr>
            </w:pPr>
            <w:r>
              <w:rPr>
                <w:rFonts w:ascii="Arial" w:cs="Arial" w:eastAsia="Arial" w:hAnsi="Arial"/>
                <w:sz w:val="16"/>
                <w:szCs w:val="16"/>
                <w:color w:val="auto"/>
              </w:rPr>
              <w:t>Three Months Ended</w:t>
            </w:r>
          </w:p>
        </w:tc>
        <w:tc>
          <w:tcPr>
            <w:tcW w:w="0" w:type="dxa"/>
            <w:vAlign w:val="bottom"/>
          </w:tcPr>
          <w:p>
            <w:pPr>
              <w:spacing w:after="0"/>
              <w:rPr>
                <w:sz w:val="1"/>
                <w:szCs w:val="1"/>
                <w:color w:val="auto"/>
              </w:rPr>
            </w:pPr>
          </w:p>
        </w:tc>
      </w:tr>
      <w:tr>
        <w:trPr>
          <w:trHeight w:val="33"/>
        </w:trPr>
        <w:tc>
          <w:tcPr>
            <w:tcW w:w="778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Arial" w:cs="Arial" w:eastAsia="Arial" w:hAnsi="Arial"/>
                <w:sz w:val="16"/>
                <w:szCs w:val="16"/>
                <w:color w:val="auto"/>
              </w:rPr>
              <w:t>March 28, 2020</w:t>
            </w:r>
          </w:p>
        </w:tc>
        <w:tc>
          <w:tcPr>
            <w:tcW w:w="220" w:type="dxa"/>
            <w:vAlign w:val="bottom"/>
          </w:tcPr>
          <w:p>
            <w:pPr>
              <w:spacing w:after="0"/>
              <w:rPr>
                <w:sz w:val="20"/>
                <w:szCs w:val="20"/>
                <w:color w:val="auto"/>
              </w:rPr>
            </w:pPr>
          </w:p>
        </w:tc>
        <w:tc>
          <w:tcPr>
            <w:tcW w:w="1460" w:type="dxa"/>
            <w:vAlign w:val="bottom"/>
          </w:tcPr>
          <w:p>
            <w:pPr>
              <w:jc w:val="right"/>
              <w:ind w:right="239"/>
              <w:spacing w:after="0"/>
              <w:rPr>
                <w:sz w:val="20"/>
                <w:szCs w:val="20"/>
                <w:color w:val="auto"/>
              </w:rPr>
            </w:pPr>
            <w:r>
              <w:rPr>
                <w:rFonts w:ascii="Arial" w:cs="Arial" w:eastAsia="Arial" w:hAnsi="Arial"/>
                <w:sz w:val="16"/>
                <w:szCs w:val="16"/>
                <w:color w:val="auto"/>
              </w:rPr>
              <w:t>March 30, 2019</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263,154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72,506</w:t>
            </w:r>
          </w:p>
        </w:tc>
        <w:tc>
          <w:tcPr>
            <w:tcW w:w="0" w:type="dxa"/>
            <w:vAlign w:val="bottom"/>
          </w:tcPr>
          <w:p>
            <w:pPr>
              <w:spacing w:after="0"/>
              <w:rPr>
                <w:sz w:val="1"/>
                <w:szCs w:val="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Restricted cash included in other assets</w:t>
            </w:r>
          </w:p>
        </w:tc>
        <w:tc>
          <w:tcPr>
            <w:tcW w:w="200" w:type="dxa"/>
            <w:vAlign w:val="bottom"/>
          </w:tcPr>
          <w:p>
            <w:pPr>
              <w:spacing w:after="0"/>
              <w:rPr>
                <w:sz w:val="21"/>
                <w:szCs w:val="21"/>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960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1,346</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restricted cash</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264,114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73,852</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Accumulated Other Comprehensive Loss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the fair value of the Company’s cash flow hedge derivative instruments since inception are recorded in AOCL. The following table presents the changes in AOCL during the three months ended March 28, 2020 and March 30, 2019, respectively: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gridSpan w:val="4"/>
          </w:tcPr>
          <w:p>
            <w:pPr>
              <w:jc w:val="right"/>
              <w:ind w:right="770"/>
              <w:spacing w:after="0"/>
              <w:rPr>
                <w:sz w:val="20"/>
                <w:szCs w:val="20"/>
                <w:color w:val="auto"/>
              </w:rPr>
            </w:pPr>
            <w:r>
              <w:rPr>
                <w:rFonts w:ascii="Arial" w:cs="Arial" w:eastAsia="Arial" w:hAnsi="Arial"/>
                <w:sz w:val="18"/>
                <w:szCs w:val="18"/>
                <w:color w:val="auto"/>
              </w:rPr>
              <w:t>Three Months Ended</w:t>
            </w:r>
          </w:p>
        </w:tc>
      </w:tr>
      <w:tr>
        <w:trPr>
          <w:trHeight w:val="27"/>
        </w:trPr>
        <w:tc>
          <w:tcPr>
            <w:tcW w:w="7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1480" w:type="dxa"/>
            <w:vAlign w:val="bottom"/>
            <w:gridSpan w:val="2"/>
          </w:tcPr>
          <w:p>
            <w:pPr>
              <w:ind w:left="120"/>
              <w:spacing w:after="0"/>
              <w:rPr>
                <w:sz w:val="20"/>
                <w:szCs w:val="20"/>
                <w:color w:val="auto"/>
              </w:rPr>
            </w:pPr>
            <w:r>
              <w:rPr>
                <w:rFonts w:ascii="Arial" w:cs="Arial" w:eastAsia="Arial" w:hAnsi="Arial"/>
                <w:sz w:val="18"/>
                <w:szCs w:val="18"/>
                <w:color w:val="auto"/>
              </w:rPr>
              <w:t>March 28, 2020</w:t>
            </w:r>
          </w:p>
        </w:tc>
        <w:tc>
          <w:tcPr>
            <w:tcW w:w="160" w:type="dxa"/>
            <w:vAlign w:val="bottom"/>
          </w:tcPr>
          <w:p>
            <w:pPr>
              <w:spacing w:after="0"/>
              <w:rPr>
                <w:sz w:val="20"/>
                <w:szCs w:val="20"/>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w w:val="92"/>
              </w:rPr>
              <w:t>March 30, 2019</w:t>
            </w:r>
          </w:p>
        </w:tc>
      </w:tr>
      <w:tr>
        <w:trPr>
          <w:trHeight w:val="27"/>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 hedging activity:</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(3,814)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(2,810)</w:t>
            </w:r>
          </w:p>
        </w:tc>
      </w:tr>
      <w:tr>
        <w:trPr>
          <w:trHeight w:val="27"/>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comprehensive income (loss) before reclassification</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(2,188)</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Tax effect of other comprehensive income (loss) before reclassification</w:t>
            </w:r>
          </w:p>
        </w:tc>
        <w:tc>
          <w:tcPr>
            <w:tcW w:w="2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2,721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561</w:t>
            </w: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 reclassified from AOCL into 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915</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Tax effect of amount reclassified from AOCL into interest expense</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current period other comprehensive income (loss), net of tax</w:t>
            </w: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w:t>
            </w:r>
          </w:p>
        </w:tc>
      </w:tr>
      <w:tr>
        <w:trPr>
          <w:trHeight w:val="257"/>
        </w:trPr>
        <w:tc>
          <w:tcPr>
            <w:tcW w:w="798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(3,757)</w:t>
            </w:r>
          </w:p>
        </w:tc>
      </w:tr>
      <w:tr>
        <w:trPr>
          <w:trHeight w:val="20"/>
        </w:trPr>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See Note 3. “Fair Value Measurements of Financial Assets and Liabilities” for a description of the Company’s use of cash flow hedging derivatives.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Impacts of COVID-19 Pandemic</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unprecedented and rapid spread of the COVID-19 pandemic and the related federal, state and local governmental and healthcare authority guidelines have caused business disruption globally and in the U.S., including the temporary closure of our stores to the public beginning in March 2020. On April 7, 2020, we temporarily furloughed a significant portion of our employees and implemented expense reduction initiatives including a pause in new store openings, reduced near term marketing spend, and reduced compensation and work hours across the organization. We also identified additional expense reductions that we intend to implement throughout the remainder of fiscal 2020 as necessary, including working with a base of vendors and landlords to extend payment terms and modify existing contracts. On April 23, 2020, we announced plans to re-open stores selectively over the coming weeks with a goal for all stores within our family of retail brands to be open to the public by early June.</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seen, and expects to continue to see, material reductions in sales as a result of the COVID-19 pandemic. The Company could experience other material impacts as a result of the COVID-19 pandemic, including, but not limited to, charges from additional asset impairments, deferred tax valuation allowances and changes in the effectiveness of the Company’s hedging instruments. The current circumstances are dynamic and the continued impacts of the COVID-19 pandemic on the Company’s business operations, including the duration and impact on overall customer demand, are highly uncertain, and the Company anticipates the COVID-19 pandemic will continue to have a material adverse impact on its business, results of operations, financial condition and cash flows in fiscal 2020.</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 2020 Amendment to Credit Agreement</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May 5, 2020, certain of the Company’s subsidiaries entered into an agreement (the “Amendment”) with the lenders under their existing secured credit facility in order to amend certain provisions of the Amended and Restated Credit Agreement, dated as of July 18, 2019 (as amended by the Amendment, the “Credit Agreement”), by and among Nautilus Acquisition Holdings, Inc. (“Holdings”), National Vision, Inc. (“NVI”), the other subsidiaries of the Company party thereto, as guarantors, each lender party thereto and Bank of America, N.A., in its capacity as administrative agent and as collateral agent. Capitalized terms used but not defined herein shall have the meanings assigned to such terms in the Credit Agreement and Amendment, as applicable.</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This Amendment is intended to prevent the effects of the COVID-19 pandemic, including the temporary closure of our stores, from creating uncertainty relative to our ability to comply with certain financial covenants and allow the Company to focus on prudent management of the business over the quarters ahead. As set forth in greater detail below, the Amendment suspends certain financial maintenance covenants contained in the Credit Agreement until testing at the end of the second fiscal quarter of 2021. </w:t>
      </w:r>
      <w:r>
        <w:rPr>
          <w:rFonts w:ascii="Arial" w:cs="Arial" w:eastAsia="Arial" w:hAnsi="Arial"/>
          <w:sz w:val="18"/>
          <w:szCs w:val="18"/>
          <w:color w:val="333333"/>
        </w:rPr>
        <w:t>Based on our current plans to gradually and safely re-open stores and management operational</w:t>
      </w:r>
      <w:r>
        <w:rPr>
          <w:rFonts w:ascii="Arial" w:cs="Arial" w:eastAsia="Arial" w:hAnsi="Arial"/>
          <w:sz w:val="18"/>
          <w:szCs w:val="18"/>
          <w:color w:val="auto"/>
        </w:rPr>
        <w:t xml:space="preserve"> </w:t>
      </w:r>
      <w:r>
        <w:rPr>
          <w:rFonts w:ascii="Arial" w:cs="Arial" w:eastAsia="Arial" w:hAnsi="Arial"/>
          <w:sz w:val="18"/>
          <w:szCs w:val="18"/>
          <w:color w:val="333333"/>
        </w:rPr>
        <w:t>assumptions, we anticipate we will be in compliance with these amended covenants.</w:t>
      </w:r>
    </w:p>
    <w:p>
      <w:pPr>
        <w:spacing w:after="0" w:line="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the Amendment, the financial covenants relating to maintenance of a maximum Consolidated Total Debt to Consolidated EBITDA Ratio and a minimum Consolidated Interest Coverage Ratio are suspended until testing at the end of the second fiscal quarter of 2021. From and after such time, such covenants will be reinstated on a modified basis so that, subject to certain exceptions and limitations as described in the Amendment, (i) with respect to the second and third fiscal quarters of 2021, the Consolidated Total Debt to Consolidated EBITDA Ratio shall not exceed 4.50 to 1.00 and, with respect to the fourth fiscal quarter of fiscal 2021 and thereafter, the Consolidated Total Debt to Consolidated EBITDA Ratio shall not exceed 4.00 to 1.00, in each case with NVI being able to elect to annualize certain quarterly periods so that quarterly performance from fiscal 2020 is excluded and (ii) with respect to the second fiscal quarter of 2021 and thereafter, the Consolidated Interest Coverage Ratio shall not be less than 3.00 to 1.00. In lieu of such financial covenants, pursuant to the Amendment NVI will agree during the suspension period, (i) not to have Consolidated EBITDA for any six fiscal quarter period be less than $0, with the second fiscal quarter of 2020 permitted to be excluded in certain circumstances, and (ii) to have a minimum level of liquidity (defined as cash and cash equivalents plus the unused portion of the revolving credit facility) equal to the lesser of (x) $100,000,000 and (y) $40,000,000 plus the amount of any net proceeds from capital markets financings during such period in excess of $75,000,000.</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 (continued)</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the Credit Agreement was amended pursuant to the Amendment to, among other things, (i) limit the flexibility of NVI and Holdings with respect to certain transactions during the covenant suspension period, including the ability to declare or pay dividends, incur debt and make investments and dispositions, (ii) require prepayments of the term loans under certain circumstances during the covenant suspension period from the net proceeds from debt or equity capital markets transactions by the Company (with the amount of the term loans to be paid down equal to $75 million from the first $400 million of capital raised and 50% of any proceeds above such amount) and (iii) restrict NVI’s ability to borrow under the revolving credit facility if unrestricted cash and cash equivalents exceeds $50 million (and, in the event of any such excess, to require a mandatory prepayment of such amount). Also pursuant to the Amendment, the margins upon which interest is calculated for the term loans were amended to a range of 1.75% to 2.75% (for LIBOR Loans) and 1.75% to 1.00% (for ABR Loans), in each case based on NVI’s Consolidated First Lien Secured Debt to Consolidated EBITDA Ratio at such time, with such margins subject an increase of 50 basis points in the event that either (i) the Company has not raised at least $135 million in additional proceeds from certain capital markets transactions within 30 days of the date of the Amendment or (ii) Consolidated EBITDA for the most recently ended fiscal period is less than $0.</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The following contains management’s discussion and analysis of our financial condition and results of operations and should be read together with the unaudited condensed consolidated financial statements and the related notes thereto included elsewhere in this Form 10-Q (this “Form 10-Q”) and the audited consolidated financial statements and “Management’s Discussion and Analysis of Financial Condition and Results of Operations” included in our Annual Report on Form 10-K filed with the Securities and Exchange Commission (the “SEC”) on February 26, 2020 (the “Annual Report”). This discussion contains forward-looking statements that reflect our plans, estimates and beliefs and involve numerous risks and uncertainties, including, but not limited to, those described in the “Risk Factors” section of the Annual Report and in the “Risk Factors” section of this Form 10-Q, as such risk factors may be updated from time to time in our periodic filings with the SEC. Actual results may differ materially from those contained in any forward-looking statements. You should carefully read “Special Note Regarding Forward-Looking Statements” in this Form 10-Q.</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 care and eyewear affordable and accessible to all Americans. We achieve this by providing eye exams, eyeglasses and contact lenses to value seeking and lower income consumers. We deliver exceptional value and convenience to our customers, with an opening price point that strives to be among the lowest in the industry, enabled by our low-cost operating platform. We reach our customers through a diverse portfolio of 1,173 retail stores across five brands and 19 consumer websites as of March 28, 2020.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 COVID-19</w:t>
      </w:r>
    </w:p>
    <w:p>
      <w:pPr>
        <w:spacing w:after="0" w:line="12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unprecedented and rapid spread of the COVID-19 pandemic and the related federal, state and local governmental and healthcare authority guidelines have caused business disruption globally and in the U.S. As of the date of filing this Quarterly Report on Form 10-Q, there are many uncertainties regarding the COVID-19 pandemic, including the anticipated duration of the pandemic and the extent of national and global social and economic disruption it may cause. To date, the COVID-19 pandemic and government and healthcare authority actions to curb the spread of the virus have had far-reaching impacts, directly and indirectly, on our operations, including the temporary closure of our stores to the public beginning in March 2020, and on consumer behavior, comparable store sales, our employees and optometrists, and the overall market. The scope and nature of these impacts continue to evolve on a daily basis. The COVID-19 pandemic has resulted in, and may continue to result in, state, city or local quarantines, labor stoppages and shortages, changes in consumer purchasing patterns, mandatory or voluntary shut-downs of retail locations, severe market volatility, liquidity disruptions, and overall economic instability, which, in many cases, have had, and we expect will continue to have, material adverse impacts on our business, financial condition and results of operations. This situation is rapidly changing, and additional impacts may arise that we are not aware of currently. In response to the evolving and uncertain situation, we have taken aggressive and prudent actions to minimize the risk to our Company, employees, customers and the communities in which we operate, along with reducing expenses and deferring discretionary capital expenditures. Some of our actions taken include:</w:t>
      </w:r>
    </w:p>
    <w:p>
      <w:pPr>
        <w:spacing w:after="0" w:line="60" w:lineRule="exact"/>
        <w:rPr>
          <w:sz w:val="20"/>
          <w:szCs w:val="20"/>
          <w:color w:val="auto"/>
        </w:rPr>
      </w:pPr>
    </w:p>
    <w:p>
      <w:pPr>
        <w:jc w:val="both"/>
        <w:ind w:left="66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March 17, 2020, as a precautionary measure to preserve financial flexibility during the COVID-19 pandemic, we borrowed the remaining $146.3 million in available funds under our revolving credit facility. The total borrowings of $300.0 million represents the maximum borrowings permitted thereunder, at an interest rate of LIBOR plus a 1.50% per annum;</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March 19, 2020, we temporarily closed all of our stores to the public across the United States;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implemented expense reduction initiatives including a pause in new store openings, reduced near term marketing spend, and reduced compensation and work hours across the organization;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 April 7, 2020, we temporarily furloughed a significant portion of our employees;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Where possible, we have attempted to ship eyeglasses and contact lenses from our labs and distribution centers directly to customers who had placed orders in our stores and otherwise would have picked them up in our stores;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identified additional expense reductions that we intend to implement throughout the remainder of fiscal 2020 as necessary, including working with a base of vendors and landlords to extend payment terms and modify existing contracts;</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suspended all non-essential travel for our employees;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April 23, 2020, we announced plans to re-open stores selectively over the coming weeks with a goal for all stores within our family of retail brands to be open to the public by early June; and</w:t>
      </w:r>
    </w:p>
    <w:p>
      <w:pPr>
        <w:spacing w:after="0" w:line="62" w:lineRule="exact"/>
        <w:rPr>
          <w:rFonts w:ascii="Arial" w:cs="Arial" w:eastAsia="Arial" w:hAnsi="Arial"/>
          <w:sz w:val="18"/>
          <w:szCs w:val="18"/>
          <w:color w:val="auto"/>
        </w:rPr>
      </w:pPr>
    </w:p>
    <w:p>
      <w:pPr>
        <w:jc w:val="both"/>
        <w:ind w:left="660" w:hanging="328"/>
        <w:spacing w:after="0" w:line="272"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Effective May 5, 2020, the Company and the lenders under its credit facility entered into an amendment of the facility. This amendment is intended to prevent the effects of the COVID-19 pandemic, including the temporary closure of our stores, from creating uncertainty relative to our ability to comply with certain financial covenants and allow the Company to focus on prudent management of the business over the quarters ahead. The amendment suspends certain financial maintenance covenants contained in the facility until testing at the end of the second fiscal quarter of 2021. As part of the amendment, the Company among other things agreed to modify the rate of interest paid under the facility and to limit its ability to engage in certain transactions during the covenant suspension period, including the ability to declare or pay dividends, incur additional debt and make investments and dispositions.</w:t>
      </w:r>
    </w:p>
    <w:p>
      <w:pPr>
        <w:spacing w:after="0" w:line="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foregoing actions by the Company, members of management and our Board of Directors have taken the following actions with respect to their compensation, which we expect will remain in place either for the time period indicated or at least until the Company’s stores reopen or conditions improve:</w:t>
      </w:r>
    </w:p>
    <w:p>
      <w:pPr>
        <w:spacing w:after="0" w:line="7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Reade Fahs, our Chief Executive Officer, has elected to reduce his base salary to $1 for the remainder of 2020;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Each of the other members of the Company’s senior management team have elected to take significant reductions in base salary; and</w:t>
      </w:r>
    </w:p>
    <w:p>
      <w:pPr>
        <w:spacing w:after="0" w:line="12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members of our Board of Directors unanimously elected to reduce the remainder of their respective annual cash retainer fees for 2020 to $1 for their service on our Board.</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COVID-19 pandemic and responsive measures taken by the Company have had, and we expect will continue to have, material adverse impacts on our current business, financial condition and results of operations, and may create additional risks for our Company. While we anticipate that these measures are temporary, their specific duration has a high degree of uncertainty and we may elect or need to take additional measures as the situation continues to evolve, including with respect to our employees, store leases and relationships with third-party vendors. We will continue to assess the evolving COVID-19 pandemic and its impact on our customers, employees, optometrists, supply chain and operations and will adjust our responsive measures accordingly. However, the extent to which the COVID-19 pandemic and our precautionary measures in response thereto may impact our business, financial condition and results of operations will depend on how the pandemic and its impacts continue to develop, which are highly uncertain. We are continuing to evaluate additional operational and financial measures that we may elect to take as we continue to respond to the impact of COVID-19 on our business, including obtaining additional debt and/or equity capital to provide further liquidity in the coming months. There can be no assurance whether or when any such measures will be adopted.</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disclosures contained in this Form 10-Q are made only as of the date hereof, and we undertake no obligation to publicly update or revise any forward-looking statement as a result of new information, future events or otherwise, except as required by law. For further information, please see “Risk Factors” and “Forward-Looking Statements.”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and Segment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consist of two reportable segments:</w:t>
      </w:r>
    </w:p>
    <w:p>
      <w:pPr>
        <w:spacing w:after="0" w:line="117" w:lineRule="exact"/>
        <w:rPr>
          <w:sz w:val="20"/>
          <w:szCs w:val="20"/>
          <w:color w:val="auto"/>
        </w:rPr>
      </w:pPr>
    </w:p>
    <w:p>
      <w:pPr>
        <w:jc w:val="both"/>
        <w:ind w:left="660" w:hanging="328"/>
        <w:spacing w:after="0" w:line="269"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Owned &amp; Host - As of March 28, 2020, our owned brands consisted of 747 America’s Best Contacts and Eyeglasses (“America’s Best”) retail stores and 117 Eyeglass World retail stores. In America’s Best stores, vision care services are provided by optometrists employed by us or by independent professional corporations or similar entities. America’s Best stores are primarily located in high-traffic strip centers next to value-focused retailers. Eyeglass World locations primarily feature vision care services provided by independent optometrists and optometrists employed by independent professional corporations or similar entities and on-site optical laboratories that enable stores to quickly fulfill many customer orders and make repairs on site. Eyeglass World stores are primarily located in freestanding or in-line locations near high-foot-traffic shopping centers. Our host brands consisted of 54 Vista Optical locations on military bases and 29 Vista Optical locations within Fred Meyer stores as of March 28, 2020. We have strong, long-standing relationships with our host partners and have maintained each partnership for over 20 years. These brands provide eye exams primarily by independent optometrists. All brands utilize our centralized laboratories. This segment also includes sales from our America’s Best, Eyeglass World, and Military omni-channel websites.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660" w:hanging="328"/>
        <w:spacing w:after="0" w:line="279"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Legacy - We manage the operations of, and supply inventory and laboratory processing services to, 226 Vision Centers in Walmart retail locations as of March 28, 2020. This strategic relationship with Walmart is in its 30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year. Pursuant to a January 2020 amendment to our management &amp; services agreement with Walmart, we will be adding five additional Vision Centers in Walmart stores in fiscal year 2020. In addition, the amendment also extended the current term of the management &amp; services agreement by six months, to February 23, 2021, and such term will automatically renew for an additional three-year term unless, no later than July 23, 2020, one party provides the other party written notice of non-renewal. Under the management &amp; services agreement, our responsibilities include ordering and maintaining merchandise inventory; arranging the provision of optometry services; providing managers and staff at each location; training personnel; providing sales receipts to customers; maintaining necessary insurance; obtaining and holding required licenses, permits and accreditations; owning and maintaining store furniture, fixtures and equipment; and developing annual operating budgets and reporting. We earn management fees as a result of providing such services and therefore we record revenue related to sales of products and product protection plans to our legacy partner’s customers on a net basis. Our management &amp; services agreement also allows our legacy partner to collect penalties if the Vision Centers do not generate a requisite amount of revenues. No such penalties have been assessed under our current arrangement, which began in 2012. We also sell to our legacy partner merchandise that is stocked in retail locations we manage pursuant to a separate supplier agreement, and provide centralized laboratory services for the finished eyeglasses for our legacy partner’s customers in stores that we manage. We lease space from Walmart within or adjacent to each of the locations we manage and use this space for vision care services provided by independent optometrists or optometrists employed by us or by independent professional corporations or similar entities. During the three months ended March 28, 2020, sales associated with our legacy partner arrangement represented 7.8% of consolidated net revenue. This exposes us to concentration of customer risk.</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results also include the following activity recorded in our Corporate/Other category:</w:t>
      </w:r>
    </w:p>
    <w:p>
      <w:pPr>
        <w:spacing w:after="0" w:line="117" w:lineRule="exact"/>
        <w:rPr>
          <w:sz w:val="20"/>
          <w:szCs w:val="20"/>
          <w:color w:val="auto"/>
        </w:rPr>
      </w:pPr>
    </w:p>
    <w:p>
      <w:pPr>
        <w:jc w:val="both"/>
        <w:ind w:left="660" w:hanging="328"/>
        <w:spacing w:after="0" w:line="301"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e-commerce platform of 15 dedicated websites managed by AC Lens. Our e-commerce business consists of six proprietary branded websites, including aclens.com, discountglasses.com and discountcontactlenses.com, and nine third-party websites with established retailers, such as Walmart, Sam’s Club and Giant Eagle as well as mid-sized vision insurance providers. AC Lens handles site management, customer relationship management and order fulfillment and also sells a wide variety of contact lenses, eyeglasses and eye care accessories.</w:t>
      </w:r>
    </w:p>
    <w:p>
      <w:pPr>
        <w:spacing w:after="0" w:line="49" w:lineRule="exact"/>
        <w:rPr>
          <w:rFonts w:ascii="Arial" w:cs="Arial" w:eastAsia="Arial" w:hAnsi="Arial"/>
          <w:sz w:val="16"/>
          <w:szCs w:val="16"/>
          <w:color w:val="auto"/>
        </w:rPr>
      </w:pPr>
    </w:p>
    <w:p>
      <w:pPr>
        <w:jc w:val="both"/>
        <w:ind w:left="66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 Lens also distributes contact lenses wholesale to Walmart and Sam’s Club. We incur costs at a higher percentage of sales than other product categories. AC Lens sales associated with Walmart and Sam’s Club contact lenses distribution arrangements represented 8.6% of consolidated net revenue.</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Managed care business conducted by FirstSight, our wholly-owned subsidiary that is licensed as a single-service health plan under California law, which arranges for the provision of optometric services at the offices next to certain Walmart stores throughout California, and also issues individual vision care benefit plans in connection with our America’s Best operations in California.</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Unallocated corporate overhead expenses, which are a component of selling, general and administrative expenses and are comprised of various home office expenses such as payroll, occupancy costs, and consulting and professional fees. Corporate overhead expenses also include field services for our five retail brands.</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Reportable segment information is presented on the same basis as our consolidated financial statements, except reportable segment sales which are presented on a cash basis including point of sales for managed care payors and excluding the effects of unearned and deferred revenue, consistent with what our chief operating decision maker (“CODM”) regularly reviews. Reconciliations of segment results to consolidated results include financial information necessary to adjust reportable segment revenues to a consolidated basis in accordance with U.S. GAAP, specifically the change in unearned and deferred revenues during the period. There are no revenue transactions between reportable segments, and there are no other items in the reconciliations other than the effects of unearned and deferred revenue. See Note 10. “Segment Reporting” in our consolidated financial statements included in Part I. Item 1. of this Form 10-Q.</w:t>
      </w:r>
    </w:p>
    <w:p>
      <w:pPr>
        <w:spacing w:after="0" w:line="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Deferred revenue represents the timing difference of when we collect the cash from the customer and when services related to product protection plans and eye care club memberships are performed. Increases or decreases in deferred revenue during the reporting period represent cash collections in excess of or below the recognition of previous deferrals. Unearned revenue represents the timing difference of when we collect cash from the customer and delivery/customer acceptance, and includes sales of prescription eyewear during approximately the last seven to 10 days of the reporting period.</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Other Factors Affecting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Impact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COVID-19 pandemic has had far-reaching impacts, directly and indirectly, on our operations. We are monitoring the impacts COVID-19 has had, and continues to have, on our outsourced third party optical laboratories in China and Mexico, including potential disruptions of product deliveries. We have currently been able to meet customer demand with operations at our laboratories. </w:t>
      </w:r>
      <w:r>
        <w:rPr>
          <w:rFonts w:ascii="Arial" w:cs="Arial" w:eastAsia="Arial" w:hAnsi="Arial"/>
          <w:sz w:val="18"/>
          <w:szCs w:val="18"/>
          <w:color w:val="212529"/>
        </w:rPr>
        <w:t>We source merchandise from suppliers located in China and a significant</w:t>
      </w:r>
      <w:r>
        <w:rPr>
          <w:rFonts w:ascii="Arial" w:cs="Arial" w:eastAsia="Arial" w:hAnsi="Arial"/>
          <w:sz w:val="18"/>
          <w:szCs w:val="18"/>
          <w:color w:val="auto"/>
        </w:rPr>
        <w:t xml:space="preserve"> </w:t>
      </w:r>
      <w:r>
        <w:rPr>
          <w:rFonts w:ascii="Arial" w:cs="Arial" w:eastAsia="Arial" w:hAnsi="Arial"/>
          <w:sz w:val="18"/>
          <w:szCs w:val="18"/>
          <w:color w:val="212529"/>
        </w:rPr>
        <w:t>amount of domestically-purchased merchandise is manufactured in China</w:t>
      </w:r>
      <w:r>
        <w:rPr>
          <w:rFonts w:ascii="Arial" w:cs="Arial" w:eastAsia="Arial" w:hAnsi="Arial"/>
          <w:sz w:val="18"/>
          <w:szCs w:val="18"/>
          <w:color w:val="000000"/>
        </w:rPr>
        <w:t>. We are partnering with our suppliers and third party laboratories to mitigate any</w:t>
      </w:r>
      <w:r>
        <w:rPr>
          <w:rFonts w:ascii="Arial" w:cs="Arial" w:eastAsia="Arial" w:hAnsi="Arial"/>
          <w:sz w:val="18"/>
          <w:szCs w:val="18"/>
          <w:color w:val="212529"/>
        </w:rPr>
        <w:t xml:space="preserve"> </w:t>
      </w:r>
      <w:r>
        <w:rPr>
          <w:rFonts w:ascii="Arial" w:cs="Arial" w:eastAsia="Arial" w:hAnsi="Arial"/>
          <w:sz w:val="18"/>
          <w:szCs w:val="18"/>
          <w:color w:val="000000"/>
        </w:rPr>
        <w:t>potential significant delays in delivery of merchandise upon store operations resuming. Our ecommerce business remains open to serve our customers during this unprecedented period of temporary store closures.</w:t>
      </w:r>
    </w:p>
    <w:p>
      <w:pPr>
        <w:spacing w:after="0" w:line="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seen, and expect to continue to see, material reductions in sales across brands and regions as a result of COVID-19. In addition, these reductions in revenue have not been offset by proportional decreases in expense, as we continue to incur store occupancy costs, and certain other costs such as compensation and administrative expenses, resulting in a negative effect on profitability. In addition, we could experience other material impacts as a result of COVID-19, including, but not limited to, charges from additional asset impairment, deferred tax valuation allowances and changes in the effectiveness of our hedging instruments. The current circumstances are dynamic and the impacts of COVID-19 on our business operations, including the duration and impact on overall customer demand, are highly uncertain, although COVID-19 has had and will continue to have a material adverse impact on our business, results of operations, financial condition and cash flows in fiscal 2020 to date.</w:t>
      </w:r>
    </w:p>
    <w:p>
      <w:pPr>
        <w:spacing w:after="0" w:line="6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It is possible that our preparations for the events listed above are not adequate to mitigate their impact, and that these events could further adversely affect our business and results of operations. For a discussion of recent actions taken by the Company, refer to “Recent Developments - COVID-19” above in this Form 10-Q. For discussion of significant risks that have the potential to cause our actual results to differ materially from our expectations, refer to “Item 1A. Risk Factors,” included in our Annual Report on Form 10-K for the year ended December 28, 2019 and in this Form 10-Q.</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trends and factors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remain committed to our long-term vision and continue to position ourselves to make progress against our key initiatives while balancing the near-term challenges and unprecedented uncertainty presented by the COVID-19 pandemic. As a result of the COVID-19 pandemic, we implemented expense reduction initiatives including a pause in new store openings, reduced near term marketing spend, and reduced compensation and work hours across the organization and are working with a base of vendors and landlords to extend payment terms and modify existing contracts. We experienced negative comparable store sales growth in the first quarter of 2020 as a result of the closure of our stores in response to the COVID-19 pandemic, and anticipate that comparable store sales growth figures for the rest of the fiscal year 2020 as well as fiscal year 2021 will be impacted by the pandemic. We believe that the following trends and factors will continue to be exacerbated by the immediate and ongoing threat of the COVID-19 pandemic:</w:t>
      </w:r>
    </w:p>
    <w:p>
      <w:pPr>
        <w:spacing w:after="0" w:line="5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store openings;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Comparable store sales growth;</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Managed care and insurance;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Vision care professional recruitment and coverage;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Overall economic trends;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Consumer preferences and demand;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Infrastructure and investment;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Pricing strategy;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Inflation;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Interim results and seasonality;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Consolidation in the industry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have historically attempted to exercise prudence in our use of cash, the COVID-19 pandemic has required us to closely monitor various items related to cash flow including, but not limited to, cash receipts, cash disbursements, payment terms and alternative sources of funding. We will continue to be focused on these items in addition to the other key measures we use to determine how our consolidated business and operating segments are performing, including: net revenue, costs applicable to revenue, and selling, general, and administrative expenses. In addition, we also review store growth, Adjusted Comparable Store Sales Growth, Adjusted Operating Income, Adjusted Operating Margin, Adjusted EBITDA, Adjusted EBITDA Margin and Adjusted Diluted EPS.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report as net revenue amounts generated in transactions with retail customers who are the end users of our products, services, and plans. Net product sales include sales of prescription and non-prescription eyewear, contact lenses, and related accessories as well as eye exam services associated with our America’s Best brand’s signature offer of two pairs of eyeglasses and a free eye exam for one low price (“two-pair offer”) to retail customers and sales of inventory in which our customer is another retail entity. Net sales of services and plans include sales of eye exams, eye care club memberships, product protection plans (i.e., warranties), and single service eye care plans in California. Net sales of services and plans also include fees we earn for managing certain Vision Centers located in Walmart stores and for laboratory services provided to Walmart.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Costs applicable to revenue include both costs of net product sales and costs of net sales of services and plans. Costs of net product sales include (i) costs to procure non-prescription eyewear, contact lenses, and accessories, which we purchase and sell in finished form, (ii) costs to manufacture finished prescription eyeglasses, including direct materials, labor, and overhead, and (iii) remake costs, warehousing and distribution expenses, and internal transfer costs. Costs of services and plans include costs associated with product protection plan programs, eye care club memberships, single service eye care plans in California, eye care practitioner and eye exam technician payroll, taxes and benefits and optometric and other service costs. Customer tastes and preferences, product mix, changes in technology, significant increases or slowdowns in production, and other factors impact costs applicable to revenue. The components of our costs applicable to revenue may not be comparable to other retailers.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or SG&amp;A, include store associate (including optician) payroll, taxes and benefits, occupancy, advertising and promotion, field services, corporate support and other costs associated with the provision of vision care services. Non-capital expenditures associated with opening new stores, including rent, store maintenance, marketing expenses, travel and relocation costs, and training costs, are recorded in SG&amp;A as incurred. SG&amp;A generally fluctuates consistently with revenue due to the variable store, field office and corporate support costs; however, some fixed costs slightly improve as a percentage of net revenue as our net revenues grow over time.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Store Openings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total number of new stores per year and the timing of store openings has, and will continue to have, an impact on our results. In an effort to conserve cash during the COVID-19 pandemic, we have paused new store openings and will monitor when to resume new store openings based on health, safety and economic conditions.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Comparable Store Sales Growth</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measure Adjusted Comparable Store Sales Growth as the increase or decrease in sales recorded by the comparable store base in any reporting period, compared to sales recorded by the comparable store base in the prior reporting period, which we calculate as follows: (i) sales are recorded on a cash basis (i.e., when the order is placed and paid for or submitted to a managed care payor, compared to when the order is delivered), utilizing cash basis point of sale information from stores; (ii) stores are added to the calculation during the 13th full fiscal month following the store’s opening; (iii) closed stores are removed from the calculation for time periods that are not comparable; (iv) sales from partial months of operation are excluded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 There may be variations in the way in which some of our competitors and other retailers calculate comparable store sales. As a result, our adjusted comparable store sales may not be comparable to similar data made available by other retailers. We did not adjust our calculation of Adjusted Comparable Store Sales Growth for the temporary closure of our stores to the public as a result of the COVID-19 pandemic.</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Comparable Store Sales Growth is a non-GAAP financial measure, which we believe is useful because it provides timely and accurate information relating to the two core metrics of retail sales: number of transactions and value of transactions. We use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Stores Sales Growth to be meaningful.</w:t>
      </w:r>
    </w:p>
    <w:p>
      <w:pPr>
        <w:spacing w:after="0" w:line="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Adjusted EBITDA, Adjusted EBITDA Margin Adjusted Operating Income, Adjusted Operating Margin, and Adjusted Diluted EPS (collectively, the “Company Non-GAAP Measures”)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Non-GAAP Measures are key measures used by management to assess our financial performance. The Company Non-GAAP Measures are also frequently used by analysts, investors and other interested parties. We use The Company Non-GAAP Measures to supplement U.S. GAAP measures of performance to evaluate the effectiveness of our business strategies, to make budgeting decisions, to establish discretionary annual incentive compensation and to compare our performance against that of other peer companies using similar measures. See “Non-GAAP Financial Measures” for definitions of the Company Non-GAAP Measures and for additional information.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key components of our results of operations for the periods indicated, both in dollars and as a percentage of our net revenue.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20" w:type="dxa"/>
            <w:vAlign w:val="bottom"/>
            <w:gridSpan w:val="6"/>
          </w:tcPr>
          <w:p>
            <w:pPr>
              <w:jc w:val="right"/>
              <w:ind w:right="870"/>
              <w:spacing w:after="0"/>
              <w:rPr>
                <w:sz w:val="20"/>
                <w:szCs w:val="20"/>
                <w:color w:val="auto"/>
              </w:rPr>
            </w:pPr>
            <w:r>
              <w:rPr>
                <w:rFonts w:ascii="Arial" w:cs="Arial" w:eastAsia="Arial" w:hAnsi="Arial"/>
                <w:sz w:val="18"/>
                <w:szCs w:val="18"/>
                <w:color w:val="auto"/>
              </w:rPr>
              <w:t>Three Months Ended</w:t>
            </w:r>
          </w:p>
        </w:tc>
      </w:tr>
      <w:tr>
        <w:trPr>
          <w:trHeight w:val="27"/>
        </w:trPr>
        <w:tc>
          <w:tcPr>
            <w:tcW w:w="7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770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 except store data</w:t>
            </w:r>
          </w:p>
        </w:tc>
        <w:tc>
          <w:tcPr>
            <w:tcW w:w="140" w:type="dxa"/>
            <w:vAlign w:val="bottom"/>
          </w:tcPr>
          <w:p>
            <w:pPr>
              <w:spacing w:after="0"/>
              <w:rPr>
                <w:sz w:val="20"/>
                <w:szCs w:val="20"/>
                <w:color w:val="auto"/>
              </w:rPr>
            </w:pPr>
          </w:p>
        </w:tc>
        <w:tc>
          <w:tcPr>
            <w:tcW w:w="1640" w:type="dxa"/>
            <w:vAlign w:val="bottom"/>
            <w:gridSpan w:val="4"/>
          </w:tcPr>
          <w:p>
            <w:pPr>
              <w:ind w:left="120"/>
              <w:spacing w:after="0"/>
              <w:rPr>
                <w:sz w:val="20"/>
                <w:szCs w:val="20"/>
                <w:color w:val="auto"/>
              </w:rPr>
            </w:pPr>
            <w:r>
              <w:rPr>
                <w:rFonts w:ascii="Arial" w:cs="Arial" w:eastAsia="Arial" w:hAnsi="Arial"/>
                <w:sz w:val="18"/>
                <w:szCs w:val="18"/>
                <w:color w:val="auto"/>
              </w:rPr>
              <w:t>March 28, 2020</w:t>
            </w:r>
          </w:p>
        </w:tc>
        <w:tc>
          <w:tcPr>
            <w:tcW w:w="180" w:type="dxa"/>
            <w:vAlign w:val="bottom"/>
          </w:tcPr>
          <w:p>
            <w:pPr>
              <w:spacing w:after="0"/>
              <w:rPr>
                <w:sz w:val="20"/>
                <w:szCs w:val="20"/>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color w:val="auto"/>
                <w:w w:val="97"/>
              </w:rPr>
              <w:t>March 30, 2019</w:t>
            </w:r>
          </w:p>
        </w:tc>
      </w:tr>
      <w:tr>
        <w:trPr>
          <w:trHeight w:val="27"/>
        </w:trPr>
        <w:tc>
          <w:tcPr>
            <w:tcW w:w="75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7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700" w:type="dxa"/>
            <w:vAlign w:val="bottom"/>
            <w:gridSpan w:val="2"/>
          </w:tcPr>
          <w:p>
            <w:pPr>
              <w:ind w:left="280"/>
              <w:spacing w:after="0"/>
              <w:rPr>
                <w:sz w:val="20"/>
                <w:szCs w:val="20"/>
                <w:color w:val="auto"/>
              </w:rPr>
            </w:pPr>
            <w:r>
              <w:rPr>
                <w:rFonts w:ascii="Arial" w:cs="Arial" w:eastAsia="Arial" w:hAnsi="Arial"/>
                <w:sz w:val="18"/>
                <w:szCs w:val="18"/>
                <w:color w:val="auto"/>
              </w:rPr>
              <w:t>Net product sales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392,841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383,160</w:t>
            </w:r>
          </w:p>
        </w:tc>
      </w:tr>
      <w:tr>
        <w:trPr>
          <w:trHeight w:val="27"/>
        </w:trPr>
        <w:tc>
          <w:tcPr>
            <w:tcW w:w="7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sales of services and plans</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76,863</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78,055</w:t>
            </w:r>
          </w:p>
        </w:tc>
      </w:tr>
      <w:tr>
        <w:trPr>
          <w:trHeight w:val="237"/>
        </w:trPr>
        <w:tc>
          <w:tcPr>
            <w:tcW w:w="7700" w:type="dxa"/>
            <w:vAlign w:val="bottom"/>
            <w:gridSpan w:val="2"/>
          </w:tcPr>
          <w:p>
            <w:pPr>
              <w:ind w:left="380"/>
              <w:spacing w:after="0"/>
              <w:rPr>
                <w:sz w:val="20"/>
                <w:szCs w:val="20"/>
                <w:color w:val="auto"/>
              </w:rPr>
            </w:pPr>
            <w:r>
              <w:rPr>
                <w:rFonts w:ascii="Arial" w:cs="Arial" w:eastAsia="Arial" w:hAnsi="Arial"/>
                <w:sz w:val="18"/>
                <w:szCs w:val="18"/>
                <w:color w:val="auto"/>
              </w:rPr>
              <w:t>Total net revenue</w:t>
            </w: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469,704</w:t>
            </w: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461,215</w:t>
            </w:r>
          </w:p>
        </w:tc>
      </w:tr>
      <w:tr>
        <w:trPr>
          <w:trHeight w:val="27"/>
        </w:trPr>
        <w:tc>
          <w:tcPr>
            <w:tcW w:w="7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Costs applicable to revenue (exclusive of 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700" w:type="dxa"/>
            <w:vAlign w:val="bottom"/>
            <w:gridSpan w:val="2"/>
          </w:tcPr>
          <w:p>
            <w:pPr>
              <w:ind w:left="280"/>
              <w:spacing w:after="0"/>
              <w:rPr>
                <w:sz w:val="20"/>
                <w:szCs w:val="20"/>
                <w:color w:val="auto"/>
              </w:rPr>
            </w:pPr>
            <w:r>
              <w:rPr>
                <w:rFonts w:ascii="Arial" w:cs="Arial" w:eastAsia="Arial" w:hAnsi="Arial"/>
                <w:sz w:val="18"/>
                <w:szCs w:val="18"/>
                <w:color w:val="auto"/>
              </w:rPr>
              <w:t>Products</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156,370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154,004</w:t>
            </w:r>
          </w:p>
        </w:tc>
      </w:tr>
      <w:tr>
        <w:trPr>
          <w:trHeight w:val="27"/>
        </w:trPr>
        <w:tc>
          <w:tcPr>
            <w:tcW w:w="7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Services and plans</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62,184</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57,965</w:t>
            </w:r>
          </w:p>
        </w:tc>
      </w:tr>
      <w:tr>
        <w:trPr>
          <w:trHeight w:val="237"/>
        </w:trPr>
        <w:tc>
          <w:tcPr>
            <w:tcW w:w="7700" w:type="dxa"/>
            <w:vAlign w:val="bottom"/>
            <w:gridSpan w:val="2"/>
          </w:tcPr>
          <w:p>
            <w:pPr>
              <w:ind w:left="380"/>
              <w:spacing w:after="0"/>
              <w:rPr>
                <w:sz w:val="20"/>
                <w:szCs w:val="20"/>
                <w:color w:val="auto"/>
              </w:rPr>
            </w:pPr>
            <w:r>
              <w:rPr>
                <w:rFonts w:ascii="Arial" w:cs="Arial" w:eastAsia="Arial" w:hAnsi="Arial"/>
                <w:sz w:val="18"/>
                <w:szCs w:val="18"/>
                <w:color w:val="auto"/>
              </w:rPr>
              <w:t>Total costs applicable to revenue</w:t>
            </w: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218,554</w:t>
            </w: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211,969</w:t>
            </w:r>
          </w:p>
        </w:tc>
      </w:tr>
      <w:tr>
        <w:trPr>
          <w:trHeight w:val="27"/>
        </w:trPr>
        <w:tc>
          <w:tcPr>
            <w:tcW w:w="7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700" w:type="dxa"/>
            <w:vAlign w:val="bottom"/>
            <w:gridSpan w:val="2"/>
          </w:tcPr>
          <w:p>
            <w:pPr>
              <w:ind w:left="28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193,741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193,876</w:t>
            </w:r>
          </w:p>
        </w:tc>
      </w:tr>
      <w:tr>
        <w:trPr>
          <w:trHeight w:val="27"/>
        </w:trPr>
        <w:tc>
          <w:tcPr>
            <w:tcW w:w="7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24,810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20,415</w:t>
            </w:r>
          </w:p>
        </w:tc>
      </w:tr>
      <w:tr>
        <w:trPr>
          <w:trHeight w:val="243"/>
        </w:trPr>
        <w:tc>
          <w:tcPr>
            <w:tcW w:w="7700" w:type="dxa"/>
            <w:vAlign w:val="bottom"/>
            <w:gridSpan w:val="2"/>
          </w:tcPr>
          <w:p>
            <w:pPr>
              <w:ind w:left="280"/>
              <w:spacing w:after="0"/>
              <w:rPr>
                <w:sz w:val="20"/>
                <w:szCs w:val="20"/>
                <w:color w:val="auto"/>
              </w:rPr>
            </w:pPr>
            <w:r>
              <w:rPr>
                <w:rFonts w:ascii="Arial" w:cs="Arial" w:eastAsia="Arial" w:hAnsi="Arial"/>
                <w:sz w:val="18"/>
                <w:szCs w:val="18"/>
                <w:color w:val="auto"/>
              </w:rPr>
              <w:t>Asset impairment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11,355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2,082</w:t>
            </w:r>
          </w:p>
        </w:tc>
      </w:tr>
      <w:tr>
        <w:trPr>
          <w:trHeight w:val="27"/>
        </w:trPr>
        <w:tc>
          <w:tcPr>
            <w:tcW w:w="7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Litigation settlement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00" w:type="dxa"/>
            <w:vAlign w:val="bottom"/>
            <w:gridSpan w:val="2"/>
          </w:tcPr>
          <w:p>
            <w:pPr>
              <w:ind w:left="280"/>
              <w:spacing w:after="0"/>
              <w:rPr>
                <w:sz w:val="20"/>
                <w:szCs w:val="20"/>
                <w:color w:val="auto"/>
              </w:rPr>
            </w:pPr>
            <w:r>
              <w:rPr>
                <w:rFonts w:ascii="Arial" w:cs="Arial" w:eastAsia="Arial" w:hAnsi="Arial"/>
                <w:sz w:val="18"/>
                <w:szCs w:val="18"/>
                <w:color w:val="auto"/>
              </w:rPr>
              <w:t>Other expense (income), net</w:t>
            </w:r>
          </w:p>
        </w:tc>
        <w:tc>
          <w:tcPr>
            <w:tcW w:w="140" w:type="dxa"/>
            <w:vAlign w:val="bottom"/>
          </w:tcPr>
          <w:p>
            <w:pPr>
              <w:spacing w:after="0"/>
              <w:rPr>
                <w:sz w:val="21"/>
                <w:szCs w:val="21"/>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473</w:t>
            </w:r>
          </w:p>
        </w:tc>
      </w:tr>
      <w:tr>
        <w:trPr>
          <w:trHeight w:val="27"/>
        </w:trPr>
        <w:tc>
          <w:tcPr>
            <w:tcW w:w="75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3"/>
        </w:trPr>
        <w:tc>
          <w:tcPr>
            <w:tcW w:w="7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234,235</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216,846</w:t>
            </w:r>
          </w:p>
        </w:tc>
      </w:tr>
      <w:tr>
        <w:trPr>
          <w:trHeight w:val="237"/>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16,915</w:t>
            </w: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32,400</w:t>
            </w:r>
          </w:p>
        </w:tc>
      </w:tr>
      <w:tr>
        <w:trPr>
          <w:trHeight w:val="27"/>
        </w:trPr>
        <w:tc>
          <w:tcPr>
            <w:tcW w:w="7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7,455</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9,061</w:t>
            </w:r>
          </w:p>
        </w:tc>
      </w:tr>
      <w:tr>
        <w:trPr>
          <w:trHeight w:val="237"/>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Earnings before income taxes</w:t>
            </w: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9,460</w:t>
            </w: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23,339</w:t>
            </w:r>
          </w:p>
        </w:tc>
      </w:tr>
      <w:tr>
        <w:trPr>
          <w:trHeight w:val="27"/>
        </w:trPr>
        <w:tc>
          <w:tcPr>
            <w:tcW w:w="7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(282)</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5,910</w:t>
            </w:r>
          </w:p>
        </w:tc>
      </w:tr>
      <w:tr>
        <w:trPr>
          <w:trHeight w:val="297"/>
        </w:trPr>
        <w:tc>
          <w:tcPr>
            <w:tcW w:w="77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9,742</w:t>
            </w:r>
          </w:p>
        </w:tc>
        <w:tc>
          <w:tcPr>
            <w:tcW w:w="8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17,429</w:t>
            </w:r>
          </w:p>
        </w:tc>
      </w:tr>
      <w:tr>
        <w:trPr>
          <w:trHeight w:val="270"/>
        </w:trPr>
        <w:tc>
          <w:tcPr>
            <w:tcW w:w="7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43"/>
        </w:trPr>
        <w:tc>
          <w:tcPr>
            <w:tcW w:w="770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data:</w:t>
            </w: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Number of stores open at end of period</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1,105</w:t>
            </w:r>
          </w:p>
        </w:tc>
      </w:tr>
      <w:tr>
        <w:trPr>
          <w:trHeight w:val="243"/>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New stores opened</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7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Operating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38,063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42,656</w:t>
            </w:r>
          </w:p>
        </w:tc>
      </w:tr>
      <w:tr>
        <w:trPr>
          <w:trHeight w:val="243"/>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Diluted EPS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0.12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0.21</w:t>
            </w:r>
          </w:p>
        </w:tc>
      </w:tr>
      <w:tr>
        <w:trPr>
          <w:trHeight w:val="27"/>
        </w:trPr>
        <w:tc>
          <w:tcPr>
            <w:tcW w:w="7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Diluted EPS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0.31</w:t>
            </w:r>
          </w:p>
        </w:tc>
      </w:tr>
      <w:tr>
        <w:trPr>
          <w:trHeight w:val="243"/>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Adjusted EBITDA</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61,022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61,220</w:t>
            </w:r>
          </w:p>
        </w:tc>
      </w:tr>
      <w:tr>
        <w:trPr>
          <w:trHeight w:val="513"/>
        </w:trPr>
        <w:tc>
          <w:tcPr>
            <w:tcW w:w="7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20" w:type="dxa"/>
            <w:vAlign w:val="bottom"/>
            <w:gridSpan w:val="6"/>
          </w:tcPr>
          <w:p>
            <w:pPr>
              <w:jc w:val="right"/>
              <w:ind w:right="930"/>
              <w:spacing w:after="0"/>
              <w:rPr>
                <w:sz w:val="20"/>
                <w:szCs w:val="20"/>
                <w:color w:val="auto"/>
              </w:rPr>
            </w:pPr>
            <w:r>
              <w:rPr>
                <w:rFonts w:ascii="Arial" w:cs="Arial" w:eastAsia="Arial" w:hAnsi="Arial"/>
                <w:sz w:val="18"/>
                <w:szCs w:val="18"/>
                <w:color w:val="auto"/>
              </w:rPr>
              <w:t>Three Months Ended</w:t>
            </w:r>
          </w:p>
        </w:tc>
      </w:tr>
      <w:tr>
        <w:trPr>
          <w:trHeight w:val="27"/>
        </w:trPr>
        <w:tc>
          <w:tcPr>
            <w:tcW w:w="7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7"/>
        </w:trPr>
        <w:tc>
          <w:tcPr>
            <w:tcW w:w="7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4"/>
          </w:tcPr>
          <w:p>
            <w:pPr>
              <w:ind w:left="20"/>
              <w:spacing w:after="0"/>
              <w:rPr>
                <w:sz w:val="20"/>
                <w:szCs w:val="20"/>
                <w:color w:val="auto"/>
              </w:rPr>
            </w:pPr>
            <w:r>
              <w:rPr>
                <w:rFonts w:ascii="Arial" w:cs="Arial" w:eastAsia="Arial" w:hAnsi="Arial"/>
                <w:sz w:val="18"/>
                <w:szCs w:val="18"/>
                <w:color w:val="auto"/>
              </w:rPr>
              <w:t>March 28, 2020</w:t>
            </w:r>
          </w:p>
        </w:tc>
        <w:tc>
          <w:tcPr>
            <w:tcW w:w="180" w:type="dxa"/>
            <w:vAlign w:val="bottom"/>
          </w:tcPr>
          <w:p>
            <w:pPr>
              <w:spacing w:after="0"/>
              <w:rPr>
                <w:sz w:val="20"/>
                <w:szCs w:val="20"/>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color w:val="auto"/>
                <w:w w:val="94"/>
              </w:rPr>
              <w:t>March 30, 2019</w:t>
            </w:r>
          </w:p>
        </w:tc>
      </w:tr>
      <w:tr>
        <w:trPr>
          <w:trHeight w:val="27"/>
        </w:trPr>
        <w:tc>
          <w:tcPr>
            <w:tcW w:w="7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7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Percentage of net revenue</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Total costs applicable to revenue</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46.5%</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7"/>
        </w:trPr>
        <w:tc>
          <w:tcPr>
            <w:tcW w:w="7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43"/>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49.9%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47.0%</w:t>
            </w:r>
          </w:p>
        </w:tc>
      </w:tr>
      <w:tr>
        <w:trPr>
          <w:trHeight w:val="27"/>
        </w:trPr>
        <w:tc>
          <w:tcPr>
            <w:tcW w:w="7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7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Adjusted Operating Income</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Adjusted EBITDA</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567"/>
        </w:trPr>
        <w:tc>
          <w:tcPr>
            <w:tcW w:w="7560" w:type="dxa"/>
            <w:vAlign w:val="bottom"/>
          </w:tcPr>
          <w:p>
            <w:pPr>
              <w:ind w:left="554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4440"/>
        <w:spacing w:after="0" w:line="377" w:lineRule="auto"/>
        <w:rPr>
          <w:sz w:val="20"/>
          <w:szCs w:val="20"/>
          <w:color w:val="auto"/>
        </w:rPr>
      </w:pPr>
      <w:r>
        <w:rPr>
          <w:rFonts w:ascii="Arial" w:cs="Arial" w:eastAsia="Arial" w:hAnsi="Arial"/>
          <w:sz w:val="18"/>
          <w:szCs w:val="18"/>
          <w:b w:val="1"/>
          <w:bCs w:val="1"/>
          <w:color w:val="auto"/>
        </w:rPr>
        <w:t xml:space="preserve">Three Months Ended March 28, 2020 compared to Three Months Ended March 30, 2019 </w:t>
      </w:r>
      <w:r>
        <w:rPr>
          <w:rFonts w:ascii="Arial" w:cs="Arial" w:eastAsia="Arial" w:hAnsi="Arial"/>
          <w:sz w:val="18"/>
          <w:szCs w:val="18"/>
          <w:i w:val="1"/>
          <w:iCs w:val="1"/>
          <w:color w:val="auto"/>
        </w:rPr>
        <w:t>Net revenue</w:t>
      </w:r>
    </w:p>
    <w:p>
      <w:pPr>
        <w:spacing w:after="0" w:line="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presents, by segment and by brand, comparable store sales growth, stores open at the end of the period and net revenue for the three months ended March 28, 2020 compared to the three months ended March 30, 2019.</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w w:val="98"/>
              </w:rPr>
              <w:t>Comparable store sales growth</w:t>
            </w:r>
            <w:r>
              <w:rPr>
                <w:rFonts w:ascii="Arial" w:cs="Arial" w:eastAsia="Arial" w:hAnsi="Arial"/>
                <w:sz w:val="8"/>
                <w:szCs w:val="8"/>
                <w:b w:val="1"/>
                <w:bCs w:val="1"/>
                <w:color w:val="auto"/>
                <w:w w:val="98"/>
              </w:rPr>
              <w:t>(1)</w:t>
            </w:r>
          </w:p>
        </w:tc>
        <w:tc>
          <w:tcPr>
            <w:tcW w:w="100" w:type="dxa"/>
            <w:vAlign w:val="bottom"/>
          </w:tcPr>
          <w:p>
            <w:pPr>
              <w:spacing w:after="0"/>
              <w:rPr>
                <w:sz w:val="16"/>
                <w:szCs w:val="16"/>
                <w:color w:val="auto"/>
              </w:rPr>
            </w:pPr>
          </w:p>
        </w:tc>
        <w:tc>
          <w:tcPr>
            <w:tcW w:w="208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w w:val="97"/>
              </w:rPr>
              <w:t>Stores open at end of period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704"/>
              <w:spacing w:after="0"/>
              <w:rPr>
                <w:sz w:val="20"/>
                <w:szCs w:val="20"/>
                <w:color w:val="auto"/>
              </w:rPr>
            </w:pPr>
            <w:r>
              <w:rPr>
                <w:rFonts w:ascii="Arial" w:cs="Arial" w:eastAsia="Arial" w:hAnsi="Arial"/>
                <w:sz w:val="14"/>
                <w:szCs w:val="14"/>
                <w:b w:val="1"/>
                <w:bCs w:val="1"/>
                <w:color w:val="auto"/>
              </w:rPr>
              <w:t>Net revenue</w:t>
            </w:r>
            <w:r>
              <w:rPr>
                <w:rFonts w:ascii="Arial" w:cs="Arial" w:eastAsia="Arial" w:hAnsi="Arial"/>
                <w:sz w:val="8"/>
                <w:szCs w:val="8"/>
                <w:b w:val="1"/>
                <w:bCs w:val="1"/>
                <w:color w:val="auto"/>
              </w:rPr>
              <w:t>(2)</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Three Months</w:t>
            </w:r>
          </w:p>
        </w:tc>
        <w:tc>
          <w:tcPr>
            <w:tcW w:w="11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Three Months</w:t>
            </w:r>
          </w:p>
        </w:tc>
        <w:tc>
          <w:tcPr>
            <w:tcW w:w="11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March 28,</w:t>
            </w: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March 30,</w:t>
            </w:r>
          </w:p>
        </w:tc>
        <w:tc>
          <w:tcPr>
            <w:tcW w:w="220" w:type="dxa"/>
            <w:vAlign w:val="bottom"/>
          </w:tcPr>
          <w:p>
            <w:pPr>
              <w:spacing w:after="0"/>
              <w:rPr>
                <w:sz w:val="13"/>
                <w:szCs w:val="13"/>
                <w:color w:val="auto"/>
              </w:rPr>
            </w:pPr>
          </w:p>
        </w:tc>
        <w:tc>
          <w:tcPr>
            <w:tcW w:w="18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3"/>
                <w:szCs w:val="13"/>
                <w:color w:val="auto"/>
              </w:rPr>
            </w:pPr>
          </w:p>
        </w:tc>
        <w:tc>
          <w:tcPr>
            <w:tcW w:w="1820" w:type="dxa"/>
            <w:vAlign w:val="bottom"/>
            <w:gridSpan w:val="2"/>
            <w:vMerge w:val="restart"/>
          </w:tcPr>
          <w:p>
            <w:pPr>
              <w:jc w:val="right"/>
              <w:ind w:right="28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8"/>
        </w:trPr>
        <w:tc>
          <w:tcPr>
            <w:tcW w:w="2580" w:type="dxa"/>
            <w:vAlign w:val="bottom"/>
            <w:gridSpan w:val="2"/>
          </w:tcPr>
          <w:p>
            <w:pPr>
              <w:ind w:left="40"/>
              <w:spacing w:after="0" w:line="149" w:lineRule="exact"/>
              <w:rPr>
                <w:sz w:val="20"/>
                <w:szCs w:val="20"/>
                <w:color w:val="auto"/>
              </w:rPr>
            </w:pPr>
            <w:r>
              <w:rPr>
                <w:rFonts w:ascii="Arial" w:cs="Arial" w:eastAsia="Arial" w:hAnsi="Arial"/>
                <w:sz w:val="14"/>
                <w:szCs w:val="14"/>
                <w:i w:val="1"/>
                <w:iCs w:val="1"/>
                <w:color w:val="auto"/>
              </w:rPr>
              <w:t>In thousands, except percentage and</w:t>
            </w: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Ended</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Ended</w:t>
            </w:r>
          </w:p>
        </w:tc>
        <w:tc>
          <w:tcPr>
            <w:tcW w:w="11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4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store data</w:t>
            </w: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March 28, 2020</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March 30, 2019</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ind w:right="384"/>
              <w:spacing w:after="0"/>
              <w:rPr>
                <w:sz w:val="20"/>
                <w:szCs w:val="20"/>
                <w:color w:val="auto"/>
              </w:rPr>
            </w:pPr>
            <w:r>
              <w:rPr>
                <w:rFonts w:ascii="Arial" w:cs="Arial" w:eastAsia="Arial" w:hAnsi="Arial"/>
                <w:sz w:val="14"/>
                <w:szCs w:val="14"/>
                <w:b w:val="1"/>
                <w:bCs w:val="1"/>
                <w:color w:val="auto"/>
              </w:rPr>
              <w:t>March 28, 2020</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464"/>
              <w:spacing w:after="0"/>
              <w:rPr>
                <w:sz w:val="20"/>
                <w:szCs w:val="20"/>
                <w:color w:val="auto"/>
              </w:rPr>
            </w:pPr>
            <w:r>
              <w:rPr>
                <w:rFonts w:ascii="Arial" w:cs="Arial" w:eastAsia="Arial" w:hAnsi="Arial"/>
                <w:sz w:val="14"/>
                <w:szCs w:val="14"/>
                <w:b w:val="1"/>
                <w:bCs w:val="1"/>
                <w:color w:val="auto"/>
              </w:rPr>
              <w:t>March 30, 2019</w:t>
            </w:r>
          </w:p>
        </w:tc>
        <w:tc>
          <w:tcPr>
            <w:tcW w:w="0" w:type="dxa"/>
            <w:vAlign w:val="bottom"/>
          </w:tcPr>
          <w:p>
            <w:pPr>
              <w:spacing w:after="0"/>
              <w:rPr>
                <w:sz w:val="1"/>
                <w:szCs w:val="1"/>
                <w:color w:val="auto"/>
              </w:rPr>
            </w:pPr>
          </w:p>
        </w:tc>
      </w:tr>
      <w:tr>
        <w:trPr>
          <w:trHeight w:val="269"/>
        </w:trPr>
        <w:tc>
          <w:tcPr>
            <w:tcW w:w="258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Owned &amp; Host segment</w:t>
            </w: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580" w:type="dxa"/>
            <w:vAlign w:val="bottom"/>
            <w:gridSpan w:val="2"/>
          </w:tcPr>
          <w:p>
            <w:pPr>
              <w:ind w:left="40"/>
              <w:spacing w:after="0"/>
              <w:rPr>
                <w:sz w:val="20"/>
                <w:szCs w:val="20"/>
                <w:color w:val="auto"/>
              </w:rPr>
            </w:pPr>
            <w:r>
              <w:rPr>
                <w:rFonts w:ascii="Arial" w:cs="Arial" w:eastAsia="Arial" w:hAnsi="Arial"/>
                <w:sz w:val="15"/>
                <w:szCs w:val="15"/>
                <w:color w:val="auto"/>
              </w:rPr>
              <w:t>America’s Best</w:t>
            </w:r>
          </w:p>
        </w:tc>
        <w:tc>
          <w:tcPr>
            <w:tcW w:w="1080" w:type="dxa"/>
            <w:vAlign w:val="bottom"/>
          </w:tcPr>
          <w:p>
            <w:pPr>
              <w:jc w:val="right"/>
              <w:spacing w:after="0"/>
              <w:rPr>
                <w:sz w:val="20"/>
                <w:szCs w:val="20"/>
                <w:color w:val="auto"/>
              </w:rPr>
            </w:pPr>
            <w:r>
              <w:rPr>
                <w:rFonts w:ascii="Arial" w:cs="Arial" w:eastAsia="Arial" w:hAnsi="Arial"/>
                <w:sz w:val="15"/>
                <w:szCs w:val="15"/>
                <w:color w:val="auto"/>
              </w:rPr>
              <w:t>(9.3)%</w:t>
            </w:r>
          </w:p>
        </w:tc>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8.2 %</w:t>
            </w:r>
          </w:p>
        </w:tc>
        <w:tc>
          <w:tcPr>
            <w:tcW w:w="100" w:type="dxa"/>
            <w:vAlign w:val="bottom"/>
          </w:tcPr>
          <w:p>
            <w:pPr>
              <w:spacing w:after="0"/>
              <w:rPr>
                <w:sz w:val="23"/>
                <w:szCs w:val="23"/>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747</w:t>
            </w:r>
          </w:p>
        </w:tc>
        <w:tc>
          <w:tcPr>
            <w:tcW w:w="120" w:type="dxa"/>
            <w:vAlign w:val="bottom"/>
          </w:tcPr>
          <w:p>
            <w:pPr>
              <w:spacing w:after="0"/>
              <w:rPr>
                <w:sz w:val="23"/>
                <w:szCs w:val="23"/>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679</w:t>
            </w:r>
          </w:p>
        </w:tc>
        <w:tc>
          <w:tcPr>
            <w:tcW w:w="100" w:type="dxa"/>
            <w:vAlign w:val="bottom"/>
          </w:tcPr>
          <w:p>
            <w:pPr>
              <w:spacing w:after="0"/>
              <w:rPr>
                <w:sz w:val="23"/>
                <w:szCs w:val="23"/>
                <w:color w:val="auto"/>
              </w:rPr>
            </w:pPr>
          </w:p>
        </w:tc>
        <w:tc>
          <w:tcPr>
            <w:tcW w:w="2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04"/>
              <w:spacing w:after="0"/>
              <w:rPr>
                <w:sz w:val="20"/>
                <w:szCs w:val="20"/>
                <w:color w:val="auto"/>
              </w:rPr>
            </w:pPr>
            <w:r>
              <w:rPr>
                <w:rFonts w:ascii="Arial" w:cs="Arial" w:eastAsia="Arial" w:hAnsi="Arial"/>
                <w:sz w:val="15"/>
                <w:szCs w:val="15"/>
                <w:color w:val="auto"/>
              </w:rPr>
              <w:t>294,170</w:t>
            </w:r>
          </w:p>
        </w:tc>
        <w:tc>
          <w:tcPr>
            <w:tcW w:w="760" w:type="dxa"/>
            <w:vAlign w:val="bottom"/>
          </w:tcPr>
          <w:p>
            <w:pPr>
              <w:jc w:val="right"/>
              <w:spacing w:after="0"/>
              <w:rPr>
                <w:sz w:val="20"/>
                <w:szCs w:val="20"/>
                <w:color w:val="auto"/>
              </w:rPr>
            </w:pPr>
            <w:r>
              <w:rPr>
                <w:rFonts w:ascii="Arial" w:cs="Arial" w:eastAsia="Arial" w:hAnsi="Arial"/>
                <w:sz w:val="15"/>
                <w:szCs w:val="15"/>
                <w:color w:val="auto"/>
              </w:rPr>
              <w:t>62.6%</w:t>
            </w:r>
          </w:p>
        </w:tc>
        <w:tc>
          <w:tcPr>
            <w:tcW w:w="120" w:type="dxa"/>
            <w:vAlign w:val="bottom"/>
          </w:tcPr>
          <w:p>
            <w:pPr>
              <w:spacing w:after="0"/>
              <w:rPr>
                <w:sz w:val="23"/>
                <w:szCs w:val="23"/>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264"/>
              <w:spacing w:after="0"/>
              <w:rPr>
                <w:sz w:val="20"/>
                <w:szCs w:val="20"/>
                <w:color w:val="auto"/>
              </w:rPr>
            </w:pPr>
            <w:r>
              <w:rPr>
                <w:rFonts w:ascii="Arial" w:cs="Arial" w:eastAsia="Arial" w:hAnsi="Arial"/>
                <w:sz w:val="15"/>
                <w:szCs w:val="15"/>
                <w:color w:val="auto"/>
              </w:rPr>
              <w:t>305,096</w:t>
            </w:r>
          </w:p>
        </w:tc>
        <w:tc>
          <w:tcPr>
            <w:tcW w:w="840" w:type="dxa"/>
            <w:vAlign w:val="bottom"/>
          </w:tcPr>
          <w:p>
            <w:pPr>
              <w:jc w:val="right"/>
              <w:spacing w:after="0"/>
              <w:rPr>
                <w:sz w:val="20"/>
                <w:szCs w:val="20"/>
                <w:color w:val="auto"/>
              </w:rPr>
            </w:pPr>
            <w:r>
              <w:rPr>
                <w:rFonts w:ascii="Arial" w:cs="Arial" w:eastAsia="Arial" w:hAnsi="Arial"/>
                <w:sz w:val="15"/>
                <w:szCs w:val="15"/>
                <w:color w:val="auto"/>
              </w:rPr>
              <w:t>66.2 %</w:t>
            </w:r>
          </w:p>
        </w:tc>
        <w:tc>
          <w:tcPr>
            <w:tcW w:w="0" w:type="dxa"/>
            <w:vAlign w:val="bottom"/>
          </w:tcPr>
          <w:p>
            <w:pPr>
              <w:spacing w:after="0"/>
              <w:rPr>
                <w:sz w:val="1"/>
                <w:szCs w:val="1"/>
                <w:color w:val="auto"/>
              </w:rPr>
            </w:pPr>
          </w:p>
        </w:tc>
      </w:tr>
      <w:tr>
        <w:trPr>
          <w:trHeight w:val="274"/>
        </w:trPr>
        <w:tc>
          <w:tcPr>
            <w:tcW w:w="25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Eyeglass World</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6.5 %</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117</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116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44,486</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rPr>
              <w:t>50,214</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10.9 %</w:t>
            </w:r>
          </w:p>
        </w:tc>
        <w:tc>
          <w:tcPr>
            <w:tcW w:w="0" w:type="dxa"/>
            <w:vAlign w:val="bottom"/>
          </w:tcPr>
          <w:p>
            <w:pPr>
              <w:spacing w:after="0"/>
              <w:rPr>
                <w:sz w:val="1"/>
                <w:szCs w:val="1"/>
                <w:color w:val="auto"/>
              </w:rPr>
            </w:pPr>
          </w:p>
        </w:tc>
      </w:tr>
      <w:tr>
        <w:trPr>
          <w:trHeight w:val="266"/>
        </w:trPr>
        <w:tc>
          <w:tcPr>
            <w:tcW w:w="2580" w:type="dxa"/>
            <w:vAlign w:val="bottom"/>
            <w:gridSpan w:val="2"/>
          </w:tcPr>
          <w:p>
            <w:pPr>
              <w:ind w:left="40"/>
              <w:spacing w:after="0"/>
              <w:rPr>
                <w:sz w:val="20"/>
                <w:szCs w:val="20"/>
                <w:color w:val="auto"/>
              </w:rPr>
            </w:pPr>
            <w:r>
              <w:rPr>
                <w:rFonts w:ascii="Arial" w:cs="Arial" w:eastAsia="Arial" w:hAnsi="Arial"/>
                <w:sz w:val="15"/>
                <w:szCs w:val="15"/>
                <w:color w:val="auto"/>
              </w:rPr>
              <w:t>Military</w:t>
            </w:r>
          </w:p>
        </w:tc>
        <w:tc>
          <w:tcPr>
            <w:tcW w:w="1080" w:type="dxa"/>
            <w:vAlign w:val="bottom"/>
          </w:tcPr>
          <w:p>
            <w:pPr>
              <w:jc w:val="right"/>
              <w:spacing w:after="0"/>
              <w:rPr>
                <w:sz w:val="20"/>
                <w:szCs w:val="20"/>
                <w:color w:val="auto"/>
              </w:rPr>
            </w:pPr>
            <w:r>
              <w:rPr>
                <w:rFonts w:ascii="Arial" w:cs="Arial" w:eastAsia="Arial" w:hAnsi="Arial"/>
                <w:sz w:val="15"/>
                <w:szCs w:val="15"/>
                <w:color w:val="auto"/>
              </w:rPr>
              <w:t>(12.1)%</w:t>
            </w:r>
          </w:p>
        </w:tc>
        <w:tc>
          <w:tcPr>
            <w:tcW w:w="1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(4.4)%</w:t>
            </w:r>
          </w:p>
        </w:tc>
        <w:tc>
          <w:tcPr>
            <w:tcW w:w="100" w:type="dxa"/>
            <w:vAlign w:val="bottom"/>
          </w:tcPr>
          <w:p>
            <w:pPr>
              <w:spacing w:after="0"/>
              <w:rPr>
                <w:sz w:val="23"/>
                <w:szCs w:val="23"/>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54</w:t>
            </w:r>
          </w:p>
        </w:tc>
        <w:tc>
          <w:tcPr>
            <w:tcW w:w="120" w:type="dxa"/>
            <w:vAlign w:val="bottom"/>
          </w:tcPr>
          <w:p>
            <w:pPr>
              <w:spacing w:after="0"/>
              <w:rPr>
                <w:sz w:val="23"/>
                <w:szCs w:val="23"/>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54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ind w:right="204"/>
              <w:spacing w:after="0"/>
              <w:rPr>
                <w:sz w:val="20"/>
                <w:szCs w:val="20"/>
                <w:color w:val="auto"/>
              </w:rPr>
            </w:pPr>
            <w:r>
              <w:rPr>
                <w:rFonts w:ascii="Arial" w:cs="Arial" w:eastAsia="Arial" w:hAnsi="Arial"/>
                <w:sz w:val="15"/>
                <w:szCs w:val="15"/>
                <w:color w:val="auto"/>
              </w:rPr>
              <w:t>5,642</w:t>
            </w:r>
          </w:p>
        </w:tc>
        <w:tc>
          <w:tcPr>
            <w:tcW w:w="760" w:type="dxa"/>
            <w:vAlign w:val="bottom"/>
          </w:tcPr>
          <w:p>
            <w:pPr>
              <w:jc w:val="right"/>
              <w:spacing w:after="0"/>
              <w:rPr>
                <w:sz w:val="20"/>
                <w:szCs w:val="20"/>
                <w:color w:val="auto"/>
              </w:rPr>
            </w:pPr>
            <w:r>
              <w:rPr>
                <w:rFonts w:ascii="Arial" w:cs="Arial" w:eastAsia="Arial" w:hAnsi="Arial"/>
                <w:sz w:val="15"/>
                <w:szCs w:val="15"/>
                <w:color w:val="auto"/>
              </w:rPr>
              <w:t>1.2%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264"/>
              <w:spacing w:after="0"/>
              <w:rPr>
                <w:sz w:val="20"/>
                <w:szCs w:val="20"/>
                <w:color w:val="auto"/>
              </w:rPr>
            </w:pPr>
            <w:r>
              <w:rPr>
                <w:rFonts w:ascii="Arial" w:cs="Arial" w:eastAsia="Arial" w:hAnsi="Arial"/>
                <w:sz w:val="15"/>
                <w:szCs w:val="15"/>
                <w:color w:val="auto"/>
              </w:rPr>
              <w:t>6,421</w:t>
            </w:r>
          </w:p>
        </w:tc>
        <w:tc>
          <w:tcPr>
            <w:tcW w:w="840" w:type="dxa"/>
            <w:vAlign w:val="bottom"/>
          </w:tcPr>
          <w:p>
            <w:pPr>
              <w:jc w:val="right"/>
              <w:spacing w:after="0"/>
              <w:rPr>
                <w:sz w:val="20"/>
                <w:szCs w:val="20"/>
                <w:color w:val="auto"/>
              </w:rPr>
            </w:pPr>
            <w:r>
              <w:rPr>
                <w:rFonts w:ascii="Arial" w:cs="Arial" w:eastAsia="Arial" w:hAnsi="Arial"/>
                <w:sz w:val="15"/>
                <w:szCs w:val="15"/>
                <w:color w:val="auto"/>
              </w:rPr>
              <w:t>1.4 %</w:t>
            </w:r>
          </w:p>
        </w:tc>
        <w:tc>
          <w:tcPr>
            <w:tcW w:w="0" w:type="dxa"/>
            <w:vAlign w:val="bottom"/>
          </w:tcPr>
          <w:p>
            <w:pPr>
              <w:spacing w:after="0"/>
              <w:rPr>
                <w:sz w:val="1"/>
                <w:szCs w:val="1"/>
                <w:color w:val="auto"/>
              </w:rPr>
            </w:pPr>
          </w:p>
        </w:tc>
      </w:tr>
      <w:tr>
        <w:trPr>
          <w:trHeight w:val="270"/>
        </w:trPr>
        <w:tc>
          <w:tcPr>
            <w:tcW w:w="258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Fred Meyer</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rPr>
              <w:t>29</w:t>
            </w:r>
          </w:p>
        </w:tc>
        <w:tc>
          <w:tcPr>
            <w:tcW w:w="12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rPr>
              <w:t>2,929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rPr>
              <w:t>3,489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0.8 %</w:t>
            </w:r>
          </w:p>
        </w:tc>
        <w:tc>
          <w:tcPr>
            <w:tcW w:w="0" w:type="dxa"/>
            <w:vAlign w:val="bottom"/>
          </w:tcPr>
          <w:p>
            <w:pPr>
              <w:spacing w:after="0"/>
              <w:rPr>
                <w:sz w:val="1"/>
                <w:szCs w:val="1"/>
                <w:color w:val="auto"/>
              </w:rPr>
            </w:pPr>
          </w:p>
        </w:tc>
      </w:tr>
      <w:tr>
        <w:trPr>
          <w:trHeight w:val="250"/>
        </w:trPr>
        <w:tc>
          <w:tcPr>
            <w:tcW w:w="2580" w:type="dxa"/>
            <w:vAlign w:val="bottom"/>
            <w:gridSpan w:val="2"/>
          </w:tcPr>
          <w:p>
            <w:pPr>
              <w:ind w:left="40"/>
              <w:spacing w:after="0"/>
              <w:rPr>
                <w:sz w:val="20"/>
                <w:szCs w:val="20"/>
                <w:color w:val="auto"/>
              </w:rPr>
            </w:pPr>
            <w:r>
              <w:rPr>
                <w:rFonts w:ascii="Arial" w:cs="Arial" w:eastAsia="Arial" w:hAnsi="Arial"/>
                <w:sz w:val="15"/>
                <w:szCs w:val="15"/>
                <w:color w:val="auto"/>
              </w:rPr>
              <w:t>Owned &amp; Host segment total</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ind w:right="25"/>
              <w:spacing w:after="0"/>
              <w:rPr>
                <w:sz w:val="20"/>
                <w:szCs w:val="20"/>
                <w:color w:val="auto"/>
              </w:rPr>
            </w:pPr>
            <w:r>
              <w:rPr>
                <w:rFonts w:ascii="Arial" w:cs="Arial" w:eastAsia="Arial" w:hAnsi="Arial"/>
                <w:sz w:val="15"/>
                <w:szCs w:val="15"/>
                <w:color w:val="auto"/>
              </w:rPr>
              <w:t>947</w:t>
            </w:r>
          </w:p>
        </w:tc>
        <w:tc>
          <w:tcPr>
            <w:tcW w:w="120" w:type="dxa"/>
            <w:vAlign w:val="bottom"/>
          </w:tcPr>
          <w:p>
            <w:pPr>
              <w:spacing w:after="0"/>
              <w:rPr>
                <w:sz w:val="21"/>
                <w:szCs w:val="21"/>
                <w:color w:val="auto"/>
              </w:rPr>
            </w:pPr>
          </w:p>
        </w:tc>
        <w:tc>
          <w:tcPr>
            <w:tcW w:w="980" w:type="dxa"/>
            <w:vAlign w:val="bottom"/>
          </w:tcPr>
          <w:p>
            <w:pPr>
              <w:jc w:val="right"/>
              <w:ind w:right="24"/>
              <w:spacing w:after="0"/>
              <w:rPr>
                <w:sz w:val="20"/>
                <w:szCs w:val="20"/>
                <w:color w:val="auto"/>
              </w:rPr>
            </w:pPr>
            <w:r>
              <w:rPr>
                <w:rFonts w:ascii="Arial" w:cs="Arial" w:eastAsia="Arial" w:hAnsi="Arial"/>
                <w:sz w:val="15"/>
                <w:szCs w:val="15"/>
                <w:color w:val="auto"/>
              </w:rPr>
              <w:t>878</w:t>
            </w:r>
          </w:p>
        </w:tc>
        <w:tc>
          <w:tcPr>
            <w:tcW w:w="100" w:type="dxa"/>
            <w:vAlign w:val="bottom"/>
          </w:tcPr>
          <w:p>
            <w:pPr>
              <w:spacing w:after="0"/>
              <w:rPr>
                <w:sz w:val="21"/>
                <w:szCs w:val="21"/>
                <w:color w:val="auto"/>
              </w:rPr>
            </w:pPr>
          </w:p>
        </w:tc>
        <w:tc>
          <w:tcPr>
            <w:tcW w:w="22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04"/>
              <w:spacing w:after="0"/>
              <w:rPr>
                <w:sz w:val="20"/>
                <w:szCs w:val="20"/>
                <w:color w:val="auto"/>
              </w:rPr>
            </w:pPr>
            <w:r>
              <w:rPr>
                <w:rFonts w:ascii="Arial" w:cs="Arial" w:eastAsia="Arial" w:hAnsi="Arial"/>
                <w:sz w:val="15"/>
                <w:szCs w:val="15"/>
                <w:color w:val="auto"/>
              </w:rPr>
              <w:t>347,227</w:t>
            </w:r>
          </w:p>
        </w:tc>
        <w:tc>
          <w:tcPr>
            <w:tcW w:w="760" w:type="dxa"/>
            <w:vAlign w:val="bottom"/>
          </w:tcPr>
          <w:p>
            <w:pPr>
              <w:jc w:val="right"/>
              <w:spacing w:after="0"/>
              <w:rPr>
                <w:sz w:val="20"/>
                <w:szCs w:val="20"/>
                <w:color w:val="auto"/>
              </w:rPr>
            </w:pPr>
            <w:r>
              <w:rPr>
                <w:rFonts w:ascii="Arial" w:cs="Arial" w:eastAsia="Arial" w:hAnsi="Arial"/>
                <w:sz w:val="15"/>
                <w:szCs w:val="15"/>
                <w:color w:val="auto"/>
              </w:rPr>
              <w:t>73.9%</w:t>
            </w:r>
          </w:p>
        </w:tc>
        <w:tc>
          <w:tcPr>
            <w:tcW w:w="120" w:type="dxa"/>
            <w:vAlign w:val="bottom"/>
          </w:tcPr>
          <w:p>
            <w:pPr>
              <w:spacing w:after="0"/>
              <w:rPr>
                <w:sz w:val="21"/>
                <w:szCs w:val="21"/>
                <w:color w:val="auto"/>
              </w:rPr>
            </w:pP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264"/>
              <w:spacing w:after="0"/>
              <w:rPr>
                <w:sz w:val="20"/>
                <w:szCs w:val="20"/>
                <w:color w:val="auto"/>
              </w:rPr>
            </w:pPr>
            <w:r>
              <w:rPr>
                <w:rFonts w:ascii="Arial" w:cs="Arial" w:eastAsia="Arial" w:hAnsi="Arial"/>
                <w:sz w:val="15"/>
                <w:szCs w:val="15"/>
                <w:color w:val="auto"/>
              </w:rPr>
              <w:t>365,220</w:t>
            </w:r>
          </w:p>
        </w:tc>
        <w:tc>
          <w:tcPr>
            <w:tcW w:w="840" w:type="dxa"/>
            <w:vAlign w:val="bottom"/>
          </w:tcPr>
          <w:p>
            <w:pPr>
              <w:jc w:val="right"/>
              <w:spacing w:after="0"/>
              <w:rPr>
                <w:sz w:val="20"/>
                <w:szCs w:val="20"/>
                <w:color w:val="auto"/>
              </w:rPr>
            </w:pPr>
            <w:r>
              <w:rPr>
                <w:rFonts w:ascii="Arial" w:cs="Arial" w:eastAsia="Arial" w:hAnsi="Arial"/>
                <w:sz w:val="15"/>
                <w:szCs w:val="15"/>
                <w:color w:val="auto"/>
              </w:rPr>
              <w:t>79.3 %</w:t>
            </w:r>
          </w:p>
        </w:tc>
        <w:tc>
          <w:tcPr>
            <w:tcW w:w="0" w:type="dxa"/>
            <w:vAlign w:val="bottom"/>
          </w:tcPr>
          <w:p>
            <w:pPr>
              <w:spacing w:after="0"/>
              <w:rPr>
                <w:sz w:val="1"/>
                <w:szCs w:val="1"/>
                <w:color w:val="auto"/>
              </w:rPr>
            </w:pPr>
          </w:p>
        </w:tc>
      </w:tr>
      <w:tr>
        <w:trPr>
          <w:trHeight w:val="274"/>
        </w:trPr>
        <w:tc>
          <w:tcPr>
            <w:tcW w:w="258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Legacy segment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w:t>
            </w: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1.8 %</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rPr>
              <w:t>226</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227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36,457</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rPr>
              <w:t>44,578</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9.7 %</w:t>
            </w:r>
          </w:p>
        </w:tc>
        <w:tc>
          <w:tcPr>
            <w:tcW w:w="0" w:type="dxa"/>
            <w:vAlign w:val="bottom"/>
          </w:tcPr>
          <w:p>
            <w:pPr>
              <w:spacing w:after="0"/>
              <w:rPr>
                <w:sz w:val="1"/>
                <w:szCs w:val="1"/>
                <w:color w:val="auto"/>
              </w:rPr>
            </w:pPr>
          </w:p>
        </w:tc>
      </w:tr>
      <w:tr>
        <w:trPr>
          <w:trHeight w:val="266"/>
        </w:trPr>
        <w:tc>
          <w:tcPr>
            <w:tcW w:w="2580" w:type="dxa"/>
            <w:vAlign w:val="bottom"/>
            <w:gridSpan w:val="2"/>
          </w:tcPr>
          <w:p>
            <w:pPr>
              <w:ind w:left="40"/>
              <w:spacing w:after="0"/>
              <w:rPr>
                <w:sz w:val="20"/>
                <w:szCs w:val="20"/>
                <w:color w:val="auto"/>
              </w:rPr>
            </w:pPr>
            <w:r>
              <w:rPr>
                <w:rFonts w:ascii="Arial" w:cs="Arial" w:eastAsia="Arial" w:hAnsi="Arial"/>
                <w:sz w:val="15"/>
                <w:szCs w:val="15"/>
                <w:b w:val="1"/>
                <w:bCs w:val="1"/>
                <w:color w:val="auto"/>
              </w:rPr>
              <w:t>Corporate/Other</w:t>
            </w:r>
          </w:p>
        </w:tc>
        <w:tc>
          <w:tcPr>
            <w:tcW w:w="120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23"/>
                <w:szCs w:val="23"/>
                <w:color w:val="auto"/>
              </w:rPr>
            </w:pPr>
          </w:p>
        </w:tc>
        <w:tc>
          <w:tcPr>
            <w:tcW w:w="940" w:type="dxa"/>
            <w:vAlign w:val="bottom"/>
          </w:tcPr>
          <w:p>
            <w:pPr>
              <w:jc w:val="right"/>
              <w:ind w:right="204"/>
              <w:spacing w:after="0"/>
              <w:rPr>
                <w:sz w:val="20"/>
                <w:szCs w:val="20"/>
                <w:color w:val="auto"/>
              </w:rPr>
            </w:pPr>
            <w:r>
              <w:rPr>
                <w:rFonts w:ascii="Arial" w:cs="Arial" w:eastAsia="Arial" w:hAnsi="Arial"/>
                <w:sz w:val="15"/>
                <w:szCs w:val="15"/>
                <w:color w:val="auto"/>
              </w:rPr>
              <w:t>66,571</w:t>
            </w:r>
          </w:p>
        </w:tc>
        <w:tc>
          <w:tcPr>
            <w:tcW w:w="760" w:type="dxa"/>
            <w:vAlign w:val="bottom"/>
          </w:tcPr>
          <w:p>
            <w:pPr>
              <w:jc w:val="right"/>
              <w:spacing w:after="0"/>
              <w:rPr>
                <w:sz w:val="20"/>
                <w:szCs w:val="20"/>
                <w:color w:val="auto"/>
              </w:rPr>
            </w:pPr>
            <w:r>
              <w:rPr>
                <w:rFonts w:ascii="Arial" w:cs="Arial" w:eastAsia="Arial" w:hAnsi="Arial"/>
                <w:sz w:val="15"/>
                <w:szCs w:val="15"/>
                <w:color w:val="auto"/>
              </w:rPr>
              <w:t>14.2%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264"/>
              <w:spacing w:after="0"/>
              <w:rPr>
                <w:sz w:val="20"/>
                <w:szCs w:val="20"/>
                <w:color w:val="auto"/>
              </w:rPr>
            </w:pPr>
            <w:r>
              <w:rPr>
                <w:rFonts w:ascii="Arial" w:cs="Arial" w:eastAsia="Arial" w:hAnsi="Arial"/>
                <w:sz w:val="15"/>
                <w:szCs w:val="15"/>
                <w:color w:val="auto"/>
              </w:rPr>
              <w:t>63,881</w:t>
            </w:r>
          </w:p>
        </w:tc>
        <w:tc>
          <w:tcPr>
            <w:tcW w:w="840" w:type="dxa"/>
            <w:vAlign w:val="bottom"/>
          </w:tcPr>
          <w:p>
            <w:pPr>
              <w:jc w:val="right"/>
              <w:spacing w:after="0"/>
              <w:rPr>
                <w:sz w:val="20"/>
                <w:szCs w:val="20"/>
                <w:color w:val="auto"/>
              </w:rPr>
            </w:pPr>
            <w:r>
              <w:rPr>
                <w:rFonts w:ascii="Arial" w:cs="Arial" w:eastAsia="Arial" w:hAnsi="Arial"/>
                <w:sz w:val="15"/>
                <w:szCs w:val="15"/>
                <w:color w:val="auto"/>
              </w:rPr>
              <w:t>13.7 %</w:t>
            </w:r>
          </w:p>
        </w:tc>
        <w:tc>
          <w:tcPr>
            <w:tcW w:w="0" w:type="dxa"/>
            <w:vAlign w:val="bottom"/>
          </w:tcPr>
          <w:p>
            <w:pPr>
              <w:spacing w:after="0"/>
              <w:rPr>
                <w:sz w:val="1"/>
                <w:szCs w:val="1"/>
                <w:color w:val="auto"/>
              </w:rPr>
            </w:pPr>
          </w:p>
        </w:tc>
      </w:tr>
      <w:tr>
        <w:trPr>
          <w:trHeight w:val="270"/>
        </w:trPr>
        <w:tc>
          <w:tcPr>
            <w:tcW w:w="258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Reconciliations</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rPr>
              <w:t>19,449</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rPr>
              <w:t>(12,464)</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280"/>
        </w:trPr>
        <w:tc>
          <w:tcPr>
            <w:tcW w:w="258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Total</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(2.9)%</w:t>
            </w: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6.2 %</w:t>
            </w:r>
          </w:p>
        </w:tc>
        <w:tc>
          <w:tcPr>
            <w:tcW w:w="100" w:type="dxa"/>
            <w:vAlign w:val="bottom"/>
            <w:tcBorders>
              <w:bottom w:val="single" w:sz="8" w:color="CCEEFF"/>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rPr>
              <w:t>1,173</w:t>
            </w:r>
          </w:p>
        </w:tc>
        <w:tc>
          <w:tcPr>
            <w:tcW w:w="120" w:type="dxa"/>
            <w:vAlign w:val="bottom"/>
            <w:tcBorders>
              <w:bottom w:val="single" w:sz="8" w:color="CCEEFF"/>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1,105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rPr>
              <w:t>$</w:t>
            </w:r>
          </w:p>
        </w:tc>
        <w:tc>
          <w:tcPr>
            <w:tcW w:w="94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color w:val="auto"/>
              </w:rPr>
              <w:t>469,704</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100.0%</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bottom w:val="single" w:sz="8" w:color="auto"/>
            </w:tcBorders>
          </w:tcPr>
          <w:p>
            <w:pPr>
              <w:jc w:val="right"/>
              <w:ind w:right="264"/>
              <w:spacing w:after="0"/>
              <w:rPr>
                <w:sz w:val="20"/>
                <w:szCs w:val="20"/>
                <w:color w:val="auto"/>
              </w:rPr>
            </w:pPr>
            <w:r>
              <w:rPr>
                <w:rFonts w:ascii="Arial" w:cs="Arial" w:eastAsia="Arial" w:hAnsi="Arial"/>
                <w:sz w:val="15"/>
                <w:szCs w:val="15"/>
                <w:color w:val="auto"/>
              </w:rPr>
              <w:t>461,215</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100.0 %</w:t>
            </w:r>
          </w:p>
        </w:tc>
        <w:tc>
          <w:tcPr>
            <w:tcW w:w="0" w:type="dxa"/>
            <w:vAlign w:val="bottom"/>
          </w:tcPr>
          <w:p>
            <w:pPr>
              <w:spacing w:after="0"/>
              <w:rPr>
                <w:sz w:val="1"/>
                <w:szCs w:val="1"/>
                <w:color w:val="auto"/>
              </w:rPr>
            </w:pPr>
          </w:p>
        </w:tc>
      </w:tr>
      <w:tr>
        <w:trPr>
          <w:trHeight w:val="127"/>
        </w:trPr>
        <w:tc>
          <w:tcPr>
            <w:tcW w:w="2580" w:type="dxa"/>
            <w:vAlign w:val="bottom"/>
            <w:gridSpan w:val="2"/>
            <w:shd w:val="clear" w:color="auto" w:fill="CCEEFF"/>
          </w:tcPr>
          <w:p>
            <w:pPr>
              <w:ind w:left="40"/>
              <w:spacing w:after="0" w:line="127" w:lineRule="exact"/>
              <w:rPr>
                <w:sz w:val="20"/>
                <w:szCs w:val="20"/>
                <w:color w:val="auto"/>
              </w:rPr>
            </w:pPr>
            <w:r>
              <w:rPr>
                <w:rFonts w:ascii="Arial" w:cs="Arial" w:eastAsia="Arial" w:hAnsi="Arial"/>
                <w:sz w:val="14"/>
                <w:szCs w:val="14"/>
                <w:color w:val="auto"/>
              </w:rPr>
              <w:t>Adjusted Comparable Store Sales</w:t>
            </w: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580" w:type="dxa"/>
            <w:vAlign w:val="bottom"/>
            <w:gridSpan w:val="2"/>
            <w:shd w:val="clear" w:color="auto" w:fill="CCEEFF"/>
          </w:tcPr>
          <w:p>
            <w:pPr>
              <w:ind w:left="40"/>
              <w:spacing w:after="0" w:line="204" w:lineRule="exact"/>
              <w:rPr>
                <w:sz w:val="20"/>
                <w:szCs w:val="20"/>
                <w:color w:val="auto"/>
              </w:rPr>
            </w:pPr>
            <w:r>
              <w:rPr>
                <w:rFonts w:ascii="Arial" w:cs="Arial" w:eastAsia="Arial" w:hAnsi="Arial"/>
                <w:sz w:val="14"/>
                <w:szCs w:val="14"/>
                <w:color w:val="auto"/>
              </w:rPr>
              <w:t>Growth</w:t>
            </w:r>
            <w:r>
              <w:rPr>
                <w:rFonts w:ascii="Arial" w:cs="Arial" w:eastAsia="Arial" w:hAnsi="Arial"/>
                <w:sz w:val="23"/>
                <w:szCs w:val="23"/>
                <w:color w:val="auto"/>
                <w:vertAlign w:val="superscript"/>
              </w:rPr>
              <w:t>(3)</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6.7 %</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660" w:hanging="328"/>
        <w:spacing w:after="0" w:line="245"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 calculate total comparable store sales based on consolidated net revenue excluding the impact of (i) Corporate/Other segment net revenue, (ii) sales from stores opened less than 13 months, (iii) 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CODM reviews, and consistent with reportable segment revenues presented in Note 10. “Segment Reporting” in our unaudited condensed consolidated financial statements included in Part I. Item 1. of this Form 10-Q, with the exception of the Legacy segment, which is adjusted as noted in clause (ii) of footnote (3) below.</w:t>
      </w: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Percentages reflect line item as a percentage of net revenue, adjusted for rounding.</w:t>
      </w:r>
    </w:p>
    <w:p>
      <w:pPr>
        <w:spacing w:after="0" w:line="1" w:lineRule="exact"/>
        <w:rPr>
          <w:rFonts w:ascii="Arial" w:cs="Arial" w:eastAsia="Arial" w:hAnsi="Arial"/>
          <w:sz w:val="14"/>
          <w:szCs w:val="14"/>
          <w:color w:val="auto"/>
        </w:rPr>
      </w:pPr>
    </w:p>
    <w:p>
      <w:pPr>
        <w:jc w:val="both"/>
        <w:ind w:left="660" w:hanging="328"/>
        <w:spacing w:after="0" w:line="244"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7.5% and an increase of 0.8% from total comparable store sales growth based on consolidated net revenue for the three months ended March 28, 2020 and March 30, 2019, respectively, and (ii) Adjusted Comparable Store Sales Growth includes retail sales to the legacy partner’s customers (rather than the revenues recognized consistent with the management &amp; services agreement with the legacy partner), resulting in an increase of 0.1% and a decrease of 0.3% from total comparable store sales growth based on consolidated net revenue for the three months ended March 28, 2020 and March 30, 2019, respectively.</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net revenue of $469.7 million for the three months ended March 28, 2020 increased $8.5 million, or 1.8%, from $461.2 million for the three months ended March 30, 2019. This increase was driven primarily by recognition of unearned revenue and increased sales in new stores opened after the first quarter of 2019, which were partially offset by reduced comparable store sales growth from COVID-19 related temporary store closures beginning in March 2020.</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three months ended March 28, 2020, we opened 23 new America’s Best stores and closed one America’s Best store. Overall, store count grew 6.2% from March 30, 2019 to March 28, 2020 (68 and one net new America’s Best and Eyeglass World stores were added, respectively, and one legacy store closed during the same period). Comparable store sales growth and Adjusted Comparable Store Sales Growth were (2.9)% and (10.3)%, respectively, for the three months ended March 28, 2020.</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Comparable store sales growth and Adjusted Comparable Store Sales Growth were negative due to the closure of our retail stores from March 19, 2020 through the end of the first quarter of 2020 as a result of the COVID-19 pandemic. Comparable store sales growth and Adjusted Comparable Store Sales Growth for the two months ended February 29, 2020 were 5.6% and 5.7%, respectively. Comparable store sales growth and Adjusted Comparable Store Sales Growth for the one month ended March 28, 2020 were (18.8)% and (41.5)%, respectively. Adjusted Comparable Stores Sales Growth includes the effect of deferred and unearned revenue as if such revenues were earned at the point of sale, resulting in a decrease of 0.2% and 22.5% for the two months ended February 29, 2020 and the one month ended March 28, 2020, respectively. Adjusted Comparable Store Sales Growth includes retail sales to the legacy partner’s customers (rather than the revenues recognized consistent with the management &amp; services agreement with the legacy partner), resulting in an increase of 0.3% and a decrease of 0.2% for the two months ended February 29, 2020 and the one month ended March 28, 2020, respectively.</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product sales comprised 83.6% and 83.1% of total net revenue for the three months ended March 28, 2020 and March 30, 2019, respectively. Net product sales increased $9.7 million, or 2.5%, in the three months ended March 28, 2020 compared to the three months ended March 30, 2019, driven primarily by contact lens revenue growth. Net sales of services and plans decreased $1.2 million, or 1.5%, primarily due to temporary store closures beginning in March 2020.</w:t>
      </w:r>
    </w:p>
    <w:p>
      <w:pPr>
        <w:spacing w:after="0" w:line="79"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Owned &amp; Host segment net revenue. </w:t>
      </w:r>
      <w:r>
        <w:rPr>
          <w:rFonts w:ascii="Arial" w:cs="Arial" w:eastAsia="Arial" w:hAnsi="Arial"/>
          <w:sz w:val="18"/>
          <w:szCs w:val="18"/>
          <w:color w:val="auto"/>
        </w:rPr>
        <w:t>Net revenue declined $18.0 million, or 4.9%, due to the temporary closure of the Company’s stores to the public</w:t>
      </w:r>
      <w:r>
        <w:rPr>
          <w:rFonts w:ascii="Arial" w:cs="Arial" w:eastAsia="Arial" w:hAnsi="Arial"/>
          <w:sz w:val="18"/>
          <w:szCs w:val="18"/>
          <w:i w:val="1"/>
          <w:iCs w:val="1"/>
          <w:color w:val="auto"/>
        </w:rPr>
        <w:t xml:space="preserve"> </w:t>
      </w:r>
      <w:r>
        <w:rPr>
          <w:rFonts w:ascii="Arial" w:cs="Arial" w:eastAsia="Arial" w:hAnsi="Arial"/>
          <w:sz w:val="18"/>
          <w:szCs w:val="18"/>
          <w:color w:val="auto"/>
        </w:rPr>
        <w:t>in response to the COVID-19 pandemic.</w:t>
      </w:r>
    </w:p>
    <w:p>
      <w:pPr>
        <w:spacing w:after="0" w:line="62"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i w:val="1"/>
          <w:iCs w:val="1"/>
          <w:color w:val="auto"/>
        </w:rPr>
        <w:t xml:space="preserve">Legacy segment net revenue. </w:t>
      </w:r>
      <w:r>
        <w:rPr>
          <w:rFonts w:ascii="Arial" w:cs="Arial" w:eastAsia="Arial" w:hAnsi="Arial"/>
          <w:sz w:val="18"/>
          <w:szCs w:val="18"/>
          <w:color w:val="auto"/>
        </w:rPr>
        <w:t>Net revenue decreased $8.1 million, or 18.2%, due to the temporary closure of the Company’s stores to the public in</w:t>
      </w:r>
      <w:r>
        <w:rPr>
          <w:rFonts w:ascii="Arial" w:cs="Arial" w:eastAsia="Arial" w:hAnsi="Arial"/>
          <w:sz w:val="18"/>
          <w:szCs w:val="18"/>
          <w:i w:val="1"/>
          <w:iCs w:val="1"/>
          <w:color w:val="auto"/>
        </w:rPr>
        <w:t xml:space="preserve"> </w:t>
      </w:r>
      <w:r>
        <w:rPr>
          <w:rFonts w:ascii="Arial" w:cs="Arial" w:eastAsia="Arial" w:hAnsi="Arial"/>
          <w:sz w:val="18"/>
          <w:szCs w:val="18"/>
          <w:color w:val="auto"/>
        </w:rPr>
        <w:t>response to the COVID-19 pandemic.</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Corporate/Other segment net revenue. </w:t>
      </w:r>
      <w:r>
        <w:rPr>
          <w:rFonts w:ascii="Arial" w:cs="Arial" w:eastAsia="Arial" w:hAnsi="Arial"/>
          <w:sz w:val="18"/>
          <w:szCs w:val="18"/>
          <w:color w:val="auto"/>
        </w:rPr>
        <w:t>Net revenue increased $2.7 million, or 4.2%, driven by unit growth in our online retail business.</w:t>
      </w:r>
    </w:p>
    <w:p>
      <w:pPr>
        <w:spacing w:after="0" w:line="117"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i w:val="1"/>
          <w:iCs w:val="1"/>
          <w:color w:val="auto"/>
        </w:rPr>
        <w:t xml:space="preserve">Net revenue reconciliations. </w:t>
      </w:r>
      <w:r>
        <w:rPr>
          <w:rFonts w:ascii="Arial" w:cs="Arial" w:eastAsia="Arial" w:hAnsi="Arial"/>
          <w:sz w:val="18"/>
          <w:szCs w:val="18"/>
          <w:color w:val="auto"/>
        </w:rPr>
        <w:t>The impact of reconciliations increased net revenue by $31.9 million in the three months ended March 28, 2020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three months ended March 30, 2019. Reconciliations include a decrease in unearned revenue of $19.9 million for the three months ended March 28, 2020 compared to an increase in unearned revenue of $7.8 million for the three months ended March 30, 2019, and increases in deferred revenue of $0.5 million and $4.7 million, for the three months ended March 28, 2020 and March 30, 2019, respectively. While we usually experience increases in unearned revenue for sales in the last seven to 10 days of each quarter, the temporary closure of our stores to the public from March 19, 2020 through the end of the first quarter of 2020 caused virtually all of this increase to not be realized. We anticipate that consolidated revenue in future quarters will be affected by the recognition of unearned revenue and deferred revenue once our stores are re-opened and operating at full capacity.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applicable to revenue</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Costs applicable to revenue of $218.6 million for the three months ended March 28, 2020 increased $6.6 million, or 3.1%, from $212.0 million for the three months ended March 30, 2019. As a percentage of net revenue, costs applicable to revenue increased from 46.0% for the three months ended March 30, 2019 to 46.5% for the three months ended March 28, 2020. This increase as a percentage of net revenue was primarily driven by optometrist costs incurred during temporary store closures to the public as well as contact lens revenue growth, partially offset by higher eyeglass margin.</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Costs of products as a percentage of net product sales decreased from 40.2% for the three months ended March 30, 2019 to 39.8% for the three months ended March 28, 2020, driven primarily by higher eyeglass margin partially offset by contact lens revenue growth.</w:t>
      </w:r>
    </w:p>
    <w:p>
      <w:pPr>
        <w:spacing w:after="0" w:line="62"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i w:val="1"/>
          <w:iCs w:val="1"/>
          <w:color w:val="auto"/>
        </w:rPr>
        <w:t xml:space="preserve">Owned &amp; Host segment costs of products. </w:t>
      </w:r>
      <w:r>
        <w:rPr>
          <w:rFonts w:ascii="Arial" w:cs="Arial" w:eastAsia="Arial" w:hAnsi="Arial"/>
          <w:sz w:val="16"/>
          <w:szCs w:val="16"/>
          <w:color w:val="auto"/>
        </w:rPr>
        <w:t>Costs of products as a percentage of net product sales increased from 28.7%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30, 2019 to 29.1% for the three months ended March 28, 2020 driven by contact lens revenue growth offset by higher eyeglass margin.</w:t>
      </w:r>
    </w:p>
    <w:p>
      <w:pPr>
        <w:spacing w:after="0" w:line="16"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i w:val="1"/>
          <w:iCs w:val="1"/>
          <w:color w:val="auto"/>
        </w:rPr>
        <w:t xml:space="preserve">Legacy segment costs of products. </w:t>
      </w:r>
      <w:r>
        <w:rPr>
          <w:rFonts w:ascii="Arial" w:cs="Arial" w:eastAsia="Arial" w:hAnsi="Arial"/>
          <w:sz w:val="16"/>
          <w:szCs w:val="16"/>
          <w:color w:val="auto"/>
        </w:rPr>
        <w:t>Costs of products as a percentage of net product sales decreased from 46.9% for the three months ended March 30,</w:t>
      </w:r>
      <w:r>
        <w:rPr>
          <w:rFonts w:ascii="Arial" w:cs="Arial" w:eastAsia="Arial" w:hAnsi="Arial"/>
          <w:sz w:val="16"/>
          <w:szCs w:val="16"/>
          <w:i w:val="1"/>
          <w:iCs w:val="1"/>
          <w:color w:val="auto"/>
        </w:rPr>
        <w:t xml:space="preserve"> </w:t>
      </w:r>
      <w:r>
        <w:rPr>
          <w:rFonts w:ascii="Arial" w:cs="Arial" w:eastAsia="Arial" w:hAnsi="Arial"/>
          <w:sz w:val="16"/>
          <w:szCs w:val="16"/>
          <w:color w:val="auto"/>
        </w:rPr>
        <w:t>2019 to 46.7% for the three months ended March 28, 2020. The decrease was primarily driven by a lower mix of non-managed care customer transactions. Decreases in managed care mix increase costs of products as a percentage of net product sales and have a corresponding positive impact on costs of services as a percentage of net sales of services and plans in our Legacy segment. Legacy segment managed care net product revenue is recorded in net product sales while revenue associated with servicing non-managed care customers is recorded in net sales of services and plans. Eyeglass and contact lens product costs for both managed care and non-managed care net revenue are recorded in costs of products.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Costs of services and plans as a percentage of net sales of services and plans increased from 74.3% for the three months ended March 30, 2019 to 80.9% for the three months ended March 28, 2020. The increase was primarily driven by optometrist costs incurred during temporary store closures.</w:t>
      </w:r>
    </w:p>
    <w:p>
      <w:pPr>
        <w:spacing w:after="0" w:line="38"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Owned &amp; Host segment costs of services and plans. </w:t>
      </w:r>
      <w:r>
        <w:rPr>
          <w:rFonts w:ascii="Arial" w:cs="Arial" w:eastAsia="Arial" w:hAnsi="Arial"/>
          <w:sz w:val="18"/>
          <w:szCs w:val="18"/>
          <w:color w:val="auto"/>
        </w:rPr>
        <w:t>Costs of services and plans as a percentage of net sales of services and plans increased from 75.6%</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30, 2019 to 85.1% for the three months ended March 28, 2020. The increase was driven by optometrist and technician costs incurred during temporary store closures.</w:t>
      </w:r>
    </w:p>
    <w:p>
      <w:pPr>
        <w:spacing w:after="0" w:line="7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Legacy segment costs of services and plans. </w:t>
      </w:r>
      <w:r>
        <w:rPr>
          <w:rFonts w:ascii="Arial" w:cs="Arial" w:eastAsia="Arial" w:hAnsi="Arial"/>
          <w:sz w:val="18"/>
          <w:szCs w:val="18"/>
          <w:color w:val="auto"/>
        </w:rPr>
        <w:t>Costs of services and plans as a percentage of net sales of services and plans increased from 43.6%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30, 2019 to 54.7% for the three months ended March 28, 2020. The increase was primarily driven by optometrist costs incurred during temporary store closures.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SG&amp;A of $193.7 million for the three months ended March 28, 2020 decreased $0.1 million, or 0.1%, from the three months ended March 30, 2019. As a percentage of net revenue, SG&amp;A decreased from 42.0% for the three months ended March 30, 2019 to 41.2% for the three months ended March 28, 2020. The decrease in SG&amp;A as a percentage of net revenue was primarily due to recognition of unearned revenue from the fourth quarter of 2019 that was not offset by unearned revenue at the end of the first quarter of 2020, as well as lower performance-based incentive compensation expense, partially offset by store payroll expense incurred during temporary store closures.</w:t>
      </w:r>
    </w:p>
    <w:p>
      <w:pPr>
        <w:spacing w:after="0" w:line="80" w:lineRule="exact"/>
        <w:rPr>
          <w:sz w:val="20"/>
          <w:szCs w:val="20"/>
          <w:color w:val="auto"/>
        </w:rPr>
      </w:pPr>
    </w:p>
    <w:p>
      <w:pPr>
        <w:ind w:left="340"/>
        <w:spacing w:after="0" w:line="342" w:lineRule="auto"/>
        <w:rPr>
          <w:sz w:val="20"/>
          <w:szCs w:val="20"/>
          <w:color w:val="auto"/>
        </w:rPr>
      </w:pPr>
      <w:r>
        <w:rPr>
          <w:rFonts w:ascii="Arial" w:cs="Arial" w:eastAsia="Arial" w:hAnsi="Arial"/>
          <w:sz w:val="16"/>
          <w:szCs w:val="16"/>
          <w:i w:val="1"/>
          <w:iCs w:val="1"/>
          <w:color w:val="auto"/>
        </w:rPr>
        <w:t xml:space="preserve">Owned &amp; Host SG&amp;A. </w:t>
      </w:r>
      <w:r>
        <w:rPr>
          <w:rFonts w:ascii="Arial" w:cs="Arial" w:eastAsia="Arial" w:hAnsi="Arial"/>
          <w:sz w:val="16"/>
          <w:szCs w:val="16"/>
          <w:color w:val="auto"/>
        </w:rPr>
        <w:t>SG&amp;A as a percentage of net revenue increased from 36.5% for the three months ended March 30, 2019 to 38.8%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March 28, 2020, driven primarily due to store payroll and occupancy costs incurred during temporary store closures in March 2020.</w:t>
      </w:r>
    </w:p>
    <w:p>
      <w:pPr>
        <w:spacing w:after="0" w:line="16" w:lineRule="exact"/>
        <w:rPr>
          <w:sz w:val="20"/>
          <w:szCs w:val="20"/>
          <w:color w:val="auto"/>
        </w:rPr>
      </w:pPr>
    </w:p>
    <w:p>
      <w:pPr>
        <w:ind w:left="340"/>
        <w:spacing w:after="0" w:line="308" w:lineRule="auto"/>
        <w:rPr>
          <w:sz w:val="20"/>
          <w:szCs w:val="20"/>
          <w:color w:val="auto"/>
        </w:rPr>
      </w:pPr>
      <w:r>
        <w:rPr>
          <w:rFonts w:ascii="Arial" w:cs="Arial" w:eastAsia="Arial" w:hAnsi="Arial"/>
          <w:sz w:val="17"/>
          <w:szCs w:val="17"/>
          <w:i w:val="1"/>
          <w:iCs w:val="1"/>
          <w:color w:val="auto"/>
        </w:rPr>
        <w:t xml:space="preserve">Legacy segment SG&amp;A. </w:t>
      </w:r>
      <w:r>
        <w:rPr>
          <w:rFonts w:ascii="Arial" w:cs="Arial" w:eastAsia="Arial" w:hAnsi="Arial"/>
          <w:sz w:val="17"/>
          <w:szCs w:val="17"/>
          <w:color w:val="auto"/>
        </w:rPr>
        <w:t>SG&amp;A as a percentage of net revenue increased from 31.9% for the three months ended March 30, 2019 to 37.4%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March 28, 2020 primarily driven by decreased revenue as a result of temporary store closures in March 2020.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Depreciation and amortization expense of $24.8 million for the three months ended March 28, 2020 increased $4.4 million, or 21.5%, from $20.4 million for the three months ended March 30, 2019 primarily driven by investments in new lab equipment. Our property and equipment balance, net, decreased $17.0 million, or 4.6%, during the three months ended March 28, 2020, reflective of $16.2 million in purchases of property and equipment, $1.2 million in new finance leases, less $23.0 million in depreciation expense, and $11.4 million in impairment expense and other adjustments.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recognized $11.4 million for impairment primarily of tangible long-lived assets and ROU assets associated with our retail stores during the three months ended March 28, 2020 compared to $2.1 million recognized during the three months ended March 30, 2019. The impairment charges were primarily related to our Owned &amp; Host segment and were driven by lower than projected customer sales volume in certain stores, and were determined using entity-specific assumptions related to our anticipated use of store assets. We considered multiple factors including, but not limited to: forecasted scenarios related to store performance and likelihood that these scenarios would be ultimately realized; the historical performance of the stores before the temporary store closures in response to the COVID-19 pandemic; and the remaining useful lives of the assets. Asset impairment expenses were recognized in Corporate/Other.</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net, of $7.5 million for the three months ended March 28, 2020 decreased $1.6 million, or 17.7%, from $9.1 million for the three months ended March 30, 2019, primarily as a result of our term loan refinancing in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income tax expense for the three months ended March 28, 2020 reflected income tax expense at our statutory federal and state rate of 25.5%, offset by a discrete benefit of $2.7 million associated primarily with the exercise of stock options. During the three months ended March 30, 2019, our expected combined statutory federal and state rate was reduced by a $0.2 million income tax benefit resulting from stock option exercises.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 Adjusted EBITDA, Adjusted EBITDA Margin, Adjusted Operating Income, Adjusted Operating Margin and Adjusted Diluted EPS</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define EBITDA as net income, plus interest expense, income tax provision and depreciation and amortization. We define Adjusted EBITDA as net income, plus interest expense, income tax provision and depreciation and amortization, further adjusted to exclude stock compensation expense, loss on extinguishment of debt, asset impairment, litigation settlement, secondary offering expenses, management realignment expenses, long-term incentive plan expenses, and other expenses. We define Adjusted EBITDA Margin as Adjusted EBITDA as a percentage of net revenue. We define Adjusted Operating Income as net income, plus interest expense and income tax provision, further adjusted to exclude stock compensation expense, asset impairment, litigation settlement, secondary offering expenses, management realignment expenses, long-term incentive plan expenses, amortization of acquisition intangibles, and other expenses. We define Adjusted Operating Margin as Adjusted Operating Income as a percentage of net revenue. We define Adjusted Diluted EPS as diluted earnings per share, adjusted for the per share impact of stock compensation expense, loss on extinguishment of debt, asset impairment, litigation settlement, secondary offering expenses, management realignment expenses, long-term incentive plan expenses, other expenses, amortization of acquisition intangibles and deferred financing costs, and tax benefit of stock option exercises, less the tax effect of these adjustments.</w:t>
      </w:r>
    </w:p>
    <w:p>
      <w:pPr>
        <w:spacing w:after="0" w:line="6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first quarter of 2020, we introduced Adjusted Operating Income and Adjusted Operating Margin as measures of performance we will use in connection with Adjusted EBITDA, Adjusted EBITDA Margin and Adjusted Diluted EPS. Further, consistent with our presentation of Adjusted Operating Income, we no longer exclude new store pre-opening expenses and non-cash rent from our presentation of Adjusted EBITDA and Adjusted Diluted EPS. New store pre-opening expenses totaled $0.9 million for each of the three months ended March 28, 2020 and March 30, 2019; and non-cash rent totaled $0.6 million and $1.2 million for the three months ended March 28, 2020 and March 30, 2019, respectively. The presentation of Adjusted EBITDA and Adjusted Diluted EPS for the three months ended March 30, 2019 has been recast to reflect these changes. See our Form 8-K filed with the SEC on February 26, 2020, which is incorporated herein by reference, for more information.</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EBITDA and the Company Non-GAAP Measures can vary substantially in size from one period to the next, and certain types of expenses are non-recurring in nature and consequently may not have been incurred in any of the periods presented below.</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EBITDA and the Company Non-GAAP Measures have been presented as supplemental measures of financial performance that are not required by, or presented in accordance with U.S. GAAP, because we believe they assist investors and analysts in comparing our operating performance across reporting periods on a consistent basis by excluding items that we do not believe are indicative of our core operating performance. Management believes EBITDA and the Company Non-GAAP Measures are useful to investors in highlighting trends in our operating performance, while other measures can differ significantly depending on long-term strategic decisions regarding capital structure, the tax jurisdictions in which we operate and capital investments. We also use EBITDA and the Company non-GAAP Measures to supplement U.S.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U.S. GAAP results with non-GAAP financial measures to provide a more complete understanding of the factors and trends affecting the business than U.S. GAAP results alone.</w:t>
      </w:r>
    </w:p>
    <w:p>
      <w:pPr>
        <w:spacing w:after="0" w:line="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EBITDA and the Company non-GAAP Measures are not recognized terms under U.S. GAAP and should not be considered as an alternative to net income or income from operations as a measure of financial performance or cash flows provided by operating activities as a measure of liquidity, or any other performance measure derived in accordance with U.S. GAAP. Additionally, these measures are not intended to be a measure of free cash flow available for management’s discretionary use as they do not consider certain cash requirements such as interest payments, tax payments and debt service requirements. EBITDA and the Company non-GAAP Measures should not be construed to imply that our future results will be unaffected by unusual or non-recurring items. In evaluating EBITDA and the Company Non-GAAP Measures you should be aware that in the future we may incur expenses that are the same as or similar to some of the adjustments in this presentation. Our presentation of EBITDA and the Company Non-GAAP Measures should not be construed to imply that our future results will be unaffected by any such adjustments. Management compensates for these limitations by primarily relying on our U.S. GAAP results in addition to using EBITDA and the Company Non-GAAP Measures.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presentations of these measures have limitations as analytical tools and should not be considered in isolation, or as a substitute for analysis of our results as reported under U.S. GAAP. Some of these limitations are:</w:t>
      </w:r>
    </w:p>
    <w:p>
      <w:pPr>
        <w:spacing w:after="0" w:line="6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they do not reflect costs or cash outlays for capital expenditures or contractual commitments;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our working capital needs;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EBITDA and Adjusted EBITDA do not reflect the interest expense, or the cash requirements necessary to service interest or principal payments, on our debt;</w:t>
      </w: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EBITDA and Adjusted EBITDA do not reflect period to period changes in taxes, income tax expense or the cash necessary to pay income taxes;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they do not reflect the impact of earnings or charges resulting from matters we consider not to be indicative of our ongoing operations;</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EBITDA and Adjusted EBITDA do not reflect cash requirements for such replacements; and</w:t>
      </w: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other companies in our industry may calculate these measures differently than we do, limiting their usefulness as comparative measures.</w:t>
      </w:r>
    </w:p>
    <w:p>
      <w:pPr>
        <w:spacing w:after="0" w:line="1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Because of these limitations, EBITDA and the Company Non-GAAP Measures should not be considered as measures of discretionary cash available to invest in business growth or to reduce indebtedness.</w:t>
      </w:r>
    </w:p>
    <w:p>
      <w:pPr>
        <w:spacing w:after="0" w:line="6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reconciles our Adjusted Operating Income and Adjusted Operating Margin to net income; and EBITDA, Adjusted EBITDA, Adjusted EBITDA Margin and Adjusted Diluted EPS for the periods presented: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920" w:type="dxa"/>
            <w:vAlign w:val="bottom"/>
            <w:gridSpan w:val="4"/>
          </w:tcPr>
          <w:p>
            <w:pPr>
              <w:jc w:val="right"/>
              <w:ind w:right="250"/>
              <w:spacing w:after="0"/>
              <w:rPr>
                <w:sz w:val="20"/>
                <w:szCs w:val="20"/>
                <w:color w:val="auto"/>
              </w:rPr>
            </w:pPr>
            <w:r>
              <w:rPr>
                <w:rFonts w:ascii="Arial" w:cs="Arial" w:eastAsia="Arial" w:hAnsi="Arial"/>
                <w:sz w:val="18"/>
                <w:szCs w:val="18"/>
                <w:color w:val="auto"/>
                <w:w w:val="92"/>
              </w:rPr>
              <w:t>Three Months Ended</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20"/>
                <w:szCs w:val="20"/>
                <w:color w:val="auto"/>
              </w:rPr>
            </w:pPr>
          </w:p>
        </w:tc>
        <w:tc>
          <w:tcPr>
            <w:tcW w:w="1680" w:type="dxa"/>
            <w:vAlign w:val="bottom"/>
            <w:gridSpan w:val="3"/>
          </w:tcPr>
          <w:p>
            <w:pPr>
              <w:ind w:left="120"/>
              <w:spacing w:after="0"/>
              <w:rPr>
                <w:sz w:val="20"/>
                <w:szCs w:val="20"/>
                <w:color w:val="auto"/>
              </w:rPr>
            </w:pPr>
            <w:r>
              <w:rPr>
                <w:rFonts w:ascii="Arial" w:cs="Arial" w:eastAsia="Arial" w:hAnsi="Arial"/>
                <w:sz w:val="18"/>
                <w:szCs w:val="18"/>
                <w:color w:val="auto"/>
              </w:rPr>
              <w:t>March 28, 2020</w:t>
            </w:r>
          </w:p>
        </w:tc>
        <w:tc>
          <w:tcPr>
            <w:tcW w:w="240" w:type="dxa"/>
            <w:vAlign w:val="bottom"/>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Arial" w:cs="Arial" w:eastAsia="Arial" w:hAnsi="Arial"/>
                <w:sz w:val="18"/>
                <w:szCs w:val="18"/>
                <w:color w:val="auto"/>
              </w:rPr>
              <w:t>March 30, 2019</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9,742</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17,429</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3.8%</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7,455</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9,061</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2.0%</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5,910</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1.3%</w:t>
            </w:r>
          </w:p>
        </w:tc>
        <w:tc>
          <w:tcPr>
            <w:tcW w:w="0" w:type="dxa"/>
            <w:vAlign w:val="bottom"/>
          </w:tcPr>
          <w:p>
            <w:pPr>
              <w:spacing w:after="0"/>
              <w:rPr>
                <w:sz w:val="1"/>
                <w:szCs w:val="1"/>
                <w:color w:val="auto"/>
              </w:rPr>
            </w:pPr>
          </w:p>
        </w:tc>
      </w:tr>
      <w:tr>
        <w:trPr>
          <w:trHeight w:val="270"/>
        </w:trPr>
        <w:tc>
          <w:tcPr>
            <w:tcW w:w="75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220" w:type="dxa"/>
            <w:vAlign w:val="bottom"/>
          </w:tcPr>
          <w:p>
            <w:pPr>
              <w:spacing w:after="0"/>
              <w:rPr>
                <w:sz w:val="23"/>
                <w:szCs w:val="23"/>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2,093</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0.4%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2,976</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0.6%</w:t>
            </w: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(b)</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11,355</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2,082</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0.5%</w:t>
            </w:r>
          </w:p>
        </w:tc>
        <w:tc>
          <w:tcPr>
            <w:tcW w:w="0" w:type="dxa"/>
            <w:vAlign w:val="bottom"/>
          </w:tcPr>
          <w:p>
            <w:pPr>
              <w:spacing w:after="0"/>
              <w:rPr>
                <w:sz w:val="1"/>
                <w:szCs w:val="1"/>
                <w:color w:val="auto"/>
              </w:rPr>
            </w:pPr>
          </w:p>
        </w:tc>
      </w:tr>
      <w:tr>
        <w:trPr>
          <w:trHeight w:val="341"/>
        </w:trPr>
        <w:tc>
          <w:tcPr>
            <w:tcW w:w="7540" w:type="dxa"/>
            <w:vAlign w:val="bottom"/>
          </w:tcPr>
          <w:p>
            <w:pPr>
              <w:ind w:left="40"/>
              <w:spacing w:after="0"/>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5"/>
                <w:szCs w:val="25"/>
                <w:color w:val="auto"/>
                <w:vertAlign w:val="superscript"/>
              </w:rPr>
              <w:t>(c)</w:t>
            </w:r>
          </w:p>
        </w:tc>
        <w:tc>
          <w:tcPr>
            <w:tcW w:w="220" w:type="dxa"/>
            <w:vAlign w:val="bottom"/>
          </w:tcPr>
          <w:p>
            <w:pPr>
              <w:spacing w:after="0"/>
              <w:rPr>
                <w:sz w:val="24"/>
                <w:szCs w:val="24"/>
                <w:color w:val="auto"/>
              </w:rPr>
            </w:pPr>
          </w:p>
        </w:tc>
        <w:tc>
          <w:tcPr>
            <w:tcW w:w="820" w:type="dxa"/>
            <w:vAlign w:val="bottom"/>
            <w:vMerge w:val="restart"/>
          </w:tcPr>
          <w:p>
            <w:pPr>
              <w:jc w:val="right"/>
              <w:ind w:right="50"/>
              <w:spacing w:after="0"/>
              <w:rPr>
                <w:sz w:val="20"/>
                <w:szCs w:val="20"/>
                <w:color w:val="auto"/>
              </w:rPr>
            </w:pPr>
            <w:r>
              <w:rPr>
                <w:rFonts w:ascii="Arial" w:cs="Arial" w:eastAsia="Arial" w:hAnsi="Arial"/>
                <w:sz w:val="18"/>
                <w:szCs w:val="18"/>
                <w:color w:val="auto"/>
              </w:rPr>
              <w:t>4,395</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auto"/>
                <w:w w:val="92"/>
              </w:rPr>
              <w:t>0.9%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18"/>
        </w:trPr>
        <w:tc>
          <w:tcPr>
            <w:tcW w:w="7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Management realignment expenses </w:t>
            </w:r>
            <w:r>
              <w:rPr>
                <w:rFonts w:ascii="Arial" w:cs="Arial" w:eastAsia="Arial" w:hAnsi="Arial"/>
                <w:sz w:val="25"/>
                <w:szCs w:val="25"/>
                <w:color w:val="auto"/>
                <w:vertAlign w:val="superscript"/>
              </w:rPr>
              <w:t>(d)</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2,155</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0.5%</w:t>
            </w:r>
          </w:p>
        </w:tc>
        <w:tc>
          <w:tcPr>
            <w:tcW w:w="0" w:type="dxa"/>
            <w:vAlign w:val="bottom"/>
          </w:tcPr>
          <w:p>
            <w:pPr>
              <w:spacing w:after="0"/>
              <w:rPr>
                <w:sz w:val="1"/>
                <w:szCs w:val="1"/>
                <w:color w:val="auto"/>
              </w:rPr>
            </w:pPr>
          </w:p>
        </w:tc>
      </w:tr>
      <w:tr>
        <w:trPr>
          <w:trHeight w:val="270"/>
        </w:trPr>
        <w:tc>
          <w:tcPr>
            <w:tcW w:w="75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(e)</w:t>
            </w:r>
          </w:p>
        </w:tc>
        <w:tc>
          <w:tcPr>
            <w:tcW w:w="220" w:type="dxa"/>
            <w:vAlign w:val="bottom"/>
          </w:tcPr>
          <w:p>
            <w:pPr>
              <w:spacing w:after="0"/>
              <w:rPr>
                <w:sz w:val="23"/>
                <w:szCs w:val="23"/>
                <w:color w:val="auto"/>
              </w:rPr>
            </w:pP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1,454</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0.3%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1,192</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0.3%</w:t>
            </w:r>
          </w:p>
        </w:tc>
        <w:tc>
          <w:tcPr>
            <w:tcW w:w="0" w:type="dxa"/>
            <w:vAlign w:val="bottom"/>
          </w:tcPr>
          <w:p>
            <w:pPr>
              <w:spacing w:after="0"/>
              <w:rPr>
                <w:sz w:val="1"/>
                <w:szCs w:val="1"/>
                <w:color w:val="auto"/>
              </w:rPr>
            </w:pPr>
          </w:p>
        </w:tc>
      </w:tr>
      <w:tr>
        <w:trPr>
          <w:trHeight w:val="270"/>
        </w:trPr>
        <w:tc>
          <w:tcPr>
            <w:tcW w:w="7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Amortization of acquisition intangibles </w:t>
            </w:r>
            <w:r>
              <w:rPr>
                <w:rFonts w:ascii="Arial" w:cs="Arial" w:eastAsia="Arial" w:hAnsi="Arial"/>
                <w:sz w:val="25"/>
                <w:szCs w:val="25"/>
                <w:color w:val="auto"/>
                <w:vertAlign w:val="superscript"/>
              </w:rPr>
              <w:t>(i)</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1,851</w:t>
            </w:r>
          </w:p>
        </w:tc>
        <w:tc>
          <w:tcPr>
            <w:tcW w:w="7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1,851</w:t>
            </w:r>
          </w:p>
        </w:tc>
        <w:tc>
          <w:tcPr>
            <w:tcW w:w="7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0.4%</w:t>
            </w:r>
          </w:p>
        </w:tc>
        <w:tc>
          <w:tcPr>
            <w:tcW w:w="0" w:type="dxa"/>
            <w:vAlign w:val="bottom"/>
          </w:tcPr>
          <w:p>
            <w:pPr>
              <w:spacing w:after="0"/>
              <w:rPr>
                <w:sz w:val="1"/>
                <w:szCs w:val="1"/>
                <w:color w:val="auto"/>
              </w:rPr>
            </w:pPr>
          </w:p>
        </w:tc>
      </w:tr>
      <w:tr>
        <w:trPr>
          <w:trHeight w:val="237"/>
        </w:trPr>
        <w:tc>
          <w:tcPr>
            <w:tcW w:w="7540" w:type="dxa"/>
            <w:vAlign w:val="bottom"/>
          </w:tcPr>
          <w:p>
            <w:pPr>
              <w:ind w:left="180"/>
              <w:spacing w:after="0"/>
              <w:rPr>
                <w:sz w:val="20"/>
                <w:szCs w:val="20"/>
                <w:color w:val="auto"/>
              </w:rPr>
            </w:pPr>
            <w:r>
              <w:rPr>
                <w:rFonts w:ascii="Arial" w:cs="Arial" w:eastAsia="Arial" w:hAnsi="Arial"/>
                <w:sz w:val="18"/>
                <w:szCs w:val="18"/>
                <w:b w:val="1"/>
                <w:bCs w:val="1"/>
                <w:color w:val="auto"/>
              </w:rPr>
              <w:t>Adjusted Operating Income / Adjusted Operating Margin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38,063</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8.1%</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42,656</w:t>
            </w:r>
          </w:p>
        </w:tc>
        <w:tc>
          <w:tcPr>
            <w:tcW w:w="740" w:type="dxa"/>
            <w:vAlign w:val="bottom"/>
          </w:tcPr>
          <w:p>
            <w:pPr>
              <w:jc w:val="center"/>
              <w:spacing w:after="0"/>
              <w:rPr>
                <w:sz w:val="20"/>
                <w:szCs w:val="20"/>
                <w:color w:val="auto"/>
              </w:rPr>
            </w:pPr>
            <w:r>
              <w:rPr>
                <w:rFonts w:ascii="Arial" w:cs="Arial" w:eastAsia="Arial" w:hAnsi="Arial"/>
                <w:sz w:val="18"/>
                <w:szCs w:val="18"/>
                <w:color w:val="auto"/>
                <w:w w:val="92"/>
              </w:rPr>
              <w:t>9.2%</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80"/>
        <w:spacing w:after="0"/>
        <w:rPr>
          <w:sz w:val="20"/>
          <w:szCs w:val="20"/>
          <w:color w:val="auto"/>
        </w:rPr>
      </w:pPr>
      <w:r>
        <w:rPr>
          <w:rFonts w:ascii="Arial" w:cs="Arial" w:eastAsia="Arial" w:hAnsi="Arial"/>
          <w:sz w:val="14"/>
          <w:szCs w:val="14"/>
          <w:color w:val="auto"/>
        </w:rPr>
        <w:t>Note: Percentages reflect line item as a percentage of net revenue, adjusted for rounding.</w:t>
      </w:r>
    </w:p>
    <w:p>
      <w:pPr>
        <w:ind w:left="80"/>
        <w:spacing w:after="0"/>
        <w:rPr>
          <w:sz w:val="20"/>
          <w:szCs w:val="20"/>
          <w:color w:val="auto"/>
        </w:rPr>
      </w:pPr>
      <w:r>
        <w:rPr>
          <w:rFonts w:ascii="Arial" w:cs="Arial" w:eastAsia="Arial" w:hAnsi="Arial"/>
          <w:sz w:val="14"/>
          <w:szCs w:val="14"/>
          <w:color w:val="auto"/>
        </w:rPr>
        <w:t>Some of the percentage totals in the table above do not foot due to rounding differences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5"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0"/>
        </w:trPr>
        <w:tc>
          <w:tcPr>
            <w:tcW w:w="7100" w:type="dxa"/>
            <w:vAlign w:val="bottom"/>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594"/>
        </w:trPr>
        <w:tc>
          <w:tcPr>
            <w:tcW w:w="7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20" w:type="dxa"/>
            <w:vAlign w:val="bottom"/>
            <w:gridSpan w:val="4"/>
          </w:tcPr>
          <w:p>
            <w:pPr>
              <w:jc w:val="right"/>
              <w:ind w:right="430"/>
              <w:spacing w:after="0"/>
              <w:rPr>
                <w:sz w:val="20"/>
                <w:szCs w:val="20"/>
                <w:color w:val="auto"/>
              </w:rPr>
            </w:pPr>
            <w:r>
              <w:rPr>
                <w:rFonts w:ascii="Arial" w:cs="Arial" w:eastAsia="Arial" w:hAnsi="Arial"/>
                <w:sz w:val="18"/>
                <w:szCs w:val="18"/>
                <w:color w:val="auto"/>
                <w:w w:val="93"/>
              </w:rPr>
              <w:t>Three Months Ended</w:t>
            </w:r>
          </w:p>
        </w:tc>
        <w:tc>
          <w:tcPr>
            <w:tcW w:w="780" w:type="dxa"/>
            <w:vAlign w:val="bottom"/>
          </w:tcPr>
          <w:p>
            <w:pPr>
              <w:spacing w:after="0"/>
              <w:rPr>
                <w:sz w:val="24"/>
                <w:szCs w:val="24"/>
                <w:color w:val="auto"/>
              </w:rPr>
            </w:pPr>
          </w:p>
        </w:tc>
      </w:tr>
      <w:tr>
        <w:trPr>
          <w:trHeight w:val="27"/>
        </w:trPr>
        <w:tc>
          <w:tcPr>
            <w:tcW w:w="7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20"/>
                <w:szCs w:val="20"/>
                <w:color w:val="auto"/>
              </w:rPr>
            </w:pPr>
          </w:p>
        </w:tc>
        <w:tc>
          <w:tcPr>
            <w:tcW w:w="1840" w:type="dxa"/>
            <w:vAlign w:val="bottom"/>
            <w:gridSpan w:val="3"/>
          </w:tcPr>
          <w:p>
            <w:pPr>
              <w:ind w:left="160"/>
              <w:spacing w:after="0"/>
              <w:rPr>
                <w:sz w:val="20"/>
                <w:szCs w:val="20"/>
                <w:color w:val="auto"/>
              </w:rPr>
            </w:pPr>
            <w:r>
              <w:rPr>
                <w:rFonts w:ascii="Arial" w:cs="Arial" w:eastAsia="Arial" w:hAnsi="Arial"/>
                <w:sz w:val="18"/>
                <w:szCs w:val="18"/>
                <w:color w:val="auto"/>
              </w:rPr>
              <w:t>March 28, 2020</w:t>
            </w:r>
          </w:p>
        </w:tc>
        <w:tc>
          <w:tcPr>
            <w:tcW w:w="300" w:type="dxa"/>
            <w:vAlign w:val="bottom"/>
          </w:tcPr>
          <w:p>
            <w:pPr>
              <w:spacing w:after="0"/>
              <w:rPr>
                <w:sz w:val="20"/>
                <w:szCs w:val="20"/>
                <w:color w:val="auto"/>
              </w:rPr>
            </w:pPr>
          </w:p>
        </w:tc>
        <w:tc>
          <w:tcPr>
            <w:tcW w:w="1720" w:type="dxa"/>
            <w:vAlign w:val="bottom"/>
            <w:gridSpan w:val="2"/>
          </w:tcPr>
          <w:p>
            <w:pPr>
              <w:ind w:left="160"/>
              <w:spacing w:after="0"/>
              <w:rPr>
                <w:sz w:val="20"/>
                <w:szCs w:val="20"/>
                <w:color w:val="auto"/>
              </w:rPr>
            </w:pPr>
            <w:r>
              <w:rPr>
                <w:rFonts w:ascii="Arial" w:cs="Arial" w:eastAsia="Arial" w:hAnsi="Arial"/>
                <w:sz w:val="18"/>
                <w:szCs w:val="18"/>
                <w:color w:val="auto"/>
              </w:rPr>
              <w:t>March 30, 2019</w:t>
            </w: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3"/>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9,742</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17,429</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3.8%</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7,455</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9,061</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2.0%</w:t>
            </w: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5,910</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1.3%</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24,810</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20,415</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4.4%</w:t>
            </w: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r>
      <w:tr>
        <w:trPr>
          <w:trHeight w:val="243"/>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EBITDA</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41,725</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52,815</w:t>
            </w: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11.5%</w:t>
            </w:r>
          </w:p>
        </w:tc>
      </w:tr>
      <w:tr>
        <w:trPr>
          <w:trHeight w:val="270"/>
        </w:trPr>
        <w:tc>
          <w:tcPr>
            <w:tcW w:w="7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70"/>
        </w:trPr>
        <w:tc>
          <w:tcPr>
            <w:tcW w:w="71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2,093</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2,976</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0.6%</w:t>
            </w:r>
          </w:p>
        </w:tc>
      </w:tr>
      <w:tr>
        <w:trPr>
          <w:trHeight w:val="270"/>
        </w:trPr>
        <w:tc>
          <w:tcPr>
            <w:tcW w:w="71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(b)</w:t>
            </w:r>
          </w:p>
        </w:tc>
        <w:tc>
          <w:tcPr>
            <w:tcW w:w="2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11,355</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2.4%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2,082</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0.5%</w:t>
            </w:r>
          </w:p>
        </w:tc>
      </w:tr>
      <w:tr>
        <w:trPr>
          <w:trHeight w:val="270"/>
        </w:trPr>
        <w:tc>
          <w:tcPr>
            <w:tcW w:w="71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5"/>
                <w:szCs w:val="25"/>
                <w:color w:val="auto"/>
                <w:vertAlign w:val="superscript"/>
              </w:rPr>
              <w:t>(c)</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4,395</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70"/>
        </w:trPr>
        <w:tc>
          <w:tcPr>
            <w:tcW w:w="71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Management realignment expenses </w:t>
            </w:r>
            <w:r>
              <w:rPr>
                <w:rFonts w:ascii="Arial" w:cs="Arial" w:eastAsia="Arial" w:hAnsi="Arial"/>
                <w:sz w:val="25"/>
                <w:szCs w:val="25"/>
                <w:color w:val="auto"/>
                <w:vertAlign w:val="superscript"/>
              </w:rPr>
              <w:t>(d)</w:t>
            </w:r>
          </w:p>
        </w:tc>
        <w:tc>
          <w:tcPr>
            <w:tcW w:w="2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2,155</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0.5%</w:t>
            </w:r>
          </w:p>
        </w:tc>
      </w:tr>
      <w:tr>
        <w:trPr>
          <w:trHeight w:val="270"/>
        </w:trPr>
        <w:tc>
          <w:tcPr>
            <w:tcW w:w="71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(e)</w:t>
            </w: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1,454</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1,192</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0.3%</w:t>
            </w:r>
          </w:p>
        </w:tc>
      </w:tr>
      <w:tr>
        <w:trPr>
          <w:trHeight w:val="250"/>
        </w:trPr>
        <w:tc>
          <w:tcPr>
            <w:tcW w:w="7100" w:type="dxa"/>
            <w:vAlign w:val="bottom"/>
          </w:tcPr>
          <w:p>
            <w:pPr>
              <w:ind w:left="180"/>
              <w:spacing w:after="0"/>
              <w:rPr>
                <w:sz w:val="20"/>
                <w:szCs w:val="20"/>
                <w:color w:val="auto"/>
              </w:rPr>
            </w:pPr>
            <w:r>
              <w:rPr>
                <w:rFonts w:ascii="Arial" w:cs="Arial" w:eastAsia="Arial" w:hAnsi="Arial"/>
                <w:sz w:val="18"/>
                <w:szCs w:val="18"/>
                <w:b w:val="1"/>
                <w:bCs w:val="1"/>
                <w:color w:val="auto"/>
              </w:rPr>
              <w:t>Adjusted EBITDA / Adjusted EBITDA Margin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61,022</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13.0%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61,220</w:t>
            </w:r>
          </w:p>
        </w:tc>
        <w:tc>
          <w:tcPr>
            <w:tcW w:w="780" w:type="dxa"/>
            <w:vAlign w:val="bottom"/>
          </w:tcPr>
          <w:p>
            <w:pPr>
              <w:jc w:val="center"/>
              <w:spacing w:after="0"/>
              <w:rPr>
                <w:sz w:val="20"/>
                <w:szCs w:val="20"/>
                <w:color w:val="auto"/>
              </w:rPr>
            </w:pPr>
            <w:r>
              <w:rPr>
                <w:rFonts w:ascii="Arial" w:cs="Arial" w:eastAsia="Arial" w:hAnsi="Arial"/>
                <w:sz w:val="18"/>
                <w:szCs w:val="18"/>
                <w:color w:val="auto"/>
                <w:w w:val="90"/>
              </w:rPr>
              <w:t>13.3%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8255</wp:posOffset>
            </wp:positionV>
            <wp:extent cx="7797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97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8255</wp:posOffset>
            </wp:positionV>
            <wp:extent cx="7886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 Percentages reflect line item as a percentage of net revenue, adjusted for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-97790</wp:posOffset>
            </wp:positionV>
            <wp:extent cx="7797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97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-97790</wp:posOffset>
            </wp:positionV>
            <wp:extent cx="7886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4"/>
          <w:szCs w:val="14"/>
          <w:color w:val="auto"/>
        </w:rPr>
        <w:t>Some of the percentage totals in the table above do not foot due to rounding differences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0" w:type="dxa"/>
            <w:vAlign w:val="bottom"/>
            <w:gridSpan w:val="4"/>
          </w:tcPr>
          <w:p>
            <w:pPr>
              <w:jc w:val="right"/>
              <w:ind w:right="930"/>
              <w:spacing w:after="0"/>
              <w:rPr>
                <w:sz w:val="20"/>
                <w:szCs w:val="20"/>
                <w:color w:val="auto"/>
              </w:rPr>
            </w:pPr>
            <w:r>
              <w:rPr>
                <w:rFonts w:ascii="Arial" w:cs="Arial" w:eastAsia="Arial" w:hAnsi="Arial"/>
                <w:sz w:val="18"/>
                <w:szCs w:val="18"/>
                <w:color w:val="auto"/>
              </w:rPr>
              <w:t>Three Months Ended</w:t>
            </w:r>
          </w:p>
        </w:tc>
      </w:tr>
      <w:tr>
        <w:trPr>
          <w:trHeight w:val="27"/>
        </w:trPr>
        <w:tc>
          <w:tcPr>
            <w:tcW w:w="7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In thousands, except per share amounts</w:t>
            </w:r>
          </w:p>
        </w:tc>
        <w:tc>
          <w:tcPr>
            <w:tcW w:w="200" w:type="dxa"/>
            <w:vAlign w:val="bottom"/>
          </w:tcPr>
          <w:p>
            <w:pPr>
              <w:spacing w:after="0"/>
              <w:rPr>
                <w:sz w:val="20"/>
                <w:szCs w:val="20"/>
                <w:color w:val="auto"/>
              </w:rPr>
            </w:pPr>
          </w:p>
        </w:tc>
        <w:tc>
          <w:tcPr>
            <w:tcW w:w="1600" w:type="dxa"/>
            <w:vAlign w:val="bottom"/>
            <w:gridSpan w:val="2"/>
          </w:tcPr>
          <w:p>
            <w:pPr>
              <w:ind w:left="80"/>
              <w:spacing w:after="0"/>
              <w:rPr>
                <w:sz w:val="20"/>
                <w:szCs w:val="20"/>
                <w:color w:val="auto"/>
              </w:rPr>
            </w:pPr>
            <w:r>
              <w:rPr>
                <w:rFonts w:ascii="Arial" w:cs="Arial" w:eastAsia="Arial" w:hAnsi="Arial"/>
                <w:sz w:val="18"/>
                <w:szCs w:val="18"/>
                <w:color w:val="auto"/>
              </w:rPr>
              <w:t>March 28, 2020</w:t>
            </w:r>
          </w:p>
        </w:tc>
        <w:tc>
          <w:tcPr>
            <w:tcW w:w="220" w:type="dxa"/>
            <w:vAlign w:val="bottom"/>
          </w:tcPr>
          <w:p>
            <w:pPr>
              <w:spacing w:after="0"/>
              <w:rPr>
                <w:sz w:val="20"/>
                <w:szCs w:val="20"/>
                <w:color w:val="auto"/>
              </w:rPr>
            </w:pPr>
          </w:p>
        </w:tc>
        <w:tc>
          <w:tcPr>
            <w:tcW w:w="1580" w:type="dxa"/>
            <w:vAlign w:val="bottom"/>
          </w:tcPr>
          <w:p>
            <w:pPr>
              <w:jc w:val="right"/>
              <w:ind w:right="230"/>
              <w:spacing w:after="0"/>
              <w:rPr>
                <w:sz w:val="20"/>
                <w:szCs w:val="20"/>
                <w:color w:val="auto"/>
              </w:rPr>
            </w:pPr>
            <w:r>
              <w:rPr>
                <w:rFonts w:ascii="Arial" w:cs="Arial" w:eastAsia="Arial" w:hAnsi="Arial"/>
                <w:sz w:val="18"/>
                <w:szCs w:val="18"/>
                <w:color w:val="auto"/>
                <w:w w:val="99"/>
              </w:rPr>
              <w:t>March 30, 2019</w:t>
            </w:r>
          </w:p>
        </w:tc>
      </w:tr>
      <w:tr>
        <w:trPr>
          <w:trHeight w:val="27"/>
        </w:trPr>
        <w:tc>
          <w:tcPr>
            <w:tcW w:w="7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3"/>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r>
      <w:tr>
        <w:trPr>
          <w:trHeight w:val="270"/>
        </w:trPr>
        <w:tc>
          <w:tcPr>
            <w:tcW w:w="76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200" w:type="dxa"/>
            <w:vAlign w:val="bottom"/>
          </w:tcPr>
          <w:p>
            <w:pPr>
              <w:spacing w:after="0"/>
              <w:rPr>
                <w:sz w:val="23"/>
                <w:szCs w:val="23"/>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0.04</w:t>
            </w:r>
          </w:p>
        </w:tc>
      </w:tr>
      <w:tr>
        <w:trPr>
          <w:trHeight w:val="270"/>
        </w:trPr>
        <w:tc>
          <w:tcPr>
            <w:tcW w:w="76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(b)</w:t>
            </w: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r>
      <w:tr>
        <w:trPr>
          <w:trHeight w:val="270"/>
        </w:trPr>
        <w:tc>
          <w:tcPr>
            <w:tcW w:w="76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5"/>
                <w:szCs w:val="25"/>
                <w:color w:val="auto"/>
                <w:vertAlign w:val="superscript"/>
              </w:rPr>
              <w:t>(c)</w:t>
            </w:r>
          </w:p>
        </w:tc>
        <w:tc>
          <w:tcPr>
            <w:tcW w:w="200" w:type="dxa"/>
            <w:vAlign w:val="bottom"/>
          </w:tcPr>
          <w:p>
            <w:pPr>
              <w:spacing w:after="0"/>
              <w:rPr>
                <w:sz w:val="23"/>
                <w:szCs w:val="23"/>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6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Management realignment expenses </w:t>
            </w:r>
            <w:r>
              <w:rPr>
                <w:rFonts w:ascii="Arial" w:cs="Arial" w:eastAsia="Arial" w:hAnsi="Arial"/>
                <w:sz w:val="25"/>
                <w:szCs w:val="25"/>
                <w:color w:val="auto"/>
                <w:vertAlign w:val="superscript"/>
              </w:rPr>
              <w:t>(d)</w:t>
            </w:r>
          </w:p>
        </w:tc>
        <w:tc>
          <w:tcPr>
            <w:tcW w:w="200" w:type="dxa"/>
            <w:vAlign w:val="bottom"/>
            <w:shd w:val="clear" w:color="auto" w:fill="CCEEFF"/>
          </w:tcPr>
          <w:p>
            <w:pPr>
              <w:spacing w:after="0"/>
              <w:rPr>
                <w:sz w:val="23"/>
                <w:szCs w:val="23"/>
                <w:color w:val="auto"/>
              </w:rPr>
            </w:pP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r>
      <w:tr>
        <w:trPr>
          <w:trHeight w:val="270"/>
        </w:trPr>
        <w:tc>
          <w:tcPr>
            <w:tcW w:w="76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(e)</w:t>
            </w:r>
          </w:p>
        </w:tc>
        <w:tc>
          <w:tcPr>
            <w:tcW w:w="200" w:type="dxa"/>
            <w:vAlign w:val="bottom"/>
          </w:tcPr>
          <w:p>
            <w:pPr>
              <w:spacing w:after="0"/>
              <w:rPr>
                <w:sz w:val="23"/>
                <w:szCs w:val="23"/>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0.01</w:t>
            </w:r>
          </w:p>
        </w:tc>
      </w:tr>
      <w:tr>
        <w:trPr>
          <w:trHeight w:val="270"/>
        </w:trPr>
        <w:tc>
          <w:tcPr>
            <w:tcW w:w="76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Amortization of acquisition intangibles and deferred financing costs </w:t>
            </w:r>
            <w:r>
              <w:rPr>
                <w:rFonts w:ascii="Arial" w:cs="Arial" w:eastAsia="Arial" w:hAnsi="Arial"/>
                <w:sz w:val="25"/>
                <w:szCs w:val="25"/>
                <w:color w:val="auto"/>
                <w:vertAlign w:val="superscript"/>
              </w:rPr>
              <w:t>(f)</w:t>
            </w: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r>
      <w:tr>
        <w:trPr>
          <w:trHeight w:val="270"/>
        </w:trPr>
        <w:tc>
          <w:tcPr>
            <w:tcW w:w="76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Tax benefit of stock option exercises </w:t>
            </w:r>
            <w:r>
              <w:rPr>
                <w:rFonts w:ascii="Arial" w:cs="Arial" w:eastAsia="Arial" w:hAnsi="Arial"/>
                <w:sz w:val="25"/>
                <w:szCs w:val="25"/>
                <w:color w:val="auto"/>
                <w:vertAlign w:val="superscript"/>
              </w:rPr>
              <w:t>(g)</w:t>
            </w:r>
          </w:p>
        </w:tc>
        <w:tc>
          <w:tcPr>
            <w:tcW w:w="20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6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Tax effect of total adjustments </w:t>
            </w:r>
            <w:r>
              <w:rPr>
                <w:rFonts w:ascii="Arial" w:cs="Arial" w:eastAsia="Arial" w:hAnsi="Arial"/>
                <w:sz w:val="25"/>
                <w:szCs w:val="25"/>
                <w:color w:val="auto"/>
                <w:vertAlign w:val="superscript"/>
              </w:rPr>
              <w:t>(h)</w:t>
            </w: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57"/>
        </w:trPr>
        <w:tc>
          <w:tcPr>
            <w:tcW w:w="7640" w:type="dxa"/>
            <w:vAlign w:val="bottom"/>
          </w:tcPr>
          <w:p>
            <w:pPr>
              <w:ind w:left="180"/>
              <w:spacing w:after="0"/>
              <w:rPr>
                <w:sz w:val="20"/>
                <w:szCs w:val="20"/>
                <w:color w:val="auto"/>
              </w:rPr>
            </w:pPr>
            <w:r>
              <w:rPr>
                <w:rFonts w:ascii="Arial" w:cs="Arial" w:eastAsia="Arial" w:hAnsi="Arial"/>
                <w:sz w:val="18"/>
                <w:szCs w:val="18"/>
                <w:b w:val="1"/>
                <w:bCs w:val="1"/>
                <w:color w:val="auto"/>
              </w:rPr>
              <w:t>Adjusted Diluted EPS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0.31</w:t>
            </w:r>
          </w:p>
        </w:tc>
      </w:tr>
      <w:tr>
        <w:trPr>
          <w:trHeight w:val="20"/>
        </w:trPr>
        <w:tc>
          <w:tcPr>
            <w:tcW w:w="7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311"/>
        </w:trPr>
        <w:tc>
          <w:tcPr>
            <w:tcW w:w="7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7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diluted shares outstanding</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82,242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81,466</w:t>
            </w:r>
          </w:p>
        </w:tc>
      </w:tr>
      <w:tr>
        <w:trPr>
          <w:trHeight w:val="171"/>
        </w:trPr>
        <w:tc>
          <w:tcPr>
            <w:tcW w:w="7640" w:type="dxa"/>
            <w:vAlign w:val="bottom"/>
          </w:tcPr>
          <w:p>
            <w:pPr>
              <w:ind w:left="120"/>
              <w:spacing w:after="0"/>
              <w:rPr>
                <w:sz w:val="20"/>
                <w:szCs w:val="20"/>
                <w:color w:val="auto"/>
              </w:rPr>
            </w:pPr>
            <w:r>
              <w:rPr>
                <w:rFonts w:ascii="Arial" w:cs="Arial" w:eastAsia="Arial" w:hAnsi="Arial"/>
                <w:sz w:val="14"/>
                <w:szCs w:val="14"/>
                <w:color w:val="auto"/>
              </w:rPr>
              <w:t>Note: Some of the totals in the table above do not foot due to rounding differences</w:t>
            </w:r>
          </w:p>
        </w:tc>
        <w:tc>
          <w:tcPr>
            <w:tcW w:w="2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r>
    </w:tbl>
    <w:p>
      <w:pPr>
        <w:spacing w:after="0" w:line="10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Non-cash charges related to stock-based compensation programs, which vary from period to period depending on the timing of awards and performance vesting conditions.</w:t>
      </w:r>
    </w:p>
    <w:p>
      <w:pPr>
        <w:spacing w:after="0" w:line="24" w:lineRule="exact"/>
        <w:rPr>
          <w:rFonts w:ascii="Arial" w:cs="Arial" w:eastAsia="Arial" w:hAnsi="Arial"/>
          <w:sz w:val="13"/>
          <w:szCs w:val="13"/>
          <w:color w:val="auto"/>
        </w:rPr>
      </w:pP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Reflects write-off of property, equipment and lease related assets on closed or underperforming stores for the three months ended March 28, 2020 and March 30, 2019.</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Expenses associated with settlement of litigation. See Note 9. “Commitments and Contingencies” in our consolidated financial statements for further details.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Expenses related to a non-recurring management realignment described in our Current Report on Form 8-K filed with the SEC on January 10, 2019.</w:t>
      </w:r>
    </w:p>
    <w:p>
      <w:pPr>
        <w:spacing w:after="0" w:line="1" w:lineRule="exact"/>
        <w:rPr>
          <w:rFonts w:ascii="Arial" w:cs="Arial" w:eastAsia="Arial" w:hAnsi="Arial"/>
          <w:sz w:val="14"/>
          <w:szCs w:val="14"/>
          <w:color w:val="auto"/>
        </w:rPr>
      </w:pPr>
    </w:p>
    <w:p>
      <w:pPr>
        <w:jc w:val="both"/>
        <w:ind w:left="660" w:hanging="328"/>
        <w:spacing w:after="0" w:line="265" w:lineRule="auto"/>
        <w:tabs>
          <w:tab w:leader="none" w:pos="6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Other adjustments include amounts that management believes are not representative of our operating performance (amounts in brackets represent reductions in Adjusted Operating Income, Adjusted Diluted EPS and Adjusted EBITDA), including our share of losses on equity method investments of $0.6 million for the three months ended March 30, 2019; the amortization impact of adjustments related to the March 2014 acquisition of the Company by affiliates of KKR &amp; Co. Inc. (the “KKR Acquisition”), (e.g., fair value of leasehold interests) of $0.1 million for each of the three months ended March 28, 2020 and March 30, 2019; costs of severance and relocation $0.3 million and $0.2 million for the three months ended March 28, 2020 and March 30, 2019, respectively; excess payroll taxes related to stock option exercises of $0.3 million for the three months ended March 28, 2020; $0.6 million of incremental costs directly related to adapting the Company’s operations during the COVID-19 pandemic for the three months ended March 28, 2020; and other expenses and adjustments totaling $0.2 million and $0.3 million for the three months ended March 28, 2020 and March 30, 2019,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both"/>
        <w:ind w:left="660" w:right="20" w:hanging="328"/>
        <w:spacing w:after="0" w:line="266" w:lineRule="auto"/>
        <w:tabs>
          <w:tab w:leader="none" w:pos="6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Amortization of the increase in carrying values of finite-lived intangible assets resulting from the application of purchase accounting to the KKR Acquisition of $1.9 million for each of the three months ended March 28, 2020 and March 30, 2019. Amortization of deferred financing costs is associated with deferred financing fees and amortization of debt discounts related to term loan and revolving credit facility borrowings totaling $0.2 million and $0.4 million for the three months ended March 28, 2020 and March 30, 2019, respectively.</w:t>
      </w:r>
    </w:p>
    <w:p>
      <w:pPr>
        <w:ind w:left="660" w:hanging="328"/>
        <w:spacing w:after="0" w:line="241"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Tax benefit associated with accounting guidance, requiring excess tax benefits related to stock option exercises to be recorded in earnings as discrete items in the reporting period in which they occur.</w:t>
      </w: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combined statutory federal and state income tax rates.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Amortization of the increase in carrying values of finite-lived intangible assets resulting of purchase accounting to the KKR Acquisition.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While we have historically relied on cash flows from operations as our primary source of liquidity, in the first quarter of 2020, as precautionary measure to preserve financial flexibility in light of the uncertainties surrounding the COVID-19 pandemic, we borrowed the remaining $146.3 million in available funds under our revolving credit facility (as defined below). Our primary cash needs are for inventory, payroll, store rent, capital expenditures associated with new stores and updating existing stores, as well as information technology and infrastructure, including our corporate office, distribution centers, and laboratories. We are prioritizing cash conservation and prudent use of cash, while positioning the Company to safely return to normal operations as soon as possible. The most significant components of our operating assets and liabilities are inventories, accounts receivable, prepaid expenses and other assets, accounts payable, deferred and unearned revenue and other payables and accrued expenses. We believe that cash expected to be generated from operations and the cash from the drawdown of our revolving credit facility in March 2020 will be sufficient to fund our working capital requirements, liquidity obligations, anticipated capital expenditures, and payments due under our existing credit facilities for at least the next 12 months. The Company is continuing to evaluate additional operational and financial measures that it may elect to take as it continues to respond to the impact of COVID-19 on its business, including obtaining additional debt and/or equity capital to provide further liquidity in the coming months. There can be no assurance whether or when any such measures will be adopted.</w:t>
      </w:r>
    </w:p>
    <w:p>
      <w:pPr>
        <w:spacing w:after="0" w:line="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28, 2020, we had $263.2 million in cash and cash equivalents, and have fully drawn our $300.0 million revolving credit facility, which includes $5.7 million in outstanding letters of credit.</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purchased $13.1 million in capital items in the three months ended March 28, 2020. Approximately 80% of our capital spend is related to our expected growth (i.e., new stores, optometric equipment, additional capacity in our optical laboratories and distribution centers, and our IT infrastructure, including omni-channel platform related investments). We opened 23 new stores during the three months ended March 28, 2020, but have paused the opening of new stores in light of the COVID-19 pandemic. Our working capital requirements for inventory will increase as we continue to open additional stores. We primarily fund our working capital needs using cash provided by operations.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cash flows provided by (used for) operating activities, investing activities and financing activities for the periods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80" w:type="dxa"/>
            <w:vAlign w:val="bottom"/>
            <w:gridSpan w:val="4"/>
          </w:tcPr>
          <w:p>
            <w:pPr>
              <w:jc w:val="right"/>
              <w:ind w:right="1110"/>
              <w:spacing w:after="0"/>
              <w:rPr>
                <w:sz w:val="20"/>
                <w:szCs w:val="20"/>
                <w:color w:val="auto"/>
              </w:rPr>
            </w:pPr>
            <w:r>
              <w:rPr>
                <w:rFonts w:ascii="Arial" w:cs="Arial" w:eastAsia="Arial" w:hAnsi="Arial"/>
                <w:sz w:val="18"/>
                <w:szCs w:val="18"/>
                <w:color w:val="auto"/>
              </w:rPr>
              <w:t>Three Months Ended</w:t>
            </w:r>
          </w:p>
        </w:tc>
      </w:tr>
      <w:tr>
        <w:trPr>
          <w:trHeight w:val="27"/>
        </w:trPr>
        <w:tc>
          <w:tcPr>
            <w:tcW w:w="7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1780" w:type="dxa"/>
            <w:vAlign w:val="bottom"/>
            <w:gridSpan w:val="2"/>
          </w:tcPr>
          <w:p>
            <w:pPr>
              <w:ind w:left="140"/>
              <w:spacing w:after="0"/>
              <w:rPr>
                <w:sz w:val="20"/>
                <w:szCs w:val="20"/>
                <w:color w:val="auto"/>
              </w:rPr>
            </w:pPr>
            <w:r>
              <w:rPr>
                <w:rFonts w:ascii="Arial" w:cs="Arial" w:eastAsia="Arial" w:hAnsi="Arial"/>
                <w:sz w:val="18"/>
                <w:szCs w:val="18"/>
                <w:color w:val="auto"/>
              </w:rPr>
              <w:t>March 28, 2020</w:t>
            </w:r>
          </w:p>
        </w:tc>
        <w:tc>
          <w:tcPr>
            <w:tcW w:w="240" w:type="dxa"/>
            <w:vAlign w:val="bottom"/>
          </w:tcPr>
          <w:p>
            <w:pPr>
              <w:spacing w:after="0"/>
              <w:rPr>
                <w:sz w:val="20"/>
                <w:szCs w:val="20"/>
                <w:color w:val="auto"/>
              </w:rPr>
            </w:pPr>
          </w:p>
        </w:tc>
        <w:tc>
          <w:tcPr>
            <w:tcW w:w="1660" w:type="dxa"/>
            <w:vAlign w:val="bottom"/>
          </w:tcPr>
          <w:p>
            <w:pPr>
              <w:jc w:val="right"/>
              <w:ind w:right="290"/>
              <w:spacing w:after="0"/>
              <w:rPr>
                <w:sz w:val="20"/>
                <w:szCs w:val="20"/>
                <w:color w:val="auto"/>
              </w:rPr>
            </w:pPr>
            <w:r>
              <w:rPr>
                <w:rFonts w:ascii="Arial" w:cs="Arial" w:eastAsia="Arial" w:hAnsi="Arial"/>
                <w:sz w:val="18"/>
                <w:szCs w:val="18"/>
                <w:color w:val="auto"/>
              </w:rPr>
              <w:t>March 30, 2019</w:t>
            </w:r>
          </w:p>
        </w:tc>
      </w:tr>
      <w:tr>
        <w:trPr>
          <w:trHeight w:val="27"/>
        </w:trPr>
        <w:tc>
          <w:tcPr>
            <w:tcW w:w="7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3"/>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provided by (used for):</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86,060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83,014</w:t>
            </w:r>
          </w:p>
        </w:tc>
      </w:tr>
      <w:tr>
        <w:trPr>
          <w:trHeight w:val="27"/>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(25,806)</w:t>
            </w: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150,601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(1,354)</w:t>
            </w:r>
          </w:p>
        </w:tc>
      </w:tr>
      <w:tr>
        <w:trPr>
          <w:trHeight w:val="27"/>
        </w:trPr>
        <w:tc>
          <w:tcPr>
            <w:tcW w:w="7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cash equivalents and restricted cash</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223,807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55,854</w:t>
            </w: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flows provided by operating activities increased $3.0 million from $83.0 million during the three months ended March 30, 2019 to $86.1 million for the three months ended March 28, 2020. The increase in cash provided by operating activities consisted of a decrease in net income of $7.7 million and increase of non-cash expense items of $5.2 million including decreases in deferred income tax expense of $6.2 million, credit loss expense of $1.6 million and $0.9 million in stock based compensation expense offset by increases in non-cash expense items including depreciation and amortization of $4.4 million, and asset impairment charges of $9.3 million.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Decreases in net working capital and other assets and liabilities contributed $5.6 million in cash compared to the three months ended March 30, 2019. The decrease in net working capital consisted of increases in accounts payable during the three months ended March 28, 2020, which contributed $17.7 million in year-over-year cash, primarily due to timing of payments, and decreases in accounts receivable of $25.7 million, primarily caused by decreases in credit card receivables as a result of store closures near the end of the first quarter of 2020.</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Offsetting these items were other liabilities of $25.0 million, of which $27.0 million decrease in year-over-year cash was due to the timing of unearned revenue as a result of store closures, which was partially offset by an increase of $7.3 million in year-over-year cash due to timing of rent related payments. Deferred revenue contributed to a $4.2 million decrease in year-over-year cash due to lower sales of club and purchase protection plans as a result of store closures. Increases in inventory used $7.3 million in year-over-year cash, due to timing of forward buys.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for Investing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for investing activities decreased by $13.0 million, to $12.9 million, during the three months ended March 28, 2020 from $25.8 million during the three months ended March 30, 2019. The decrease was primarily due timing of new store capital investments.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(Used For) Financing Activities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(used for) financing activities increased $152.0 million, from $1.4 million use of cash during the three months ended March 30, 2019 to $150.6 million provision of cash during the three months ended March 28, 2020. The increase in cash provided by financing activities was primarily related to the additional borrowing of $146.3 million under the revolving credit facility in March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and Revolving Credit Facility</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28, 2020, we had $392.4 million of first lien term loan outstanding under our credit agreement. As of March 28, 2020, we also had a $300.0 million revolving credit facility with $294.3 million outstanding, including $5.7 million in outstanding letters of credit.</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interest rate payable on the first lien term loan is based on either LIBOR or an alternative borrowing rate plus an additional rate that varies between depending on NVI’s consolidated first lien leverage ratio. The first lien term loan will amortize in quarterly installments equal to 2.50% per annum in the first three years of the loan and 5.00% per annum thereafter.</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under our credit agreement we must maintain certain covenants based on our financial results. Our credit agreement also contains covenants that, among other things, limit NVI’s ability to incur additional debt, create liens against assets, make acquisitions, pay dividends or distributions on its stock, merge or consolidate with another entity and transfer or sell assets. As of March 28, 2020, we were in compliance with all of our debt covenants under our credit agreement.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 2020 Amendment to Credit Agreement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5, 2020, we entered into an agreement (the “Amendment”) with the lenders under our credit facility in order to amend certain provisions of the credit agreement. As set forth in greater detail below, the principal purpose of the Amendment was to suspend certain financial maintenance covenants contained in the credit agreement until testing at the end of the second fiscal quarter of 2021. Capitalized terms used but not defined herein shall have the meanings assigned to such terms in the credit agreement and Amendment, as applicable.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the Amendment, the financial covenants relating to maintenance of a maximum Consolidated Total Debt to Consolidated EBITDA Ratio and a minimum Consolidated Interest Coverage Ratio are suspended until testing at the end of the second fiscal quarter of 2021. From and after such time, such covenants will be reinstated on a modified basis so that, subject to certain exceptions and limitations as described in the Amendment, (i) with respect to the second and third fiscal quarters of 2021, the Consolidated Total Debt to Consolidated EBITDA Ratio shall not exceed 4.50 to 1.00 and, with respect to the fourth fiscal quarter of fiscal 2021 and thereafter, the Consolidated Total Debt to Consolidated EBITDA Ratio shall not exceed 4.00 to 1.00, in each case with NVI being able to elect to annualize certain quarterly periods so that quarterly performance from fiscal 2020 is excluded and (ii) with respect to the second fiscal quarter of 2021 and thereafter, the Consolidated Interest Coverage Ratio shall not be less than 3.00 to 1.00. In lieu of such financial covenants, pursuant to the Amendment NVI will agree during the suspension period, (i) not to have Consolidated EBITDA for any six fiscal quarter period be less than $0, with the second fiscal quarter of 2020 permitted to be excluded in certain circumstances, and (ii) to have a minimum level of liquidity (defined as cash and cash equivalents plus the unused portion of the revolving credit facility) equal to the lesser of (x) $100,000,000 and (y) $40,000,000 plus the amount of any net proceeds from capital markets financings during such period in excess of $75,000,000.</w:t>
      </w:r>
    </w:p>
    <w:p>
      <w:pPr>
        <w:spacing w:after="0" w:line="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the credit agreement was amended pursuant to the Amendment to, among other things, (i) limit the flexibility of NVI and Holdings with respect to certain transactions during the covenant suspension period, including the ability to declare or pay dividends, incur debt and make investments and dispositions, (ii) require prepayments of the term loans under certain circumstances during the covenant suspension period from the net proceeds from debt or equity capital markets transactions by the Company (with the amount of the term loans to be paid down equal to $75 million from the first $400 million of capital raised and 50% of any proceeds above such amount) and (iii) restrict NVI’s ability to borrow under the revolving credit facility if unrestricted cash and cash equivalents exceeds $50 million (and, in the event of any such excess, to require a mandatory prepayment of such amount). Also pursuant to the Amendment, the margins upon which interest is calculated for the term loans were amended to a range of 1.75% to 2.75% (for LIBOR Loans) and 1.75% to 1.00% (for ABR Loans), in each case based on NVI’s Consolidated First Lien Secured Debt to Consolidated EBITDA Ratio at such time, with such margins subject an increase of 50 basis points in the event that either (i) the Company has not raised at least $135 million in additional proceeds from certain capital markets transactions within 30 days of the date of the Amendment or (ii) Consolidated EBITDA for the most recently ended fiscal period is less than $0.</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cash requirements and sources of cash</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capital allocation strategy, priorities and investments are reviewed by the Company’s Board of Directors considering both liquidity and severity of impacts to the business resulting from COVID-19.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Primary sources of cash</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primary source of cash to execute its growth strategy is its operating cash flows, used to fund operations throughout the fiscal year and to support future growth. The Company entered this period of COVID-19 uncertainty with a healthy liquidity position and is taking immediate, aggressive and prudent actions, including reevaluating all expenditures, to enhance the Company’s ability to meet the business’ short-term liquidity needs, in order to best position the business for its key stakeholders, including the Company’s associates, customers and shareholders.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Primary uses of cash</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Company’s current capital allocation strategy is to prioritize navigating the near-term challenges that COVID-19 presents and continuing to fund operating activities. In response to COVID-19, the Company is taking immediate, aggressive and prudent actions, including reevaluating all expenditures, to enhance the Company’s ability to meet the business’ short-term liquidity needs and has paused opening new stores. As a result, over the next twelve months, the Company expects its primary cash requirements to be towards funding operating activities, including the acquisition of inventory, and obligations related to compensation, leases and any lease modifications it may exercise, taxes and other operating activities.</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also evaluates opportunities for investments in line with our key initiatives that position the business for sustainable long-term growth. These improvements may include opening new stores, improving store experiences or investments in its omni-channel initiatives or other technology opportunities. In addition, the Company evaluates store closures, including options to terminate store leases early at certain underperforming locations. Historically, the Company has utilized free cash flow generated from operations to fund any discretionary capital expenditures, which have been prioritized towards new store openings, as well as digital and omni-channel investments, information technology, and other projects.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 appropriate, the Company may utilize excess liquidity, towards debt service requirements, including voluntary debt prepayments, or required interest and principal payments, if any, based on excess cash flows.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follow U.S. GAAP in making the determination as to whether or not to record an asset or liability related to our arrangements with third parties. Consistent with current accounting guidance, we do not record an asset or liability associated with long-term purchase, marketing and promotional commitments, or commitments to philanthropic endeavors. We have disclosed the amount of future commitments associated with these items in our fiscal year 2019 annual consolidated financial statements filed on the Form 10-K. We were not a party to any other off-balance sheet arrangements.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our prepayment of debt principal in 2019 the Company does not owe principal payments on its term loan in 2020 and 2021. There were no other material changes outside the ordinary course of business in our contractual obligations and commercial commitments from those reported as of December 28, 2019 in the Annual Report.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Management has evaluated the accounting policies used in the preparation of the Company’s unaudited condensed consolidated financial statements and related notes and believes those policies to be reasonable and appropriate. Certain of these accounting policies require the application of significant judgment by management in selecting appropriate assumptions for calculating financial estimates. By their nature, these judgments are subject to an inherent degree of uncertainty. These judgments are based on historical experience, trends in the industry, information provided by customers and information available from other outside sources, as appropriate. The most significant areas involving management judgments and estimates may be found in the Annual Report dated December 28, 2019, in the “Critical Accounting Policies and Estimates” section of “Management’s Discussion and Analysis of Financial Condition and Results of Operations.” There have been no material changes to our critical accounting policies as compared to the critical accounting policies described in the Annual Report, except for the adoption of Accounting Standards Update (“ASU”) No. 2016-13, </w:t>
      </w:r>
      <w:r>
        <w:rPr>
          <w:rFonts w:ascii="Arial" w:cs="Arial" w:eastAsia="Arial" w:hAnsi="Arial"/>
          <w:sz w:val="17"/>
          <w:szCs w:val="17"/>
          <w:i w:val="1"/>
          <w:iCs w:val="1"/>
          <w:color w:val="auto"/>
        </w:rPr>
        <w:t>Measurement of Credit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Losses on Financial Instruments, </w:t>
      </w:r>
      <w:r>
        <w:rPr>
          <w:rFonts w:ascii="Arial" w:cs="Arial" w:eastAsia="Arial" w:hAnsi="Arial"/>
          <w:sz w:val="17"/>
          <w:szCs w:val="17"/>
          <w:color w:val="auto"/>
        </w:rPr>
        <w:t>and ASU No. 2018-15,</w:t>
      </w:r>
      <w:r>
        <w:rPr>
          <w:rFonts w:ascii="Arial" w:cs="Arial" w:eastAsia="Arial" w:hAnsi="Arial"/>
          <w:sz w:val="17"/>
          <w:szCs w:val="17"/>
          <w:i w:val="1"/>
          <w:iCs w:val="1"/>
          <w:color w:val="auto"/>
        </w:rPr>
        <w:t xml:space="preserve"> Customer’s Accounting for Implementation Costs Incurred in a Cloud Computing Arrangement That Is a Service Contract </w:t>
      </w:r>
      <w:r>
        <w:rPr>
          <w:rFonts w:ascii="Arial" w:cs="Arial" w:eastAsia="Arial" w:hAnsi="Arial"/>
          <w:sz w:val="17"/>
          <w:szCs w:val="17"/>
          <w:color w:val="auto"/>
        </w:rPr>
        <w:t>discussed in Note 1</w:t>
      </w:r>
      <w:r>
        <w:rPr>
          <w:rFonts w:ascii="Arial" w:cs="Arial" w:eastAsia="Arial" w:hAnsi="Arial"/>
          <w:sz w:val="17"/>
          <w:szCs w:val="17"/>
          <w:i w:val="1"/>
          <w:iCs w:val="1"/>
          <w:color w:val="auto"/>
        </w:rPr>
        <w:t xml:space="preserve">. </w:t>
      </w:r>
      <w:r>
        <w:rPr>
          <w:rFonts w:ascii="Arial" w:cs="Arial" w:eastAsia="Arial" w:hAnsi="Arial"/>
          <w:sz w:val="17"/>
          <w:szCs w:val="17"/>
          <w:color w:val="auto"/>
        </w:rPr>
        <w:t>“Description of Business and Basis of Presentation” of our unaudited condensed consolidated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included in Part I. Item 1. of this Form 10-Q.</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Pronouncements</w:t>
      </w:r>
    </w:p>
    <w:p>
      <w:pPr>
        <w:spacing w:after="0" w:line="12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information set forth in Note 1. “Description of Business and Basis of Presentation” to our unaudited condensed consolidated financial statements under Part I. Item 1. under the heading “</w:t>
      </w:r>
      <w:r>
        <w:rPr>
          <w:rFonts w:ascii="Arial" w:cs="Arial" w:eastAsia="Arial" w:hAnsi="Arial"/>
          <w:sz w:val="16"/>
          <w:szCs w:val="16"/>
          <w:i w:val="1"/>
          <w:iCs w:val="1"/>
          <w:color w:val="auto"/>
        </w:rPr>
        <w:t>Adoption of New Accounting Pronouncements</w:t>
      </w:r>
      <w:r>
        <w:rPr>
          <w:rFonts w:ascii="Arial" w:cs="Arial" w:eastAsia="Arial" w:hAnsi="Arial"/>
          <w:sz w:val="16"/>
          <w:szCs w:val="16"/>
          <w:color w:val="auto"/>
        </w:rPr>
        <w:t>” of this Form 10-Q is incorporated herein by reference.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market risk exposure from changes in interest rates. When appropriate, we use derivative financial instruments to mitigate the risk from such exposure. A discussion of our accounting policies for derivative financial instruments is included in Note 3. “Fair Value Measurement of Financial Assets and Liabilities,” to our unaudited condensed consolidated financial statements included in Part I. Item 1. of this Form 10-Q.</w:t>
      </w:r>
    </w:p>
    <w:p>
      <w:pPr>
        <w:spacing w:after="0" w:line="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substantial portion of our debt bears interest at variable rates. If market interest rates increase, the interest rate on our variable rate debt will increase and will create higher debt service requirements, which would adversely affect our cash flow and could adversely impact our results of operations. We also have a revolving line of credit at variable interest rates. The general levels of LIBOR affect interest expense. We periodically use interest rate swaps to manage such risk. The net amounts to be paid or received under interest rate swap agreements are accrued as interest rates change, and are recognized over the life of the swap agreements as an adjustment to interest expense from the underlying debt to which the swap is designated. The related amounts payable to, or receivable from, the contract counterparties are included in accrued liabilities or accounts receivable in the unaudited condensed consolidated balance sheets.</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28, 2020, all of our $686.6 million in credit facility debt was subject to variable interest rates, with a weighted average borrowing rate of 3.8%. After inclusion of the notional amount of $395.0 million of interest rate swaps fixing a portion of the variable rate debt, $291.6 million, or 42.5% of our debt, is subject to variable interest rates. Assuming an increase to market rates of 1.0% as of March 28, 2020, we would incur an annual increase to interest expense of approximately $2.9 million related to debt subject to variable rates.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Rule 13a-15(b) of the Exchange Act, the Company carried out an evaluation, under the supervision and with the participation of its management, including its CEO and CFO, of the effectiveness of the design and operation of the Company's disclosure controls and procedures as of March 28, 2020. Based on that evaluation, the CEO and the CFO have concluded that the Company's current disclosure controls and procedures are effective in ensuring that material information relating to the Company required to be disclosed in the Company's periodic filings with the U.S. Securities and Exchange Commission ("SEC") is made known to them in a timely manner.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Exchange Act Rules 13a-15(f) and 15d-15(f) that occurred during the first quarter of fiscal year 2020 that have materially affected, or are reasonably likely to materially affect, our internal control over financial reporting.</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See Note 9. “Commitments and Contingencies” in our condensed consolidated financial statements included in Part I. Item 1. of this Form 10-Q for information regarding certain legal proceedings in which we are involved, which discussion is incorporated herein by reference.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 xml:space="preserve">For information regarding factors that could affect the Company's results of operations, financial condition and liquidity, see the risk factors discussed </w:t>
      </w:r>
      <w:r>
        <w:rPr>
          <w:rFonts w:ascii="Arial" w:cs="Arial" w:eastAsia="Arial" w:hAnsi="Arial"/>
          <w:sz w:val="18"/>
          <w:szCs w:val="18"/>
          <w:color w:val="000000"/>
        </w:rPr>
        <w:t>in</w:t>
      </w:r>
      <w:r>
        <w:rPr>
          <w:rFonts w:ascii="Arial" w:cs="Arial" w:eastAsia="Arial" w:hAnsi="Arial"/>
          <w:sz w:val="18"/>
          <w:szCs w:val="18"/>
          <w:color w:val="212529"/>
        </w:rPr>
        <w:t xml:space="preserve"> </w:t>
      </w:r>
      <w:r>
        <w:rPr>
          <w:rFonts w:ascii="Arial" w:cs="Arial" w:eastAsia="Arial" w:hAnsi="Arial"/>
          <w:sz w:val="18"/>
          <w:szCs w:val="18"/>
          <w:color w:val="000000"/>
        </w:rPr>
        <w:t xml:space="preserve">Part I. Item 1A. “Risk Factors” in our 2019 Annual Report on Form 10-K </w:t>
      </w:r>
      <w:r>
        <w:rPr>
          <w:rFonts w:ascii="Arial" w:cs="Arial" w:eastAsia="Arial" w:hAnsi="Arial"/>
          <w:sz w:val="18"/>
          <w:szCs w:val="18"/>
          <w:color w:val="212529"/>
        </w:rPr>
        <w:t>and the additional risk factor supplemented in our Current Report on Form 8-K</w:t>
      </w:r>
      <w:r>
        <w:rPr>
          <w:rFonts w:ascii="Arial" w:cs="Arial" w:eastAsia="Arial" w:hAnsi="Arial"/>
          <w:sz w:val="18"/>
          <w:szCs w:val="18"/>
          <w:color w:val="000000"/>
        </w:rPr>
        <w:t xml:space="preserve"> </w:t>
      </w:r>
      <w:r>
        <w:rPr>
          <w:rFonts w:ascii="Arial" w:cs="Arial" w:eastAsia="Arial" w:hAnsi="Arial"/>
          <w:sz w:val="18"/>
          <w:szCs w:val="18"/>
          <w:color w:val="212529"/>
        </w:rPr>
        <w:t>filed on March 19, 2020 (the “Current Report”), except as described below, there have been no material changes to the risk factors described in our 2019 Annual Report on Form 10-K and Current Report.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12529"/>
        </w:rPr>
        <w:t>The scale and scope of the recent COVID-19 outbreak and resulting pandemic is unknown, has had a material adverse impact on our business and is expected to continue to adversely impact our business at least for the near term.</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212529"/>
        </w:rPr>
        <w:t>In December 2019, the COVID-19 disease was reported and in January 2020, the World Health Organization (“WHO”) declared COVID-19 a Public Health Emergency of International Concern. On February 28, 2020, the WHO raised its assessment of the COVID-19 threat from high to very high at a global level due to the continued increase in the number of cases and affected countries, and on March 11, 2020, the WHO characterized COVID-19 as a pandemic. The COVID-19 pandemic has adversely affected global economies, financial markets and the overall environment for our business, and the extent to which it may impact our future results of operations and overall financial performance remains uncertain.</w:t>
      </w:r>
    </w:p>
    <w:p>
      <w:pPr>
        <w:spacing w:after="0" w:line="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12529"/>
        </w:rPr>
        <w:t>The Company is following the recommendations of U.S. government and health authorities to minimize exposure risk for its associates, doctors, customers and patients. As a result, the Company announced on March 18, 2020, a temporary closure of its retail stores to the public. On April 27, 2020, the Company began the gradual re-opening of retail locations to the public with enhanced safety protocols and a focus on meeting the urgent and emergency eye health needs of patients and customers. The Company is closely monitoring this global health crisis and will reassess its strategy and operational structure on a regular, ongoing basis as the situation evolves.</w:t>
      </w:r>
    </w:p>
    <w:p>
      <w:pPr>
        <w:spacing w:after="0" w:line="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212529"/>
        </w:rPr>
        <w:t>The scale and scope of the COVID-19 pandemic has heightened and may continue to heighten the potential adverse effects on our business, operating results, cash flows and/or financial condition described in certain risk factors contained in our Annual Report on Form 10-K, including the impact of:</w:t>
      </w:r>
    </w:p>
    <w:p>
      <w:pPr>
        <w:spacing w:after="0" w:line="16"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212529"/>
        </w:rPr>
        <w:t>a disruption to our growth strategy of opening new stores and expanding our operations, including as a result of pausing new store openings;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212529"/>
        </w:rPr>
        <w:t>our failure to recruit and retain vision care professionals for our stores;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212529"/>
        </w:rPr>
        <w:t>a failure to adhere to existing laws and regulations or newly enacted state, local and federal vision care or healthcare laws and regulations in response to COVID-19;</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212529"/>
        </w:rPr>
        <w:t>an inability to maintain sufficient levels of cash flow from our operations to fund our business and growth strategy and the diminished availability of credit, higher cost of borrowing and lack of confidence in equity markets could make it more difficult for us to obtain additional financing on terms that are favorable to us;</w:t>
      </w:r>
    </w:p>
    <w:p>
      <w:pPr>
        <w:spacing w:after="0" w:line="7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212529"/>
        </w:rPr>
        <w:t>a disruption to our distribution centers or optical laboratories, including those of our suppliers, could result in delays in the receipt of inventory and the delivery of merchandise, higher costs, longer lead times and impact the ability to fulfill customer orders;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212529"/>
        </w:rPr>
        <w:t>travel restrictions and the shutdown of certain businesses on our suppliers and their sourcing operations and pricing practices;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212529"/>
        </w:rPr>
        <w:t>the reduction in our marketing, advertising and promotional efforts as part of cost management could cause us to have difficulty in retaining existing customers and attracting new customers;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212529"/>
        </w:rPr>
        <w:t>any significant failure, inadequacy, interruption or security breach on our information technology systems, as well as those of our vendors;</w:t>
      </w:r>
    </w:p>
    <w:p>
      <w:pPr>
        <w:spacing w:after="0" w:line="12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212529"/>
        </w:rPr>
        <w:t>the impact of our substantial lease obligations, including negotiations with landlords during our temporary store closings, and our high occupancy costs reducing cash available for other purposes and limiting our flexibility;</w:t>
      </w:r>
    </w:p>
    <w:p>
      <w:pPr>
        <w:spacing w:after="0" w:line="6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212529"/>
        </w:rPr>
        <w:t>any significant reductions or volatility in consumer demand for one or more of our products, which may be caused by, among other things, the temporary inability of consumers to purchase our products due to illness, quarantine or other travel restrictions, financial hardship, or a shift in customer behavior toward purchasing the products we offer from competitors who may have not closed their stores to the public or who may focus entirely on selling their products online;</w:t>
      </w:r>
    </w:p>
    <w:p>
      <w:pPr>
        <w:spacing w:after="0" w:line="78"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212529"/>
        </w:rPr>
        <w:t>the impact on our peak shopping quarters in the first half of the year and resulting impact on our annual operating results;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212529"/>
        </w:rPr>
        <w:t>the distinct risks our e-commerce business faces, including changes in consumer behavior during the COVID-19 pandemic; and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20" w:hanging="328"/>
        <w:spacing w:after="0" w:line="301"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significant operating and financial restrictions, including financial maintenance and restrictive covenants, in our recently amended credit agreement, that may limit the ability of us and our subsidiaries, under certain circumstances, to, among other things, incur additional indebtedness; engage in certain fundamental changes, including mergers or consolidations; make acquisitions, investments, loans or advances; pay or modify the terms of certain indebtedness; limitations in how we conduct our business; and our ability to raise additional debt or equity financing.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212529"/>
        </w:rPr>
        <w:t>In addition, the COVID-19 pandemic may adversely impact our business and financial condition in other areas, including:</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212529"/>
        </w:rPr>
        <w:t>Operational Impacts</w:t>
      </w:r>
    </w:p>
    <w:p>
      <w:pPr>
        <w:spacing w:after="0" w:line="117" w:lineRule="exact"/>
        <w:rPr>
          <w:sz w:val="20"/>
          <w:szCs w:val="20"/>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212529"/>
        </w:rPr>
        <w:t>new or escalated government or regulatory responses in markets where we manufacture, sell or distribute our products, or in the markets of third parties on which we rely, could prevent or disrupt our business operations;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212529"/>
        </w:rPr>
        <w:t>a future shutdown of one or more retail operations, distribution or laboratory facilities as a result of illness, government restrictions or other workforce disruptions;</w:t>
      </w:r>
    </w:p>
    <w:p>
      <w:pPr>
        <w:spacing w:after="0" w:line="6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212529"/>
        </w:rPr>
        <w:t>higher costs in certain areas such as distribution, employee compensation, as well as incremental costs associated with newly added health screenings, temperature check, and enhanced cleaning and sanitation protocols to protect our associates, optometrists and customers; and</w:t>
      </w:r>
    </w:p>
    <w:p>
      <w:pPr>
        <w:spacing w:after="0" w:line="38"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28"/>
        </w:numPr>
        <w:rPr>
          <w:rFonts w:ascii="Arial" w:cs="Arial" w:eastAsia="Arial" w:hAnsi="Arial"/>
          <w:sz w:val="18"/>
          <w:szCs w:val="18"/>
          <w:color w:val="212529"/>
        </w:rPr>
      </w:pPr>
      <w:r>
        <w:rPr>
          <w:rFonts w:ascii="Arial" w:cs="Arial" w:eastAsia="Arial" w:hAnsi="Arial"/>
          <w:sz w:val="18"/>
          <w:szCs w:val="18"/>
          <w:color w:val="333333"/>
        </w:rPr>
        <w:t xml:space="preserve">our operations could be disrupted if key members of our senior management or a significant percentage of our workforce or the workforce of our outsourced laboratories or suppliers are unable to continue to work because of illness, government directives or otherwise. In addition, the interruption of our or their system capabilities </w:t>
      </w:r>
      <w:r>
        <w:rPr>
          <w:rFonts w:ascii="Arial" w:cs="Arial" w:eastAsia="Arial" w:hAnsi="Arial"/>
          <w:sz w:val="18"/>
          <w:szCs w:val="18"/>
          <w:color w:val="212529"/>
        </w:rPr>
        <w:t>could result in a deterioration of our ability to fulfill and sell our products and services, provide</w:t>
      </w:r>
      <w:r>
        <w:rPr>
          <w:rFonts w:ascii="Arial" w:cs="Arial" w:eastAsia="Arial" w:hAnsi="Arial"/>
          <w:sz w:val="18"/>
          <w:szCs w:val="18"/>
          <w:color w:val="333333"/>
        </w:rPr>
        <w:t xml:space="preserve"> </w:t>
      </w:r>
      <w:r>
        <w:rPr>
          <w:rFonts w:ascii="Arial" w:cs="Arial" w:eastAsia="Arial" w:hAnsi="Arial"/>
          <w:sz w:val="18"/>
          <w:szCs w:val="18"/>
          <w:color w:val="212529"/>
        </w:rPr>
        <w:t xml:space="preserve">customer service or perform other necessary business functions. </w:t>
      </w:r>
      <w:r>
        <w:rPr>
          <w:rFonts w:ascii="Arial" w:cs="Arial" w:eastAsia="Arial" w:hAnsi="Arial"/>
          <w:sz w:val="18"/>
          <w:szCs w:val="18"/>
          <w:color w:val="333333"/>
        </w:rPr>
        <w:t>Having shifted to remote working arrangements, we also face a heightened risk of</w:t>
      </w:r>
      <w:r>
        <w:rPr>
          <w:rFonts w:ascii="Arial" w:cs="Arial" w:eastAsia="Arial" w:hAnsi="Arial"/>
          <w:sz w:val="18"/>
          <w:szCs w:val="18"/>
          <w:color w:val="212529"/>
        </w:rPr>
        <w:t xml:space="preserve"> </w:t>
      </w:r>
      <w:r>
        <w:rPr>
          <w:rFonts w:ascii="Arial" w:cs="Arial" w:eastAsia="Arial" w:hAnsi="Arial"/>
          <w:sz w:val="18"/>
          <w:szCs w:val="18"/>
          <w:color w:val="333333"/>
        </w:rPr>
        <w:t>cybersecurity attacks or data security incidents and are more dependent on internet and telecommunications access and capabilities that are less uniform than in our dedicated workspaces.</w:t>
      </w:r>
    </w:p>
    <w:p>
      <w:pPr>
        <w:spacing w:after="0" w:line="84" w:lineRule="exact"/>
        <w:rPr>
          <w:rFonts w:ascii="Arial" w:cs="Arial" w:eastAsia="Arial" w:hAnsi="Arial"/>
          <w:sz w:val="18"/>
          <w:szCs w:val="18"/>
          <w:color w:val="212529"/>
        </w:rPr>
      </w:pPr>
    </w:p>
    <w:p>
      <w:pPr>
        <w:ind w:left="660"/>
        <w:spacing w:after="0"/>
        <w:rPr>
          <w:rFonts w:ascii="Arial" w:cs="Arial" w:eastAsia="Arial" w:hAnsi="Arial"/>
          <w:sz w:val="18"/>
          <w:szCs w:val="18"/>
          <w:color w:val="212529"/>
        </w:rPr>
      </w:pPr>
      <w:r>
        <w:rPr>
          <w:rFonts w:ascii="Arial" w:cs="Arial" w:eastAsia="Arial" w:hAnsi="Arial"/>
          <w:sz w:val="18"/>
          <w:szCs w:val="18"/>
          <w:u w:val="single" w:color="auto"/>
          <w:color w:val="212529"/>
        </w:rPr>
        <w:t>Financial Impacts</w:t>
      </w:r>
    </w:p>
    <w:p>
      <w:pPr>
        <w:spacing w:after="0" w:line="117" w:lineRule="exact"/>
        <w:rPr>
          <w:rFonts w:ascii="Arial" w:cs="Arial" w:eastAsia="Arial" w:hAnsi="Arial"/>
          <w:sz w:val="18"/>
          <w:szCs w:val="18"/>
          <w:color w:val="212529"/>
        </w:rPr>
      </w:pPr>
    </w:p>
    <w:p>
      <w:pPr>
        <w:jc w:val="both"/>
        <w:ind w:left="660" w:hanging="328"/>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described below, we anticipate that our financial results will continue to be materially impacted for the duration of the COVID-19 pandemic. While we believe that the long-term fundamentals of our business are largely unchanged, and anticipate that our operating results in future fiscal years will begin to reflect a more normal operating environment, the current economic and public health climate has created a high degree of uncertainty.</w:t>
      </w:r>
    </w:p>
    <w:p>
      <w:pPr>
        <w:spacing w:after="0" w:line="78" w:lineRule="exact"/>
        <w:rPr>
          <w:rFonts w:ascii="Arial" w:cs="Arial" w:eastAsia="Arial" w:hAnsi="Arial"/>
          <w:sz w:val="18"/>
          <w:szCs w:val="18"/>
          <w:color w:val="auto"/>
        </w:rPr>
      </w:pPr>
    </w:p>
    <w:p>
      <w:pPr>
        <w:jc w:val="both"/>
        <w:ind w:left="660" w:hanging="328"/>
        <w:spacing w:after="0" w:line="296" w:lineRule="auto"/>
        <w:tabs>
          <w:tab w:leader="none" w:pos="660" w:val="left"/>
        </w:tabs>
        <w:numPr>
          <w:ilvl w:val="0"/>
          <w:numId w:val="28"/>
        </w:numPr>
        <w:rPr>
          <w:rFonts w:ascii="Arial" w:cs="Arial" w:eastAsia="Arial" w:hAnsi="Arial"/>
          <w:sz w:val="16"/>
          <w:szCs w:val="16"/>
          <w:i w:val="1"/>
          <w:iCs w:val="1"/>
          <w:color w:val="333333"/>
        </w:rPr>
      </w:pPr>
      <w:r>
        <w:rPr>
          <w:rFonts w:ascii="Arial" w:cs="Arial" w:eastAsia="Arial" w:hAnsi="Arial"/>
          <w:sz w:val="16"/>
          <w:szCs w:val="16"/>
          <w:i w:val="1"/>
          <w:iCs w:val="1"/>
          <w:color w:val="333333"/>
        </w:rPr>
        <w:t>Revenues</w:t>
      </w:r>
      <w:r>
        <w:rPr>
          <w:rFonts w:ascii="Arial" w:cs="Arial" w:eastAsia="Arial" w:hAnsi="Arial"/>
          <w:sz w:val="16"/>
          <w:szCs w:val="16"/>
          <w:color w:val="333333"/>
        </w:rPr>
        <w:t>. We expect that the impact of COVID-19 on general economic activity will negatively impact our Owned &amp; Host and Legacy segment</w:t>
      </w:r>
      <w:r>
        <w:rPr>
          <w:rFonts w:ascii="Arial" w:cs="Arial" w:eastAsia="Arial" w:hAnsi="Arial"/>
          <w:sz w:val="16"/>
          <w:szCs w:val="16"/>
          <w:i w:val="1"/>
          <w:iCs w:val="1"/>
          <w:color w:val="333333"/>
        </w:rPr>
        <w:t xml:space="preserve"> </w:t>
      </w:r>
      <w:r>
        <w:rPr>
          <w:rFonts w:ascii="Arial" w:cs="Arial" w:eastAsia="Arial" w:hAnsi="Arial"/>
          <w:sz w:val="16"/>
          <w:szCs w:val="16"/>
          <w:color w:val="333333"/>
        </w:rPr>
        <w:t xml:space="preserve">total revenues. We </w:t>
      </w:r>
      <w:r>
        <w:rPr>
          <w:rFonts w:ascii="Arial" w:cs="Arial" w:eastAsia="Arial" w:hAnsi="Arial"/>
          <w:sz w:val="16"/>
          <w:szCs w:val="16"/>
          <w:color w:val="212529"/>
        </w:rPr>
        <w:t>began to experience this impact in March 2020 and expect it to persist and be more significant in the second quarter of 2020.</w:t>
      </w:r>
      <w:r>
        <w:rPr>
          <w:rFonts w:ascii="Arial" w:cs="Arial" w:eastAsia="Arial" w:hAnsi="Arial"/>
          <w:sz w:val="16"/>
          <w:szCs w:val="16"/>
          <w:color w:val="333333"/>
        </w:rPr>
        <w:t xml:space="preserve"> </w:t>
      </w:r>
      <w:r>
        <w:rPr>
          <w:rFonts w:ascii="Arial" w:cs="Arial" w:eastAsia="Arial" w:hAnsi="Arial"/>
          <w:sz w:val="16"/>
          <w:szCs w:val="16"/>
          <w:color w:val="212529"/>
        </w:rPr>
        <w:t>We also expect this impact will further persist for the remainder of 2020 and possibly beyond, but the degree of the impact will depend on the extent and duration of the pandemic and the resulting economic contraction. As a result of the anticipated impact of the pandemic on our total revenues, we expect a decrease in our comparable store sales and adjusted comparable store sales figures during the remainder of fiscal year 2020.</w:t>
      </w:r>
    </w:p>
    <w:p>
      <w:pPr>
        <w:spacing w:after="0" w:line="53" w:lineRule="exact"/>
        <w:rPr>
          <w:rFonts w:ascii="Arial" w:cs="Arial" w:eastAsia="Arial" w:hAnsi="Arial"/>
          <w:sz w:val="16"/>
          <w:szCs w:val="16"/>
          <w:i w:val="1"/>
          <w:iCs w:val="1"/>
          <w:color w:val="333333"/>
        </w:rPr>
      </w:pPr>
    </w:p>
    <w:p>
      <w:pPr>
        <w:jc w:val="both"/>
        <w:ind w:left="660" w:hanging="328"/>
        <w:spacing w:after="0" w:line="270"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333333"/>
        </w:rPr>
        <w:t xml:space="preserve">Costs applicable to revenues. </w:t>
      </w:r>
      <w:r>
        <w:rPr>
          <w:rFonts w:ascii="Arial" w:cs="Arial" w:eastAsia="Arial" w:hAnsi="Arial"/>
          <w:sz w:val="17"/>
          <w:szCs w:val="17"/>
          <w:color w:val="333333"/>
        </w:rPr>
        <w:t>As a result of COVID-19, we expect to experience a change in our product sales mix with an increase in the share of</w:t>
      </w:r>
      <w:r>
        <w:rPr>
          <w:rFonts w:ascii="Arial" w:cs="Arial" w:eastAsia="Arial" w:hAnsi="Arial"/>
          <w:sz w:val="17"/>
          <w:szCs w:val="17"/>
          <w:i w:val="1"/>
          <w:iCs w:val="1"/>
          <w:color w:val="333333"/>
        </w:rPr>
        <w:t xml:space="preserve"> </w:t>
      </w:r>
      <w:r>
        <w:rPr>
          <w:rFonts w:ascii="Arial" w:cs="Arial" w:eastAsia="Arial" w:hAnsi="Arial"/>
          <w:sz w:val="17"/>
          <w:szCs w:val="17"/>
          <w:color w:val="333333"/>
        </w:rPr>
        <w:t>contact lens sales compared to eyeglasses as contact lenses tend to be easier for a customer to select and order online compared to eyeglasses. Higher contact lens sales mix results in an increase in overall cost of products as a percentage of revenues as contact lenses have higher cost of sales as a percentage of revenues compared to eyeglasses. Due to reductions in revenues expected in the current year, we also expect to recognize lower vendor rebates which will unfavorably impact cost of products as a percentage of net product sales. Additionally, as a result of the lower production levels seen at our central laboratories and distribution centers, we expect our costs of sales as a percentage of revenues to increase from higher allocation of fixed costs. We also expect our cost of sales as a percentage of revenues to increase compared to prior years as a result of lower eye exam revenues and lower Legacy management fees earned while incurring costs for ophthalmologists, optometrists and optical technicians at a rate typically associated with a normal level of operations.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left="660" w:hanging="328"/>
        <w:spacing w:after="0" w:line="255" w:lineRule="auto"/>
        <w:tabs>
          <w:tab w:leader="none" w:pos="660" w:val="left"/>
        </w:tabs>
        <w:numPr>
          <w:ilvl w:val="0"/>
          <w:numId w:val="29"/>
        </w:numPr>
        <w:rPr>
          <w:rFonts w:ascii="Arial" w:cs="Arial" w:eastAsia="Arial" w:hAnsi="Arial"/>
          <w:sz w:val="18"/>
          <w:szCs w:val="18"/>
          <w:color w:val="333333"/>
        </w:rPr>
      </w:pPr>
      <w:r>
        <w:rPr>
          <w:rFonts w:ascii="Arial" w:cs="Arial" w:eastAsia="Arial" w:hAnsi="Arial"/>
          <w:sz w:val="18"/>
          <w:szCs w:val="18"/>
          <w:i w:val="1"/>
          <w:iCs w:val="1"/>
          <w:color w:val="333333"/>
        </w:rPr>
        <w:t>Selling, general and administrative</w:t>
      </w:r>
      <w:r>
        <w:rPr>
          <w:rFonts w:ascii="Arial" w:cs="Arial" w:eastAsia="Arial" w:hAnsi="Arial"/>
          <w:sz w:val="18"/>
          <w:szCs w:val="18"/>
          <w:color w:val="333333"/>
        </w:rPr>
        <w:t>. We have incurred and will continue to incur, general and administrative expenses primarily related to</w:t>
      </w:r>
      <w:r>
        <w:rPr>
          <w:rFonts w:ascii="Arial" w:cs="Arial" w:eastAsia="Arial" w:hAnsi="Arial"/>
          <w:sz w:val="18"/>
          <w:szCs w:val="18"/>
          <w:i w:val="1"/>
          <w:iCs w:val="1"/>
          <w:color w:val="333333"/>
        </w:rPr>
        <w:t xml:space="preserve"> </w:t>
      </w:r>
      <w:r>
        <w:rPr>
          <w:rFonts w:ascii="Arial" w:cs="Arial" w:eastAsia="Arial" w:hAnsi="Arial"/>
          <w:sz w:val="18"/>
          <w:szCs w:val="18"/>
          <w:color w:val="333333"/>
        </w:rPr>
        <w:t xml:space="preserve">occupancy costs of our stores, advertising expenses, payroll related to store associates and unallocated corporate overhead expenses such as payroll, consulting and professional fees. We may experience elevated frequency and severity in our workers’ compensation </w:t>
      </w:r>
      <w:r>
        <w:rPr>
          <w:rFonts w:ascii="Arial" w:cs="Arial" w:eastAsia="Arial" w:hAnsi="Arial"/>
          <w:sz w:val="18"/>
          <w:szCs w:val="18"/>
          <w:color w:val="212529"/>
        </w:rPr>
        <w:t>claims liabilities by</w:t>
      </w:r>
      <w:r>
        <w:rPr>
          <w:rFonts w:ascii="Arial" w:cs="Arial" w:eastAsia="Arial" w:hAnsi="Arial"/>
          <w:sz w:val="18"/>
          <w:szCs w:val="18"/>
          <w:color w:val="333333"/>
        </w:rPr>
        <w:t xml:space="preserve"> </w:t>
      </w:r>
      <w:r>
        <w:rPr>
          <w:rFonts w:ascii="Arial" w:cs="Arial" w:eastAsia="Arial" w:hAnsi="Arial"/>
          <w:sz w:val="18"/>
          <w:szCs w:val="18"/>
          <w:color w:val="212529"/>
        </w:rPr>
        <w:t xml:space="preserve">workers who </w:t>
      </w:r>
      <w:r>
        <w:rPr>
          <w:rFonts w:ascii="Arial" w:cs="Arial" w:eastAsia="Arial" w:hAnsi="Arial"/>
          <w:sz w:val="18"/>
          <w:szCs w:val="18"/>
          <w:color w:val="333333"/>
        </w:rPr>
        <w:t>demonstrate</w:t>
      </w:r>
      <w:r>
        <w:rPr>
          <w:rFonts w:ascii="Arial" w:cs="Arial" w:eastAsia="Arial" w:hAnsi="Arial"/>
          <w:sz w:val="18"/>
          <w:szCs w:val="18"/>
          <w:color w:val="212529"/>
        </w:rPr>
        <w:t xml:space="preserve"> that the injury or illness arose both out of and in the course of their employment. </w:t>
      </w:r>
      <w:r>
        <w:rPr>
          <w:rFonts w:ascii="Arial" w:cs="Arial" w:eastAsia="Arial" w:hAnsi="Arial"/>
          <w:sz w:val="18"/>
          <w:szCs w:val="18"/>
          <w:color w:val="333333"/>
        </w:rPr>
        <w:t>We expect selling, general and</w:t>
      </w:r>
      <w:r>
        <w:rPr>
          <w:rFonts w:ascii="Arial" w:cs="Arial" w:eastAsia="Arial" w:hAnsi="Arial"/>
          <w:sz w:val="18"/>
          <w:szCs w:val="18"/>
          <w:color w:val="212529"/>
        </w:rPr>
        <w:t xml:space="preserve"> </w:t>
      </w:r>
      <w:r>
        <w:rPr>
          <w:rFonts w:ascii="Arial" w:cs="Arial" w:eastAsia="Arial" w:hAnsi="Arial"/>
          <w:sz w:val="18"/>
          <w:szCs w:val="18"/>
          <w:color w:val="333333"/>
        </w:rPr>
        <w:t>administrative expenses as a percentage of revenues to increase compared to previous periods primarily due to expected overall decrease in revenues.</w:t>
      </w:r>
    </w:p>
    <w:p>
      <w:pPr>
        <w:spacing w:after="0" w:line="84" w:lineRule="exact"/>
        <w:rPr>
          <w:rFonts w:ascii="Arial" w:cs="Arial" w:eastAsia="Arial" w:hAnsi="Arial"/>
          <w:sz w:val="18"/>
          <w:szCs w:val="18"/>
          <w:color w:val="333333"/>
        </w:rPr>
      </w:pPr>
    </w:p>
    <w:p>
      <w:pPr>
        <w:jc w:val="both"/>
        <w:ind w:left="660" w:hanging="328"/>
        <w:spacing w:after="0" w:line="290"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333333"/>
        </w:rPr>
        <w:t>Asset impairment</w:t>
      </w:r>
      <w:r>
        <w:rPr>
          <w:rFonts w:ascii="Arial" w:cs="Arial" w:eastAsia="Arial" w:hAnsi="Arial"/>
          <w:sz w:val="16"/>
          <w:szCs w:val="16"/>
          <w:color w:val="333333"/>
        </w:rPr>
        <w:t>. The disruption in the economy experienced at the end of first quarter of 2020 and expected to persist through the end of the</w:t>
      </w:r>
      <w:r>
        <w:rPr>
          <w:rFonts w:ascii="Arial" w:cs="Arial" w:eastAsia="Arial" w:hAnsi="Arial"/>
          <w:sz w:val="16"/>
          <w:szCs w:val="16"/>
          <w:i w:val="1"/>
          <w:iCs w:val="1"/>
          <w:color w:val="333333"/>
        </w:rPr>
        <w:t xml:space="preserve"> </w:t>
      </w:r>
      <w:r>
        <w:rPr>
          <w:rFonts w:ascii="Arial" w:cs="Arial" w:eastAsia="Arial" w:hAnsi="Arial"/>
          <w:sz w:val="16"/>
          <w:szCs w:val="16"/>
          <w:color w:val="333333"/>
        </w:rPr>
        <w:t xml:space="preserve">current fiscal year was considered by the Company in recording asset impairments during the first quarter. </w:t>
      </w:r>
      <w:r>
        <w:rPr>
          <w:rFonts w:ascii="Arial" w:cs="Arial" w:eastAsia="Arial" w:hAnsi="Arial"/>
          <w:sz w:val="16"/>
          <w:szCs w:val="16"/>
          <w:color w:val="212529"/>
        </w:rPr>
        <w:t>We evaluate impairment of long-lived</w:t>
      </w:r>
      <w:r>
        <w:rPr>
          <w:rFonts w:ascii="Arial" w:cs="Arial" w:eastAsia="Arial" w:hAnsi="Arial"/>
          <w:sz w:val="16"/>
          <w:szCs w:val="16"/>
          <w:color w:val="333333"/>
        </w:rPr>
        <w:t xml:space="preserve"> </w:t>
      </w:r>
      <w:r>
        <w:rPr>
          <w:rFonts w:ascii="Arial" w:cs="Arial" w:eastAsia="Arial" w:hAnsi="Arial"/>
          <w:sz w:val="16"/>
          <w:szCs w:val="16"/>
          <w:color w:val="212529"/>
        </w:rPr>
        <w:t>tangible and ROU store assets at the store level and consider multiple factors including financial performance of the stores, regional and local business climates, future plans for the store operations and other qualitative factors. Asset fair values used in impairment are determined using an income approach based on discounted cash flows, which requires estimates and assumptions related to forecasted store revenue growth rates and store profitability. A significant decrease in the estimated cash inflows from our stores in future periods could affect the recoverability of our store level assets as well as other intangible assets of the Company such as goodwill, trademarks and contract relationship. Lower cash flows compared to estimates would lead to a material increase in the asset impairment expense recorded by the Company.</w:t>
      </w:r>
    </w:p>
    <w:p>
      <w:pPr>
        <w:spacing w:after="0" w:line="57" w:lineRule="exact"/>
        <w:rPr>
          <w:rFonts w:ascii="Arial" w:cs="Arial" w:eastAsia="Arial" w:hAnsi="Arial"/>
          <w:sz w:val="16"/>
          <w:szCs w:val="16"/>
          <w:color w:val="auto"/>
        </w:rPr>
      </w:pPr>
    </w:p>
    <w:p>
      <w:pPr>
        <w:jc w:val="both"/>
        <w:ind w:left="660"/>
        <w:spacing w:after="0" w:line="254" w:lineRule="auto"/>
        <w:rPr>
          <w:rFonts w:ascii="Arial" w:cs="Arial" w:eastAsia="Arial" w:hAnsi="Arial"/>
          <w:sz w:val="16"/>
          <w:szCs w:val="16"/>
          <w:color w:val="auto"/>
        </w:rPr>
      </w:pPr>
      <w:r>
        <w:rPr>
          <w:rFonts w:ascii="Arial" w:cs="Arial" w:eastAsia="Arial" w:hAnsi="Arial"/>
          <w:sz w:val="18"/>
          <w:szCs w:val="18"/>
          <w:color w:val="212529"/>
        </w:rPr>
        <w:t>During the three months ended March 28, 2020, the Company evaluated whether a triggering event related to goodwill impairment had occurred because of the broad impacts of the COVID-19 pandemic. The Company expects the COVID-19 pandemic will continue to negatively affect its results of operations for the duration of its 2020 fiscal year. The Company has concluded a triggering event did not occur during the three months ended March 28, 2020, and, as a result, no interim impairment testing was required. However, as previously noted, the COVID-19 pandemic has had a material adverse effect on the Company’s business, and future conditions are highly uncertain. Future unfavorable developments may cause the Company to recognize an impairment of its goodwill. The Company will continue to evaluate the effects of the COVID-19 pandemic on its business.</w:t>
      </w:r>
    </w:p>
    <w:p>
      <w:pPr>
        <w:spacing w:after="0" w:line="86" w:lineRule="exact"/>
        <w:rPr>
          <w:rFonts w:ascii="Arial" w:cs="Arial" w:eastAsia="Arial" w:hAnsi="Arial"/>
          <w:sz w:val="16"/>
          <w:szCs w:val="16"/>
          <w:color w:val="auto"/>
        </w:rPr>
      </w:pPr>
    </w:p>
    <w:p>
      <w:pPr>
        <w:jc w:val="both"/>
        <w:ind w:left="660" w:hanging="328"/>
        <w:spacing w:after="0" w:line="252" w:lineRule="auto"/>
        <w:tabs>
          <w:tab w:leader="none" w:pos="660" w:val="left"/>
        </w:tabs>
        <w:numPr>
          <w:ilvl w:val="0"/>
          <w:numId w:val="29"/>
        </w:numPr>
        <w:rPr>
          <w:rFonts w:ascii="Arial" w:cs="Arial" w:eastAsia="Arial" w:hAnsi="Arial"/>
          <w:sz w:val="18"/>
          <w:szCs w:val="18"/>
          <w:i w:val="1"/>
          <w:iCs w:val="1"/>
          <w:color w:val="212529"/>
        </w:rPr>
      </w:pPr>
      <w:r>
        <w:rPr>
          <w:rFonts w:ascii="Arial" w:cs="Arial" w:eastAsia="Arial" w:hAnsi="Arial"/>
          <w:sz w:val="18"/>
          <w:szCs w:val="18"/>
          <w:i w:val="1"/>
          <w:iCs w:val="1"/>
          <w:color w:val="212529"/>
        </w:rPr>
        <w:t>Interest expense</w:t>
      </w:r>
      <w:r>
        <w:rPr>
          <w:rFonts w:ascii="Arial" w:cs="Arial" w:eastAsia="Arial" w:hAnsi="Arial"/>
          <w:sz w:val="18"/>
          <w:szCs w:val="18"/>
          <w:color w:val="212529"/>
        </w:rPr>
        <w:t>.</w:t>
      </w:r>
      <w:r>
        <w:rPr>
          <w:rFonts w:ascii="Arial" w:cs="Arial" w:eastAsia="Arial" w:hAnsi="Arial"/>
          <w:sz w:val="18"/>
          <w:szCs w:val="18"/>
          <w:i w:val="1"/>
          <w:iCs w:val="1"/>
          <w:color w:val="212529"/>
        </w:rPr>
        <w:t xml:space="preserve"> </w:t>
      </w:r>
      <w:r>
        <w:rPr>
          <w:rFonts w:ascii="Arial" w:cs="Arial" w:eastAsia="Arial" w:hAnsi="Arial"/>
          <w:sz w:val="18"/>
          <w:szCs w:val="18"/>
          <w:color w:val="333333"/>
        </w:rPr>
        <w:t>On March 17, 2020, as a precautionary measure to preserve financial flexibility during the COVID-19 pandemic, we borrowed</w:t>
      </w:r>
      <w:r>
        <w:rPr>
          <w:rFonts w:ascii="Arial" w:cs="Arial" w:eastAsia="Arial" w:hAnsi="Arial"/>
          <w:sz w:val="18"/>
          <w:szCs w:val="18"/>
          <w:i w:val="1"/>
          <w:iCs w:val="1"/>
          <w:color w:val="212529"/>
        </w:rPr>
        <w:t xml:space="preserve"> </w:t>
      </w:r>
      <w:r>
        <w:rPr>
          <w:rFonts w:ascii="Arial" w:cs="Arial" w:eastAsia="Arial" w:hAnsi="Arial"/>
          <w:sz w:val="18"/>
          <w:szCs w:val="18"/>
          <w:color w:val="333333"/>
        </w:rPr>
        <w:t xml:space="preserve">the remaining </w:t>
      </w:r>
      <w:r>
        <w:rPr>
          <w:rFonts w:ascii="Arial" w:cs="Arial" w:eastAsia="Arial" w:hAnsi="Arial"/>
          <w:sz w:val="18"/>
          <w:szCs w:val="18"/>
          <w:color w:val="000000"/>
        </w:rPr>
        <w:t>$146.3 million</w:t>
      </w:r>
      <w:r>
        <w:rPr>
          <w:rFonts w:ascii="Arial" w:cs="Arial" w:eastAsia="Arial" w:hAnsi="Arial"/>
          <w:sz w:val="18"/>
          <w:szCs w:val="18"/>
          <w:color w:val="333333"/>
        </w:rPr>
        <w:t xml:space="preserve"> in available funds under our revolving credit facility. The total borrowings of </w:t>
      </w:r>
      <w:r>
        <w:rPr>
          <w:rFonts w:ascii="Arial" w:cs="Arial" w:eastAsia="Arial" w:hAnsi="Arial"/>
          <w:sz w:val="18"/>
          <w:szCs w:val="18"/>
          <w:color w:val="000000"/>
        </w:rPr>
        <w:t>$300.0 million</w:t>
      </w:r>
      <w:r>
        <w:rPr>
          <w:rFonts w:ascii="Arial" w:cs="Arial" w:eastAsia="Arial" w:hAnsi="Arial"/>
          <w:sz w:val="18"/>
          <w:szCs w:val="18"/>
          <w:color w:val="333333"/>
        </w:rPr>
        <w:t xml:space="preserve"> represents the maximum borrowings permitted thereunder, at an interest rate of LIBOR plus a 1.50% per annum. </w:t>
      </w:r>
      <w:r>
        <w:rPr>
          <w:rFonts w:ascii="Arial" w:cs="Arial" w:eastAsia="Arial" w:hAnsi="Arial"/>
          <w:sz w:val="18"/>
          <w:szCs w:val="18"/>
          <w:color w:val="000000"/>
        </w:rPr>
        <w:t>On May 5, 2020, we entered into an</w:t>
      </w:r>
      <w:r>
        <w:rPr>
          <w:rFonts w:ascii="Arial" w:cs="Arial" w:eastAsia="Arial" w:hAnsi="Arial"/>
          <w:sz w:val="18"/>
          <w:szCs w:val="18"/>
          <w:color w:val="333333"/>
        </w:rPr>
        <w:t xml:space="preserve"> </w:t>
      </w:r>
      <w:r>
        <w:rPr>
          <w:rFonts w:ascii="Arial" w:cs="Arial" w:eastAsia="Arial" w:hAnsi="Arial"/>
          <w:sz w:val="18"/>
          <w:szCs w:val="18"/>
          <w:color w:val="000000"/>
        </w:rPr>
        <w:t>amendment to our credit facility in order to suspend certain financial maintenance covenants contained therein for a specified period. In connection with the amendment, margins upon which interest is calculated on amounts outstanding under the facility were increased and the Company agreed to limit its ability to engage in certain transactions during the covenant suspension period, including the ability to declare or pay dividends, incur additional debt and make investments and dispositions. Refer to Management’s Discussion and Analysis of Financial Condition and Results of Operations, “Liquidity and Capital Resources” section above for more information. Lastly, we are continuing to evaluate additional operational and financial measures that we may elect to take as we continue to respond to the i</w:t>
      </w:r>
      <w:r>
        <w:rPr>
          <w:rFonts w:ascii="Arial" w:cs="Arial" w:eastAsia="Arial" w:hAnsi="Arial"/>
          <w:sz w:val="18"/>
          <w:szCs w:val="18"/>
          <w:color w:val="333333"/>
        </w:rPr>
        <w:t>mpact of COVID-19 on our business, including</w:t>
      </w:r>
      <w:r>
        <w:rPr>
          <w:rFonts w:ascii="Arial" w:cs="Arial" w:eastAsia="Arial" w:hAnsi="Arial"/>
          <w:sz w:val="18"/>
          <w:szCs w:val="18"/>
          <w:color w:val="000000"/>
        </w:rPr>
        <w:t xml:space="preserve"> </w:t>
      </w:r>
      <w:r>
        <w:rPr>
          <w:rFonts w:ascii="Arial" w:cs="Arial" w:eastAsia="Arial" w:hAnsi="Arial"/>
          <w:sz w:val="18"/>
          <w:szCs w:val="18"/>
          <w:color w:val="333333"/>
        </w:rPr>
        <w:t>obtaining additional debt and/or equity capital to provide further liquidity in the coming months. There can be no assurance whether or when any such measures will be adopted. All of the above noted measures are expected to materially impact the Company’s interest expense in 2020 and later.</w:t>
      </w:r>
    </w:p>
    <w:p>
      <w:pPr>
        <w:spacing w:after="0" w:line="91" w:lineRule="exact"/>
        <w:rPr>
          <w:rFonts w:ascii="Arial" w:cs="Arial" w:eastAsia="Arial" w:hAnsi="Arial"/>
          <w:sz w:val="18"/>
          <w:szCs w:val="18"/>
          <w:i w:val="1"/>
          <w:iCs w:val="1"/>
          <w:color w:val="212529"/>
        </w:rPr>
      </w:pPr>
    </w:p>
    <w:p>
      <w:pPr>
        <w:jc w:val="both"/>
        <w:ind w:left="660" w:hanging="328"/>
        <w:spacing w:after="0" w:line="259" w:lineRule="auto"/>
        <w:tabs>
          <w:tab w:leader="none" w:pos="660" w:val="left"/>
        </w:tabs>
        <w:numPr>
          <w:ilvl w:val="0"/>
          <w:numId w:val="29"/>
        </w:numPr>
        <w:rPr>
          <w:rFonts w:ascii="Arial" w:cs="Arial" w:eastAsia="Arial" w:hAnsi="Arial"/>
          <w:sz w:val="18"/>
          <w:szCs w:val="18"/>
          <w:color w:val="333333"/>
        </w:rPr>
      </w:pPr>
      <w:r>
        <w:rPr>
          <w:rFonts w:ascii="Arial" w:cs="Arial" w:eastAsia="Arial" w:hAnsi="Arial"/>
          <w:sz w:val="18"/>
          <w:szCs w:val="18"/>
          <w:i w:val="1"/>
          <w:iCs w:val="1"/>
          <w:color w:val="212529"/>
        </w:rPr>
        <w:t xml:space="preserve">Inflation. </w:t>
      </w:r>
      <w:r>
        <w:rPr>
          <w:rFonts w:ascii="Arial" w:cs="Arial" w:eastAsia="Arial" w:hAnsi="Arial"/>
          <w:sz w:val="18"/>
          <w:szCs w:val="18"/>
          <w:color w:val="212529"/>
        </w:rPr>
        <w:t>It is possible that changes in economic conditions and steps taken by the federal government and the Federal Reserve in response to</w:t>
      </w:r>
      <w:r>
        <w:rPr>
          <w:rFonts w:ascii="Arial" w:cs="Arial" w:eastAsia="Arial" w:hAnsi="Arial"/>
          <w:sz w:val="18"/>
          <w:szCs w:val="18"/>
          <w:i w:val="1"/>
          <w:iCs w:val="1"/>
          <w:color w:val="212529"/>
        </w:rPr>
        <w:t xml:space="preserve"> </w:t>
      </w:r>
      <w:r>
        <w:rPr>
          <w:rFonts w:ascii="Arial" w:cs="Arial" w:eastAsia="Arial" w:hAnsi="Arial"/>
          <w:sz w:val="18"/>
          <w:szCs w:val="18"/>
          <w:color w:val="212529"/>
        </w:rPr>
        <w:t>COVID-19 could lead to higher inflation than we had anticipated, which could in turn lead to an increase in our loss costs and the need to strengthen claims and claim adjustment expense reserves. To date, changes in material prices and general inflation have not materially impacted our business.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27, 2020, the CARES Act was enacted in response to the COVID-19 pandemic. The CARES Act, among other things, accelerates a company’s ability to recover AMT refundable credits that otherwise could have been claimed in 2020 and 2021, to 2018 and 2019, with an option to elect recovery of the full credit amount for 2018. The CARES Act also includes a technical correction wherein qualified improvement property placed in service in 2018 and after is eligible for 100% bonus depreciation. We are evaluating the applicability of the CARES Act to the Company, and the potential impacts on our business. There is no guarantee that we will meet the eligibility requirements to participate in such programs or, even if we are able to participate, that such programs will provide meaningful benefit to our business. Consequently, it is not possible to estimate at this time the availability, extent or impact of any such relief.</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The duration and extent of the impact from the COVID-19 pandemic depends on future developments that cannot be accurately predicted at this time, such as the severity and transmission rate of the virus, the extent and effectiveness of conta</w:t>
      </w:r>
      <w:r>
        <w:rPr>
          <w:rFonts w:ascii="Arial" w:cs="Arial" w:eastAsia="Arial" w:hAnsi="Arial"/>
          <w:sz w:val="18"/>
          <w:szCs w:val="18"/>
          <w:color w:val="000000"/>
        </w:rPr>
        <w:t>inment actions and the impact of these and other factors on our</w:t>
      </w:r>
      <w:r>
        <w:rPr>
          <w:rFonts w:ascii="Arial" w:cs="Arial" w:eastAsia="Arial" w:hAnsi="Arial"/>
          <w:sz w:val="18"/>
          <w:szCs w:val="18"/>
          <w:color w:val="212529"/>
        </w:rPr>
        <w:t xml:space="preserve"> </w:t>
      </w:r>
      <w:r>
        <w:rPr>
          <w:rFonts w:ascii="Arial" w:cs="Arial" w:eastAsia="Arial" w:hAnsi="Arial"/>
          <w:sz w:val="18"/>
          <w:szCs w:val="18"/>
          <w:color w:val="000000"/>
        </w:rPr>
        <w:t xml:space="preserve">associates, customers, suppliers and partners. A more prolonged crisis will place greater strains on our liquidity. </w:t>
      </w:r>
      <w:r>
        <w:rPr>
          <w:rFonts w:ascii="Arial" w:cs="Arial" w:eastAsia="Arial" w:hAnsi="Arial"/>
          <w:sz w:val="18"/>
          <w:szCs w:val="18"/>
          <w:color w:val="212529"/>
        </w:rPr>
        <w:t>Such impact on our business, operating</w:t>
      </w:r>
      <w:r>
        <w:rPr>
          <w:rFonts w:ascii="Arial" w:cs="Arial" w:eastAsia="Arial" w:hAnsi="Arial"/>
          <w:sz w:val="18"/>
          <w:szCs w:val="18"/>
          <w:color w:val="000000"/>
        </w:rPr>
        <w:t xml:space="preserve"> </w:t>
      </w:r>
      <w:r>
        <w:rPr>
          <w:rFonts w:ascii="Arial" w:cs="Arial" w:eastAsia="Arial" w:hAnsi="Arial"/>
          <w:sz w:val="18"/>
          <w:szCs w:val="18"/>
          <w:color w:val="212529"/>
        </w:rPr>
        <w:t>results, cash flows and/or financial condition may continue to be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May 2020 Amendment to Credit Agreement</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May 5, 2020, certain of the Company’s subsidiaries entered into an agreement (the “Amendment”) with the lenders under their existing secured credit facility in order to amend certain provisions of the Amended and Restated Credit Agreement, dated as of July 18, 2019 (as amended by the Amendment, the “Credit Agreement”), by and among Nautilus Acquisition Holdings, Inc., National Vision, Inc., the other subsidiaries of the Company party thereto, as guarantors, each lender party thereto and Bank of America, N.A., in its capacity as administrative agent and as collateral agent. The principal purpose of the Amendment was to suspend certain financial maintenance covenants contained in the Credit Agreement until testing at the end of the Company’s second fiscal quarter. See “Management’s Discussion and Analysis of Financial Condition and Results of Operations-Liquidity and Capital Resources-May 2020 Amendment to Credit Agreement ” for additional information. A copy of the Amendment is filed herewith as Exhibit 10.1 and incorporated herein by reference. The above description of the Amendment is qualified in its entirety by reference to such exhibit.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5"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0"/>
        </w:trPr>
        <w:tc>
          <w:tcPr>
            <w:tcW w:w="1480" w:type="dxa"/>
            <w:vAlign w:val="bottom"/>
            <w:gridSpan w:val="2"/>
          </w:tcPr>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3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756"/>
        </w:trPr>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3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83"/>
        </w:trPr>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760" w:type="dxa"/>
            <w:vAlign w:val="bottom"/>
            <w:gridSpan w:val="3"/>
          </w:tcPr>
          <w:p>
            <w:pPr>
              <w:ind w:left="3620"/>
              <w:spacing w:after="0"/>
              <w:rPr>
                <w:sz w:val="20"/>
                <w:szCs w:val="20"/>
                <w:color w:val="auto"/>
              </w:rPr>
            </w:pPr>
            <w:r>
              <w:rPr>
                <w:rFonts w:ascii="Arial" w:cs="Arial" w:eastAsia="Arial" w:hAnsi="Arial"/>
                <w:sz w:val="18"/>
                <w:szCs w:val="18"/>
                <w:b w:val="1"/>
                <w:bCs w:val="1"/>
                <w:color w:val="auto"/>
              </w:rPr>
              <w:t>Exhibit Index</w:t>
            </w:r>
          </w:p>
        </w:tc>
      </w:tr>
      <w:tr>
        <w:trPr>
          <w:trHeight w:val="507"/>
        </w:trPr>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 No.</w:t>
            </w:r>
          </w:p>
        </w:tc>
        <w:tc>
          <w:tcPr>
            <w:tcW w:w="3620" w:type="dxa"/>
            <w:vAlign w:val="bottom"/>
          </w:tcPr>
          <w:p>
            <w:pPr>
              <w:ind w:left="20"/>
              <w:spacing w:after="0"/>
              <w:rPr>
                <w:sz w:val="20"/>
                <w:szCs w:val="20"/>
                <w:color w:val="auto"/>
              </w:rPr>
            </w:pPr>
            <w:r>
              <w:rPr>
                <w:rFonts w:ascii="Arial" w:cs="Arial" w:eastAsia="Arial" w:hAnsi="Arial"/>
                <w:sz w:val="18"/>
                <w:szCs w:val="18"/>
                <w:b w:val="1"/>
                <w:bCs w:val="1"/>
                <w:color w:val="auto"/>
              </w:rPr>
              <w:t>Exhibit Description</w:t>
            </w:r>
          </w:p>
        </w:tc>
        <w:tc>
          <w:tcPr>
            <w:tcW w:w="1060" w:type="dxa"/>
            <w:vAlign w:val="bottom"/>
            <w:tcBorders>
              <w:top w:val="single" w:sz="8" w:color="auto"/>
            </w:tcBorders>
          </w:tcPr>
          <w:p>
            <w:pPr>
              <w:spacing w:after="0"/>
              <w:rPr>
                <w:sz w:val="24"/>
                <w:szCs w:val="24"/>
                <w:color w:val="auto"/>
              </w:rPr>
            </w:pPr>
          </w:p>
        </w:tc>
        <w:tc>
          <w:tcPr>
            <w:tcW w:w="5080" w:type="dxa"/>
            <w:vAlign w:val="bottom"/>
          </w:tcPr>
          <w:p>
            <w:pPr>
              <w:spacing w:after="0"/>
              <w:rPr>
                <w:sz w:val="24"/>
                <w:szCs w:val="24"/>
                <w:color w:val="auto"/>
              </w:rPr>
            </w:pPr>
          </w:p>
        </w:tc>
      </w:tr>
      <w:tr>
        <w:trPr>
          <w:trHeight w:val="27"/>
        </w:trPr>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r>
      <w:tr>
        <w:trPr>
          <w:trHeight w:val="222"/>
        </w:trPr>
        <w:tc>
          <w:tcPr>
            <w:tcW w:w="1360" w:type="dxa"/>
            <w:vAlign w:val="bottom"/>
          </w:tcPr>
          <w:p>
            <w:pPr>
              <w:ind w:left="40"/>
              <w:spacing w:after="0"/>
              <w:rPr>
                <w:rFonts w:ascii="Arial" w:cs="Arial" w:eastAsia="Arial" w:hAnsi="Arial"/>
                <w:sz w:val="18"/>
                <w:szCs w:val="18"/>
                <w:u w:val="single" w:color="auto"/>
                <w:color w:val="0000FF"/>
              </w:rPr>
            </w:pPr>
            <w:hyperlink r:id="rId20">
              <w:r>
                <w:rPr>
                  <w:rFonts w:ascii="Arial" w:cs="Arial" w:eastAsia="Arial" w:hAnsi="Arial"/>
                  <w:sz w:val="18"/>
                  <w:szCs w:val="18"/>
                  <w:u w:val="single" w:color="auto"/>
                  <w:color w:val="0000FF"/>
                </w:rPr>
                <w:t>3.1</w:t>
              </w:r>
            </w:hyperlink>
          </w:p>
        </w:tc>
        <w:tc>
          <w:tcPr>
            <w:tcW w:w="120" w:type="dxa"/>
            <w:vAlign w:val="bottom"/>
          </w:tcPr>
          <w:p>
            <w:pPr>
              <w:spacing w:after="0"/>
              <w:rPr>
                <w:sz w:val="19"/>
                <w:szCs w:val="19"/>
                <w:color w:val="auto"/>
              </w:rPr>
            </w:pPr>
          </w:p>
        </w:tc>
        <w:tc>
          <w:tcPr>
            <w:tcW w:w="9760" w:type="dxa"/>
            <w:vAlign w:val="bottom"/>
            <w:gridSpan w:val="3"/>
          </w:tcPr>
          <w:p>
            <w:pPr>
              <w:ind w:left="20"/>
              <w:spacing w:after="0"/>
              <w:rPr>
                <w:sz w:val="20"/>
                <w:szCs w:val="20"/>
                <w:color w:val="auto"/>
              </w:rPr>
            </w:pPr>
            <w:r>
              <w:rPr>
                <w:rFonts w:ascii="Arial" w:cs="Arial" w:eastAsia="Arial" w:hAnsi="Arial"/>
                <w:sz w:val="18"/>
                <w:szCs w:val="18"/>
                <w:color w:val="auto"/>
                <w:w w:val="95"/>
              </w:rPr>
              <w:t>Second Amended and Restated Certificate of Incorporation of National Vision Holdings, Inc. -incorporated herein by reference to</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60" w:type="dxa"/>
            <w:vAlign w:val="bottom"/>
            <w:gridSpan w:val="3"/>
          </w:tcPr>
          <w:p>
            <w:pPr>
              <w:ind w:left="20"/>
              <w:spacing w:after="0"/>
              <w:rPr>
                <w:sz w:val="20"/>
                <w:szCs w:val="20"/>
                <w:color w:val="auto"/>
              </w:rPr>
            </w:pPr>
            <w:r>
              <w:rPr>
                <w:rFonts w:ascii="Arial" w:cs="Arial" w:eastAsia="Arial" w:hAnsi="Arial"/>
                <w:sz w:val="18"/>
                <w:szCs w:val="18"/>
                <w:color w:val="auto"/>
              </w:rPr>
              <w:t>Exhibit 3.1 to the Company’s Current Report on Form 8-K filed on October 31, 2017.</w:t>
            </w:r>
          </w:p>
        </w:tc>
      </w:tr>
      <w:tr>
        <w:trPr>
          <w:trHeight w:val="256"/>
        </w:trPr>
        <w:tc>
          <w:tcPr>
            <w:tcW w:w="1360" w:type="dxa"/>
            <w:vAlign w:val="bottom"/>
          </w:tcPr>
          <w:p>
            <w:pPr>
              <w:ind w:left="40"/>
              <w:spacing w:after="0"/>
              <w:rPr>
                <w:rFonts w:ascii="Arial" w:cs="Arial" w:eastAsia="Arial" w:hAnsi="Arial"/>
                <w:sz w:val="18"/>
                <w:szCs w:val="18"/>
                <w:u w:val="single" w:color="auto"/>
                <w:color w:val="0000FF"/>
              </w:rPr>
            </w:pPr>
            <w:hyperlink r:id="rId21">
              <w:r>
                <w:rPr>
                  <w:rFonts w:ascii="Arial" w:cs="Arial" w:eastAsia="Arial" w:hAnsi="Arial"/>
                  <w:sz w:val="18"/>
                  <w:szCs w:val="18"/>
                  <w:u w:val="single" w:color="auto"/>
                  <w:color w:val="0000FF"/>
                </w:rPr>
                <w:t>3.2</w:t>
              </w:r>
            </w:hyperlink>
          </w:p>
        </w:tc>
        <w:tc>
          <w:tcPr>
            <w:tcW w:w="120" w:type="dxa"/>
            <w:vAlign w:val="bottom"/>
          </w:tcPr>
          <w:p>
            <w:pPr>
              <w:spacing w:after="0"/>
              <w:rPr>
                <w:sz w:val="22"/>
                <w:szCs w:val="22"/>
                <w:color w:val="auto"/>
              </w:rPr>
            </w:pPr>
          </w:p>
        </w:tc>
        <w:tc>
          <w:tcPr>
            <w:tcW w:w="9760" w:type="dxa"/>
            <w:vAlign w:val="bottom"/>
            <w:gridSpan w:val="3"/>
          </w:tcPr>
          <w:p>
            <w:pPr>
              <w:ind w:left="20"/>
              <w:spacing w:after="0"/>
              <w:rPr>
                <w:sz w:val="20"/>
                <w:szCs w:val="20"/>
                <w:color w:val="auto"/>
              </w:rPr>
            </w:pPr>
            <w:r>
              <w:rPr>
                <w:rFonts w:ascii="Arial" w:cs="Arial" w:eastAsia="Arial" w:hAnsi="Arial"/>
                <w:sz w:val="18"/>
                <w:szCs w:val="18"/>
                <w:color w:val="auto"/>
                <w:w w:val="96"/>
              </w:rPr>
              <w:t>Second Amended and Restated Bylaws of National Vision Holdings, Inc. -incorporated herein by reference to Exhibit 3.2 to the</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60" w:type="dxa"/>
            <w:vAlign w:val="bottom"/>
            <w:gridSpan w:val="3"/>
          </w:tcPr>
          <w:p>
            <w:pPr>
              <w:ind w:left="20"/>
              <w:spacing w:after="0"/>
              <w:rPr>
                <w:sz w:val="20"/>
                <w:szCs w:val="20"/>
                <w:color w:val="auto"/>
              </w:rPr>
            </w:pPr>
            <w:r>
              <w:rPr>
                <w:rFonts w:ascii="Arial" w:cs="Arial" w:eastAsia="Arial" w:hAnsi="Arial"/>
                <w:sz w:val="18"/>
                <w:szCs w:val="18"/>
                <w:color w:val="auto"/>
              </w:rPr>
              <w:t>Company’s Current Report on Form 8-K filed on October 31, 2017.</w:t>
            </w:r>
          </w:p>
        </w:tc>
      </w:tr>
      <w:tr>
        <w:trPr>
          <w:trHeight w:val="256"/>
        </w:trPr>
        <w:tc>
          <w:tcPr>
            <w:tcW w:w="1360" w:type="dxa"/>
            <w:vAlign w:val="bottom"/>
          </w:tcPr>
          <w:p>
            <w:pPr>
              <w:ind w:left="40"/>
              <w:spacing w:after="0"/>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10.1</w:t>
              </w:r>
            </w:hyperlink>
          </w:p>
        </w:tc>
        <w:tc>
          <w:tcPr>
            <w:tcW w:w="120" w:type="dxa"/>
            <w:vAlign w:val="bottom"/>
          </w:tcPr>
          <w:p>
            <w:pPr>
              <w:spacing w:after="0"/>
              <w:rPr>
                <w:sz w:val="22"/>
                <w:szCs w:val="22"/>
                <w:color w:val="auto"/>
              </w:rPr>
            </w:pPr>
          </w:p>
        </w:tc>
        <w:tc>
          <w:tcPr>
            <w:tcW w:w="9760" w:type="dxa"/>
            <w:vAlign w:val="bottom"/>
            <w:gridSpan w:val="3"/>
          </w:tcPr>
          <w:p>
            <w:pPr>
              <w:ind w:left="20"/>
              <w:spacing w:after="0"/>
              <w:rPr>
                <w:sz w:val="20"/>
                <w:szCs w:val="20"/>
                <w:color w:val="auto"/>
              </w:rPr>
            </w:pPr>
            <w:r>
              <w:rPr>
                <w:rFonts w:ascii="Arial" w:cs="Arial" w:eastAsia="Arial" w:hAnsi="Arial"/>
                <w:sz w:val="18"/>
                <w:szCs w:val="18"/>
                <w:color w:val="auto"/>
                <w:w w:val="90"/>
              </w:rPr>
              <w:t xml:space="preserve">Amendment No. 1, dated as of May 5, 2020, to the Amended and Restated Credit Agreement, dated as of July 18, 2019 </w:t>
            </w:r>
            <w:r>
              <w:rPr>
                <w:rFonts w:ascii="Arial" w:cs="Arial" w:eastAsia="Arial" w:hAnsi="Arial"/>
                <w:sz w:val="18"/>
                <w:szCs w:val="18"/>
                <w:color w:val="212529"/>
                <w:w w:val="90"/>
              </w:rPr>
              <w:t>by and among</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60" w:type="dxa"/>
            <w:vAlign w:val="bottom"/>
            <w:gridSpan w:val="3"/>
          </w:tcPr>
          <w:p>
            <w:pPr>
              <w:ind w:left="20"/>
              <w:spacing w:after="0"/>
              <w:rPr>
                <w:sz w:val="20"/>
                <w:szCs w:val="20"/>
                <w:color w:val="auto"/>
              </w:rPr>
            </w:pPr>
            <w:r>
              <w:rPr>
                <w:rFonts w:ascii="Arial" w:cs="Arial" w:eastAsia="Arial" w:hAnsi="Arial"/>
                <w:sz w:val="18"/>
                <w:szCs w:val="18"/>
                <w:color w:val="212529"/>
                <w:w w:val="99"/>
              </w:rPr>
              <w:t>Nautilus Acquisition Holdings, Inc., National Vision, Inc., certain subsidiaries of National Vision, Inc., as guarantors, Bank of</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60" w:type="dxa"/>
            <w:vAlign w:val="bottom"/>
            <w:gridSpan w:val="3"/>
          </w:tcPr>
          <w:p>
            <w:pPr>
              <w:ind w:left="20"/>
              <w:spacing w:after="0"/>
              <w:rPr>
                <w:sz w:val="20"/>
                <w:szCs w:val="20"/>
                <w:color w:val="auto"/>
              </w:rPr>
            </w:pPr>
            <w:r>
              <w:rPr>
                <w:rFonts w:ascii="Arial" w:cs="Arial" w:eastAsia="Arial" w:hAnsi="Arial"/>
                <w:sz w:val="18"/>
                <w:szCs w:val="18"/>
                <w:color w:val="212529"/>
              </w:rPr>
              <w:t>America, N.A., as administrative agent and collateral agent, and the lenders from time to time party thereto.</w:t>
            </w:r>
          </w:p>
        </w:tc>
      </w:tr>
      <w:tr>
        <w:trPr>
          <w:trHeight w:val="256"/>
        </w:trPr>
        <w:tc>
          <w:tcPr>
            <w:tcW w:w="1360" w:type="dxa"/>
            <w:vAlign w:val="bottom"/>
          </w:tcPr>
          <w:p>
            <w:pPr>
              <w:ind w:left="40"/>
              <w:spacing w:after="0"/>
              <w:rPr>
                <w:rFonts w:ascii="Arial" w:cs="Arial" w:eastAsia="Arial" w:hAnsi="Arial"/>
                <w:sz w:val="18"/>
                <w:szCs w:val="18"/>
                <w:u w:val="single" w:color="auto"/>
                <w:color w:val="0000FF"/>
              </w:rPr>
            </w:pPr>
            <w:hyperlink r:id="rId22">
              <w:r>
                <w:rPr>
                  <w:rFonts w:ascii="Arial" w:cs="Arial" w:eastAsia="Arial" w:hAnsi="Arial"/>
                  <w:sz w:val="18"/>
                  <w:szCs w:val="18"/>
                  <w:u w:val="single" w:color="auto"/>
                  <w:color w:val="0000FF"/>
                </w:rPr>
                <w:t>10.2</w:t>
              </w:r>
            </w:hyperlink>
          </w:p>
        </w:tc>
        <w:tc>
          <w:tcPr>
            <w:tcW w:w="120" w:type="dxa"/>
            <w:vAlign w:val="bottom"/>
          </w:tcPr>
          <w:p>
            <w:pPr>
              <w:spacing w:after="0"/>
              <w:rPr>
                <w:sz w:val="22"/>
                <w:szCs w:val="22"/>
                <w:color w:val="auto"/>
              </w:rPr>
            </w:pPr>
          </w:p>
        </w:tc>
        <w:tc>
          <w:tcPr>
            <w:tcW w:w="9760" w:type="dxa"/>
            <w:vAlign w:val="bottom"/>
            <w:gridSpan w:val="3"/>
          </w:tcPr>
          <w:p>
            <w:pPr>
              <w:ind w:left="20"/>
              <w:spacing w:after="0"/>
              <w:rPr>
                <w:sz w:val="20"/>
                <w:szCs w:val="20"/>
                <w:color w:val="auto"/>
              </w:rPr>
            </w:pPr>
            <w:r>
              <w:rPr>
                <w:rFonts w:ascii="Arial" w:cs="Arial" w:eastAsia="Arial" w:hAnsi="Arial"/>
                <w:sz w:val="18"/>
                <w:szCs w:val="18"/>
                <w:color w:val="auto"/>
                <w:w w:val="93"/>
              </w:rPr>
              <w:t>Amendment 3 to the Management and Services Agreement between Walmart, Inc. and National Vision, Inc. effective as of January</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60" w:type="dxa"/>
            <w:vAlign w:val="bottom"/>
            <w:gridSpan w:val="3"/>
          </w:tcPr>
          <w:p>
            <w:pPr>
              <w:ind w:left="20"/>
              <w:spacing w:after="0"/>
              <w:rPr>
                <w:sz w:val="20"/>
                <w:szCs w:val="20"/>
                <w:color w:val="auto"/>
              </w:rPr>
            </w:pPr>
            <w:r>
              <w:rPr>
                <w:rFonts w:ascii="Arial" w:cs="Arial" w:eastAsia="Arial" w:hAnsi="Arial"/>
                <w:sz w:val="18"/>
                <w:szCs w:val="18"/>
                <w:color w:val="auto"/>
                <w:w w:val="92"/>
              </w:rPr>
              <w:t>23, 2020 -incorporated herein by reference to Exhibit 10.1 to the Company’s Current Report on Form 8-K filed on January 22, 2020.</w:t>
            </w:r>
          </w:p>
        </w:tc>
      </w:tr>
      <w:tr>
        <w:trPr>
          <w:trHeight w:val="270"/>
        </w:trPr>
        <w:tc>
          <w:tcPr>
            <w:tcW w:w="1360" w:type="dxa"/>
            <w:vAlign w:val="bottom"/>
          </w:tcPr>
          <w:p>
            <w:pPr>
              <w:ind w:left="40"/>
              <w:spacing w:after="0"/>
              <w:rPr>
                <w:rFonts w:ascii="Arial" w:cs="Arial" w:eastAsia="Arial" w:hAnsi="Arial"/>
                <w:sz w:val="18"/>
                <w:szCs w:val="18"/>
                <w:u w:val="single" w:color="auto"/>
                <w:color w:val="0000FF"/>
              </w:rPr>
            </w:pPr>
            <w:hyperlink w:anchor="page237">
              <w:r>
                <w:rPr>
                  <w:rFonts w:ascii="Arial" w:cs="Arial" w:eastAsia="Arial" w:hAnsi="Arial"/>
                  <w:sz w:val="18"/>
                  <w:szCs w:val="18"/>
                  <w:u w:val="single" w:color="auto"/>
                  <w:color w:val="0000FF"/>
                </w:rPr>
                <w:t>10.3</w:t>
              </w:r>
            </w:hyperlink>
          </w:p>
        </w:tc>
        <w:tc>
          <w:tcPr>
            <w:tcW w:w="120" w:type="dxa"/>
            <w:vAlign w:val="bottom"/>
          </w:tcPr>
          <w:p>
            <w:pPr>
              <w:spacing w:after="0"/>
              <w:rPr>
                <w:sz w:val="23"/>
                <w:szCs w:val="23"/>
                <w:color w:val="auto"/>
              </w:rPr>
            </w:pPr>
          </w:p>
        </w:tc>
        <w:tc>
          <w:tcPr>
            <w:tcW w:w="9760" w:type="dxa"/>
            <w:vAlign w:val="bottom"/>
            <w:gridSpan w:val="3"/>
          </w:tcPr>
          <w:p>
            <w:pPr>
              <w:ind w:left="20"/>
              <w:spacing w:after="0"/>
              <w:rPr>
                <w:sz w:val="20"/>
                <w:szCs w:val="20"/>
                <w:color w:val="auto"/>
              </w:rPr>
            </w:pPr>
            <w:r>
              <w:rPr>
                <w:rFonts w:ascii="Arial" w:cs="Arial" w:eastAsia="Arial" w:hAnsi="Arial"/>
                <w:sz w:val="18"/>
                <w:szCs w:val="18"/>
                <w:color w:val="auto"/>
              </w:rPr>
              <w:t>Form of Performance Stock Unit Agreement under the 2017 Omnibus Incentive Plan, as adopted February 2020.</w:t>
            </w:r>
          </w:p>
        </w:tc>
      </w:tr>
      <w:tr>
        <w:trPr>
          <w:trHeight w:val="270"/>
        </w:trPr>
        <w:tc>
          <w:tcPr>
            <w:tcW w:w="1360" w:type="dxa"/>
            <w:vAlign w:val="bottom"/>
          </w:tcPr>
          <w:p>
            <w:pPr>
              <w:ind w:left="40"/>
              <w:spacing w:after="0"/>
              <w:rPr>
                <w:rFonts w:ascii="Arial" w:cs="Arial" w:eastAsia="Arial" w:hAnsi="Arial"/>
                <w:sz w:val="18"/>
                <w:szCs w:val="18"/>
                <w:u w:val="single" w:color="auto"/>
                <w:color w:val="0000FF"/>
              </w:rPr>
            </w:pPr>
            <w:hyperlink w:anchor="page245">
              <w:r>
                <w:rPr>
                  <w:rFonts w:ascii="Arial" w:cs="Arial" w:eastAsia="Arial" w:hAnsi="Arial"/>
                  <w:sz w:val="18"/>
                  <w:szCs w:val="18"/>
                  <w:u w:val="single" w:color="auto"/>
                  <w:color w:val="0000FF"/>
                </w:rPr>
                <w:t>31.1</w:t>
              </w:r>
            </w:hyperlink>
          </w:p>
        </w:tc>
        <w:tc>
          <w:tcPr>
            <w:tcW w:w="120" w:type="dxa"/>
            <w:vAlign w:val="bottom"/>
          </w:tcPr>
          <w:p>
            <w:pPr>
              <w:spacing w:after="0"/>
              <w:rPr>
                <w:sz w:val="23"/>
                <w:szCs w:val="23"/>
                <w:color w:val="auto"/>
              </w:rPr>
            </w:pPr>
          </w:p>
        </w:tc>
        <w:tc>
          <w:tcPr>
            <w:tcW w:w="9760" w:type="dxa"/>
            <w:vAlign w:val="bottom"/>
            <w:gridSpan w:val="3"/>
          </w:tcPr>
          <w:p>
            <w:pPr>
              <w:ind w:left="20"/>
              <w:spacing w:after="0"/>
              <w:rPr>
                <w:sz w:val="20"/>
                <w:szCs w:val="20"/>
                <w:color w:val="auto"/>
              </w:rPr>
            </w:pPr>
            <w:r>
              <w:rPr>
                <w:rFonts w:ascii="Arial" w:cs="Arial" w:eastAsia="Arial" w:hAnsi="Arial"/>
                <w:sz w:val="18"/>
                <w:szCs w:val="18"/>
                <w:color w:val="auto"/>
                <w:w w:val="95"/>
              </w:rPr>
              <w:t>Certification of Periodic Report by Chief Executive Officer under Section 302 of the Sarbanes-Oxley Act of 2002 (filed herewith).</w:t>
            </w:r>
          </w:p>
        </w:tc>
      </w:tr>
      <w:tr>
        <w:trPr>
          <w:trHeight w:val="270"/>
        </w:trPr>
        <w:tc>
          <w:tcPr>
            <w:tcW w:w="1360" w:type="dxa"/>
            <w:vAlign w:val="bottom"/>
          </w:tcPr>
          <w:p>
            <w:pPr>
              <w:ind w:left="40"/>
              <w:spacing w:after="0"/>
              <w:rPr>
                <w:rFonts w:ascii="Arial" w:cs="Arial" w:eastAsia="Arial" w:hAnsi="Arial"/>
                <w:sz w:val="18"/>
                <w:szCs w:val="18"/>
                <w:u w:val="single" w:color="auto"/>
                <w:color w:val="0000FF"/>
              </w:rPr>
            </w:pPr>
            <w:hyperlink w:anchor="page246">
              <w:r>
                <w:rPr>
                  <w:rFonts w:ascii="Arial" w:cs="Arial" w:eastAsia="Arial" w:hAnsi="Arial"/>
                  <w:sz w:val="18"/>
                  <w:szCs w:val="18"/>
                  <w:u w:val="single" w:color="auto"/>
                  <w:color w:val="0000FF"/>
                </w:rPr>
                <w:t>31.2</w:t>
              </w:r>
            </w:hyperlink>
          </w:p>
        </w:tc>
        <w:tc>
          <w:tcPr>
            <w:tcW w:w="120" w:type="dxa"/>
            <w:vAlign w:val="bottom"/>
          </w:tcPr>
          <w:p>
            <w:pPr>
              <w:spacing w:after="0"/>
              <w:rPr>
                <w:sz w:val="23"/>
                <w:szCs w:val="23"/>
                <w:color w:val="auto"/>
              </w:rPr>
            </w:pPr>
          </w:p>
        </w:tc>
        <w:tc>
          <w:tcPr>
            <w:tcW w:w="9760" w:type="dxa"/>
            <w:vAlign w:val="bottom"/>
            <w:gridSpan w:val="3"/>
          </w:tcPr>
          <w:p>
            <w:pPr>
              <w:ind w:left="20"/>
              <w:spacing w:after="0"/>
              <w:rPr>
                <w:sz w:val="20"/>
                <w:szCs w:val="20"/>
                <w:color w:val="auto"/>
              </w:rPr>
            </w:pPr>
            <w:r>
              <w:rPr>
                <w:rFonts w:ascii="Arial" w:cs="Arial" w:eastAsia="Arial" w:hAnsi="Arial"/>
                <w:sz w:val="18"/>
                <w:szCs w:val="18"/>
                <w:color w:val="auto"/>
                <w:w w:val="96"/>
              </w:rPr>
              <w:t>Certification of Periodic Report by Chief Financial Officer under Section 302 of the Sarbanes-Oxley Act of 2002 (filed herewith).</w:t>
            </w:r>
          </w:p>
        </w:tc>
      </w:tr>
      <w:tr>
        <w:trPr>
          <w:trHeight w:val="256"/>
        </w:trPr>
        <w:tc>
          <w:tcPr>
            <w:tcW w:w="1360" w:type="dxa"/>
            <w:vAlign w:val="bottom"/>
          </w:tcPr>
          <w:p>
            <w:pPr>
              <w:ind w:left="40"/>
              <w:spacing w:after="0"/>
              <w:rPr>
                <w:rFonts w:ascii="Arial" w:cs="Arial" w:eastAsia="Arial" w:hAnsi="Arial"/>
                <w:sz w:val="18"/>
                <w:szCs w:val="18"/>
                <w:u w:val="single" w:color="auto"/>
                <w:color w:val="0000FF"/>
              </w:rPr>
            </w:pPr>
            <w:hyperlink w:anchor="page247">
              <w:r>
                <w:rPr>
                  <w:rFonts w:ascii="Arial" w:cs="Arial" w:eastAsia="Arial" w:hAnsi="Arial"/>
                  <w:sz w:val="18"/>
                  <w:szCs w:val="18"/>
                  <w:u w:val="single" w:color="auto"/>
                  <w:color w:val="0000FF"/>
                </w:rPr>
                <w:t>32.1</w:t>
              </w:r>
            </w:hyperlink>
          </w:p>
        </w:tc>
        <w:tc>
          <w:tcPr>
            <w:tcW w:w="120" w:type="dxa"/>
            <w:vAlign w:val="bottom"/>
          </w:tcPr>
          <w:p>
            <w:pPr>
              <w:spacing w:after="0"/>
              <w:rPr>
                <w:sz w:val="22"/>
                <w:szCs w:val="22"/>
                <w:color w:val="auto"/>
              </w:rPr>
            </w:pPr>
          </w:p>
        </w:tc>
        <w:tc>
          <w:tcPr>
            <w:tcW w:w="9760" w:type="dxa"/>
            <w:vAlign w:val="bottom"/>
            <w:gridSpan w:val="3"/>
          </w:tcPr>
          <w:p>
            <w:pPr>
              <w:ind w:left="20"/>
              <w:spacing w:after="0"/>
              <w:rPr>
                <w:sz w:val="20"/>
                <w:szCs w:val="20"/>
                <w:color w:val="auto"/>
              </w:rPr>
            </w:pPr>
            <w:r>
              <w:rPr>
                <w:rFonts w:ascii="Arial" w:cs="Arial" w:eastAsia="Arial" w:hAnsi="Arial"/>
                <w:sz w:val="18"/>
                <w:szCs w:val="18"/>
                <w:color w:val="auto"/>
                <w:w w:val="94"/>
              </w:rPr>
              <w:t>Certification of Chief Executive Officer Pursuant to 18 U.S.C. Section 1350 as Adopted Pursuant to Section 906 of the Sarbanes-</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60" w:type="dxa"/>
            <w:vAlign w:val="bottom"/>
            <w:gridSpan w:val="3"/>
          </w:tcPr>
          <w:p>
            <w:pPr>
              <w:ind w:left="20"/>
              <w:spacing w:after="0"/>
              <w:rPr>
                <w:sz w:val="20"/>
                <w:szCs w:val="20"/>
                <w:color w:val="auto"/>
              </w:rPr>
            </w:pPr>
            <w:r>
              <w:rPr>
                <w:rFonts w:ascii="Arial" w:cs="Arial" w:eastAsia="Arial" w:hAnsi="Arial"/>
                <w:sz w:val="18"/>
                <w:szCs w:val="18"/>
                <w:color w:val="auto"/>
              </w:rPr>
              <w:t>Oxley Act of 2002 (furnished herewith).</w:t>
            </w:r>
          </w:p>
        </w:tc>
      </w:tr>
      <w:tr>
        <w:trPr>
          <w:trHeight w:val="256"/>
        </w:trPr>
        <w:tc>
          <w:tcPr>
            <w:tcW w:w="1360" w:type="dxa"/>
            <w:vAlign w:val="bottom"/>
          </w:tcPr>
          <w:p>
            <w:pPr>
              <w:ind w:left="40"/>
              <w:spacing w:after="0"/>
              <w:rPr>
                <w:rFonts w:ascii="Arial" w:cs="Arial" w:eastAsia="Arial" w:hAnsi="Arial"/>
                <w:sz w:val="18"/>
                <w:szCs w:val="18"/>
                <w:u w:val="single" w:color="auto"/>
                <w:color w:val="0000FF"/>
              </w:rPr>
            </w:pPr>
            <w:hyperlink w:anchor="page248">
              <w:r>
                <w:rPr>
                  <w:rFonts w:ascii="Arial" w:cs="Arial" w:eastAsia="Arial" w:hAnsi="Arial"/>
                  <w:sz w:val="18"/>
                  <w:szCs w:val="18"/>
                  <w:u w:val="single" w:color="auto"/>
                  <w:color w:val="0000FF"/>
                </w:rPr>
                <w:t>32.2</w:t>
              </w:r>
            </w:hyperlink>
          </w:p>
        </w:tc>
        <w:tc>
          <w:tcPr>
            <w:tcW w:w="120" w:type="dxa"/>
            <w:vAlign w:val="bottom"/>
          </w:tcPr>
          <w:p>
            <w:pPr>
              <w:spacing w:after="0"/>
              <w:rPr>
                <w:sz w:val="22"/>
                <w:szCs w:val="22"/>
                <w:color w:val="auto"/>
              </w:rPr>
            </w:pPr>
          </w:p>
        </w:tc>
        <w:tc>
          <w:tcPr>
            <w:tcW w:w="9760" w:type="dxa"/>
            <w:vAlign w:val="bottom"/>
            <w:gridSpan w:val="3"/>
          </w:tcPr>
          <w:p>
            <w:pPr>
              <w:ind w:left="2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60" w:type="dxa"/>
            <w:vAlign w:val="bottom"/>
            <w:gridSpan w:val="3"/>
          </w:tcPr>
          <w:p>
            <w:pPr>
              <w:ind w:left="20"/>
              <w:spacing w:after="0"/>
              <w:rPr>
                <w:sz w:val="20"/>
                <w:szCs w:val="20"/>
                <w:color w:val="auto"/>
              </w:rPr>
            </w:pPr>
            <w:r>
              <w:rPr>
                <w:rFonts w:ascii="Arial" w:cs="Arial" w:eastAsia="Arial" w:hAnsi="Arial"/>
                <w:sz w:val="18"/>
                <w:szCs w:val="18"/>
                <w:color w:val="auto"/>
              </w:rPr>
              <w:t>Act of 2002 (furnished herewith).</w:t>
            </w:r>
          </w:p>
        </w:tc>
      </w:tr>
      <w:tr>
        <w:trPr>
          <w:trHeight w:val="256"/>
        </w:trPr>
        <w:tc>
          <w:tcPr>
            <w:tcW w:w="148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760" w:type="dxa"/>
            <w:vAlign w:val="bottom"/>
            <w:gridSpan w:val="3"/>
          </w:tcPr>
          <w:p>
            <w:pPr>
              <w:ind w:left="20"/>
              <w:spacing w:after="0"/>
              <w:rPr>
                <w:sz w:val="20"/>
                <w:szCs w:val="20"/>
                <w:color w:val="auto"/>
              </w:rPr>
            </w:pPr>
            <w:r>
              <w:rPr>
                <w:rFonts w:ascii="Arial" w:cs="Arial" w:eastAsia="Arial" w:hAnsi="Arial"/>
                <w:sz w:val="18"/>
                <w:szCs w:val="18"/>
                <w:color w:val="auto"/>
                <w:w w:val="95"/>
              </w:rPr>
              <w:t>Inline XBRL Instance Document - the instance document does not appear in the Interactive Data File because its XBRL tags are</w:t>
            </w:r>
          </w:p>
        </w:tc>
      </w:tr>
      <w:tr>
        <w:trPr>
          <w:trHeight w:val="230"/>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60" w:type="dxa"/>
            <w:vAlign w:val="bottom"/>
            <w:gridSpan w:val="3"/>
          </w:tcPr>
          <w:p>
            <w:pPr>
              <w:ind w:left="20"/>
              <w:spacing w:after="0"/>
              <w:rPr>
                <w:sz w:val="20"/>
                <w:szCs w:val="20"/>
                <w:color w:val="auto"/>
              </w:rPr>
            </w:pPr>
            <w:r>
              <w:rPr>
                <w:rFonts w:ascii="Arial" w:cs="Arial" w:eastAsia="Arial" w:hAnsi="Arial"/>
                <w:sz w:val="18"/>
                <w:szCs w:val="18"/>
                <w:color w:val="auto"/>
              </w:rPr>
              <w:t>embedded within Inline XBRL document</w:t>
            </w:r>
          </w:p>
        </w:tc>
      </w:tr>
      <w:tr>
        <w:trPr>
          <w:trHeight w:val="270"/>
        </w:trPr>
        <w:tc>
          <w:tcPr>
            <w:tcW w:w="148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760" w:type="dxa"/>
            <w:vAlign w:val="bottom"/>
            <w:gridSpan w:val="3"/>
          </w:tcPr>
          <w:p>
            <w:pPr>
              <w:ind w:left="20"/>
              <w:spacing w:after="0"/>
              <w:rPr>
                <w:sz w:val="20"/>
                <w:szCs w:val="20"/>
                <w:color w:val="auto"/>
              </w:rPr>
            </w:pPr>
            <w:r>
              <w:rPr>
                <w:rFonts w:ascii="Arial" w:cs="Arial" w:eastAsia="Arial" w:hAnsi="Arial"/>
                <w:sz w:val="18"/>
                <w:szCs w:val="18"/>
                <w:color w:val="auto"/>
              </w:rPr>
              <w:t>Inline XBRL Taxonomy Extension Schema Document.</w:t>
            </w:r>
          </w:p>
        </w:tc>
      </w:tr>
      <w:tr>
        <w:trPr>
          <w:trHeight w:val="270"/>
        </w:trPr>
        <w:tc>
          <w:tcPr>
            <w:tcW w:w="148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760" w:type="dxa"/>
            <w:vAlign w:val="bottom"/>
            <w:gridSpan w:val="3"/>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70"/>
        </w:trPr>
        <w:tc>
          <w:tcPr>
            <w:tcW w:w="148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760" w:type="dxa"/>
            <w:vAlign w:val="bottom"/>
            <w:gridSpan w:val="3"/>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70"/>
        </w:trPr>
        <w:tc>
          <w:tcPr>
            <w:tcW w:w="148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760" w:type="dxa"/>
            <w:vAlign w:val="bottom"/>
            <w:gridSpan w:val="3"/>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70"/>
        </w:trPr>
        <w:tc>
          <w:tcPr>
            <w:tcW w:w="148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760" w:type="dxa"/>
            <w:vAlign w:val="bottom"/>
            <w:gridSpan w:val="3"/>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40" w:lineRule="exact"/>
        <w:rPr>
          <w:sz w:val="20"/>
          <w:szCs w:val="20"/>
          <w:color w:val="auto"/>
        </w:rPr>
      </w:pPr>
    </w:p>
    <w:p>
      <w:pPr>
        <w:ind w:left="1500" w:right="40" w:hanging="1465"/>
        <w:spacing w:after="0" w:line="277" w:lineRule="auto"/>
        <w:tabs>
          <w:tab w:leader="none" w:pos="1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cover page of the Company’s Quarterly report on Form 10-Q for the quarter ended March 28, 2020, formatted in Inline XBRL (included within the Exhibit 101 attachments)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National Vision Holdings, Inc.</w:t>
      </w:r>
    </w:p>
    <w:p>
      <w:pPr>
        <w:spacing w:after="0" w:line="333" w:lineRule="exact"/>
        <w:rPr>
          <w:sz w:val="20"/>
          <w:szCs w:val="20"/>
          <w:color w:val="auto"/>
        </w:rPr>
      </w:pPr>
    </w:p>
    <w:p>
      <w:pPr>
        <w:ind w:left="40"/>
        <w:spacing w:after="0"/>
        <w:tabs>
          <w:tab w:leader="none" w:pos="5640" w:val="left"/>
          <w:tab w:leader="none" w:pos="6100" w:val="left"/>
        </w:tabs>
        <w:rPr>
          <w:sz w:val="20"/>
          <w:szCs w:val="20"/>
          <w:color w:val="auto"/>
        </w:rPr>
      </w:pPr>
      <w:r>
        <w:rPr>
          <w:rFonts w:ascii="Arial" w:cs="Arial" w:eastAsia="Arial" w:hAnsi="Arial"/>
          <w:sz w:val="18"/>
          <w:szCs w:val="18"/>
          <w:color w:val="auto"/>
        </w:rPr>
        <w:t>Dated: May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31750</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53"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67"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(Principal Executive Officer)</w:t>
      </w:r>
    </w:p>
    <w:p>
      <w:pPr>
        <w:spacing w:after="0" w:line="333" w:lineRule="exact"/>
        <w:rPr>
          <w:sz w:val="20"/>
          <w:szCs w:val="20"/>
          <w:color w:val="auto"/>
        </w:rPr>
      </w:pPr>
    </w:p>
    <w:p>
      <w:pPr>
        <w:ind w:left="40"/>
        <w:spacing w:after="0"/>
        <w:tabs>
          <w:tab w:leader="none" w:pos="5640" w:val="left"/>
          <w:tab w:leader="none" w:pos="6100" w:val="left"/>
        </w:tabs>
        <w:rPr>
          <w:sz w:val="20"/>
          <w:szCs w:val="20"/>
          <w:color w:val="auto"/>
        </w:rPr>
      </w:pPr>
      <w:r>
        <w:rPr>
          <w:rFonts w:ascii="Arial" w:cs="Arial" w:eastAsia="Arial" w:hAnsi="Arial"/>
          <w:sz w:val="18"/>
          <w:szCs w:val="18"/>
          <w:color w:val="auto"/>
        </w:rPr>
        <w:t>Dated: May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31750</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3"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67"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320" w:top="125" w:right="37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148" w:lineRule="exact"/>
        <w:rPr>
          <w:sz w:val="20"/>
          <w:szCs w:val="20"/>
          <w:color w:val="auto"/>
        </w:rPr>
      </w:pPr>
    </w:p>
    <w:p>
      <w:pPr>
        <w:ind w:right="60" w:firstLine="648"/>
        <w:spacing w:after="0" w:line="288" w:lineRule="auto"/>
        <w:rPr>
          <w:sz w:val="20"/>
          <w:szCs w:val="20"/>
          <w:color w:val="auto"/>
        </w:rPr>
      </w:pPr>
      <w:r>
        <w:rPr>
          <w:rFonts w:ascii="Arial" w:cs="Arial" w:eastAsia="Arial" w:hAnsi="Arial"/>
          <w:sz w:val="18"/>
          <w:szCs w:val="18"/>
          <w:color w:val="auto"/>
        </w:rPr>
        <w:t>AMENDMENT NO. 1, dated as of May 5, 2020 (this “</w:t>
      </w:r>
      <w:r>
        <w:rPr>
          <w:rFonts w:ascii="Arial" w:cs="Arial" w:eastAsia="Arial" w:hAnsi="Arial"/>
          <w:sz w:val="18"/>
          <w:szCs w:val="18"/>
          <w:u w:val="single" w:color="auto"/>
          <w:color w:val="auto"/>
        </w:rPr>
        <w:t>Amendment No. 1</w:t>
      </w:r>
      <w:r>
        <w:rPr>
          <w:rFonts w:ascii="Arial" w:cs="Arial" w:eastAsia="Arial" w:hAnsi="Arial"/>
          <w:sz w:val="18"/>
          <w:szCs w:val="18"/>
          <w:color w:val="auto"/>
        </w:rPr>
        <w:t>”), by and among NAUTILUS ACQUISITION HOLDINGS, INC., a Delaware corporation (“</w:t>
      </w:r>
      <w:r>
        <w:rPr>
          <w:rFonts w:ascii="Arial" w:cs="Arial" w:eastAsia="Arial" w:hAnsi="Arial"/>
          <w:sz w:val="18"/>
          <w:szCs w:val="18"/>
          <w:u w:val="single" w:color="auto"/>
          <w:color w:val="auto"/>
        </w:rPr>
        <w:t>Holdings</w:t>
      </w:r>
      <w:r>
        <w:rPr>
          <w:rFonts w:ascii="Arial" w:cs="Arial" w:eastAsia="Arial" w:hAnsi="Arial"/>
          <w:sz w:val="18"/>
          <w:szCs w:val="18"/>
          <w:color w:val="auto"/>
        </w:rPr>
        <w:t>”), NATIONAL VISION, INC., a Georgia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subsidiaries of the Borrower party hereto, as guarantors (together, with Holdings, the “</w:t>
      </w:r>
      <w:r>
        <w:rPr>
          <w:rFonts w:ascii="Arial" w:cs="Arial" w:eastAsia="Arial" w:hAnsi="Arial"/>
          <w:sz w:val="18"/>
          <w:szCs w:val="18"/>
          <w:u w:val="single" w:color="auto"/>
          <w:color w:val="auto"/>
        </w:rPr>
        <w:t>Guarantors</w:t>
      </w:r>
      <w:r>
        <w:rPr>
          <w:rFonts w:ascii="Arial" w:cs="Arial" w:eastAsia="Arial" w:hAnsi="Arial"/>
          <w:sz w:val="18"/>
          <w:szCs w:val="18"/>
          <w:color w:val="auto"/>
        </w:rPr>
        <w:t>”), each lender party hereto (the “</w:t>
      </w:r>
      <w:r>
        <w:rPr>
          <w:rFonts w:ascii="Arial" w:cs="Arial" w:eastAsia="Arial" w:hAnsi="Arial"/>
          <w:sz w:val="18"/>
          <w:szCs w:val="18"/>
          <w:u w:val="single" w:color="auto"/>
          <w:color w:val="auto"/>
        </w:rPr>
        <w:t>Lenders</w:t>
      </w:r>
      <w:r>
        <w:rPr>
          <w:rFonts w:ascii="Arial" w:cs="Arial" w:eastAsia="Arial" w:hAnsi="Arial"/>
          <w:sz w:val="18"/>
          <w:szCs w:val="18"/>
          <w:color w:val="auto"/>
        </w:rPr>
        <w:t>”) and BANK OF AMERICA, N.A. (“</w:t>
      </w:r>
      <w:r>
        <w:rPr>
          <w:rFonts w:ascii="Arial" w:cs="Arial" w:eastAsia="Arial" w:hAnsi="Arial"/>
          <w:sz w:val="18"/>
          <w:szCs w:val="18"/>
          <w:u w:val="single" w:color="auto"/>
          <w:color w:val="auto"/>
        </w:rPr>
        <w:t>Bank of America</w:t>
      </w:r>
      <w:r>
        <w:rPr>
          <w:rFonts w:ascii="Arial" w:cs="Arial" w:eastAsia="Arial" w:hAnsi="Arial"/>
          <w:sz w:val="18"/>
          <w:szCs w:val="18"/>
          <w:color w:val="auto"/>
        </w:rPr>
        <w:t>”), as Administrative Agent and Collateral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Unless otherwise indicated, capitalized terms used but not defined herein having the meanings provided in the Credit Agreement (as defined below).</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31" w:lineRule="exact"/>
        <w:rPr>
          <w:sz w:val="20"/>
          <w:szCs w:val="20"/>
          <w:color w:val="auto"/>
        </w:rPr>
      </w:pPr>
    </w:p>
    <w:p>
      <w:pPr>
        <w:ind w:right="180" w:firstLine="648"/>
        <w:spacing w:after="0" w:line="29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reference is hereby made to the Amended and Restated Credit Agreement, dated as of July 18, 2019 (as amended, amended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restated,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the Credit Agreement as amended by this Amendment No. 1, the “</w:t>
      </w:r>
      <w:r>
        <w:rPr>
          <w:rFonts w:ascii="Arial" w:cs="Arial" w:eastAsia="Arial" w:hAnsi="Arial"/>
          <w:sz w:val="18"/>
          <w:szCs w:val="18"/>
          <w:u w:val="single" w:color="auto"/>
          <w:color w:val="auto"/>
        </w:rPr>
        <w:t>Amended Credit Agreement</w:t>
      </w:r>
      <w:r>
        <w:rPr>
          <w:rFonts w:ascii="Arial" w:cs="Arial" w:eastAsia="Arial" w:hAnsi="Arial"/>
          <w:sz w:val="18"/>
          <w:szCs w:val="18"/>
          <w:color w:val="auto"/>
        </w:rPr>
        <w:t>”), among Holdings, the Borrower, the lending institutions from time to time party thereto and Bank of America, N.A., as Administrative Agent, Collateral Agent and Swingline Lender;</w:t>
      </w:r>
    </w:p>
    <w:p>
      <w:pPr>
        <w:spacing w:after="0" w:line="73" w:lineRule="exact"/>
        <w:rPr>
          <w:sz w:val="20"/>
          <w:szCs w:val="20"/>
          <w:color w:val="auto"/>
        </w:rPr>
      </w:pPr>
    </w:p>
    <w:p>
      <w:pPr>
        <w:ind w:right="620" w:firstLine="648"/>
        <w:spacing w:after="0" w:line="31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subject to the terms and conditions of the Credit Agreement, the Borrower has requested that certain provisions of the Credit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be amended as set forth herein;</w:t>
      </w:r>
    </w:p>
    <w:p>
      <w:pPr>
        <w:spacing w:after="0" w:line="54" w:lineRule="exact"/>
        <w:rPr>
          <w:sz w:val="20"/>
          <w:szCs w:val="20"/>
          <w:color w:val="auto"/>
        </w:rPr>
      </w:pPr>
    </w:p>
    <w:p>
      <w:pPr>
        <w:ind w:right="300" w:firstLine="648"/>
        <w:spacing w:after="0" w:line="31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Lender that executes and delivers a counterpart to this Amendment No. 1 will be deemed to have agreed to the terms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No. 1 (each such Lender, a “</w:t>
      </w:r>
      <w:r>
        <w:rPr>
          <w:rFonts w:ascii="Arial" w:cs="Arial" w:eastAsia="Arial" w:hAnsi="Arial"/>
          <w:sz w:val="18"/>
          <w:szCs w:val="18"/>
          <w:u w:val="single" w:color="auto"/>
          <w:color w:val="auto"/>
        </w:rPr>
        <w:t>Consenting Lender</w:t>
      </w:r>
      <w:r>
        <w:rPr>
          <w:rFonts w:ascii="Arial" w:cs="Arial" w:eastAsia="Arial" w:hAnsi="Arial"/>
          <w:sz w:val="18"/>
          <w:szCs w:val="18"/>
          <w:color w:val="auto"/>
        </w:rPr>
        <w:t>”); and</w:t>
      </w:r>
    </w:p>
    <w:p>
      <w:pPr>
        <w:spacing w:after="0" w:line="54" w:lineRule="exact"/>
        <w:rPr>
          <w:sz w:val="20"/>
          <w:szCs w:val="20"/>
          <w:color w:val="auto"/>
        </w:rPr>
      </w:pPr>
    </w:p>
    <w:p>
      <w:pPr>
        <w:ind w:right="720" w:firstLine="648"/>
        <w:spacing w:after="0" w:line="31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Borrower and the Lenders desire to amend the Credit Agreement to make certain changes as set forth in the form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Credit Agreement attached hereto as Annex A;</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agreements, provisions and covenants herein contained, the parties hereto agree 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 AMENDMENTS</w:t>
      </w:r>
    </w:p>
    <w:p>
      <w:pPr>
        <w:spacing w:after="0" w:line="148" w:lineRule="exact"/>
        <w:rPr>
          <w:sz w:val="20"/>
          <w:szCs w:val="20"/>
          <w:color w:val="auto"/>
        </w:rPr>
      </w:pPr>
    </w:p>
    <w:p>
      <w:pPr>
        <w:ind w:left="340" w:right="220" w:hanging="332"/>
        <w:spacing w:after="0" w:line="295"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Subject to the occurrence of (and concurrently with) the Amendment No. 1 Effective Date (as defined below), each of the Consenting Lenders, the Borrower and the Administrative Agent hereby consents to the amendments to the Credit Agreement made pursuant to the terms of this Amendment No. 1.</w:t>
      </w:r>
    </w:p>
    <w:p>
      <w:pPr>
        <w:spacing w:after="0" w:line="73" w:lineRule="exact"/>
        <w:rPr>
          <w:rFonts w:ascii="Arial" w:cs="Arial" w:eastAsia="Arial" w:hAnsi="Arial"/>
          <w:sz w:val="18"/>
          <w:szCs w:val="18"/>
          <w:color w:val="auto"/>
        </w:rPr>
      </w:pPr>
    </w:p>
    <w:p>
      <w:pPr>
        <w:ind w:left="340" w:right="280" w:hanging="332"/>
        <w:spacing w:after="0" w:line="295"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Effective as of the Amendment No. 1 Effective Date, the Credit Agreement is hereby amended to delete the stricken text (indicated textually in the same manner as the following example: </w:t>
      </w:r>
      <w:r>
        <w:rPr>
          <w:rFonts w:ascii="Arial" w:cs="Arial" w:eastAsia="Arial" w:hAnsi="Arial"/>
          <w:sz w:val="18"/>
          <w:szCs w:val="18"/>
          <w:color w:val="FF0000"/>
          <w:strike w:val="1"/>
        </w:rPr>
        <w:t>stricken text</w:t>
      </w:r>
      <w:r>
        <w:rPr>
          <w:rFonts w:ascii="Arial" w:cs="Arial" w:eastAsia="Arial" w:hAnsi="Arial"/>
          <w:sz w:val="18"/>
          <w:szCs w:val="18"/>
          <w:color w:val="auto"/>
        </w:rPr>
        <w:t xml:space="preserve">) and to add the single-underlined text (indicated textually in the same manner as the following example: </w:t>
      </w:r>
      <w:r>
        <w:rPr>
          <w:rFonts w:ascii="Arial" w:cs="Arial" w:eastAsia="Arial" w:hAnsi="Arial"/>
          <w:sz w:val="18"/>
          <w:szCs w:val="18"/>
          <w:u w:val="single" w:color="auto"/>
          <w:color w:val="0000FF"/>
        </w:rPr>
        <w:t>single-underlined text</w:t>
      </w:r>
      <w:r>
        <w:rPr>
          <w:rFonts w:ascii="Arial" w:cs="Arial" w:eastAsia="Arial" w:hAnsi="Arial"/>
          <w:sz w:val="18"/>
          <w:szCs w:val="18"/>
          <w:color w:val="auto"/>
        </w:rPr>
        <w:t xml:space="preserve">) as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 OTHER TERMS OF AMENDMENT NO. 1</w:t>
      </w:r>
    </w:p>
    <w:p>
      <w:pPr>
        <w:spacing w:after="0" w:line="144"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w:t>
      </w:r>
      <w:r>
        <w:rPr>
          <w:rFonts w:ascii="Arial" w:cs="Arial" w:eastAsia="Arial" w:hAnsi="Arial"/>
          <w:sz w:val="18"/>
          <w:szCs w:val="18"/>
          <w:u w:val="single" w:color="auto"/>
          <w:color w:val="auto"/>
        </w:rPr>
        <w:t>. The Borrower hereby represents and warrants that:</w:t>
      </w:r>
    </w:p>
    <w:p>
      <w:pPr>
        <w:spacing w:after="0" w:line="202" w:lineRule="exact"/>
        <w:rPr>
          <w:rFonts w:ascii="Arial" w:cs="Arial" w:eastAsia="Arial" w:hAnsi="Arial"/>
          <w:sz w:val="18"/>
          <w:szCs w:val="18"/>
          <w:color w:val="auto"/>
        </w:rPr>
      </w:pPr>
    </w:p>
    <w:p>
      <w:pPr>
        <w:ind w:left="1300" w:right="140" w:hanging="644"/>
        <w:spacing w:after="0" w:line="305" w:lineRule="auto"/>
        <w:tabs>
          <w:tab w:leader="none" w:pos="13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This Amendment No. 1 has been duly authorized, executed and delivered by each Credit Party party hereto and constitutes the legal, valid and binding obligations of each such Credit Party enforceable against it in accordance with its terms, except that the enforceability hereof may be limited by bankruptcy, insolvency or similar laws affecting creditors’ rights generally and subject to general principles of equity. The execution, delivery and performance by each Credit Party of this Amendment No. 1 is within such Credit Party’s corporate powers, has been duly authorized by all necessary corporate or other organizational action, and does not and will not (a) conflict with or contravene the terms of any Credit Party’s organizational documents, (b) result in any breach or contravention of, or the creation of any Lien under (other than under the Credit Documents), or</w:t>
      </w:r>
    </w:p>
    <w:p>
      <w:pPr>
        <w:sectPr>
          <w:pgSz w:w="11900" w:h="16838" w:orient="portrait"/>
          <w:cols w:equalWidth="0" w:num="1">
            <w:col w:w="11240"/>
          </w:cols>
          <w:pgMar w:left="320" w:top="135" w:right="339" w:bottom="1440" w:gutter="0" w:footer="0" w:header="0"/>
        </w:sectPr>
      </w:pPr>
    </w:p>
    <w:bookmarkStart w:id="50" w:name="page51"/>
    <w:bookmarkEnd w:id="50"/>
    <w:p>
      <w:pPr>
        <w:ind w:left="1292"/>
        <w:spacing w:after="0" w:line="287" w:lineRule="auto"/>
        <w:rPr>
          <w:sz w:val="20"/>
          <w:szCs w:val="20"/>
          <w:color w:val="auto"/>
        </w:rPr>
      </w:pPr>
      <w:r>
        <w:rPr>
          <w:rFonts w:ascii="Arial" w:cs="Arial" w:eastAsia="Arial" w:hAnsi="Arial"/>
          <w:sz w:val="18"/>
          <w:szCs w:val="18"/>
          <w:color w:val="auto"/>
        </w:rPr>
        <w:t>require any payment to be made under (i) any Contractual Requirement to which any Credit Party is a party or affecting any Credit Party or the properties of the Borrower or any of its Subsidiaries or (ii) any order, injunction, writ or decree of any Governmental Authority or any arbitral award to which any Credit Party or its property is subject; or (c) violate any applicable law; except with respect to any conflict, breach or contravention or payment or violation (but not creation of Liens) referred to in clauses (b) or (c), to the extent that such conflict, breach, contravention or payment or violation could not, individually or in the aggregate, reasonably be expected to have a Material Adverse Effect.</w:t>
      </w:r>
    </w:p>
    <w:p>
      <w:pPr>
        <w:spacing w:after="0" w:line="40" w:lineRule="exact"/>
        <w:rPr>
          <w:sz w:val="20"/>
          <w:szCs w:val="20"/>
          <w:color w:val="auto"/>
        </w:rPr>
      </w:pPr>
    </w:p>
    <w:p>
      <w:pPr>
        <w:ind w:left="1292" w:hanging="644"/>
        <w:spacing w:after="0" w:line="308" w:lineRule="auto"/>
        <w:tabs>
          <w:tab w:leader="none" w:pos="1292" w:val="left"/>
        </w:tabs>
        <w:numPr>
          <w:ilvl w:val="1"/>
          <w:numId w:val="33"/>
        </w:numPr>
        <w:rPr>
          <w:rFonts w:ascii="Arial" w:cs="Arial" w:eastAsia="Arial" w:hAnsi="Arial"/>
          <w:sz w:val="18"/>
          <w:szCs w:val="18"/>
          <w:color w:val="auto"/>
        </w:rPr>
      </w:pPr>
      <w:r>
        <w:rPr>
          <w:rFonts w:ascii="Arial" w:cs="Arial" w:eastAsia="Arial" w:hAnsi="Arial"/>
          <w:sz w:val="18"/>
          <w:szCs w:val="18"/>
          <w:color w:val="auto"/>
        </w:rPr>
        <w:t>As of the Amendment No. 1 Effective Date, the information included in any Beneficial Ownership Certification (as defined below) is true and correct in all respects.</w:t>
      </w:r>
    </w:p>
    <w:p>
      <w:pPr>
        <w:spacing w:after="0" w:line="18" w:lineRule="exact"/>
        <w:rPr>
          <w:rFonts w:ascii="Arial" w:cs="Arial" w:eastAsia="Arial" w:hAnsi="Arial"/>
          <w:sz w:val="18"/>
          <w:szCs w:val="18"/>
          <w:color w:val="auto"/>
        </w:rPr>
      </w:pPr>
    </w:p>
    <w:p>
      <w:pPr>
        <w:ind w:left="652" w:right="220" w:hanging="652"/>
        <w:spacing w:after="0" w:line="297" w:lineRule="auto"/>
        <w:tabs>
          <w:tab w:leader="none" w:pos="652"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Borrower and Guarantor Certifications</w:t>
      </w:r>
      <w:r>
        <w:rPr>
          <w:rFonts w:ascii="Arial" w:cs="Arial" w:eastAsia="Arial" w:hAnsi="Arial"/>
          <w:sz w:val="18"/>
          <w:szCs w:val="18"/>
          <w:color w:val="auto"/>
        </w:rPr>
        <w:t>. By its execution of this Amendment No. 1, each undersigned officer of the Borrower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Guarantors party hereto, to the best of his or her knowledge, and the Borrower and Guarantors hereby certify that (the “Borrower and Guarantor Certifications”):</w:t>
      </w:r>
    </w:p>
    <w:p>
      <w:pPr>
        <w:spacing w:after="0" w:line="32" w:lineRule="exact"/>
        <w:rPr>
          <w:rFonts w:ascii="Arial" w:cs="Arial" w:eastAsia="Arial" w:hAnsi="Arial"/>
          <w:sz w:val="18"/>
          <w:szCs w:val="18"/>
          <w:color w:val="auto"/>
        </w:rPr>
      </w:pPr>
    </w:p>
    <w:p>
      <w:pPr>
        <w:ind w:left="1292" w:right="1000" w:hanging="644"/>
        <w:spacing w:after="0" w:line="308" w:lineRule="auto"/>
        <w:tabs>
          <w:tab w:leader="none" w:pos="1292" w:val="left"/>
        </w:tabs>
        <w:numPr>
          <w:ilvl w:val="1"/>
          <w:numId w:val="34"/>
        </w:numPr>
        <w:rPr>
          <w:rFonts w:ascii="Arial" w:cs="Arial" w:eastAsia="Arial" w:hAnsi="Arial"/>
          <w:sz w:val="18"/>
          <w:szCs w:val="18"/>
          <w:color w:val="auto"/>
        </w:rPr>
      </w:pPr>
      <w:r>
        <w:rPr>
          <w:rFonts w:ascii="Arial" w:cs="Arial" w:eastAsia="Arial" w:hAnsi="Arial"/>
          <w:sz w:val="18"/>
          <w:szCs w:val="18"/>
          <w:color w:val="auto"/>
        </w:rPr>
        <w:t>no Default or Event of Default exists on the date hereof before or after giving effect to the consummation of the transactions contemplated by this Amendment No. 1; and</w:t>
      </w:r>
    </w:p>
    <w:p>
      <w:pPr>
        <w:spacing w:after="0" w:line="22" w:lineRule="exact"/>
        <w:rPr>
          <w:rFonts w:ascii="Arial" w:cs="Arial" w:eastAsia="Arial" w:hAnsi="Arial"/>
          <w:sz w:val="18"/>
          <w:szCs w:val="18"/>
          <w:color w:val="auto"/>
        </w:rPr>
      </w:pPr>
    </w:p>
    <w:p>
      <w:pPr>
        <w:ind w:left="1292" w:right="60" w:hanging="644"/>
        <w:spacing w:after="0" w:line="286" w:lineRule="auto"/>
        <w:tabs>
          <w:tab w:leader="none" w:pos="1292"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representations and warranties made by each Credit Party contained in the Credit Agreement, the Amended Credit Agreement or in the other Credit Documents are true and correct in all material respects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representations and warranties which are qualified by materiality, material adverse effect or similar language shall be true and correct in all respects) on and as of the date hereof with the same effect as though made on and as of the date hereof, except where such representations and warranties expressly relate to an earlier date, in which case such representations and warranties were true and correct in all material respects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representations and warranties which are qualified by materiality, material adverse effect or similar language shall be true and correct in all respects) as of such earlier date.</w:t>
      </w:r>
    </w:p>
    <w:p>
      <w:pPr>
        <w:spacing w:after="0" w:line="37" w:lineRule="exact"/>
        <w:rPr>
          <w:rFonts w:ascii="Arial" w:cs="Arial" w:eastAsia="Arial" w:hAnsi="Arial"/>
          <w:sz w:val="18"/>
          <w:szCs w:val="18"/>
          <w:color w:val="auto"/>
        </w:rPr>
      </w:pPr>
    </w:p>
    <w:p>
      <w:pPr>
        <w:ind w:left="652" w:right="460" w:hanging="652"/>
        <w:spacing w:after="0" w:line="313" w:lineRule="auto"/>
        <w:tabs>
          <w:tab w:leader="none" w:pos="652"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No. 1 Effective Date Conditions</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No. 1 will become effective on the date (the “Amendment No. 1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on which each of the following conditions (the “Amendment No. 1 Effective Date Conditions”) is satisfied:</w:t>
      </w:r>
    </w:p>
    <w:p>
      <w:pPr>
        <w:spacing w:after="0" w:line="17" w:lineRule="exact"/>
        <w:rPr>
          <w:rFonts w:ascii="Arial" w:cs="Arial" w:eastAsia="Arial" w:hAnsi="Arial"/>
          <w:sz w:val="18"/>
          <w:szCs w:val="18"/>
          <w:color w:val="auto"/>
        </w:rPr>
      </w:pPr>
    </w:p>
    <w:p>
      <w:pPr>
        <w:ind w:left="1292" w:right="460" w:hanging="644"/>
        <w:spacing w:after="0" w:line="339" w:lineRule="auto"/>
        <w:tabs>
          <w:tab w:leader="none" w:pos="1292"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The Administrative Agent shall have received from the Borrower, each Guarantor and each Consenting Lender a counterpart of this Amendment No. 1 signed on behalf of such party with such Consenting Lenders constituting Required Lenders;</w:t>
      </w:r>
    </w:p>
    <w:p>
      <w:pPr>
        <w:spacing w:after="0" w:line="1" w:lineRule="exact"/>
        <w:rPr>
          <w:rFonts w:ascii="Arial" w:cs="Arial" w:eastAsia="Arial" w:hAnsi="Arial"/>
          <w:sz w:val="17"/>
          <w:szCs w:val="17"/>
          <w:color w:val="auto"/>
        </w:rPr>
      </w:pPr>
    </w:p>
    <w:p>
      <w:pPr>
        <w:jc w:val="both"/>
        <w:ind w:left="1292" w:right="100" w:hanging="644"/>
        <w:spacing w:after="0" w:line="346" w:lineRule="auto"/>
        <w:tabs>
          <w:tab w:leader="none" w:pos="1292"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Administrative Agent and each Consenting Lender shall have received the executed legal opinion of (i) Simpson Thacher &amp; Bartlett LLP, special New York counsel to the Credit Parties and (ii) Kilpatrick Townsend &amp; Stockton LLP, special Georgia counsel to the Credit Parties. The Borrower, the other Credit Parties and the Administrative Agent hereby instruct such counsel to deliver such legal opinions;</w:t>
      </w:r>
    </w:p>
    <w:p>
      <w:pPr>
        <w:ind w:left="1292" w:right="220" w:hanging="644"/>
        <w:spacing w:after="0" w:line="295" w:lineRule="auto"/>
        <w:tabs>
          <w:tab w:leader="none" w:pos="1292"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Borrower shall have paid all fees, reasonable costs and expenses (including, without limitation the reasonable fees, charges and disbursements of Cahill Gordon &amp; Reindel LLP, counsel for the Administrative Agent) of the Administrative Agent for which invoices have been presented prior to the Amendment No. 1 Effective Date;</w:t>
      </w:r>
    </w:p>
    <w:p>
      <w:pPr>
        <w:spacing w:after="0" w:line="33" w:lineRule="exact"/>
        <w:rPr>
          <w:rFonts w:ascii="Arial" w:cs="Arial" w:eastAsia="Arial" w:hAnsi="Arial"/>
          <w:sz w:val="18"/>
          <w:szCs w:val="18"/>
          <w:color w:val="auto"/>
        </w:rPr>
      </w:pPr>
    </w:p>
    <w:p>
      <w:pPr>
        <w:ind w:left="1292" w:right="220" w:hanging="644"/>
        <w:spacing w:after="0" w:line="290" w:lineRule="auto"/>
        <w:tabs>
          <w:tab w:leader="none" w:pos="1292" w:val="left"/>
        </w:tabs>
        <w:numPr>
          <w:ilvl w:val="1"/>
          <w:numId w:val="34"/>
        </w:numPr>
        <w:rPr>
          <w:rFonts w:ascii="Arial" w:cs="Arial" w:eastAsia="Arial" w:hAnsi="Arial"/>
          <w:sz w:val="18"/>
          <w:szCs w:val="18"/>
          <w:color w:val="auto"/>
        </w:rPr>
      </w:pPr>
      <w:r>
        <w:rPr>
          <w:rFonts w:ascii="Arial" w:cs="Arial" w:eastAsia="Arial" w:hAnsi="Arial"/>
          <w:sz w:val="18"/>
          <w:szCs w:val="18"/>
          <w:color w:val="auto"/>
        </w:rPr>
        <w:t>At least three Business Days prior to the Amendment No. 1 Effective Date, if the Borrower qualifies as a “legal entity customer” under 31 C.F.R. § 1010.230 (the “</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then the Borrower shall deliver to the Administrative Agent and each Lender that so requests a certification regarding beneficial ownership as required by the Beneficial Ownership Regulation (the “</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in relation to the Borrower;</w:t>
      </w:r>
    </w:p>
    <w:p>
      <w:pPr>
        <w:spacing w:after="0" w:line="200" w:lineRule="exact"/>
        <w:rPr>
          <w:sz w:val="20"/>
          <w:szCs w:val="20"/>
          <w:color w:val="auto"/>
        </w:rPr>
      </w:pPr>
    </w:p>
    <w:p>
      <w:pPr>
        <w:spacing w:after="0" w:line="2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32"/>
          </w:cols>
          <w:pgMar w:left="328" w:top="355" w:right="339" w:bottom="1440" w:gutter="0" w:footer="0" w:header="0"/>
        </w:sectPr>
      </w:pPr>
    </w:p>
    <w:bookmarkStart w:id="51" w:name="page52"/>
    <w:bookmarkEnd w:id="51"/>
    <w:p>
      <w:pPr>
        <w:ind w:left="1292" w:right="20" w:hanging="644"/>
        <w:spacing w:after="0" w:line="290" w:lineRule="auto"/>
        <w:tabs>
          <w:tab w:leader="none" w:pos="1292"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Administrative Agent and the Consenting Lenders shall have received all documentation and other information reasonably requested by them at least three Business Days prior to the Amendment No. 1 Effective Date that is required to be obtained or maintained by them by regulatory authorities under applicable “know your customer” and anti-money laundering or terrorist financing rules and regulations, including the USA PATRIOT Act;</w:t>
      </w:r>
    </w:p>
    <w:p>
      <w:pPr>
        <w:spacing w:after="0" w:line="39" w:lineRule="exact"/>
        <w:rPr>
          <w:rFonts w:ascii="Arial" w:cs="Arial" w:eastAsia="Arial" w:hAnsi="Arial"/>
          <w:sz w:val="18"/>
          <w:szCs w:val="18"/>
          <w:color w:val="auto"/>
        </w:rPr>
      </w:pPr>
    </w:p>
    <w:p>
      <w:pPr>
        <w:ind w:left="1292" w:hanging="644"/>
        <w:spacing w:after="0"/>
        <w:tabs>
          <w:tab w:leader="none" w:pos="1292"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Borrower and Guarantor Certifications are true and correct; and</w:t>
      </w:r>
    </w:p>
    <w:p>
      <w:pPr>
        <w:spacing w:after="0" w:line="103" w:lineRule="exact"/>
        <w:rPr>
          <w:rFonts w:ascii="Arial" w:cs="Arial" w:eastAsia="Arial" w:hAnsi="Arial"/>
          <w:sz w:val="18"/>
          <w:szCs w:val="18"/>
          <w:color w:val="auto"/>
        </w:rPr>
      </w:pPr>
    </w:p>
    <w:p>
      <w:pPr>
        <w:ind w:left="1292" w:right="20" w:hanging="644"/>
        <w:spacing w:after="0" w:line="290" w:lineRule="auto"/>
        <w:tabs>
          <w:tab w:leader="none" w:pos="1292"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Borrower shall have paid to the Administrative Agent, for the account of each Lender that has provided an executed signature to this Amendment No. 1 on or prior to 12:00 p.m., New York time on May 5, 2020, a consent fee equal to 0.10% of the aggregate principal amount of such Lender’s Revolving Credit Commitment and Term A Loan under the Credit Agreement on the Amendment No. 1 Effective Date.</w:t>
      </w:r>
    </w:p>
    <w:p>
      <w:pPr>
        <w:spacing w:after="0" w:line="35" w:lineRule="exact"/>
        <w:rPr>
          <w:rFonts w:ascii="Arial" w:cs="Arial" w:eastAsia="Arial" w:hAnsi="Arial"/>
          <w:sz w:val="18"/>
          <w:szCs w:val="18"/>
          <w:color w:val="auto"/>
        </w:rPr>
      </w:pPr>
    </w:p>
    <w:p>
      <w:pPr>
        <w:ind w:left="652" w:right="780" w:hanging="652"/>
        <w:spacing w:after="0" w:line="313" w:lineRule="auto"/>
        <w:tabs>
          <w:tab w:leader="none" w:pos="652"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Modification and Waiver</w:t>
      </w:r>
      <w:r>
        <w:rPr>
          <w:rFonts w:ascii="Arial" w:cs="Arial" w:eastAsia="Arial" w:hAnsi="Arial"/>
          <w:sz w:val="18"/>
          <w:szCs w:val="18"/>
          <w:color w:val="auto"/>
        </w:rPr>
        <w:t>. This Amendment No. 1 may not be amended, modified or waived except by an instrument or</w:t>
      </w:r>
      <w:r>
        <w:rPr>
          <w:rFonts w:ascii="Arial" w:cs="Arial" w:eastAsia="Arial" w:hAnsi="Arial"/>
          <w:sz w:val="18"/>
          <w:szCs w:val="18"/>
          <w:b w:val="1"/>
          <w:bCs w:val="1"/>
          <w:color w:val="auto"/>
        </w:rPr>
        <w:t xml:space="preserve"> </w:t>
      </w:r>
      <w:r>
        <w:rPr>
          <w:rFonts w:ascii="Arial" w:cs="Arial" w:eastAsia="Arial" w:hAnsi="Arial"/>
          <w:sz w:val="18"/>
          <w:szCs w:val="18"/>
          <w:color w:val="auto"/>
        </w:rPr>
        <w:t>instruments in writing signed and delivered on behalf of each of the parties hereto.</w:t>
      </w:r>
    </w:p>
    <w:p>
      <w:pPr>
        <w:spacing w:after="0" w:line="13" w:lineRule="exact"/>
        <w:rPr>
          <w:rFonts w:ascii="Arial" w:cs="Arial" w:eastAsia="Arial" w:hAnsi="Arial"/>
          <w:sz w:val="18"/>
          <w:szCs w:val="18"/>
          <w:color w:val="auto"/>
        </w:rPr>
      </w:pPr>
    </w:p>
    <w:p>
      <w:pPr>
        <w:ind w:left="652" w:right="120" w:hanging="652"/>
        <w:spacing w:after="0" w:line="297" w:lineRule="auto"/>
        <w:tabs>
          <w:tab w:leader="none" w:pos="652"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Amendment No. 1, the Amended Credit Agreement and the other Credit Documents constitute the 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among the parties with respect to the subject matter hereof and thereof and supersede all other prior agreements and understandings, both written and verbal, among the parties or any of them with respect to the subject matter hereof.</w:t>
      </w:r>
    </w:p>
    <w:p>
      <w:pPr>
        <w:spacing w:after="0" w:line="28" w:lineRule="exact"/>
        <w:rPr>
          <w:rFonts w:ascii="Arial" w:cs="Arial" w:eastAsia="Arial" w:hAnsi="Arial"/>
          <w:sz w:val="18"/>
          <w:szCs w:val="18"/>
          <w:color w:val="auto"/>
        </w:rPr>
      </w:pPr>
    </w:p>
    <w:p>
      <w:pPr>
        <w:ind w:left="652" w:hanging="652"/>
        <w:spacing w:after="0"/>
        <w:tabs>
          <w:tab w:leader="none" w:pos="652"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 SUBMISSION TO JURISDICTION</w:t>
      </w:r>
      <w:r>
        <w:rPr>
          <w:rFonts w:ascii="Arial" w:cs="Arial" w:eastAsia="Arial" w:hAnsi="Arial"/>
          <w:sz w:val="18"/>
          <w:szCs w:val="18"/>
          <w:color w:val="auto"/>
        </w:rPr>
        <w:t>.</w:t>
      </w:r>
      <w:r>
        <w:rPr>
          <w:rFonts w:ascii="Arial" w:cs="Arial" w:eastAsia="Arial" w:hAnsi="Arial"/>
          <w:sz w:val="18"/>
          <w:szCs w:val="18"/>
          <w:b w:val="1"/>
          <w:bCs w:val="1"/>
          <w:color w:val="auto"/>
        </w:rPr>
        <w:t xml:space="preserve"> THIS AMENDMENT NO. 1 AND THE RIGHTS AND OBLIGATIONS OF</w:t>
      </w:r>
    </w:p>
    <w:p>
      <w:pPr>
        <w:spacing w:after="0" w:line="36" w:lineRule="exact"/>
        <w:rPr>
          <w:rFonts w:ascii="Arial" w:cs="Arial" w:eastAsia="Arial" w:hAnsi="Arial"/>
          <w:sz w:val="18"/>
          <w:szCs w:val="18"/>
          <w:color w:val="auto"/>
        </w:rPr>
      </w:pPr>
    </w:p>
    <w:p>
      <w:pPr>
        <w:ind w:left="652" w:right="180"/>
        <w:spacing w:after="0" w:line="297" w:lineRule="auto"/>
        <w:rPr>
          <w:rFonts w:ascii="Arial" w:cs="Arial" w:eastAsia="Arial" w:hAnsi="Arial"/>
          <w:sz w:val="18"/>
          <w:szCs w:val="18"/>
          <w:color w:val="auto"/>
        </w:rPr>
      </w:pPr>
      <w:r>
        <w:rPr>
          <w:rFonts w:ascii="Arial" w:cs="Arial" w:eastAsia="Arial" w:hAnsi="Arial"/>
          <w:sz w:val="18"/>
          <w:szCs w:val="18"/>
          <w:b w:val="1"/>
          <w:bCs w:val="1"/>
          <w:color w:val="auto"/>
        </w:rPr>
        <w:t xml:space="preserve">THE PARTIES HEREUNDER SHALL BE GOVERNED BY, AND SHALL BE CONSTRUED AND ENFORCED IN ACCORDANCE WITH THE LAWS OF THE STATE OF NEW YORK. </w:t>
      </w:r>
      <w:r>
        <w:rPr>
          <w:rFonts w:ascii="Arial" w:cs="Arial" w:eastAsia="Arial" w:hAnsi="Arial"/>
          <w:sz w:val="18"/>
          <w:szCs w:val="18"/>
          <w:color w:val="auto"/>
        </w:rPr>
        <w:t>Section 13.13 of the Amended Credit Agreement is hereby incorporated into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Amendment No. 1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28" w:lineRule="exact"/>
        <w:rPr>
          <w:rFonts w:ascii="Arial" w:cs="Arial" w:eastAsia="Arial" w:hAnsi="Arial"/>
          <w:sz w:val="18"/>
          <w:szCs w:val="18"/>
          <w:color w:val="auto"/>
        </w:rPr>
      </w:pPr>
    </w:p>
    <w:p>
      <w:pPr>
        <w:ind w:left="652" w:hanging="652"/>
        <w:spacing w:after="0" w:line="289" w:lineRule="auto"/>
        <w:tabs>
          <w:tab w:leader="none" w:pos="652"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Any term or provision of this Amendment No. 1 which is invalid or unenforceable in any jurisdiction shall, as to that jurisdiction, be</w:t>
      </w:r>
      <w:r>
        <w:rPr>
          <w:rFonts w:ascii="Arial" w:cs="Arial" w:eastAsia="Arial" w:hAnsi="Arial"/>
          <w:sz w:val="18"/>
          <w:szCs w:val="18"/>
          <w:b w:val="1"/>
          <w:bCs w:val="1"/>
          <w:color w:val="auto"/>
        </w:rPr>
        <w:t xml:space="preserve"> </w:t>
      </w:r>
      <w:r>
        <w:rPr>
          <w:rFonts w:ascii="Arial" w:cs="Arial" w:eastAsia="Arial" w:hAnsi="Arial"/>
          <w:sz w:val="18"/>
          <w:szCs w:val="18"/>
          <w:color w:val="auto"/>
        </w:rPr>
        <w:t>ineffective to the extent of such invalidity or unenforceability without rendering invalid or unenforceable the remaining terms and provisions of this Amendment No. 1 or affecting the validity or enforceability of any of the terms or provisions of this Amendment No. 1 in any other jurisdiction. If any provision of this Amendment No. 1 is so broad as to be unenforceable, the provision shall be interpreted to be only as broad as would be enforceable.</w:t>
      </w:r>
    </w:p>
    <w:p>
      <w:pPr>
        <w:spacing w:after="0" w:line="36" w:lineRule="exact"/>
        <w:rPr>
          <w:rFonts w:ascii="Arial" w:cs="Arial" w:eastAsia="Arial" w:hAnsi="Arial"/>
          <w:sz w:val="18"/>
          <w:szCs w:val="18"/>
          <w:color w:val="auto"/>
        </w:rPr>
      </w:pPr>
    </w:p>
    <w:p>
      <w:pPr>
        <w:ind w:left="652" w:right="160" w:hanging="652"/>
        <w:spacing w:after="0" w:line="313" w:lineRule="auto"/>
        <w:tabs>
          <w:tab w:leader="none" w:pos="652"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Amendment No. 1 may be executed in counterparts (including by facsimile or other electronic transmission), each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deemed to be an original, but all of which shall constitute one and the same agreement.</w:t>
      </w:r>
    </w:p>
    <w:p>
      <w:pPr>
        <w:spacing w:after="0" w:line="13" w:lineRule="exact"/>
        <w:rPr>
          <w:rFonts w:ascii="Arial" w:cs="Arial" w:eastAsia="Arial" w:hAnsi="Arial"/>
          <w:sz w:val="18"/>
          <w:szCs w:val="18"/>
          <w:color w:val="auto"/>
        </w:rPr>
      </w:pPr>
    </w:p>
    <w:p>
      <w:pPr>
        <w:ind w:left="652" w:right="120" w:hanging="652"/>
        <w:spacing w:after="0" w:line="297" w:lineRule="auto"/>
        <w:tabs>
          <w:tab w:leader="none" w:pos="652"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JURY TRIAL</w:t>
      </w:r>
      <w:r>
        <w:rPr>
          <w:rFonts w:ascii="Arial" w:cs="Arial" w:eastAsia="Arial" w:hAnsi="Arial"/>
          <w:sz w:val="18"/>
          <w:szCs w:val="18"/>
          <w:color w:val="auto"/>
        </w:rPr>
        <w:t>. EACH OF THE PARTIES HERETO IRREVOCABLY WAIVES THE RIGHT TO TRIAL BY JURY IN ANY</w:t>
      </w:r>
      <w:r>
        <w:rPr>
          <w:rFonts w:ascii="Arial" w:cs="Arial" w:eastAsia="Arial" w:hAnsi="Arial"/>
          <w:sz w:val="18"/>
          <w:szCs w:val="18"/>
          <w:b w:val="1"/>
          <w:bCs w:val="1"/>
          <w:color w:val="auto"/>
        </w:rPr>
        <w:t xml:space="preserve"> </w:t>
      </w:r>
      <w:r>
        <w:rPr>
          <w:rFonts w:ascii="Arial" w:cs="Arial" w:eastAsia="Arial" w:hAnsi="Arial"/>
          <w:sz w:val="18"/>
          <w:szCs w:val="18"/>
          <w:color w:val="auto"/>
        </w:rPr>
        <w:t>ACTION, PROCEEDING, CLAIM OR COUNTERCLAIM BROUGHT BY OR ON BEHALF OF ANY PARTY RELATED TO OR ARISING OUT OF THIS AMENDMENT NO. 1 OR THE PERFORMANCE OF SERVICES HEREUNDER.</w:t>
      </w:r>
    </w:p>
    <w:p>
      <w:pPr>
        <w:spacing w:after="0" w:line="28" w:lineRule="exact"/>
        <w:rPr>
          <w:rFonts w:ascii="Arial" w:cs="Arial" w:eastAsia="Arial" w:hAnsi="Arial"/>
          <w:sz w:val="18"/>
          <w:szCs w:val="18"/>
          <w:color w:val="auto"/>
        </w:rPr>
      </w:pPr>
    </w:p>
    <w:p>
      <w:pPr>
        <w:ind w:left="652" w:right="620" w:hanging="652"/>
        <w:spacing w:after="0" w:line="297" w:lineRule="auto"/>
        <w:tabs>
          <w:tab w:leader="none" w:pos="652"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Credit Document</w:t>
      </w:r>
      <w:r>
        <w:rPr>
          <w:rFonts w:ascii="Arial" w:cs="Arial" w:eastAsia="Arial" w:hAnsi="Arial"/>
          <w:sz w:val="18"/>
          <w:szCs w:val="18"/>
          <w:color w:val="auto"/>
        </w:rPr>
        <w:t>. On and after the Amendment No.1 Effective Date, this Amendment No. 1 shall constitute a “Credit Document” for all</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of the Amended Credit Agreement and the other Credit Documents (it being understood that, for the avoidance of doubt, this Amendment No. 1 may be amended or waived solely by the parties hereto as set forth herein).</w:t>
      </w:r>
    </w:p>
    <w:p>
      <w:pPr>
        <w:spacing w:after="0" w:line="28" w:lineRule="exact"/>
        <w:rPr>
          <w:rFonts w:ascii="Arial" w:cs="Arial" w:eastAsia="Arial" w:hAnsi="Arial"/>
          <w:sz w:val="18"/>
          <w:szCs w:val="18"/>
          <w:color w:val="auto"/>
        </w:rPr>
      </w:pPr>
    </w:p>
    <w:p>
      <w:pPr>
        <w:ind w:left="652" w:right="100" w:hanging="652"/>
        <w:spacing w:after="0" w:line="349" w:lineRule="auto"/>
        <w:tabs>
          <w:tab w:leader="none" w:pos="652" w:val="left"/>
        </w:tabs>
        <w:numPr>
          <w:ilvl w:val="0"/>
          <w:numId w:val="36"/>
        </w:numPr>
        <w:rPr>
          <w:rFonts w:ascii="Arial" w:cs="Arial" w:eastAsia="Arial" w:hAnsi="Arial"/>
          <w:sz w:val="16"/>
          <w:szCs w:val="16"/>
          <w:color w:val="auto"/>
        </w:rPr>
      </w:pPr>
      <w:r>
        <w:rPr>
          <w:rFonts w:ascii="Arial" w:cs="Arial" w:eastAsia="Arial" w:hAnsi="Arial"/>
          <w:sz w:val="16"/>
          <w:szCs w:val="16"/>
          <w:b w:val="1"/>
          <w:bCs w:val="1"/>
          <w:u w:val="single" w:color="auto"/>
          <w:color w:val="auto"/>
        </w:rPr>
        <w:t>Reaffirmation</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Each Credit Party hereby expressly acknowledges the terms of this Amendment No. 1 and reaffirms, as of the date hereof, (i) the</w:t>
      </w:r>
      <w:r>
        <w:rPr>
          <w:rFonts w:ascii="Arial" w:cs="Arial" w:eastAsia="Arial" w:hAnsi="Arial"/>
          <w:sz w:val="16"/>
          <w:szCs w:val="16"/>
          <w:b w:val="1"/>
          <w:bCs w:val="1"/>
          <w:color w:val="auto"/>
        </w:rPr>
        <w:t xml:space="preserve"> </w:t>
      </w:r>
      <w:r>
        <w:rPr>
          <w:rFonts w:ascii="Arial" w:cs="Arial" w:eastAsia="Arial" w:hAnsi="Arial"/>
          <w:sz w:val="16"/>
          <w:szCs w:val="16"/>
          <w:color w:val="auto"/>
        </w:rPr>
        <w:t>covenants, guarantees, pledges, grants of Liens and agreements or other commitments contained in each Credit Document to which it is a party, including, in each case, such covenants, guarantees, pledges, grants of Liens and agreements or other commitments as in effect immedi-</w:t>
      </w:r>
    </w:p>
    <w:p>
      <w:pPr>
        <w:spacing w:after="0" w:line="200" w:lineRule="exact"/>
        <w:rPr>
          <w:sz w:val="20"/>
          <w:szCs w:val="20"/>
          <w:color w:val="auto"/>
        </w:rPr>
      </w:pPr>
    </w:p>
    <w:p>
      <w:pPr>
        <w:spacing w:after="0" w:line="21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92"/>
          </w:cols>
          <w:pgMar w:left="328" w:top="355" w:right="379" w:bottom="1440" w:gutter="0" w:footer="0" w:header="0"/>
        </w:sectPr>
      </w:pPr>
    </w:p>
    <w:bookmarkStart w:id="52" w:name="page53"/>
    <w:bookmarkEnd w:id="52"/>
    <w:p>
      <w:pPr>
        <w:ind w:left="652" w:firstLine="648"/>
        <w:spacing w:after="0" w:line="329" w:lineRule="auto"/>
        <w:rPr>
          <w:sz w:val="20"/>
          <w:szCs w:val="20"/>
          <w:color w:val="auto"/>
        </w:rPr>
      </w:pPr>
      <w:r>
        <w:rPr>
          <w:rFonts w:ascii="Arial" w:cs="Arial" w:eastAsia="Arial" w:hAnsi="Arial"/>
          <w:sz w:val="16"/>
          <w:szCs w:val="16"/>
          <w:color w:val="auto"/>
        </w:rPr>
        <w:t>ately after giving effect to this Amendment No. 1 and the transactions contemplated hereby, (ii) its guarantee of the Obligations under each Guarantee, as applicable, (iii) its grant of Liens on the Collateral to secure the Obligations pursuant to the Security Documents and (iv) agrees that after giving effect to this Amendment No. 1 and the transactions contemplated hereby (A) each Credit Document to which it is a party shall continue to be in full force and effect and (B) all guarantees, pledges, grants of Liens, covenants, agreements and other commitments by such Credit Party under the Credit Documents shall continue to be in full force and effect and shall accrue to the benefit of the Secured Parties and shall not be affected, impaired or discharged hereby or by the transactions contemplated in this Amendment No. 1.</w:t>
      </w:r>
    </w:p>
    <w:p>
      <w:pPr>
        <w:spacing w:after="0" w:line="8" w:lineRule="exact"/>
        <w:rPr>
          <w:sz w:val="20"/>
          <w:szCs w:val="20"/>
          <w:color w:val="auto"/>
        </w:rPr>
      </w:pPr>
    </w:p>
    <w:p>
      <w:pPr>
        <w:ind w:left="652" w:hanging="652"/>
        <w:spacing w:after="0" w:line="322" w:lineRule="auto"/>
        <w:tabs>
          <w:tab w:leader="none" w:pos="652" w:val="left"/>
        </w:tabs>
        <w:numPr>
          <w:ilvl w:val="0"/>
          <w:numId w:val="37"/>
        </w:numPr>
        <w:rPr>
          <w:rFonts w:ascii="Arial" w:cs="Arial" w:eastAsia="Arial" w:hAnsi="Arial"/>
          <w:sz w:val="16"/>
          <w:szCs w:val="16"/>
          <w:color w:val="auto"/>
        </w:rPr>
      </w:pPr>
      <w:r>
        <w:rPr>
          <w:rFonts w:ascii="Arial" w:cs="Arial" w:eastAsia="Arial" w:hAnsi="Arial"/>
          <w:sz w:val="16"/>
          <w:szCs w:val="16"/>
          <w:b w:val="1"/>
          <w:bCs w:val="1"/>
          <w:u w:val="single" w:color="auto"/>
          <w:color w:val="auto"/>
        </w:rPr>
        <w:t>Effect of Amendment No. 1</w:t>
      </w:r>
      <w:r>
        <w:rPr>
          <w:rFonts w:ascii="Arial" w:cs="Arial" w:eastAsia="Arial" w:hAnsi="Arial"/>
          <w:sz w:val="16"/>
          <w:szCs w:val="16"/>
          <w:color w:val="auto"/>
        </w:rPr>
        <w:t>. Except as expressly set forth herein, this Amendment No.1 shall not by implication or otherwise limit, impair,</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 a waiver of, or otherwise affect the rights and remedies of, the Lenders or the Administrative Agent under the Credit Agreement, the Amended Credit Agreement or any other Credit Document, and shall not alter, modify, amend or in any way affect any of the terms, conditions, obligations, covenants or agreements contained in the Credit Agreement, the Amended Credit Agreement or any other Credit Document, all of which are ratified and affirmed in all respects and shall continue in full force and effect. The parties hereto acknowledge and agree that the amendment of the Credit Agreement pursuant to this Amendment No. 1 and all other Credit Documents amended and/or executed and delivered in connection herewith shall not constitute a novation of the Credit Agreement and the other Credit Documents as in effect prior to the date hereof. Nothing herein shall be deemed to establish a precedent for purposes of interpreting the provisions of the Credit Agreement or the Amended Credit Agreement or entitle any Credit Party to a consent to, or a waiver, amendment, modification or other change of, any of the terms, conditions, obligations, covenants or agreements contained in the Credit Agreement, the Amended Credit Agreement or any other Credit Document in similar or different circumstances. This Amendment No. 1 shall apply to and be effective only with respect to the provisions of the Credit Agreement, the Amended Credit Agreement and the other Credit Documents specifically referred to herein.</w:t>
      </w:r>
    </w:p>
    <w:p>
      <w:pPr>
        <w:spacing w:after="0" w:line="16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[signature pages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12"/>
          </w:cols>
          <w:pgMar w:left="328" w:top="355" w:right="359" w:bottom="1440" w:gutter="0" w:footer="0" w:header="0"/>
        </w:sectPr>
      </w:pPr>
    </w:p>
    <w:bookmarkStart w:id="53" w:name="page54"/>
    <w:bookmarkEnd w:id="53"/>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undersigned has caused its duly authorized officer to execute and deliver this Amendment No. 1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set forth above.</w:t>
      </w:r>
    </w:p>
    <w:p>
      <w:pPr>
        <w:spacing w:after="0" w:line="378"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NAUTILUS ACQUISITION HOLDINGS, INC.</w:t>
      </w:r>
      <w:r>
        <w:rPr>
          <w:rFonts w:ascii="Arial" w:cs="Arial" w:eastAsia="Arial" w:hAnsi="Arial"/>
          <w:sz w:val="18"/>
          <w:szCs w:val="18"/>
          <w:color w:val="auto"/>
        </w:rPr>
        <w:t>, as Holdings</w:t>
      </w:r>
    </w:p>
    <w:p>
      <w:pPr>
        <w:spacing w:after="0" w:line="200" w:lineRule="exact"/>
        <w:rPr>
          <w:sz w:val="20"/>
          <w:szCs w:val="20"/>
          <w:color w:val="auto"/>
        </w:rPr>
      </w:pPr>
    </w:p>
    <w:p>
      <w:pPr>
        <w:spacing w:after="0" w:line="353" w:lineRule="exact"/>
        <w:rPr>
          <w:sz w:val="20"/>
          <w:szCs w:val="20"/>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-10160</wp:posOffset>
            </wp:positionV>
            <wp:extent cx="10407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Patrick R. Moore</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 Senior Vice President and</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340"/>
        <w:spacing w:after="0"/>
        <w:rPr>
          <w:sz w:val="20"/>
          <w:szCs w:val="20"/>
          <w:color w:val="auto"/>
        </w:rPr>
      </w:pPr>
      <w:r>
        <w:rPr>
          <w:rFonts w:ascii="Arial" w:cs="Arial" w:eastAsia="Arial" w:hAnsi="Arial"/>
          <w:sz w:val="18"/>
          <w:szCs w:val="18"/>
          <w:b w:val="1"/>
          <w:bCs w:val="1"/>
          <w:color w:val="auto"/>
        </w:rPr>
        <w:t>NATIONAL VISION, INC.</w:t>
      </w:r>
      <w:r>
        <w:rPr>
          <w:rFonts w:ascii="Arial" w:cs="Arial" w:eastAsia="Arial" w:hAnsi="Arial"/>
          <w:sz w:val="18"/>
          <w:szCs w:val="18"/>
          <w:color w:val="auto"/>
        </w:rPr>
        <w:t>, as Borrower</w:t>
      </w:r>
    </w:p>
    <w:p>
      <w:pPr>
        <w:spacing w:after="0" w:line="200" w:lineRule="exact"/>
        <w:rPr>
          <w:sz w:val="20"/>
          <w:szCs w:val="20"/>
          <w:color w:val="auto"/>
        </w:rPr>
      </w:pPr>
    </w:p>
    <w:p>
      <w:pPr>
        <w:spacing w:after="0" w:line="353" w:lineRule="exact"/>
        <w:rPr>
          <w:sz w:val="20"/>
          <w:szCs w:val="20"/>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-10160</wp:posOffset>
            </wp:positionV>
            <wp:extent cx="10407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Patrick R. Moore</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 Senior Vice President and</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OPTI-VISION FINANCE SERVICES, LLC</w:t>
      </w:r>
      <w:r>
        <w:rPr>
          <w:rFonts w:ascii="Arial" w:cs="Arial" w:eastAsia="Arial" w:hAnsi="Arial"/>
          <w:sz w:val="18"/>
          <w:szCs w:val="18"/>
          <w:color w:val="auto"/>
        </w:rPr>
        <w:t>, as Subsidiary Guarantor</w:t>
      </w:r>
    </w:p>
    <w:p>
      <w:pPr>
        <w:spacing w:after="0" w:line="364" w:lineRule="exact"/>
        <w:rPr>
          <w:sz w:val="20"/>
          <w:szCs w:val="20"/>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-10160</wp:posOffset>
            </wp:positionV>
            <wp:extent cx="10407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Patrick R. Moore</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 Senior Vice President and</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ARLINGTON CONTACT LENS SERVICE, INC.</w:t>
      </w:r>
      <w:r>
        <w:rPr>
          <w:rFonts w:ascii="Arial" w:cs="Arial" w:eastAsia="Arial" w:hAnsi="Arial"/>
          <w:sz w:val="18"/>
          <w:szCs w:val="18"/>
          <w:color w:val="auto"/>
        </w:rPr>
        <w:t>, as Subsidiary Guarantor</w:t>
      </w:r>
    </w:p>
    <w:p>
      <w:pPr>
        <w:spacing w:after="0" w:line="364" w:lineRule="exact"/>
        <w:rPr>
          <w:sz w:val="20"/>
          <w:szCs w:val="20"/>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-10160</wp:posOffset>
            </wp:positionV>
            <wp:extent cx="10407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1040765"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Patrick R. Moore</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 Senior Vice President and</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w:t>
      </w:r>
    </w:p>
    <w:p>
      <w:pPr>
        <w:spacing w:after="0" w:line="26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VC IV, LLC</w:t>
      </w:r>
      <w:r>
        <w:rPr>
          <w:rFonts w:ascii="Arial" w:cs="Arial" w:eastAsia="Arial" w:hAnsi="Arial"/>
          <w:sz w:val="18"/>
          <w:szCs w:val="18"/>
          <w:color w:val="auto"/>
        </w:rPr>
        <w:t>, as Subsidiary Guarantor</w:t>
      </w:r>
    </w:p>
    <w:p>
      <w:pPr>
        <w:spacing w:after="0" w:line="364" w:lineRule="exact"/>
        <w:rPr>
          <w:sz w:val="20"/>
          <w:szCs w:val="20"/>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2753360</wp:posOffset>
            </wp:positionH>
            <wp:positionV relativeFrom="paragraph">
              <wp:posOffset>-10160</wp:posOffset>
            </wp:positionV>
            <wp:extent cx="10407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1040765"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Patrick R. Moore</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Title: Senior Vice President and</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NVAL HEALTHCARE SYSTEMS, INC.</w:t>
      </w:r>
      <w:r>
        <w:rPr>
          <w:rFonts w:ascii="Arial" w:cs="Arial" w:eastAsia="Arial" w:hAnsi="Arial"/>
          <w:sz w:val="18"/>
          <w:szCs w:val="18"/>
          <w:color w:val="auto"/>
        </w:rPr>
        <w:t>, as Subsidiary Guarantor</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Amendment No.1</w:t>
      </w:r>
      <w:r>
        <w:rPr>
          <w:rFonts w:ascii="Arial" w:cs="Arial" w:eastAsia="Arial" w:hAnsi="Arial"/>
          <w:sz w:val="20"/>
          <w:szCs w:val="20"/>
          <w:color w:val="auto"/>
        </w:rPr>
        <w:t>]</w:t>
      </w:r>
    </w:p>
    <w:p>
      <w:pPr>
        <w:sectPr>
          <w:pgSz w:w="11900" w:h="16838" w:orient="portrait"/>
          <w:cols w:equalWidth="0" w:num="1">
            <w:col w:w="11200"/>
          </w:cols>
          <w:pgMar w:left="320" w:top="337" w:right="379" w:bottom="1440" w:gutter="0" w:footer="0" w:header="0"/>
        </w:sectPr>
      </w:pPr>
    </w:p>
    <w:bookmarkStart w:id="54" w:name="page55"/>
    <w:bookmarkEnd w:id="54"/>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-10160</wp:posOffset>
            </wp:positionV>
            <wp:extent cx="10407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Patrick R. Moore</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Senior Vice President and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INTERNATIONAL VISION ASSOCIATES, LTD</w:t>
      </w:r>
      <w:r>
        <w:rPr>
          <w:rFonts w:ascii="Arial" w:cs="Arial" w:eastAsia="Arial" w:hAnsi="Arial"/>
          <w:sz w:val="17"/>
          <w:szCs w:val="17"/>
          <w:color w:val="auto"/>
        </w:rPr>
        <w:t>, as Subsidiary Guarantor</w:t>
      </w:r>
    </w:p>
    <w:p>
      <w:pPr>
        <w:spacing w:after="0" w:line="200" w:lineRule="exact"/>
        <w:rPr>
          <w:sz w:val="20"/>
          <w:szCs w:val="20"/>
          <w:color w:val="auto"/>
        </w:rPr>
      </w:pPr>
    </w:p>
    <w:p>
      <w:pPr>
        <w:spacing w:after="0" w:line="257"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-10160</wp:posOffset>
            </wp:positionV>
            <wp:extent cx="10407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Patrick R. Moore</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Senior Vice President and</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Amendment No.1</w:t>
      </w:r>
      <w:r>
        <w:rPr>
          <w:rFonts w:ascii="Arial" w:cs="Arial" w:eastAsia="Arial" w:hAnsi="Arial"/>
          <w:sz w:val="20"/>
          <w:szCs w:val="20"/>
          <w:color w:val="auto"/>
        </w:rPr>
        <w:t>]</w:t>
      </w:r>
    </w:p>
    <w:p>
      <w:pPr>
        <w:sectPr>
          <w:pgSz w:w="11900" w:h="16838" w:orient="portrait"/>
          <w:cols w:equalWidth="0" w:num="1">
            <w:col w:w="9019"/>
          </w:cols>
          <w:pgMar w:left="1440" w:top="773" w:right="1440" w:bottom="1440" w:gutter="0" w:footer="0" w:header="0"/>
        </w:sectPr>
      </w:pPr>
    </w:p>
    <w:bookmarkStart w:id="55" w:name="page56"/>
    <w:bookmarkEnd w:id="55"/>
    <w:p>
      <w:pPr>
        <w:ind w:left="2780"/>
        <w:spacing w:after="0"/>
        <w:rPr>
          <w:sz w:val="20"/>
          <w:szCs w:val="20"/>
          <w:color w:val="auto"/>
        </w:rPr>
      </w:pPr>
      <w:r>
        <w:rPr>
          <w:rFonts w:ascii="Arial" w:cs="Arial" w:eastAsia="Arial" w:hAnsi="Arial"/>
          <w:sz w:val="16"/>
          <w:szCs w:val="16"/>
          <w:b w:val="1"/>
          <w:bCs w:val="1"/>
          <w:color w:val="auto"/>
        </w:rPr>
        <w:t>BANK OF AMERICA, N.A.</w:t>
      </w:r>
      <w:r>
        <w:rPr>
          <w:rFonts w:ascii="Arial" w:cs="Arial" w:eastAsia="Arial" w:hAnsi="Arial"/>
          <w:sz w:val="16"/>
          <w:szCs w:val="16"/>
          <w:color w:val="auto"/>
        </w:rPr>
        <w:t>, as a Term A Lender and Revolving Credit Lender</w:t>
      </w:r>
    </w:p>
    <w:p>
      <w:pPr>
        <w:spacing w:after="0" w:line="200" w:lineRule="exact"/>
        <w:rPr>
          <w:sz w:val="20"/>
          <w:szCs w:val="20"/>
          <w:color w:val="auto"/>
        </w:rPr>
      </w:pPr>
    </w:p>
    <w:p>
      <w:pPr>
        <w:spacing w:after="0" w:line="268"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Charles 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-10160</wp:posOffset>
            </wp:positionV>
            <wp:extent cx="9455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945515" cy="8255"/>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Charles Hart</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Senior Vice President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Amendment No.1</w:t>
      </w:r>
      <w:r>
        <w:rPr>
          <w:rFonts w:ascii="Arial" w:cs="Arial" w:eastAsia="Arial" w:hAnsi="Arial"/>
          <w:sz w:val="20"/>
          <w:szCs w:val="20"/>
          <w:color w:val="auto"/>
        </w:rPr>
        <w:t>]</w:t>
      </w:r>
    </w:p>
    <w:p>
      <w:pPr>
        <w:sectPr>
          <w:pgSz w:w="11900" w:h="16838" w:orient="portrait"/>
          <w:cols w:equalWidth="0" w:num="1">
            <w:col w:w="9019"/>
          </w:cols>
          <w:pgMar w:left="1440" w:top="1242" w:right="1440" w:bottom="1440" w:gutter="0" w:footer="0" w:header="0"/>
        </w:sectPr>
      </w:pPr>
    </w:p>
    <w:bookmarkStart w:id="56" w:name="page57"/>
    <w:bookmarkEnd w:id="56"/>
    <w:p>
      <w:pPr>
        <w:ind w:left="2780"/>
        <w:spacing w:after="0" w:line="282" w:lineRule="auto"/>
        <w:rPr>
          <w:sz w:val="20"/>
          <w:szCs w:val="20"/>
          <w:color w:val="auto"/>
        </w:rPr>
      </w:pPr>
      <w:r>
        <w:rPr>
          <w:rFonts w:ascii="Arial" w:cs="Arial" w:eastAsia="Arial" w:hAnsi="Arial"/>
          <w:sz w:val="18"/>
          <w:szCs w:val="18"/>
          <w:b w:val="1"/>
          <w:bCs w:val="1"/>
          <w:color w:val="auto"/>
        </w:rPr>
        <w:t>JPMorgan Chase Bank, N.A.</w:t>
      </w:r>
      <w:r>
        <w:rPr>
          <w:rFonts w:ascii="Arial" w:cs="Arial" w:eastAsia="Arial" w:hAnsi="Arial"/>
          <w:sz w:val="18"/>
          <w:szCs w:val="18"/>
          <w:color w:val="auto"/>
        </w:rPr>
        <w:t>, as a Term A Lender, a Revolving Credit Lender and a Letter of</w:t>
      </w:r>
      <w:r>
        <w:rPr>
          <w:rFonts w:ascii="Arial" w:cs="Arial" w:eastAsia="Arial" w:hAnsi="Arial"/>
          <w:sz w:val="18"/>
          <w:szCs w:val="18"/>
          <w:b w:val="1"/>
          <w:bCs w:val="1"/>
          <w:color w:val="auto"/>
        </w:rPr>
        <w:t xml:space="preserve"> </w:t>
      </w:r>
      <w:r>
        <w:rPr>
          <w:rFonts w:ascii="Arial" w:cs="Arial" w:eastAsia="Arial" w:hAnsi="Arial"/>
          <w:sz w:val="18"/>
          <w:szCs w:val="18"/>
          <w:color w:val="auto"/>
        </w:rPr>
        <w:t>Credit Issuer</w:t>
      </w:r>
    </w:p>
    <w:p>
      <w:pPr>
        <w:spacing w:after="0" w:line="382"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-10160</wp:posOffset>
            </wp:positionV>
            <wp:extent cx="118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1180465" cy="8255"/>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Andrew Rossman</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Vice President</w:t>
      </w:r>
    </w:p>
    <w:p>
      <w:pPr>
        <w:spacing w:after="0" w:line="195"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Amendment No.1</w:t>
      </w:r>
      <w:r>
        <w:rPr>
          <w:rFonts w:ascii="Arial" w:cs="Arial" w:eastAsia="Arial" w:hAnsi="Arial"/>
          <w:sz w:val="20"/>
          <w:szCs w:val="20"/>
          <w:color w:val="auto"/>
        </w:rPr>
        <w:t>]</w:t>
      </w:r>
    </w:p>
    <w:p>
      <w:pPr>
        <w:sectPr>
          <w:pgSz w:w="11900" w:h="16838" w:orient="portrait"/>
          <w:cols w:equalWidth="0" w:num="1">
            <w:col w:w="9620"/>
          </w:cols>
          <w:pgMar w:left="1440" w:top="769" w:right="839" w:bottom="1440" w:gutter="0" w:footer="0" w:header="0"/>
        </w:sectPr>
      </w:pPr>
    </w:p>
    <w:bookmarkStart w:id="57" w:name="page58"/>
    <w:bookmarkEnd w:id="57"/>
    <w:p>
      <w:pPr>
        <w:ind w:left="2780"/>
        <w:spacing w:after="0"/>
        <w:rPr>
          <w:sz w:val="20"/>
          <w:szCs w:val="20"/>
          <w:color w:val="auto"/>
        </w:rPr>
      </w:pPr>
      <w:r>
        <w:rPr>
          <w:rFonts w:ascii="Arial" w:cs="Arial" w:eastAsia="Arial" w:hAnsi="Arial"/>
          <w:sz w:val="16"/>
          <w:szCs w:val="16"/>
          <w:b w:val="1"/>
          <w:bCs w:val="1"/>
          <w:color w:val="auto"/>
        </w:rPr>
        <w:t>Wells Fargo Bank, National Association</w:t>
      </w:r>
      <w:r>
        <w:rPr>
          <w:rFonts w:ascii="Arial" w:cs="Arial" w:eastAsia="Arial" w:hAnsi="Arial"/>
          <w:sz w:val="16"/>
          <w:szCs w:val="16"/>
          <w:color w:val="auto"/>
        </w:rPr>
        <w:t>, as a Term A Lender and a Revolving Credit Lender</w:t>
      </w:r>
    </w:p>
    <w:p>
      <w:pPr>
        <w:spacing w:after="0" w:line="200" w:lineRule="exact"/>
        <w:rPr>
          <w:sz w:val="20"/>
          <w:szCs w:val="20"/>
          <w:color w:val="auto"/>
        </w:rPr>
      </w:pPr>
    </w:p>
    <w:p>
      <w:pPr>
        <w:spacing w:after="0" w:line="268"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Denis Waltrich</w:t>
      </w:r>
    </w:p>
    <w:p>
      <w:pPr>
        <w:spacing w:after="0" w:line="2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Denis Waltrich</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Director</w:t>
      </w:r>
    </w:p>
    <w:p>
      <w:pPr>
        <w:spacing w:after="0" w:line="195"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Amendment No.1</w:t>
      </w:r>
      <w:r>
        <w:rPr>
          <w:rFonts w:ascii="Arial" w:cs="Arial" w:eastAsia="Arial" w:hAnsi="Arial"/>
          <w:sz w:val="20"/>
          <w:szCs w:val="20"/>
          <w:color w:val="auto"/>
        </w:rPr>
        <w:t>]</w:t>
      </w:r>
    </w:p>
    <w:p>
      <w:pPr>
        <w:sectPr>
          <w:pgSz w:w="11900" w:h="16838" w:orient="portrait"/>
          <w:cols w:equalWidth="0" w:num="1">
            <w:col w:w="9620"/>
          </w:cols>
          <w:pgMar w:left="1440" w:top="769" w:right="839" w:bottom="1440" w:gutter="0" w:footer="0" w:header="0"/>
        </w:sectPr>
      </w:pPr>
    </w:p>
    <w:bookmarkStart w:id="58" w:name="page59"/>
    <w:bookmarkEnd w:id="58"/>
    <w:p>
      <w:pPr>
        <w:ind w:left="2780"/>
        <w:spacing w:after="0"/>
        <w:rPr>
          <w:sz w:val="20"/>
          <w:szCs w:val="20"/>
          <w:color w:val="auto"/>
        </w:rPr>
      </w:pPr>
      <w:r>
        <w:rPr>
          <w:rFonts w:ascii="Arial" w:cs="Arial" w:eastAsia="Arial" w:hAnsi="Arial"/>
          <w:sz w:val="16"/>
          <w:szCs w:val="16"/>
          <w:b w:val="1"/>
          <w:bCs w:val="1"/>
          <w:color w:val="auto"/>
        </w:rPr>
        <w:t>Fifth Third Bank, National Association</w:t>
      </w:r>
      <w:r>
        <w:rPr>
          <w:rFonts w:ascii="Arial" w:cs="Arial" w:eastAsia="Arial" w:hAnsi="Arial"/>
          <w:sz w:val="16"/>
          <w:szCs w:val="16"/>
          <w:color w:val="auto"/>
        </w:rPr>
        <w:t>, as a Term A Lender and a Revolving Credit Lender</w:t>
      </w:r>
    </w:p>
    <w:p>
      <w:pPr>
        <w:spacing w:after="0" w:line="200" w:lineRule="exact"/>
        <w:rPr>
          <w:sz w:val="20"/>
          <w:szCs w:val="20"/>
          <w:color w:val="auto"/>
        </w:rPr>
      </w:pPr>
    </w:p>
    <w:p>
      <w:pPr>
        <w:spacing w:after="0" w:line="268"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James Beitz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-10160</wp:posOffset>
            </wp:positionV>
            <wp:extent cx="9137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James Beitz</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Vice President</w:t>
      </w:r>
    </w:p>
    <w:p>
      <w:pPr>
        <w:spacing w:after="0" w:line="195"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Amendment No.1</w:t>
      </w:r>
      <w:r>
        <w:rPr>
          <w:rFonts w:ascii="Arial" w:cs="Arial" w:eastAsia="Arial" w:hAnsi="Arial"/>
          <w:sz w:val="20"/>
          <w:szCs w:val="20"/>
          <w:color w:val="auto"/>
        </w:rPr>
        <w:t>]</w:t>
      </w:r>
    </w:p>
    <w:p>
      <w:pPr>
        <w:sectPr>
          <w:pgSz w:w="11900" w:h="16838" w:orient="portrait"/>
          <w:cols w:equalWidth="0" w:num="1">
            <w:col w:w="9560"/>
          </w:cols>
          <w:pgMar w:left="1440" w:top="1026" w:right="899" w:bottom="1440" w:gutter="0" w:footer="0" w:header="0"/>
        </w:sectPr>
      </w:pPr>
    </w:p>
    <w:bookmarkStart w:id="59" w:name="page60"/>
    <w:bookmarkEnd w:id="59"/>
    <w:p>
      <w:pPr>
        <w:ind w:left="2780"/>
        <w:spacing w:after="0"/>
        <w:rPr>
          <w:sz w:val="20"/>
          <w:szCs w:val="20"/>
          <w:color w:val="auto"/>
        </w:rPr>
      </w:pPr>
      <w:r>
        <w:rPr>
          <w:rFonts w:ascii="Arial" w:cs="Arial" w:eastAsia="Arial" w:hAnsi="Arial"/>
          <w:sz w:val="16"/>
          <w:szCs w:val="16"/>
          <w:b w:val="1"/>
          <w:bCs w:val="1"/>
          <w:color w:val="auto"/>
        </w:rPr>
        <w:t>TRUIST BANK</w:t>
      </w:r>
      <w:r>
        <w:rPr>
          <w:rFonts w:ascii="Arial" w:cs="Arial" w:eastAsia="Arial" w:hAnsi="Arial"/>
          <w:sz w:val="16"/>
          <w:szCs w:val="16"/>
          <w:color w:val="auto"/>
        </w:rPr>
        <w:t>, as a Term A Lender and a Revolving Credit Lender</w:t>
      </w:r>
    </w:p>
    <w:p>
      <w:pPr>
        <w:spacing w:after="0" w:line="200" w:lineRule="exact"/>
        <w:rPr>
          <w:sz w:val="20"/>
          <w:szCs w:val="20"/>
          <w:color w:val="auto"/>
        </w:rPr>
      </w:pPr>
    </w:p>
    <w:p>
      <w:pPr>
        <w:spacing w:after="0" w:line="268"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Max N Greer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-10160</wp:posOffset>
            </wp:positionV>
            <wp:extent cx="11169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1116965" cy="8255"/>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Max N Greer III</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Amendment No.1</w:t>
      </w:r>
      <w:r>
        <w:rPr>
          <w:rFonts w:ascii="Arial" w:cs="Arial" w:eastAsia="Arial" w:hAnsi="Arial"/>
          <w:sz w:val="20"/>
          <w:szCs w:val="20"/>
          <w:color w:val="auto"/>
        </w:rPr>
        <w:t>]</w:t>
      </w:r>
    </w:p>
    <w:p>
      <w:pPr>
        <w:sectPr>
          <w:pgSz w:w="11900" w:h="16838" w:orient="portrait"/>
          <w:cols w:equalWidth="0" w:num="1">
            <w:col w:w="9019"/>
          </w:cols>
          <w:pgMar w:left="1440" w:top="985" w:right="1440" w:bottom="1440" w:gutter="0" w:footer="0" w:header="0"/>
        </w:sectPr>
      </w:pPr>
    </w:p>
    <w:bookmarkStart w:id="60" w:name="page61"/>
    <w:bookmarkEnd w:id="60"/>
    <w:p>
      <w:pPr>
        <w:ind w:left="2780"/>
        <w:spacing w:after="0"/>
        <w:rPr>
          <w:sz w:val="20"/>
          <w:szCs w:val="20"/>
          <w:color w:val="auto"/>
        </w:rPr>
      </w:pPr>
      <w:r>
        <w:rPr>
          <w:rFonts w:ascii="Arial" w:cs="Arial" w:eastAsia="Arial" w:hAnsi="Arial"/>
          <w:sz w:val="16"/>
          <w:szCs w:val="16"/>
          <w:b w:val="1"/>
          <w:bCs w:val="1"/>
          <w:color w:val="auto"/>
        </w:rPr>
        <w:t>Stifel Bank &amp; Trust</w:t>
      </w:r>
      <w:r>
        <w:rPr>
          <w:rFonts w:ascii="Arial" w:cs="Arial" w:eastAsia="Arial" w:hAnsi="Arial"/>
          <w:sz w:val="16"/>
          <w:szCs w:val="16"/>
          <w:color w:val="auto"/>
        </w:rPr>
        <w:t>, as a Term A Lender and a Revolving Credit Lender</w:t>
      </w:r>
    </w:p>
    <w:p>
      <w:pPr>
        <w:spacing w:after="0" w:line="200" w:lineRule="exact"/>
        <w:rPr>
          <w:sz w:val="20"/>
          <w:szCs w:val="20"/>
          <w:color w:val="auto"/>
        </w:rPr>
      </w:pPr>
    </w:p>
    <w:p>
      <w:pPr>
        <w:spacing w:after="0" w:line="268"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Laura M. Roessler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-10160</wp:posOffset>
            </wp:positionV>
            <wp:extent cx="12122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1212215" cy="8255"/>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Laura M. Roessler</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Vice President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Amendment No.1</w:t>
      </w:r>
      <w:r>
        <w:rPr>
          <w:rFonts w:ascii="Arial" w:cs="Arial" w:eastAsia="Arial" w:hAnsi="Arial"/>
          <w:sz w:val="20"/>
          <w:szCs w:val="20"/>
          <w:color w:val="auto"/>
        </w:rPr>
        <w:t>]</w:t>
      </w:r>
    </w:p>
    <w:p>
      <w:pPr>
        <w:sectPr>
          <w:pgSz w:w="11900" w:h="16838" w:orient="portrait"/>
          <w:cols w:equalWidth="0" w:num="1">
            <w:col w:w="9019"/>
          </w:cols>
          <w:pgMar w:left="1440" w:top="985" w:right="1440" w:bottom="1440" w:gutter="0" w:footer="0" w:header="0"/>
        </w:sectPr>
      </w:pPr>
    </w:p>
    <w:bookmarkStart w:id="61" w:name="page62"/>
    <w:bookmarkEnd w:id="61"/>
    <w:p>
      <w:pPr>
        <w:ind w:left="2780"/>
        <w:spacing w:after="0"/>
        <w:rPr>
          <w:sz w:val="20"/>
          <w:szCs w:val="20"/>
          <w:color w:val="auto"/>
        </w:rPr>
      </w:pPr>
      <w:r>
        <w:rPr>
          <w:rFonts w:ascii="Arial" w:cs="Arial" w:eastAsia="Arial" w:hAnsi="Arial"/>
          <w:sz w:val="16"/>
          <w:szCs w:val="16"/>
          <w:b w:val="1"/>
          <w:bCs w:val="1"/>
          <w:color w:val="auto"/>
        </w:rPr>
        <w:t>SYNOVUS BANK</w:t>
      </w:r>
      <w:r>
        <w:rPr>
          <w:rFonts w:ascii="Arial" w:cs="Arial" w:eastAsia="Arial" w:hAnsi="Arial"/>
          <w:sz w:val="16"/>
          <w:szCs w:val="16"/>
          <w:color w:val="auto"/>
        </w:rPr>
        <w:t>, as a Term A Lender and a Revolving Credit Lender</w:t>
      </w:r>
    </w:p>
    <w:p>
      <w:pPr>
        <w:spacing w:after="0" w:line="200" w:lineRule="exact"/>
        <w:rPr>
          <w:sz w:val="20"/>
          <w:szCs w:val="20"/>
          <w:color w:val="auto"/>
        </w:rPr>
      </w:pPr>
    </w:p>
    <w:p>
      <w:pPr>
        <w:spacing w:after="0" w:line="268"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Chandra Cockrell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-10160</wp:posOffset>
            </wp:positionV>
            <wp:extent cx="11741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Chandra Cockrell</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Relationship Manager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Amendment No.1</w:t>
      </w:r>
      <w:r>
        <w:rPr>
          <w:rFonts w:ascii="Arial" w:cs="Arial" w:eastAsia="Arial" w:hAnsi="Arial"/>
          <w:sz w:val="20"/>
          <w:szCs w:val="20"/>
          <w:color w:val="auto"/>
        </w:rPr>
        <w:t>]</w:t>
      </w:r>
    </w:p>
    <w:p>
      <w:pPr>
        <w:sectPr>
          <w:pgSz w:w="11900" w:h="16838" w:orient="portrait"/>
          <w:cols w:equalWidth="0" w:num="1">
            <w:col w:w="9019"/>
          </w:cols>
          <w:pgMar w:left="1440" w:top="985" w:right="1440" w:bottom="1440" w:gutter="0" w:footer="0" w:header="0"/>
        </w:sectPr>
      </w:pPr>
    </w:p>
    <w:bookmarkStart w:id="62" w:name="page63"/>
    <w:bookmarkEnd w:id="62"/>
    <w:p>
      <w:pPr>
        <w:ind w:left="2780"/>
        <w:spacing w:after="0"/>
        <w:rPr>
          <w:sz w:val="20"/>
          <w:szCs w:val="20"/>
          <w:color w:val="auto"/>
        </w:rPr>
      </w:pPr>
      <w:r>
        <w:rPr>
          <w:rFonts w:ascii="Arial" w:cs="Arial" w:eastAsia="Arial" w:hAnsi="Arial"/>
          <w:sz w:val="17"/>
          <w:szCs w:val="17"/>
          <w:b w:val="1"/>
          <w:bCs w:val="1"/>
          <w:color w:val="auto"/>
        </w:rPr>
        <w:t xml:space="preserve">HANCOCK WHITNEY BANK, </w:t>
      </w:r>
      <w:r>
        <w:rPr>
          <w:rFonts w:ascii="Arial" w:cs="Arial" w:eastAsia="Arial" w:hAnsi="Arial"/>
          <w:sz w:val="17"/>
          <w:szCs w:val="17"/>
          <w:color w:val="auto"/>
        </w:rPr>
        <w:t>as a Term A Lender and Revolving Credit Lender</w:t>
      </w:r>
    </w:p>
    <w:p>
      <w:pPr>
        <w:spacing w:after="0" w:line="200" w:lineRule="exact"/>
        <w:rPr>
          <w:sz w:val="20"/>
          <w:szCs w:val="20"/>
          <w:color w:val="auto"/>
        </w:rPr>
      </w:pPr>
    </w:p>
    <w:p>
      <w:pPr>
        <w:spacing w:after="0" w:line="257"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Joshua N.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-10160</wp:posOffset>
            </wp:positionV>
            <wp:extent cx="13392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Joshua N. Livingston</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Amendment No.1</w:t>
      </w:r>
      <w:r>
        <w:rPr>
          <w:rFonts w:ascii="Arial" w:cs="Arial" w:eastAsia="Arial" w:hAnsi="Arial"/>
          <w:sz w:val="20"/>
          <w:szCs w:val="20"/>
          <w:color w:val="auto"/>
        </w:rPr>
        <w:t>]</w:t>
      </w:r>
    </w:p>
    <w:p>
      <w:pPr>
        <w:sectPr>
          <w:pgSz w:w="11900" w:h="16838" w:orient="portrait"/>
          <w:cols w:equalWidth="0" w:num="1">
            <w:col w:w="9019"/>
          </w:cols>
          <w:pgMar w:left="1440" w:top="985" w:right="1440" w:bottom="1440" w:gutter="0" w:footer="0" w:header="0"/>
        </w:sectPr>
      </w:pPr>
    </w:p>
    <w:bookmarkStart w:id="63" w:name="page64"/>
    <w:bookmarkEnd w:id="63"/>
    <w:p>
      <w:pPr>
        <w:ind w:left="2780"/>
        <w:spacing w:after="0"/>
        <w:rPr>
          <w:sz w:val="20"/>
          <w:szCs w:val="20"/>
          <w:color w:val="auto"/>
        </w:rPr>
      </w:pPr>
      <w:r>
        <w:rPr>
          <w:rFonts w:ascii="Arial" w:cs="Arial" w:eastAsia="Arial" w:hAnsi="Arial"/>
          <w:sz w:val="17"/>
          <w:szCs w:val="17"/>
          <w:b w:val="1"/>
          <w:bCs w:val="1"/>
          <w:color w:val="auto"/>
        </w:rPr>
        <w:t xml:space="preserve">UNITED COMMUNITY BANK </w:t>
      </w:r>
      <w:r>
        <w:rPr>
          <w:rFonts w:ascii="Arial" w:cs="Arial" w:eastAsia="Arial" w:hAnsi="Arial"/>
          <w:sz w:val="17"/>
          <w:szCs w:val="17"/>
          <w:color w:val="auto"/>
        </w:rPr>
        <w:t>as a Term A Lender and Revolving Credit Lender</w:t>
      </w:r>
    </w:p>
    <w:p>
      <w:pPr>
        <w:spacing w:after="0" w:line="200" w:lineRule="exact"/>
        <w:rPr>
          <w:sz w:val="20"/>
          <w:szCs w:val="20"/>
          <w:color w:val="auto"/>
        </w:rPr>
      </w:pPr>
    </w:p>
    <w:p>
      <w:pPr>
        <w:spacing w:after="0" w:line="257"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-10160</wp:posOffset>
            </wp:positionV>
            <wp:extent cx="8883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Jeff Wilson</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Amendment No.1</w:t>
      </w:r>
      <w:r>
        <w:rPr>
          <w:rFonts w:ascii="Arial" w:cs="Arial" w:eastAsia="Arial" w:hAnsi="Arial"/>
          <w:sz w:val="20"/>
          <w:szCs w:val="20"/>
          <w:color w:val="auto"/>
        </w:rPr>
        <w:t>]</w:t>
      </w:r>
    </w:p>
    <w:p>
      <w:pPr>
        <w:sectPr>
          <w:pgSz w:w="11900" w:h="16838" w:orient="portrait"/>
          <w:cols w:equalWidth="0" w:num="1">
            <w:col w:w="9019"/>
          </w:cols>
          <w:pgMar w:left="1440" w:top="985" w:right="1440" w:bottom="1440" w:gutter="0" w:footer="0" w:header="0"/>
        </w:sectPr>
      </w:pPr>
    </w:p>
    <w:bookmarkStart w:id="64" w:name="page65"/>
    <w:bookmarkEnd w:id="64"/>
    <w:p>
      <w:pPr>
        <w:ind w:left="2780"/>
        <w:spacing w:after="0"/>
        <w:rPr>
          <w:sz w:val="20"/>
          <w:szCs w:val="20"/>
          <w:color w:val="auto"/>
        </w:rPr>
      </w:pPr>
      <w:r>
        <w:rPr>
          <w:rFonts w:ascii="Arial" w:cs="Arial" w:eastAsia="Arial" w:hAnsi="Arial"/>
          <w:sz w:val="16"/>
          <w:szCs w:val="16"/>
          <w:b w:val="1"/>
          <w:bCs w:val="1"/>
          <w:color w:val="auto"/>
        </w:rPr>
        <w:t>Atlantic Capital Bank, N.A.</w:t>
      </w:r>
      <w:r>
        <w:rPr>
          <w:rFonts w:ascii="Arial" w:cs="Arial" w:eastAsia="Arial" w:hAnsi="Arial"/>
          <w:sz w:val="16"/>
          <w:szCs w:val="16"/>
          <w:color w:val="auto"/>
        </w:rPr>
        <w:t>, as a Term A Lender and Revolving Credit Lender</w:t>
      </w:r>
    </w:p>
    <w:p>
      <w:pPr>
        <w:spacing w:after="0" w:line="200" w:lineRule="exact"/>
        <w:rPr>
          <w:sz w:val="20"/>
          <w:szCs w:val="20"/>
          <w:color w:val="auto"/>
        </w:rPr>
      </w:pPr>
    </w:p>
    <w:p>
      <w:pPr>
        <w:spacing w:after="0" w:line="268"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Dick Ridenhour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-10160</wp:posOffset>
            </wp:positionV>
            <wp:extent cx="10979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1097915" cy="8255"/>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Dick Ridenhour</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Senior Vice President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Amendment No.1</w:t>
      </w:r>
      <w:r>
        <w:rPr>
          <w:rFonts w:ascii="Arial" w:cs="Arial" w:eastAsia="Arial" w:hAnsi="Arial"/>
          <w:sz w:val="20"/>
          <w:szCs w:val="20"/>
          <w:color w:val="auto"/>
        </w:rPr>
        <w:t>]</w:t>
      </w:r>
    </w:p>
    <w:p>
      <w:pPr>
        <w:sectPr>
          <w:pgSz w:w="11900" w:h="16838" w:orient="portrait"/>
          <w:cols w:equalWidth="0" w:num="1">
            <w:col w:w="9019"/>
          </w:cols>
          <w:pgMar w:left="1440" w:top="985" w:right="1440" w:bottom="1440" w:gutter="0" w:footer="0" w:header="0"/>
        </w:sectPr>
      </w:pPr>
    </w:p>
    <w:bookmarkStart w:id="65" w:name="page66"/>
    <w:bookmarkEnd w:id="65"/>
    <w:p>
      <w:pPr>
        <w:ind w:left="2780"/>
        <w:spacing w:after="0"/>
        <w:rPr>
          <w:sz w:val="20"/>
          <w:szCs w:val="20"/>
          <w:color w:val="auto"/>
        </w:rPr>
      </w:pPr>
      <w:r>
        <w:rPr>
          <w:rFonts w:ascii="Arial" w:cs="Arial" w:eastAsia="Arial" w:hAnsi="Arial"/>
          <w:sz w:val="16"/>
          <w:szCs w:val="16"/>
          <w:b w:val="1"/>
          <w:bCs w:val="1"/>
          <w:color w:val="auto"/>
        </w:rPr>
        <w:t>Goldman Sachs Bank USA</w:t>
      </w:r>
      <w:r>
        <w:rPr>
          <w:rFonts w:ascii="Arial" w:cs="Arial" w:eastAsia="Arial" w:hAnsi="Arial"/>
          <w:sz w:val="16"/>
          <w:szCs w:val="16"/>
          <w:color w:val="auto"/>
        </w:rPr>
        <w:t>, as a Revolving Credit Lender</w:t>
      </w:r>
    </w:p>
    <w:p>
      <w:pPr>
        <w:spacing w:after="0" w:line="200" w:lineRule="exact"/>
        <w:rPr>
          <w:sz w:val="20"/>
          <w:szCs w:val="20"/>
          <w:color w:val="auto"/>
        </w:rPr>
      </w:pPr>
    </w:p>
    <w:p>
      <w:pPr>
        <w:spacing w:after="0" w:line="268"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Jamie Minieri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-10160</wp:posOffset>
            </wp:positionV>
            <wp:extent cx="10026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Jamie Minieri</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Amendment No.1</w:t>
      </w:r>
      <w:r>
        <w:rPr>
          <w:rFonts w:ascii="Arial" w:cs="Arial" w:eastAsia="Arial" w:hAnsi="Arial"/>
          <w:sz w:val="20"/>
          <w:szCs w:val="20"/>
          <w:color w:val="auto"/>
        </w:rPr>
        <w:t>]</w:t>
      </w:r>
    </w:p>
    <w:p>
      <w:pPr>
        <w:sectPr>
          <w:pgSz w:w="11900" w:h="16838" w:orient="portrait"/>
          <w:cols w:equalWidth="0" w:num="1">
            <w:col w:w="9019"/>
          </w:cols>
          <w:pgMar w:left="1440" w:top="1201" w:right="1440" w:bottom="1440" w:gutter="0" w:footer="0" w:header="0"/>
        </w:sectPr>
      </w:pPr>
    </w:p>
    <w:bookmarkStart w:id="66" w:name="page67"/>
    <w:bookmarkEnd w:id="66"/>
    <w:p>
      <w:pPr>
        <w:jc w:val="center"/>
        <w:ind w:right="-100"/>
        <w:spacing w:after="0"/>
        <w:rPr>
          <w:sz w:val="20"/>
          <w:szCs w:val="20"/>
          <w:color w:val="auto"/>
        </w:rPr>
      </w:pPr>
      <w:r>
        <w:rPr>
          <w:rFonts w:ascii="Arial" w:cs="Arial" w:eastAsia="Arial" w:hAnsi="Arial"/>
          <w:sz w:val="17"/>
          <w:szCs w:val="17"/>
          <w:b w:val="1"/>
          <w:bCs w:val="1"/>
          <w:color w:val="auto"/>
        </w:rPr>
        <w:t>CITIBANK, N.A.</w:t>
      </w:r>
      <w:r>
        <w:rPr>
          <w:rFonts w:ascii="Arial" w:cs="Arial" w:eastAsia="Arial" w:hAnsi="Arial"/>
          <w:sz w:val="17"/>
          <w:szCs w:val="17"/>
          <w:color w:val="auto"/>
        </w:rPr>
        <w:t>, as a Revolving Credit Lender</w:t>
      </w:r>
    </w:p>
    <w:p>
      <w:pPr>
        <w:spacing w:after="0" w:line="200" w:lineRule="exact"/>
        <w:rPr>
          <w:sz w:val="20"/>
          <w:szCs w:val="20"/>
          <w:color w:val="auto"/>
        </w:rPr>
      </w:pPr>
    </w:p>
    <w:p>
      <w:pPr>
        <w:spacing w:after="0" w:line="257"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Alvaro De Velasco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-10160</wp:posOffset>
            </wp:positionV>
            <wp:extent cx="12280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Alvaro De Velasco</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Vice-President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Amendment No.1</w:t>
      </w:r>
      <w:r>
        <w:rPr>
          <w:rFonts w:ascii="Arial" w:cs="Arial" w:eastAsia="Arial" w:hAnsi="Arial"/>
          <w:sz w:val="20"/>
          <w:szCs w:val="20"/>
          <w:color w:val="auto"/>
        </w:rPr>
        <w:t>]</w:t>
      </w:r>
    </w:p>
    <w:p>
      <w:pPr>
        <w:sectPr>
          <w:pgSz w:w="11900" w:h="16838" w:orient="portrait"/>
          <w:cols w:equalWidth="0" w:num="1">
            <w:col w:w="9019"/>
          </w:cols>
          <w:pgMar w:left="1440" w:top="985" w:right="1440" w:bottom="1440" w:gutter="0" w:footer="0" w:header="0"/>
        </w:sectPr>
      </w:pPr>
    </w:p>
    <w:bookmarkStart w:id="67" w:name="page68"/>
    <w:bookmarkEnd w:id="67"/>
    <w:p>
      <w:pPr>
        <w:ind w:left="2780"/>
        <w:spacing w:after="0"/>
        <w:rPr>
          <w:sz w:val="20"/>
          <w:szCs w:val="20"/>
          <w:color w:val="auto"/>
        </w:rPr>
      </w:pPr>
      <w:r>
        <w:rPr>
          <w:rFonts w:ascii="Arial" w:cs="Arial" w:eastAsia="Arial" w:hAnsi="Arial"/>
          <w:sz w:val="16"/>
          <w:szCs w:val="16"/>
          <w:b w:val="1"/>
          <w:bCs w:val="1"/>
          <w:color w:val="auto"/>
        </w:rPr>
        <w:t>BARCLAYS BANK PLC</w:t>
      </w:r>
      <w:r>
        <w:rPr>
          <w:rFonts w:ascii="Arial" w:cs="Arial" w:eastAsia="Arial" w:hAnsi="Arial"/>
          <w:sz w:val="16"/>
          <w:szCs w:val="16"/>
          <w:color w:val="auto"/>
        </w:rPr>
        <w:t>, as a Revolving Credit Lender</w:t>
      </w:r>
    </w:p>
    <w:p>
      <w:pPr>
        <w:spacing w:after="0" w:line="200" w:lineRule="exact"/>
        <w:rPr>
          <w:sz w:val="20"/>
          <w:szCs w:val="20"/>
          <w:color w:val="auto"/>
        </w:rPr>
      </w:pPr>
    </w:p>
    <w:p>
      <w:pPr>
        <w:spacing w:after="0" w:line="268"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Christopher M. Aitkin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-10160</wp:posOffset>
            </wp:positionV>
            <wp:extent cx="13836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Christopher M. Aitkin</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Vice President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Amendment No.1</w:t>
      </w:r>
      <w:r>
        <w:rPr>
          <w:rFonts w:ascii="Arial" w:cs="Arial" w:eastAsia="Arial" w:hAnsi="Arial"/>
          <w:sz w:val="20"/>
          <w:szCs w:val="20"/>
          <w:color w:val="auto"/>
        </w:rPr>
        <w:t>]</w:t>
      </w:r>
    </w:p>
    <w:p>
      <w:pPr>
        <w:sectPr>
          <w:pgSz w:w="11900" w:h="16838" w:orient="portrait"/>
          <w:cols w:equalWidth="0" w:num="1">
            <w:col w:w="9019"/>
          </w:cols>
          <w:pgMar w:left="1440" w:top="985" w:right="1440" w:bottom="1440" w:gutter="0" w:footer="0" w:header="0"/>
        </w:sectPr>
      </w:pPr>
    </w:p>
    <w:bookmarkStart w:id="68" w:name="page69"/>
    <w:bookmarkEnd w:id="68"/>
    <w:p>
      <w:pPr>
        <w:ind w:left="2780"/>
        <w:spacing w:after="0"/>
        <w:rPr>
          <w:sz w:val="20"/>
          <w:szCs w:val="20"/>
          <w:color w:val="auto"/>
        </w:rPr>
      </w:pPr>
      <w:r>
        <w:rPr>
          <w:rFonts w:ascii="Arial" w:cs="Arial" w:eastAsia="Arial" w:hAnsi="Arial"/>
          <w:sz w:val="16"/>
          <w:szCs w:val="16"/>
          <w:b w:val="1"/>
          <w:bCs w:val="1"/>
          <w:color w:val="auto"/>
        </w:rPr>
        <w:t>Morgan Stanley Senior Funding, Inc.</w:t>
      </w:r>
      <w:r>
        <w:rPr>
          <w:rFonts w:ascii="Arial" w:cs="Arial" w:eastAsia="Arial" w:hAnsi="Arial"/>
          <w:sz w:val="16"/>
          <w:szCs w:val="16"/>
          <w:color w:val="auto"/>
        </w:rPr>
        <w:t>, as a Revolving Credit Lender</w:t>
      </w:r>
    </w:p>
    <w:p>
      <w:pPr>
        <w:spacing w:after="0" w:line="200" w:lineRule="exact"/>
        <w:rPr>
          <w:sz w:val="20"/>
          <w:szCs w:val="20"/>
          <w:color w:val="auto"/>
        </w:rPr>
      </w:pPr>
    </w:p>
    <w:p>
      <w:pPr>
        <w:spacing w:after="0" w:line="268"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Jonathan Kerner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-10160</wp:posOffset>
            </wp:positionV>
            <wp:extent cx="11169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1116965" cy="8255"/>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Jonathan Kerner</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Vice President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Amendment No.1</w:t>
      </w:r>
      <w:r>
        <w:rPr>
          <w:rFonts w:ascii="Arial" w:cs="Arial" w:eastAsia="Arial" w:hAnsi="Arial"/>
          <w:sz w:val="20"/>
          <w:szCs w:val="20"/>
          <w:color w:val="auto"/>
        </w:rPr>
        <w:t>]</w:t>
      </w:r>
    </w:p>
    <w:p>
      <w:pPr>
        <w:sectPr>
          <w:pgSz w:w="11900" w:h="16838" w:orient="portrait"/>
          <w:cols w:equalWidth="0" w:num="1">
            <w:col w:w="9019"/>
          </w:cols>
          <w:pgMar w:left="1440" w:top="985" w:right="1440" w:bottom="1440" w:gutter="0" w:footer="0" w:header="0"/>
        </w:sectPr>
      </w:pPr>
    </w:p>
    <w:bookmarkStart w:id="69" w:name="page70"/>
    <w:bookmarkEnd w:id="69"/>
    <w:p>
      <w:pPr>
        <w:jc w:val="center"/>
        <w:ind w:right="-100"/>
        <w:spacing w:after="0"/>
        <w:rPr>
          <w:sz w:val="20"/>
          <w:szCs w:val="20"/>
          <w:color w:val="auto"/>
        </w:rPr>
      </w:pPr>
      <w:r>
        <w:rPr>
          <w:rFonts w:ascii="Arial" w:cs="Arial" w:eastAsia="Arial" w:hAnsi="Arial"/>
          <w:sz w:val="16"/>
          <w:szCs w:val="16"/>
          <w:b w:val="1"/>
          <w:bCs w:val="1"/>
          <w:color w:val="auto"/>
        </w:rPr>
        <w:t>Woodforest National Bank</w:t>
      </w:r>
      <w:r>
        <w:rPr>
          <w:rFonts w:ascii="Arial" w:cs="Arial" w:eastAsia="Arial" w:hAnsi="Arial"/>
          <w:sz w:val="16"/>
          <w:szCs w:val="16"/>
          <w:color w:val="auto"/>
        </w:rPr>
        <w:t>, as a Term A Lender</w:t>
      </w:r>
    </w:p>
    <w:p>
      <w:pPr>
        <w:spacing w:after="0" w:line="200" w:lineRule="exact"/>
        <w:rPr>
          <w:sz w:val="20"/>
          <w:szCs w:val="20"/>
          <w:color w:val="auto"/>
        </w:rPr>
      </w:pPr>
    </w:p>
    <w:p>
      <w:pPr>
        <w:spacing w:after="0" w:line="268"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Sean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-10160</wp:posOffset>
            </wp:positionV>
            <wp:extent cx="94297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Sean Walker</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SVP</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Amendment No.1</w:t>
      </w:r>
      <w:r>
        <w:rPr>
          <w:rFonts w:ascii="Arial" w:cs="Arial" w:eastAsia="Arial" w:hAnsi="Arial"/>
          <w:sz w:val="20"/>
          <w:szCs w:val="20"/>
          <w:color w:val="auto"/>
        </w:rPr>
        <w:t>]</w:t>
      </w:r>
    </w:p>
    <w:p>
      <w:pPr>
        <w:sectPr>
          <w:pgSz w:w="11900" w:h="16838" w:orient="portrait"/>
          <w:cols w:equalWidth="0" w:num="1">
            <w:col w:w="9019"/>
          </w:cols>
          <w:pgMar w:left="1440" w:top="769" w:right="1440" w:bottom="1440" w:gutter="0" w:footer="0" w:header="0"/>
        </w:sectPr>
      </w:pPr>
    </w:p>
    <w:bookmarkStart w:id="70" w:name="page71"/>
    <w:bookmarkEnd w:id="70"/>
    <w:p>
      <w:pPr>
        <w:ind w:left="2780"/>
        <w:spacing w:after="0"/>
        <w:rPr>
          <w:sz w:val="20"/>
          <w:szCs w:val="20"/>
          <w:color w:val="auto"/>
        </w:rPr>
      </w:pPr>
      <w:r>
        <w:rPr>
          <w:rFonts w:ascii="Arial" w:cs="Arial" w:eastAsia="Arial" w:hAnsi="Arial"/>
          <w:sz w:val="18"/>
          <w:szCs w:val="18"/>
          <w:b w:val="1"/>
          <w:bCs w:val="1"/>
          <w:color w:val="auto"/>
        </w:rPr>
        <w:t>FLUSHING BANK</w:t>
      </w:r>
      <w:r>
        <w:rPr>
          <w:rFonts w:ascii="Arial" w:cs="Arial" w:eastAsia="Arial" w:hAnsi="Arial"/>
          <w:sz w:val="18"/>
          <w:szCs w:val="18"/>
          <w:color w:val="auto"/>
        </w:rPr>
        <w:t>, as a Term A Lender</w:t>
      </w:r>
    </w:p>
    <w:p>
      <w:pPr>
        <w:spacing w:after="0" w:line="200" w:lineRule="exact"/>
        <w:rPr>
          <w:sz w:val="20"/>
          <w:szCs w:val="20"/>
          <w:color w:val="auto"/>
        </w:rPr>
      </w:pPr>
    </w:p>
    <w:p>
      <w:pPr>
        <w:spacing w:after="0" w:line="245"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Alan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-10160</wp:posOffset>
            </wp:positionV>
            <wp:extent cx="9010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901065" cy="8255"/>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Alan Harris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Title: Senior Vice President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Amendment No.1</w:t>
      </w:r>
      <w:r>
        <w:rPr>
          <w:rFonts w:ascii="Arial" w:cs="Arial" w:eastAsia="Arial" w:hAnsi="Arial"/>
          <w:sz w:val="16"/>
          <w:szCs w:val="16"/>
          <w:color w:val="auto"/>
        </w:rPr>
        <w:t>]</w:t>
      </w:r>
    </w:p>
    <w:p>
      <w:pPr>
        <w:sectPr>
          <w:pgSz w:w="11900" w:h="16838" w:orient="portrait"/>
          <w:cols w:equalWidth="0" w:num="1">
            <w:col w:w="9019"/>
          </w:cols>
          <w:pgMar w:left="1440" w:top="985" w:right="1440" w:bottom="1440" w:gutter="0" w:footer="0" w:header="0"/>
        </w:sectPr>
      </w:pPr>
    </w:p>
    <w:bookmarkStart w:id="71" w:name="page72"/>
    <w:bookmarkEnd w:id="71"/>
    <w:p>
      <w:pPr>
        <w:ind w:left="2780"/>
        <w:spacing w:after="0"/>
        <w:rPr>
          <w:sz w:val="20"/>
          <w:szCs w:val="20"/>
          <w:color w:val="auto"/>
        </w:rPr>
      </w:pPr>
      <w:r>
        <w:rPr>
          <w:rFonts w:ascii="Arial" w:cs="Arial" w:eastAsia="Arial" w:hAnsi="Arial"/>
          <w:sz w:val="18"/>
          <w:szCs w:val="18"/>
          <w:color w:val="auto"/>
        </w:rPr>
        <w:t>Agreed and Consented to by:</w:t>
      </w:r>
    </w:p>
    <w:p>
      <w:pPr>
        <w:spacing w:after="0" w:line="221"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BANK OF AMERICA, N.A.</w:t>
      </w:r>
      <w:r>
        <w:rPr>
          <w:rFonts w:ascii="Arial" w:cs="Arial" w:eastAsia="Arial" w:hAnsi="Arial"/>
          <w:sz w:val="17"/>
          <w:szCs w:val="17"/>
          <w:color w:val="auto"/>
        </w:rPr>
        <w:t>, as Administrative Agent and Collateral Agent</w:t>
      </w:r>
    </w:p>
    <w:p>
      <w:pPr>
        <w:spacing w:after="0" w:line="200" w:lineRule="exact"/>
        <w:rPr>
          <w:sz w:val="20"/>
          <w:szCs w:val="20"/>
          <w:color w:val="auto"/>
        </w:rPr>
      </w:pPr>
    </w:p>
    <w:p>
      <w:pPr>
        <w:spacing w:after="0" w:line="257" w:lineRule="exact"/>
        <w:rPr>
          <w:sz w:val="20"/>
          <w:szCs w:val="20"/>
          <w:color w:val="auto"/>
        </w:rPr>
      </w:pPr>
    </w:p>
    <w:p>
      <w:pPr>
        <w:ind w:left="2780"/>
        <w:spacing w:after="0"/>
        <w:tabs>
          <w:tab w:leader="none" w:pos="3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Erik Truette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2042160</wp:posOffset>
            </wp:positionH>
            <wp:positionV relativeFrom="paragraph">
              <wp:posOffset>-10160</wp:posOffset>
            </wp:positionV>
            <wp:extent cx="10306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1030605" cy="8255"/>
                    </a:xfrm>
                    <a:prstGeom prst="rect">
                      <a:avLst/>
                    </a:prstGeom>
                    <a:noFill/>
                  </pic:spPr>
                </pic:pic>
              </a:graphicData>
            </a:graphic>
          </wp:anchor>
        </w:drawing>
      </w:r>
    </w:p>
    <w:p>
      <w:pPr>
        <w:spacing w:after="0" w:line="3"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Name: Erik Truette</w:t>
      </w:r>
    </w:p>
    <w:p>
      <w:pPr>
        <w:spacing w:after="0" w:line="9"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Amendment No.1</w:t>
      </w:r>
      <w:r>
        <w:rPr>
          <w:rFonts w:ascii="Arial" w:cs="Arial" w:eastAsia="Arial" w:hAnsi="Arial"/>
          <w:sz w:val="20"/>
          <w:szCs w:val="20"/>
          <w:color w:val="auto"/>
        </w:rPr>
        <w:t>]</w:t>
      </w:r>
    </w:p>
    <w:p>
      <w:pPr>
        <w:sectPr>
          <w:pgSz w:w="11900" w:h="16838" w:orient="portrait"/>
          <w:cols w:equalWidth="0" w:num="1">
            <w:col w:w="9019"/>
          </w:cols>
          <w:pgMar w:left="1440" w:top="773" w:right="1440"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u w:val="single" w:color="auto"/>
          <w:color w:val="auto"/>
        </w:rPr>
        <w:t>Annex A</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Amendments to the Credit Agreement</w:t>
      </w:r>
    </w:p>
    <w:p>
      <w:pPr>
        <w:sectPr>
          <w:pgSz w:w="11900" w:h="16838" w:orient="portrait"/>
          <w:cols w:equalWidth="0" w:num="1">
            <w:col w:w="9019"/>
          </w:cols>
          <w:pgMar w:left="1440" w:top="351" w:right="1440"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color w:val="auto"/>
        </w:rPr>
        <w:t>AMENDED AND RESTATED CREDIT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dated as of July 18, 2019,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as amended by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0000FF"/>
        </w:rPr>
        <w:t>Amendment No.1, dated as of May 5,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NAUTILUS ACQUISITION HOLDINGS,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Holdings,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NATIONAL VISION,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the Borrower</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Several Lenders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from Time to Time Parties Hereto,</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as the Administrative Agent, the Collateral Agent, the Swingline Lender and a Lender,</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Letter of Credit Issuers Parties Hereto,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KKR CAPITAL MARKETS LLC,</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JPMORGAN CHASE BANK, N.A., and</w:t>
      </w:r>
    </w:p>
    <w:p>
      <w:pPr>
        <w:spacing w:after="0" w:line="9"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as Joint Lead Arrangers and Bookrunners,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JPMORGAN CHASE BANK, N.A., and</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WELLS FARGO BANK, N.A., as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Syndication Agents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FIFTH THIRD BANK, and</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FF0000"/>
          <w:strike w:val="1"/>
        </w:rPr>
        <w:t>SUNTRUST</w:t>
      </w:r>
      <w:r>
        <w:rPr>
          <w:rFonts w:ascii="Arial" w:cs="Arial" w:eastAsia="Arial" w:hAnsi="Arial"/>
          <w:sz w:val="18"/>
          <w:szCs w:val="18"/>
          <w:u w:val="single" w:color="auto"/>
          <w:color w:val="0000FF"/>
        </w:rPr>
        <w:t>TRUIST</w:t>
      </w:r>
      <w:r>
        <w:rPr>
          <w:rFonts w:ascii="Arial" w:cs="Arial" w:eastAsia="Arial" w:hAnsi="Arial"/>
          <w:sz w:val="18"/>
          <w:szCs w:val="18"/>
          <w:color w:val="FF0000"/>
        </w:rPr>
        <w:t xml:space="preserve"> </w:t>
      </w:r>
      <w:r>
        <w:rPr>
          <w:rFonts w:ascii="Arial" w:cs="Arial" w:eastAsia="Arial" w:hAnsi="Arial"/>
          <w:sz w:val="18"/>
          <w:szCs w:val="18"/>
          <w:color w:val="000000"/>
        </w:rPr>
        <w:t>BANK</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(as successor by merger to SunTrust Bank)</w:t>
      </w:r>
      <w:r>
        <w:rPr>
          <w:rFonts w:ascii="Arial" w:cs="Arial" w:eastAsia="Arial" w:hAnsi="Arial"/>
          <w:sz w:val="18"/>
          <w:szCs w:val="18"/>
          <w:color w:val="000000"/>
        </w:rPr>
        <w: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Documentation Agents</w:t>
      </w:r>
    </w:p>
    <w:p>
      <w:pPr>
        <w:sectPr>
          <w:pgSz w:w="11900" w:h="16838" w:orient="portrait"/>
          <w:cols w:equalWidth="0" w:num="1">
            <w:col w:w="9019"/>
          </w:cols>
          <w:pgMar w:left="1440" w:top="341" w:right="1440" w:bottom="1440" w:gutter="0" w:footer="0" w:header="0"/>
        </w:sectPr>
      </w:pPr>
    </w:p>
    <w:bookmarkStart w:id="74" w:name="page75"/>
    <w:bookmarkEnd w:id="7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9840" w:type="dxa"/>
            <w:vAlign w:val="bottom"/>
          </w:tcPr>
          <w:p>
            <w:pPr>
              <w:ind w:left="3720"/>
              <w:spacing w:after="0"/>
              <w:rPr>
                <w:sz w:val="20"/>
                <w:szCs w:val="20"/>
                <w:color w:val="auto"/>
              </w:rPr>
            </w:pPr>
            <w:r>
              <w:rPr>
                <w:rFonts w:ascii="Arial" w:cs="Arial" w:eastAsia="Arial" w:hAnsi="Arial"/>
                <w:sz w:val="18"/>
                <w:szCs w:val="18"/>
                <w:b w:val="1"/>
                <w:bCs w:val="1"/>
                <w:color w:val="auto"/>
              </w:rPr>
              <w:t>TABLE OF CONTENTS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1"/>
        </w:trPr>
        <w:tc>
          <w:tcPr>
            <w:tcW w:w="940" w:type="dxa"/>
            <w:vAlign w:val="bottom"/>
          </w:tcPr>
          <w:p>
            <w:pPr>
              <w:spacing w:after="0"/>
              <w:rPr>
                <w:sz w:val="24"/>
                <w:szCs w:val="24"/>
                <w:color w:val="auto"/>
              </w:rPr>
            </w:pPr>
          </w:p>
        </w:tc>
        <w:tc>
          <w:tcPr>
            <w:tcW w:w="9840" w:type="dxa"/>
            <w:vAlign w:val="bottom"/>
          </w:tcPr>
          <w:p>
            <w:pPr>
              <w:spacing w:after="0"/>
              <w:rPr>
                <w:sz w:val="24"/>
                <w:szCs w:val="24"/>
                <w:color w:val="auto"/>
              </w:rPr>
            </w:pPr>
          </w:p>
        </w:tc>
        <w:tc>
          <w:tcPr>
            <w:tcW w:w="460" w:type="dxa"/>
            <w:vAlign w:val="bottom"/>
            <w:gridSpan w:val="3"/>
          </w:tcPr>
          <w:p>
            <w:pPr>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48"/>
        </w:trPr>
        <w:tc>
          <w:tcPr>
            <w:tcW w:w="940" w:type="dxa"/>
            <w:vAlign w:val="bottom"/>
          </w:tcPr>
          <w:p>
            <w:pPr>
              <w:spacing w:after="0"/>
              <w:rPr>
                <w:sz w:val="4"/>
                <w:szCs w:val="4"/>
                <w:color w:val="auto"/>
              </w:rPr>
            </w:pPr>
          </w:p>
        </w:tc>
        <w:tc>
          <w:tcPr>
            <w:tcW w:w="984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Section 1</w:t>
            </w:r>
          </w:p>
        </w:tc>
        <w:tc>
          <w:tcPr>
            <w:tcW w:w="9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Definitions</w:t>
            </w:r>
          </w:p>
        </w:tc>
        <w:tc>
          <w:tcPr>
            <w:tcW w:w="4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940" w:type="dxa"/>
            <w:vAlign w:val="bottom"/>
          </w:tcPr>
          <w:p>
            <w:pPr>
              <w:ind w:left="40"/>
              <w:spacing w:after="0"/>
              <w:rPr>
                <w:sz w:val="20"/>
                <w:szCs w:val="20"/>
                <w:color w:val="auto"/>
              </w:rPr>
            </w:pPr>
            <w:r>
              <w:rPr>
                <w:rFonts w:ascii="Arial" w:cs="Arial" w:eastAsia="Arial" w:hAnsi="Arial"/>
                <w:sz w:val="18"/>
                <w:szCs w:val="18"/>
                <w:color w:val="auto"/>
              </w:rPr>
              <w:t>1.1</w:t>
            </w:r>
          </w:p>
        </w:tc>
        <w:tc>
          <w:tcPr>
            <w:tcW w:w="9840" w:type="dxa"/>
            <w:vAlign w:val="bottom"/>
          </w:tcPr>
          <w:p>
            <w:pPr>
              <w:ind w:left="220"/>
              <w:spacing w:after="0"/>
              <w:rPr>
                <w:sz w:val="20"/>
                <w:szCs w:val="20"/>
                <w:color w:val="auto"/>
              </w:rPr>
            </w:pPr>
            <w:r>
              <w:rPr>
                <w:rFonts w:ascii="Arial" w:cs="Arial" w:eastAsia="Arial" w:hAnsi="Arial"/>
                <w:sz w:val="18"/>
                <w:szCs w:val="18"/>
                <w:color w:val="auto"/>
              </w:rPr>
              <w:t>Defined Terms</w:t>
            </w:r>
          </w:p>
        </w:tc>
        <w:tc>
          <w:tcPr>
            <w:tcW w:w="46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9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1.2</w:t>
            </w:r>
          </w:p>
        </w:tc>
        <w:tc>
          <w:tcPr>
            <w:tcW w:w="984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Other Interpretive Provisions</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FF0000"/>
                <w:strike w:val="1"/>
                <w:w w:val="79"/>
              </w:rPr>
              <w:t>56</w:t>
            </w:r>
          </w:p>
        </w:tc>
        <w:tc>
          <w:tcPr>
            <w:tcW w:w="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0000FF"/>
                <w:w w:val="79"/>
              </w:rPr>
              <w:t>57</w:t>
            </w:r>
          </w:p>
        </w:tc>
        <w:tc>
          <w:tcPr>
            <w:tcW w:w="0" w:type="dxa"/>
            <w:vAlign w:val="bottom"/>
          </w:tcPr>
          <w:p>
            <w:pPr>
              <w:spacing w:after="0"/>
              <w:rPr>
                <w:sz w:val="1"/>
                <w:szCs w:val="1"/>
                <w:color w:val="auto"/>
              </w:rPr>
            </w:pPr>
          </w:p>
        </w:tc>
      </w:tr>
      <w:tr>
        <w:trPr>
          <w:trHeight w:val="243"/>
        </w:trPr>
        <w:tc>
          <w:tcPr>
            <w:tcW w:w="9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98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40" w:type="dxa"/>
            <w:vAlign w:val="bottom"/>
            <w:vMerge w:val="restart"/>
          </w:tcPr>
          <w:p>
            <w:pPr>
              <w:ind w:left="40"/>
              <w:spacing w:after="0"/>
              <w:rPr>
                <w:sz w:val="20"/>
                <w:szCs w:val="20"/>
                <w:color w:val="auto"/>
              </w:rPr>
            </w:pPr>
            <w:r>
              <w:rPr>
                <w:rFonts w:ascii="Arial" w:cs="Arial" w:eastAsia="Arial" w:hAnsi="Arial"/>
                <w:sz w:val="18"/>
                <w:szCs w:val="18"/>
                <w:color w:val="auto"/>
              </w:rPr>
              <w:t>1.3</w:t>
            </w:r>
          </w:p>
        </w:tc>
        <w:tc>
          <w:tcPr>
            <w:tcW w:w="9840" w:type="dxa"/>
            <w:vAlign w:val="bottom"/>
            <w:vMerge w:val="restart"/>
          </w:tcPr>
          <w:p>
            <w:pPr>
              <w:ind w:left="220"/>
              <w:spacing w:after="0"/>
              <w:rPr>
                <w:sz w:val="20"/>
                <w:szCs w:val="20"/>
                <w:color w:val="auto"/>
              </w:rPr>
            </w:pPr>
            <w:r>
              <w:rPr>
                <w:rFonts w:ascii="Arial" w:cs="Arial" w:eastAsia="Arial" w:hAnsi="Arial"/>
                <w:sz w:val="18"/>
                <w:szCs w:val="18"/>
                <w:color w:val="auto"/>
              </w:rPr>
              <w:t>Accounting Terms</w:t>
            </w:r>
          </w:p>
        </w:tc>
        <w:tc>
          <w:tcPr>
            <w:tcW w:w="180" w:type="dxa"/>
            <w:vAlign w:val="bottom"/>
          </w:tcPr>
          <w:p>
            <w:pPr>
              <w:spacing w:after="0" w:line="202" w:lineRule="exact"/>
              <w:rPr>
                <w:sz w:val="20"/>
                <w:szCs w:val="20"/>
                <w:color w:val="auto"/>
              </w:rPr>
            </w:pPr>
            <w:r>
              <w:rPr>
                <w:rFonts w:ascii="Arial" w:cs="Arial" w:eastAsia="Arial" w:hAnsi="Arial"/>
                <w:sz w:val="18"/>
                <w:szCs w:val="18"/>
                <w:color w:val="FF0000"/>
                <w:strike w:val="1"/>
                <w:w w:val="79"/>
              </w:rPr>
              <w:t>57</w:t>
            </w:r>
          </w:p>
        </w:tc>
        <w:tc>
          <w:tcPr>
            <w:tcW w:w="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0000FF"/>
                <w:w w:val="79"/>
              </w:rPr>
              <w:t>58</w:t>
            </w:r>
          </w:p>
        </w:tc>
        <w:tc>
          <w:tcPr>
            <w:tcW w:w="0" w:type="dxa"/>
            <w:vAlign w:val="bottom"/>
          </w:tcPr>
          <w:p>
            <w:pPr>
              <w:spacing w:after="0"/>
              <w:rPr>
                <w:sz w:val="1"/>
                <w:szCs w:val="1"/>
                <w:color w:val="auto"/>
              </w:rPr>
            </w:pPr>
          </w:p>
        </w:tc>
      </w:tr>
      <w:tr>
        <w:trPr>
          <w:trHeight w:val="237"/>
        </w:trPr>
        <w:tc>
          <w:tcPr>
            <w:tcW w:w="940" w:type="dxa"/>
            <w:vAlign w:val="bottom"/>
            <w:vMerge w:val="continue"/>
          </w:tcPr>
          <w:p>
            <w:pPr>
              <w:spacing w:after="0"/>
              <w:rPr>
                <w:sz w:val="20"/>
                <w:szCs w:val="20"/>
                <w:color w:val="auto"/>
              </w:rPr>
            </w:pPr>
          </w:p>
        </w:tc>
        <w:tc>
          <w:tcPr>
            <w:tcW w:w="98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9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1.4</w:t>
            </w:r>
          </w:p>
        </w:tc>
        <w:tc>
          <w:tcPr>
            <w:tcW w:w="984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Rounding</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FF0000"/>
                <w:strike w:val="1"/>
                <w:w w:val="79"/>
              </w:rPr>
              <w:t>57</w:t>
            </w:r>
          </w:p>
        </w:tc>
        <w:tc>
          <w:tcPr>
            <w:tcW w:w="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0000FF"/>
                <w:w w:val="79"/>
              </w:rPr>
              <w:t>58</w:t>
            </w:r>
          </w:p>
        </w:tc>
        <w:tc>
          <w:tcPr>
            <w:tcW w:w="0" w:type="dxa"/>
            <w:vAlign w:val="bottom"/>
          </w:tcPr>
          <w:p>
            <w:pPr>
              <w:spacing w:after="0"/>
              <w:rPr>
                <w:sz w:val="1"/>
                <w:szCs w:val="1"/>
                <w:color w:val="auto"/>
              </w:rPr>
            </w:pPr>
          </w:p>
        </w:tc>
      </w:tr>
      <w:tr>
        <w:trPr>
          <w:trHeight w:val="243"/>
        </w:trPr>
        <w:tc>
          <w:tcPr>
            <w:tcW w:w="9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98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40" w:type="dxa"/>
            <w:vAlign w:val="bottom"/>
            <w:vMerge w:val="restart"/>
          </w:tcPr>
          <w:p>
            <w:pPr>
              <w:ind w:left="40"/>
              <w:spacing w:after="0"/>
              <w:rPr>
                <w:sz w:val="20"/>
                <w:szCs w:val="20"/>
                <w:color w:val="auto"/>
              </w:rPr>
            </w:pPr>
            <w:r>
              <w:rPr>
                <w:rFonts w:ascii="Arial" w:cs="Arial" w:eastAsia="Arial" w:hAnsi="Arial"/>
                <w:sz w:val="18"/>
                <w:szCs w:val="18"/>
                <w:color w:val="auto"/>
              </w:rPr>
              <w:t>1.5</w:t>
            </w:r>
          </w:p>
        </w:tc>
        <w:tc>
          <w:tcPr>
            <w:tcW w:w="9840" w:type="dxa"/>
            <w:vAlign w:val="bottom"/>
            <w:vMerge w:val="restart"/>
          </w:tcPr>
          <w:p>
            <w:pPr>
              <w:ind w:left="220"/>
              <w:spacing w:after="0"/>
              <w:rPr>
                <w:sz w:val="20"/>
                <w:szCs w:val="20"/>
                <w:color w:val="auto"/>
              </w:rPr>
            </w:pPr>
            <w:r>
              <w:rPr>
                <w:rFonts w:ascii="Arial" w:cs="Arial" w:eastAsia="Arial" w:hAnsi="Arial"/>
                <w:sz w:val="18"/>
                <w:szCs w:val="18"/>
                <w:color w:val="auto"/>
              </w:rPr>
              <w:t>References to Agreements Laws, Etc</w:t>
            </w:r>
          </w:p>
        </w:tc>
        <w:tc>
          <w:tcPr>
            <w:tcW w:w="180" w:type="dxa"/>
            <w:vAlign w:val="bottom"/>
          </w:tcPr>
          <w:p>
            <w:pPr>
              <w:spacing w:after="0" w:line="202" w:lineRule="exact"/>
              <w:rPr>
                <w:sz w:val="20"/>
                <w:szCs w:val="20"/>
                <w:color w:val="auto"/>
              </w:rPr>
            </w:pPr>
            <w:r>
              <w:rPr>
                <w:rFonts w:ascii="Arial" w:cs="Arial" w:eastAsia="Arial" w:hAnsi="Arial"/>
                <w:sz w:val="18"/>
                <w:szCs w:val="18"/>
                <w:color w:val="FF0000"/>
                <w:strike w:val="1"/>
                <w:w w:val="79"/>
              </w:rPr>
              <w:t>57</w:t>
            </w:r>
          </w:p>
        </w:tc>
        <w:tc>
          <w:tcPr>
            <w:tcW w:w="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0000FF"/>
                <w:w w:val="79"/>
              </w:rPr>
              <w:t>58</w:t>
            </w:r>
          </w:p>
        </w:tc>
        <w:tc>
          <w:tcPr>
            <w:tcW w:w="0" w:type="dxa"/>
            <w:vAlign w:val="bottom"/>
          </w:tcPr>
          <w:p>
            <w:pPr>
              <w:spacing w:after="0"/>
              <w:rPr>
                <w:sz w:val="1"/>
                <w:szCs w:val="1"/>
                <w:color w:val="auto"/>
              </w:rPr>
            </w:pPr>
          </w:p>
        </w:tc>
      </w:tr>
      <w:tr>
        <w:trPr>
          <w:trHeight w:val="237"/>
        </w:trPr>
        <w:tc>
          <w:tcPr>
            <w:tcW w:w="940" w:type="dxa"/>
            <w:vAlign w:val="bottom"/>
            <w:vMerge w:val="continue"/>
          </w:tcPr>
          <w:p>
            <w:pPr>
              <w:spacing w:after="0"/>
              <w:rPr>
                <w:sz w:val="20"/>
                <w:szCs w:val="20"/>
                <w:color w:val="auto"/>
              </w:rPr>
            </w:pPr>
          </w:p>
        </w:tc>
        <w:tc>
          <w:tcPr>
            <w:tcW w:w="98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9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1.6</w:t>
            </w:r>
          </w:p>
        </w:tc>
        <w:tc>
          <w:tcPr>
            <w:tcW w:w="984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Exchange Rates</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FF0000"/>
                <w:strike w:val="1"/>
                <w:w w:val="79"/>
              </w:rPr>
              <w:t>57</w:t>
            </w:r>
          </w:p>
        </w:tc>
        <w:tc>
          <w:tcPr>
            <w:tcW w:w="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0000FF"/>
                <w:w w:val="79"/>
              </w:rPr>
              <w:t>58</w:t>
            </w:r>
          </w:p>
        </w:tc>
        <w:tc>
          <w:tcPr>
            <w:tcW w:w="0" w:type="dxa"/>
            <w:vAlign w:val="bottom"/>
          </w:tcPr>
          <w:p>
            <w:pPr>
              <w:spacing w:after="0"/>
              <w:rPr>
                <w:sz w:val="1"/>
                <w:szCs w:val="1"/>
                <w:color w:val="auto"/>
              </w:rPr>
            </w:pPr>
          </w:p>
        </w:tc>
      </w:tr>
      <w:tr>
        <w:trPr>
          <w:trHeight w:val="244"/>
        </w:trPr>
        <w:tc>
          <w:tcPr>
            <w:tcW w:w="9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98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40" w:type="dxa"/>
            <w:vAlign w:val="bottom"/>
            <w:vMerge w:val="restart"/>
          </w:tcPr>
          <w:p>
            <w:pPr>
              <w:ind w:left="40"/>
              <w:spacing w:after="0"/>
              <w:rPr>
                <w:sz w:val="20"/>
                <w:szCs w:val="20"/>
                <w:color w:val="auto"/>
              </w:rPr>
            </w:pPr>
            <w:r>
              <w:rPr>
                <w:rFonts w:ascii="Arial" w:cs="Arial" w:eastAsia="Arial" w:hAnsi="Arial"/>
                <w:sz w:val="18"/>
                <w:szCs w:val="18"/>
                <w:color w:val="auto"/>
              </w:rPr>
              <w:t>1.7</w:t>
            </w:r>
          </w:p>
        </w:tc>
        <w:tc>
          <w:tcPr>
            <w:tcW w:w="9840" w:type="dxa"/>
            <w:vAlign w:val="bottom"/>
            <w:vMerge w:val="restart"/>
          </w:tcPr>
          <w:p>
            <w:pPr>
              <w:ind w:left="220"/>
              <w:spacing w:after="0"/>
              <w:rPr>
                <w:sz w:val="20"/>
                <w:szCs w:val="20"/>
                <w:color w:val="auto"/>
              </w:rPr>
            </w:pPr>
            <w:r>
              <w:rPr>
                <w:rFonts w:ascii="Arial" w:cs="Arial" w:eastAsia="Arial" w:hAnsi="Arial"/>
                <w:sz w:val="18"/>
                <w:szCs w:val="18"/>
                <w:color w:val="auto"/>
              </w:rPr>
              <w:t>Rates</w:t>
            </w:r>
          </w:p>
        </w:tc>
        <w:tc>
          <w:tcPr>
            <w:tcW w:w="180" w:type="dxa"/>
            <w:vAlign w:val="bottom"/>
          </w:tcPr>
          <w:p>
            <w:pPr>
              <w:spacing w:after="0" w:line="202" w:lineRule="exact"/>
              <w:rPr>
                <w:sz w:val="20"/>
                <w:szCs w:val="20"/>
                <w:color w:val="auto"/>
              </w:rPr>
            </w:pPr>
            <w:r>
              <w:rPr>
                <w:rFonts w:ascii="Arial" w:cs="Arial" w:eastAsia="Arial" w:hAnsi="Arial"/>
                <w:sz w:val="18"/>
                <w:szCs w:val="18"/>
                <w:color w:val="FF0000"/>
                <w:strike w:val="1"/>
                <w:w w:val="79"/>
              </w:rPr>
              <w:t>58</w:t>
            </w:r>
          </w:p>
        </w:tc>
        <w:tc>
          <w:tcPr>
            <w:tcW w:w="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0000FF"/>
                <w:w w:val="79"/>
              </w:rPr>
              <w:t>59</w:t>
            </w:r>
          </w:p>
        </w:tc>
        <w:tc>
          <w:tcPr>
            <w:tcW w:w="0" w:type="dxa"/>
            <w:vAlign w:val="bottom"/>
          </w:tcPr>
          <w:p>
            <w:pPr>
              <w:spacing w:after="0"/>
              <w:rPr>
                <w:sz w:val="1"/>
                <w:szCs w:val="1"/>
                <w:color w:val="auto"/>
              </w:rPr>
            </w:pPr>
          </w:p>
        </w:tc>
      </w:tr>
      <w:tr>
        <w:trPr>
          <w:trHeight w:val="237"/>
        </w:trPr>
        <w:tc>
          <w:tcPr>
            <w:tcW w:w="940" w:type="dxa"/>
            <w:vAlign w:val="bottom"/>
            <w:vMerge w:val="continue"/>
          </w:tcPr>
          <w:p>
            <w:pPr>
              <w:spacing w:after="0"/>
              <w:rPr>
                <w:sz w:val="20"/>
                <w:szCs w:val="20"/>
                <w:color w:val="auto"/>
              </w:rPr>
            </w:pPr>
          </w:p>
        </w:tc>
        <w:tc>
          <w:tcPr>
            <w:tcW w:w="98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9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1.8</w:t>
            </w:r>
          </w:p>
        </w:tc>
        <w:tc>
          <w:tcPr>
            <w:tcW w:w="984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Times of Day</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FF0000"/>
                <w:strike w:val="1"/>
                <w:w w:val="79"/>
              </w:rPr>
              <w:t>58</w:t>
            </w:r>
          </w:p>
        </w:tc>
        <w:tc>
          <w:tcPr>
            <w:tcW w:w="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0000FF"/>
                <w:w w:val="79"/>
              </w:rPr>
              <w:t>59</w:t>
            </w:r>
          </w:p>
        </w:tc>
        <w:tc>
          <w:tcPr>
            <w:tcW w:w="0" w:type="dxa"/>
            <w:vAlign w:val="bottom"/>
          </w:tcPr>
          <w:p>
            <w:pPr>
              <w:spacing w:after="0"/>
              <w:rPr>
                <w:sz w:val="1"/>
                <w:szCs w:val="1"/>
                <w:color w:val="auto"/>
              </w:rPr>
            </w:pPr>
          </w:p>
        </w:tc>
      </w:tr>
      <w:tr>
        <w:trPr>
          <w:trHeight w:val="243"/>
        </w:trPr>
        <w:tc>
          <w:tcPr>
            <w:tcW w:w="9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98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40" w:type="dxa"/>
            <w:vAlign w:val="bottom"/>
            <w:vMerge w:val="restart"/>
          </w:tcPr>
          <w:p>
            <w:pPr>
              <w:ind w:left="40"/>
              <w:spacing w:after="0"/>
              <w:rPr>
                <w:sz w:val="20"/>
                <w:szCs w:val="20"/>
                <w:color w:val="auto"/>
              </w:rPr>
            </w:pPr>
            <w:r>
              <w:rPr>
                <w:rFonts w:ascii="Arial" w:cs="Arial" w:eastAsia="Arial" w:hAnsi="Arial"/>
                <w:sz w:val="18"/>
                <w:szCs w:val="18"/>
                <w:color w:val="auto"/>
              </w:rPr>
              <w:t>1.9</w:t>
            </w:r>
          </w:p>
        </w:tc>
        <w:tc>
          <w:tcPr>
            <w:tcW w:w="9840" w:type="dxa"/>
            <w:vAlign w:val="bottom"/>
            <w:vMerge w:val="restart"/>
          </w:tcPr>
          <w:p>
            <w:pPr>
              <w:ind w:left="220"/>
              <w:spacing w:after="0"/>
              <w:rPr>
                <w:sz w:val="20"/>
                <w:szCs w:val="20"/>
                <w:color w:val="auto"/>
              </w:rPr>
            </w:pPr>
            <w:r>
              <w:rPr>
                <w:rFonts w:ascii="Arial" w:cs="Arial" w:eastAsia="Arial" w:hAnsi="Arial"/>
                <w:sz w:val="18"/>
                <w:szCs w:val="18"/>
                <w:color w:val="auto"/>
              </w:rPr>
              <w:t>Timing of Payment or Performance</w:t>
            </w:r>
          </w:p>
        </w:tc>
        <w:tc>
          <w:tcPr>
            <w:tcW w:w="180" w:type="dxa"/>
            <w:vAlign w:val="bottom"/>
          </w:tcPr>
          <w:p>
            <w:pPr>
              <w:spacing w:after="0" w:line="202" w:lineRule="exact"/>
              <w:rPr>
                <w:sz w:val="20"/>
                <w:szCs w:val="20"/>
                <w:color w:val="auto"/>
              </w:rPr>
            </w:pPr>
            <w:r>
              <w:rPr>
                <w:rFonts w:ascii="Arial" w:cs="Arial" w:eastAsia="Arial" w:hAnsi="Arial"/>
                <w:sz w:val="18"/>
                <w:szCs w:val="18"/>
                <w:color w:val="FF0000"/>
                <w:strike w:val="1"/>
                <w:w w:val="79"/>
              </w:rPr>
              <w:t>58</w:t>
            </w:r>
          </w:p>
        </w:tc>
        <w:tc>
          <w:tcPr>
            <w:tcW w:w="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0000FF"/>
                <w:w w:val="79"/>
              </w:rPr>
              <w:t>59</w:t>
            </w:r>
          </w:p>
        </w:tc>
        <w:tc>
          <w:tcPr>
            <w:tcW w:w="0" w:type="dxa"/>
            <w:vAlign w:val="bottom"/>
          </w:tcPr>
          <w:p>
            <w:pPr>
              <w:spacing w:after="0"/>
              <w:rPr>
                <w:sz w:val="1"/>
                <w:szCs w:val="1"/>
                <w:color w:val="auto"/>
              </w:rPr>
            </w:pPr>
          </w:p>
        </w:tc>
      </w:tr>
      <w:tr>
        <w:trPr>
          <w:trHeight w:val="237"/>
        </w:trPr>
        <w:tc>
          <w:tcPr>
            <w:tcW w:w="940" w:type="dxa"/>
            <w:vAlign w:val="bottom"/>
            <w:vMerge w:val="continue"/>
          </w:tcPr>
          <w:p>
            <w:pPr>
              <w:spacing w:after="0"/>
              <w:rPr>
                <w:sz w:val="20"/>
                <w:szCs w:val="20"/>
                <w:color w:val="auto"/>
              </w:rPr>
            </w:pPr>
          </w:p>
        </w:tc>
        <w:tc>
          <w:tcPr>
            <w:tcW w:w="98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9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1.10</w:t>
            </w:r>
          </w:p>
        </w:tc>
        <w:tc>
          <w:tcPr>
            <w:tcW w:w="984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Certifications</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FF0000"/>
                <w:strike w:val="1"/>
                <w:w w:val="79"/>
              </w:rPr>
              <w:t>58</w:t>
            </w:r>
          </w:p>
        </w:tc>
        <w:tc>
          <w:tcPr>
            <w:tcW w:w="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0000FF"/>
                <w:w w:val="79"/>
              </w:rPr>
              <w:t>59</w:t>
            </w:r>
          </w:p>
        </w:tc>
        <w:tc>
          <w:tcPr>
            <w:tcW w:w="0" w:type="dxa"/>
            <w:vAlign w:val="bottom"/>
          </w:tcPr>
          <w:p>
            <w:pPr>
              <w:spacing w:after="0"/>
              <w:rPr>
                <w:sz w:val="1"/>
                <w:szCs w:val="1"/>
                <w:color w:val="auto"/>
              </w:rPr>
            </w:pPr>
          </w:p>
        </w:tc>
      </w:tr>
      <w:tr>
        <w:trPr>
          <w:trHeight w:val="243"/>
        </w:trPr>
        <w:tc>
          <w:tcPr>
            <w:tcW w:w="9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98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40" w:type="dxa"/>
            <w:vAlign w:val="bottom"/>
            <w:vMerge w:val="restart"/>
          </w:tcPr>
          <w:p>
            <w:pPr>
              <w:ind w:left="40"/>
              <w:spacing w:after="0"/>
              <w:rPr>
                <w:sz w:val="20"/>
                <w:szCs w:val="20"/>
                <w:color w:val="auto"/>
              </w:rPr>
            </w:pPr>
            <w:r>
              <w:rPr>
                <w:rFonts w:ascii="Arial" w:cs="Arial" w:eastAsia="Arial" w:hAnsi="Arial"/>
                <w:sz w:val="18"/>
                <w:szCs w:val="18"/>
                <w:color w:val="auto"/>
              </w:rPr>
              <w:t>1.11</w:t>
            </w:r>
          </w:p>
        </w:tc>
        <w:tc>
          <w:tcPr>
            <w:tcW w:w="9840" w:type="dxa"/>
            <w:vAlign w:val="bottom"/>
            <w:vMerge w:val="restart"/>
          </w:tcPr>
          <w:p>
            <w:pPr>
              <w:ind w:left="220"/>
              <w:spacing w:after="0"/>
              <w:rPr>
                <w:sz w:val="20"/>
                <w:szCs w:val="20"/>
                <w:color w:val="auto"/>
              </w:rPr>
            </w:pPr>
            <w:r>
              <w:rPr>
                <w:rFonts w:ascii="Arial" w:cs="Arial" w:eastAsia="Arial" w:hAnsi="Arial"/>
                <w:sz w:val="18"/>
                <w:szCs w:val="18"/>
                <w:color w:val="auto"/>
              </w:rPr>
              <w:t>Compliance with Certain Sections</w:t>
            </w:r>
          </w:p>
        </w:tc>
        <w:tc>
          <w:tcPr>
            <w:tcW w:w="180" w:type="dxa"/>
            <w:vAlign w:val="bottom"/>
          </w:tcPr>
          <w:p>
            <w:pPr>
              <w:spacing w:after="0" w:line="202" w:lineRule="exact"/>
              <w:rPr>
                <w:sz w:val="20"/>
                <w:szCs w:val="20"/>
                <w:color w:val="auto"/>
              </w:rPr>
            </w:pPr>
            <w:r>
              <w:rPr>
                <w:rFonts w:ascii="Arial" w:cs="Arial" w:eastAsia="Arial" w:hAnsi="Arial"/>
                <w:sz w:val="18"/>
                <w:szCs w:val="18"/>
                <w:color w:val="FF0000"/>
                <w:strike w:val="1"/>
                <w:w w:val="79"/>
              </w:rPr>
              <w:t>58</w:t>
            </w:r>
          </w:p>
        </w:tc>
        <w:tc>
          <w:tcPr>
            <w:tcW w:w="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0000FF"/>
                <w:w w:val="79"/>
              </w:rPr>
              <w:t>59</w:t>
            </w:r>
          </w:p>
        </w:tc>
        <w:tc>
          <w:tcPr>
            <w:tcW w:w="0" w:type="dxa"/>
            <w:vAlign w:val="bottom"/>
          </w:tcPr>
          <w:p>
            <w:pPr>
              <w:spacing w:after="0"/>
              <w:rPr>
                <w:sz w:val="1"/>
                <w:szCs w:val="1"/>
                <w:color w:val="auto"/>
              </w:rPr>
            </w:pPr>
          </w:p>
        </w:tc>
      </w:tr>
      <w:tr>
        <w:trPr>
          <w:trHeight w:val="237"/>
        </w:trPr>
        <w:tc>
          <w:tcPr>
            <w:tcW w:w="940" w:type="dxa"/>
            <w:vAlign w:val="bottom"/>
            <w:vMerge w:val="continue"/>
          </w:tcPr>
          <w:p>
            <w:pPr>
              <w:spacing w:after="0"/>
              <w:rPr>
                <w:sz w:val="20"/>
                <w:szCs w:val="20"/>
                <w:color w:val="auto"/>
              </w:rPr>
            </w:pPr>
          </w:p>
        </w:tc>
        <w:tc>
          <w:tcPr>
            <w:tcW w:w="98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9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1.12</w:t>
            </w:r>
          </w:p>
        </w:tc>
        <w:tc>
          <w:tcPr>
            <w:tcW w:w="984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Pro Forma and Other Calculations</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FF0000"/>
                <w:strike w:val="1"/>
                <w:w w:val="79"/>
              </w:rPr>
              <w:t>58</w:t>
            </w:r>
          </w:p>
        </w:tc>
        <w:tc>
          <w:tcPr>
            <w:tcW w:w="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0000FF"/>
                <w:w w:val="79"/>
              </w:rPr>
              <w:t>59</w:t>
            </w:r>
          </w:p>
        </w:tc>
        <w:tc>
          <w:tcPr>
            <w:tcW w:w="0" w:type="dxa"/>
            <w:vAlign w:val="bottom"/>
          </w:tcPr>
          <w:p>
            <w:pPr>
              <w:spacing w:after="0"/>
              <w:rPr>
                <w:sz w:val="1"/>
                <w:szCs w:val="1"/>
                <w:color w:val="auto"/>
              </w:rPr>
            </w:pPr>
          </w:p>
        </w:tc>
      </w:tr>
      <w:tr>
        <w:trPr>
          <w:trHeight w:val="243"/>
        </w:trPr>
        <w:tc>
          <w:tcPr>
            <w:tcW w:w="9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98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40" w:type="dxa"/>
            <w:vAlign w:val="bottom"/>
            <w:vMerge w:val="restart"/>
          </w:tcPr>
          <w:p>
            <w:pPr>
              <w:ind w:left="40"/>
              <w:spacing w:after="0"/>
              <w:rPr>
                <w:sz w:val="20"/>
                <w:szCs w:val="20"/>
                <w:color w:val="auto"/>
              </w:rPr>
            </w:pPr>
            <w:r>
              <w:rPr>
                <w:rFonts w:ascii="Arial" w:cs="Arial" w:eastAsia="Arial" w:hAnsi="Arial"/>
                <w:sz w:val="18"/>
                <w:szCs w:val="18"/>
                <w:color w:val="auto"/>
              </w:rPr>
              <w:t>1.13</w:t>
            </w:r>
          </w:p>
        </w:tc>
        <w:tc>
          <w:tcPr>
            <w:tcW w:w="9840" w:type="dxa"/>
            <w:vAlign w:val="bottom"/>
            <w:vMerge w:val="restart"/>
          </w:tcPr>
          <w:p>
            <w:pPr>
              <w:ind w:left="220"/>
              <w:spacing w:after="0"/>
              <w:rPr>
                <w:sz w:val="20"/>
                <w:szCs w:val="20"/>
                <w:color w:val="auto"/>
              </w:rPr>
            </w:pPr>
            <w:r>
              <w:rPr>
                <w:rFonts w:ascii="Arial" w:cs="Arial" w:eastAsia="Arial" w:hAnsi="Arial"/>
                <w:sz w:val="18"/>
                <w:szCs w:val="18"/>
                <w:color w:val="auto"/>
              </w:rPr>
              <w:t>Divisions</w:t>
            </w:r>
          </w:p>
        </w:tc>
        <w:tc>
          <w:tcPr>
            <w:tcW w:w="180" w:type="dxa"/>
            <w:vAlign w:val="bottom"/>
          </w:tcPr>
          <w:p>
            <w:pPr>
              <w:spacing w:after="0" w:line="202" w:lineRule="exact"/>
              <w:rPr>
                <w:sz w:val="20"/>
                <w:szCs w:val="20"/>
                <w:color w:val="auto"/>
              </w:rPr>
            </w:pPr>
            <w:r>
              <w:rPr>
                <w:rFonts w:ascii="Arial" w:cs="Arial" w:eastAsia="Arial" w:hAnsi="Arial"/>
                <w:sz w:val="18"/>
                <w:szCs w:val="18"/>
                <w:color w:val="FF0000"/>
                <w:strike w:val="1"/>
                <w:w w:val="79"/>
              </w:rPr>
              <w:t>60</w:t>
            </w:r>
          </w:p>
        </w:tc>
        <w:tc>
          <w:tcPr>
            <w:tcW w:w="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0000FF"/>
                <w:w w:val="79"/>
              </w:rPr>
              <w:t>61</w:t>
            </w:r>
          </w:p>
        </w:tc>
        <w:tc>
          <w:tcPr>
            <w:tcW w:w="0" w:type="dxa"/>
            <w:vAlign w:val="bottom"/>
          </w:tcPr>
          <w:p>
            <w:pPr>
              <w:spacing w:after="0"/>
              <w:rPr>
                <w:sz w:val="1"/>
                <w:szCs w:val="1"/>
                <w:color w:val="auto"/>
              </w:rPr>
            </w:pPr>
          </w:p>
        </w:tc>
      </w:tr>
      <w:tr>
        <w:trPr>
          <w:trHeight w:val="237"/>
        </w:trPr>
        <w:tc>
          <w:tcPr>
            <w:tcW w:w="940" w:type="dxa"/>
            <w:vAlign w:val="bottom"/>
            <w:vMerge w:val="continue"/>
          </w:tcPr>
          <w:p>
            <w:pPr>
              <w:spacing w:after="0"/>
              <w:rPr>
                <w:sz w:val="20"/>
                <w:szCs w:val="20"/>
                <w:color w:val="auto"/>
              </w:rPr>
            </w:pPr>
          </w:p>
        </w:tc>
        <w:tc>
          <w:tcPr>
            <w:tcW w:w="98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9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1.14</w:t>
            </w:r>
          </w:p>
        </w:tc>
        <w:tc>
          <w:tcPr>
            <w:tcW w:w="984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Amendment and Restatement</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FF0000"/>
                <w:strike w:val="1"/>
                <w:w w:val="79"/>
              </w:rPr>
              <w:t>60</w:t>
            </w:r>
          </w:p>
        </w:tc>
        <w:tc>
          <w:tcPr>
            <w:tcW w:w="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0000FF"/>
                <w:w w:val="79"/>
              </w:rPr>
              <w:t>61</w:t>
            </w:r>
          </w:p>
        </w:tc>
        <w:tc>
          <w:tcPr>
            <w:tcW w:w="0" w:type="dxa"/>
            <w:vAlign w:val="bottom"/>
          </w:tcPr>
          <w:p>
            <w:pPr>
              <w:spacing w:after="0"/>
              <w:rPr>
                <w:sz w:val="1"/>
                <w:szCs w:val="1"/>
                <w:color w:val="auto"/>
              </w:rPr>
            </w:pPr>
          </w:p>
        </w:tc>
      </w:tr>
      <w:tr>
        <w:trPr>
          <w:trHeight w:val="244"/>
        </w:trPr>
        <w:tc>
          <w:tcPr>
            <w:tcW w:w="9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98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40" w:type="dxa"/>
            <w:vAlign w:val="bottom"/>
            <w:vMerge w:val="restart"/>
          </w:tcPr>
          <w:p>
            <w:pPr>
              <w:ind w:left="40"/>
              <w:spacing w:after="0"/>
              <w:rPr>
                <w:sz w:val="20"/>
                <w:szCs w:val="20"/>
                <w:color w:val="auto"/>
              </w:rPr>
            </w:pPr>
            <w:r>
              <w:rPr>
                <w:rFonts w:ascii="Arial" w:cs="Arial" w:eastAsia="Arial" w:hAnsi="Arial"/>
                <w:sz w:val="18"/>
                <w:szCs w:val="18"/>
                <w:color w:val="auto"/>
              </w:rPr>
              <w:t>Section 2</w:t>
            </w:r>
          </w:p>
        </w:tc>
        <w:tc>
          <w:tcPr>
            <w:tcW w:w="9840" w:type="dxa"/>
            <w:vAlign w:val="bottom"/>
            <w:vMerge w:val="restart"/>
          </w:tcPr>
          <w:p>
            <w:pPr>
              <w:ind w:left="220"/>
              <w:spacing w:after="0"/>
              <w:rPr>
                <w:sz w:val="20"/>
                <w:szCs w:val="20"/>
                <w:color w:val="auto"/>
              </w:rPr>
            </w:pPr>
            <w:r>
              <w:rPr>
                <w:rFonts w:ascii="Arial" w:cs="Arial" w:eastAsia="Arial" w:hAnsi="Arial"/>
                <w:sz w:val="18"/>
                <w:szCs w:val="18"/>
                <w:color w:val="auto"/>
              </w:rPr>
              <w:t>Amount and Terms of Credit</w:t>
            </w:r>
          </w:p>
        </w:tc>
        <w:tc>
          <w:tcPr>
            <w:tcW w:w="180" w:type="dxa"/>
            <w:vAlign w:val="bottom"/>
          </w:tcPr>
          <w:p>
            <w:pPr>
              <w:spacing w:after="0" w:line="202" w:lineRule="exact"/>
              <w:rPr>
                <w:sz w:val="20"/>
                <w:szCs w:val="20"/>
                <w:color w:val="auto"/>
              </w:rPr>
            </w:pPr>
            <w:r>
              <w:rPr>
                <w:rFonts w:ascii="Arial" w:cs="Arial" w:eastAsia="Arial" w:hAnsi="Arial"/>
                <w:sz w:val="18"/>
                <w:szCs w:val="18"/>
                <w:color w:val="FF0000"/>
                <w:strike w:val="1"/>
                <w:w w:val="79"/>
              </w:rPr>
              <w:t>60</w:t>
            </w:r>
          </w:p>
        </w:tc>
        <w:tc>
          <w:tcPr>
            <w:tcW w:w="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0000FF"/>
                <w:w w:val="79"/>
              </w:rPr>
              <w:t>61</w:t>
            </w:r>
          </w:p>
        </w:tc>
        <w:tc>
          <w:tcPr>
            <w:tcW w:w="0" w:type="dxa"/>
            <w:vAlign w:val="bottom"/>
          </w:tcPr>
          <w:p>
            <w:pPr>
              <w:spacing w:after="0"/>
              <w:rPr>
                <w:sz w:val="1"/>
                <w:szCs w:val="1"/>
                <w:color w:val="auto"/>
              </w:rPr>
            </w:pPr>
          </w:p>
        </w:tc>
      </w:tr>
      <w:tr>
        <w:trPr>
          <w:trHeight w:val="237"/>
        </w:trPr>
        <w:tc>
          <w:tcPr>
            <w:tcW w:w="940" w:type="dxa"/>
            <w:vAlign w:val="bottom"/>
            <w:vMerge w:val="continue"/>
          </w:tcPr>
          <w:p>
            <w:pPr>
              <w:spacing w:after="0"/>
              <w:rPr>
                <w:sz w:val="20"/>
                <w:szCs w:val="20"/>
                <w:color w:val="auto"/>
              </w:rPr>
            </w:pPr>
          </w:p>
        </w:tc>
        <w:tc>
          <w:tcPr>
            <w:tcW w:w="98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9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2.1</w:t>
            </w:r>
          </w:p>
        </w:tc>
        <w:tc>
          <w:tcPr>
            <w:tcW w:w="984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Commitments</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FF0000"/>
                <w:strike w:val="1"/>
                <w:w w:val="79"/>
              </w:rPr>
              <w:t>60</w:t>
            </w:r>
          </w:p>
        </w:tc>
        <w:tc>
          <w:tcPr>
            <w:tcW w:w="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0000FF"/>
                <w:w w:val="79"/>
              </w:rPr>
              <w:t>61</w:t>
            </w:r>
          </w:p>
        </w:tc>
        <w:tc>
          <w:tcPr>
            <w:tcW w:w="0" w:type="dxa"/>
            <w:vAlign w:val="bottom"/>
          </w:tcPr>
          <w:p>
            <w:pPr>
              <w:spacing w:after="0"/>
              <w:rPr>
                <w:sz w:val="1"/>
                <w:szCs w:val="1"/>
                <w:color w:val="auto"/>
              </w:rPr>
            </w:pPr>
          </w:p>
        </w:tc>
      </w:tr>
      <w:tr>
        <w:trPr>
          <w:trHeight w:val="243"/>
        </w:trPr>
        <w:tc>
          <w:tcPr>
            <w:tcW w:w="9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98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40" w:type="dxa"/>
            <w:vAlign w:val="bottom"/>
            <w:vMerge w:val="restart"/>
          </w:tcPr>
          <w:p>
            <w:pPr>
              <w:ind w:left="40"/>
              <w:spacing w:after="0"/>
              <w:rPr>
                <w:sz w:val="20"/>
                <w:szCs w:val="20"/>
                <w:color w:val="auto"/>
              </w:rPr>
            </w:pPr>
            <w:r>
              <w:rPr>
                <w:rFonts w:ascii="Arial" w:cs="Arial" w:eastAsia="Arial" w:hAnsi="Arial"/>
                <w:sz w:val="18"/>
                <w:szCs w:val="18"/>
                <w:color w:val="auto"/>
              </w:rPr>
              <w:t>2.2</w:t>
            </w:r>
          </w:p>
        </w:tc>
        <w:tc>
          <w:tcPr>
            <w:tcW w:w="9840" w:type="dxa"/>
            <w:vAlign w:val="bottom"/>
            <w:vMerge w:val="restart"/>
          </w:tcPr>
          <w:p>
            <w:pPr>
              <w:ind w:left="220"/>
              <w:spacing w:after="0"/>
              <w:rPr>
                <w:sz w:val="20"/>
                <w:szCs w:val="20"/>
                <w:color w:val="auto"/>
              </w:rPr>
            </w:pPr>
            <w:r>
              <w:rPr>
                <w:rFonts w:ascii="Arial" w:cs="Arial" w:eastAsia="Arial" w:hAnsi="Arial"/>
                <w:sz w:val="18"/>
                <w:szCs w:val="18"/>
                <w:color w:val="auto"/>
              </w:rPr>
              <w:t>Minimum Amount of Each Borrowing; Maximum Number of Borrowings</w:t>
            </w:r>
          </w:p>
        </w:tc>
        <w:tc>
          <w:tcPr>
            <w:tcW w:w="180" w:type="dxa"/>
            <w:vAlign w:val="bottom"/>
          </w:tcPr>
          <w:p>
            <w:pPr>
              <w:spacing w:after="0" w:line="202" w:lineRule="exact"/>
              <w:rPr>
                <w:sz w:val="20"/>
                <w:szCs w:val="20"/>
                <w:color w:val="auto"/>
              </w:rPr>
            </w:pPr>
            <w:r>
              <w:rPr>
                <w:rFonts w:ascii="Arial" w:cs="Arial" w:eastAsia="Arial" w:hAnsi="Arial"/>
                <w:sz w:val="18"/>
                <w:szCs w:val="18"/>
                <w:color w:val="FF0000"/>
                <w:strike w:val="1"/>
                <w:w w:val="79"/>
              </w:rPr>
              <w:t>62</w:t>
            </w:r>
          </w:p>
        </w:tc>
        <w:tc>
          <w:tcPr>
            <w:tcW w:w="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0000FF"/>
                <w:w w:val="79"/>
              </w:rPr>
              <w:t>63</w:t>
            </w:r>
          </w:p>
        </w:tc>
        <w:tc>
          <w:tcPr>
            <w:tcW w:w="0" w:type="dxa"/>
            <w:vAlign w:val="bottom"/>
          </w:tcPr>
          <w:p>
            <w:pPr>
              <w:spacing w:after="0"/>
              <w:rPr>
                <w:sz w:val="1"/>
                <w:szCs w:val="1"/>
                <w:color w:val="auto"/>
              </w:rPr>
            </w:pPr>
          </w:p>
        </w:tc>
      </w:tr>
      <w:tr>
        <w:trPr>
          <w:trHeight w:val="237"/>
        </w:trPr>
        <w:tc>
          <w:tcPr>
            <w:tcW w:w="940" w:type="dxa"/>
            <w:vAlign w:val="bottom"/>
            <w:vMerge w:val="continue"/>
          </w:tcPr>
          <w:p>
            <w:pPr>
              <w:spacing w:after="0"/>
              <w:rPr>
                <w:sz w:val="20"/>
                <w:szCs w:val="20"/>
                <w:color w:val="auto"/>
              </w:rPr>
            </w:pPr>
          </w:p>
        </w:tc>
        <w:tc>
          <w:tcPr>
            <w:tcW w:w="98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9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9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2.3</w:t>
            </w:r>
          </w:p>
        </w:tc>
        <w:tc>
          <w:tcPr>
            <w:tcW w:w="984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Notice of Borrowing</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FF0000"/>
                <w:strike w:val="1"/>
                <w:w w:val="79"/>
              </w:rPr>
              <w:t>62</w:t>
            </w:r>
          </w:p>
        </w:tc>
        <w:tc>
          <w:tcPr>
            <w:tcW w:w="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0000FF"/>
                <w:w w:val="79"/>
              </w:rPr>
              <w:t>63</w:t>
            </w:r>
          </w:p>
        </w:tc>
        <w:tc>
          <w:tcPr>
            <w:tcW w:w="0" w:type="dxa"/>
            <w:vAlign w:val="bottom"/>
          </w:tcPr>
          <w:p>
            <w:pPr>
              <w:spacing w:after="0"/>
              <w:rPr>
                <w:sz w:val="1"/>
                <w:szCs w:val="1"/>
                <w:color w:val="auto"/>
              </w:rPr>
            </w:pPr>
          </w:p>
        </w:tc>
      </w:tr>
      <w:tr>
        <w:trPr>
          <w:trHeight w:val="244"/>
        </w:trPr>
        <w:tc>
          <w:tcPr>
            <w:tcW w:w="9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98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40" w:type="dxa"/>
            <w:vAlign w:val="bottom"/>
            <w:vMerge w:val="restart"/>
          </w:tcPr>
          <w:p>
            <w:pPr>
              <w:ind w:left="40"/>
              <w:spacing w:after="0"/>
              <w:rPr>
                <w:sz w:val="20"/>
                <w:szCs w:val="20"/>
                <w:color w:val="auto"/>
              </w:rPr>
            </w:pPr>
            <w:r>
              <w:rPr>
                <w:rFonts w:ascii="Arial" w:cs="Arial" w:eastAsia="Arial" w:hAnsi="Arial"/>
                <w:sz w:val="18"/>
                <w:szCs w:val="18"/>
                <w:color w:val="auto"/>
              </w:rPr>
              <w:t>2.4</w:t>
            </w:r>
          </w:p>
        </w:tc>
        <w:tc>
          <w:tcPr>
            <w:tcW w:w="9840" w:type="dxa"/>
            <w:vAlign w:val="bottom"/>
            <w:vMerge w:val="restart"/>
          </w:tcPr>
          <w:p>
            <w:pPr>
              <w:ind w:left="220"/>
              <w:spacing w:after="0"/>
              <w:rPr>
                <w:sz w:val="20"/>
                <w:szCs w:val="20"/>
                <w:color w:val="auto"/>
              </w:rPr>
            </w:pPr>
            <w:r>
              <w:rPr>
                <w:rFonts w:ascii="Arial" w:cs="Arial" w:eastAsia="Arial" w:hAnsi="Arial"/>
                <w:sz w:val="18"/>
                <w:szCs w:val="18"/>
                <w:color w:val="auto"/>
              </w:rPr>
              <w:t>Disbursement of Funds</w:t>
            </w:r>
          </w:p>
        </w:tc>
        <w:tc>
          <w:tcPr>
            <w:tcW w:w="180" w:type="dxa"/>
            <w:vAlign w:val="bottom"/>
          </w:tcPr>
          <w:p>
            <w:pPr>
              <w:spacing w:after="0" w:line="202" w:lineRule="exact"/>
              <w:rPr>
                <w:sz w:val="20"/>
                <w:szCs w:val="20"/>
                <w:color w:val="auto"/>
              </w:rPr>
            </w:pPr>
            <w:r>
              <w:rPr>
                <w:rFonts w:ascii="Arial" w:cs="Arial" w:eastAsia="Arial" w:hAnsi="Arial"/>
                <w:sz w:val="18"/>
                <w:szCs w:val="18"/>
                <w:color w:val="FF0000"/>
                <w:strike w:val="1"/>
                <w:w w:val="79"/>
              </w:rPr>
              <w:t>63</w:t>
            </w:r>
          </w:p>
        </w:tc>
        <w:tc>
          <w:tcPr>
            <w:tcW w:w="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0000FF"/>
                <w:w w:val="79"/>
              </w:rPr>
              <w:t>64</w:t>
            </w:r>
          </w:p>
        </w:tc>
        <w:tc>
          <w:tcPr>
            <w:tcW w:w="0" w:type="dxa"/>
            <w:vAlign w:val="bottom"/>
          </w:tcPr>
          <w:p>
            <w:pPr>
              <w:spacing w:after="0"/>
              <w:rPr>
                <w:sz w:val="1"/>
                <w:szCs w:val="1"/>
                <w:color w:val="auto"/>
              </w:rPr>
            </w:pPr>
          </w:p>
        </w:tc>
      </w:tr>
      <w:tr>
        <w:trPr>
          <w:trHeight w:val="237"/>
        </w:trPr>
        <w:tc>
          <w:tcPr>
            <w:tcW w:w="940" w:type="dxa"/>
            <w:vAlign w:val="bottom"/>
            <w:vMerge w:val="continue"/>
          </w:tcPr>
          <w:p>
            <w:pPr>
              <w:spacing w:after="0"/>
              <w:rPr>
                <w:sz w:val="20"/>
                <w:szCs w:val="20"/>
                <w:color w:val="auto"/>
              </w:rPr>
            </w:pPr>
          </w:p>
        </w:tc>
        <w:tc>
          <w:tcPr>
            <w:tcW w:w="98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9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2.5</w:t>
            </w:r>
          </w:p>
        </w:tc>
        <w:tc>
          <w:tcPr>
            <w:tcW w:w="984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Repayment of Loans; Evidence of Debt</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FF0000"/>
                <w:strike w:val="1"/>
                <w:w w:val="79"/>
              </w:rPr>
              <w:t>64</w:t>
            </w:r>
          </w:p>
        </w:tc>
        <w:tc>
          <w:tcPr>
            <w:tcW w:w="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0000FF"/>
                <w:w w:val="79"/>
              </w:rPr>
              <w:t>65</w:t>
            </w:r>
          </w:p>
        </w:tc>
        <w:tc>
          <w:tcPr>
            <w:tcW w:w="0" w:type="dxa"/>
            <w:vAlign w:val="bottom"/>
          </w:tcPr>
          <w:p>
            <w:pPr>
              <w:spacing w:after="0"/>
              <w:rPr>
                <w:sz w:val="1"/>
                <w:szCs w:val="1"/>
                <w:color w:val="auto"/>
              </w:rPr>
            </w:pPr>
          </w:p>
        </w:tc>
      </w:tr>
      <w:tr>
        <w:trPr>
          <w:trHeight w:val="243"/>
        </w:trPr>
        <w:tc>
          <w:tcPr>
            <w:tcW w:w="9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98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40" w:type="dxa"/>
            <w:vAlign w:val="bottom"/>
            <w:vMerge w:val="restart"/>
          </w:tcPr>
          <w:p>
            <w:pPr>
              <w:ind w:left="40"/>
              <w:spacing w:after="0"/>
              <w:rPr>
                <w:sz w:val="20"/>
                <w:szCs w:val="20"/>
                <w:color w:val="auto"/>
              </w:rPr>
            </w:pPr>
            <w:r>
              <w:rPr>
                <w:rFonts w:ascii="Arial" w:cs="Arial" w:eastAsia="Arial" w:hAnsi="Arial"/>
                <w:sz w:val="18"/>
                <w:szCs w:val="18"/>
                <w:color w:val="auto"/>
              </w:rPr>
              <w:t>2.6</w:t>
            </w:r>
          </w:p>
        </w:tc>
        <w:tc>
          <w:tcPr>
            <w:tcW w:w="9840" w:type="dxa"/>
            <w:vAlign w:val="bottom"/>
            <w:vMerge w:val="restart"/>
          </w:tcPr>
          <w:p>
            <w:pPr>
              <w:ind w:left="220"/>
              <w:spacing w:after="0"/>
              <w:rPr>
                <w:sz w:val="20"/>
                <w:szCs w:val="20"/>
                <w:color w:val="auto"/>
              </w:rPr>
            </w:pPr>
            <w:r>
              <w:rPr>
                <w:rFonts w:ascii="Arial" w:cs="Arial" w:eastAsia="Arial" w:hAnsi="Arial"/>
                <w:sz w:val="18"/>
                <w:szCs w:val="18"/>
                <w:color w:val="auto"/>
              </w:rPr>
              <w:t>Conversions and Continuations</w:t>
            </w:r>
          </w:p>
        </w:tc>
        <w:tc>
          <w:tcPr>
            <w:tcW w:w="180" w:type="dxa"/>
            <w:vAlign w:val="bottom"/>
          </w:tcPr>
          <w:p>
            <w:pPr>
              <w:spacing w:after="0" w:line="202" w:lineRule="exact"/>
              <w:rPr>
                <w:sz w:val="20"/>
                <w:szCs w:val="20"/>
                <w:color w:val="auto"/>
              </w:rPr>
            </w:pPr>
            <w:r>
              <w:rPr>
                <w:rFonts w:ascii="Arial" w:cs="Arial" w:eastAsia="Arial" w:hAnsi="Arial"/>
                <w:sz w:val="18"/>
                <w:szCs w:val="18"/>
                <w:color w:val="FF0000"/>
                <w:strike w:val="1"/>
                <w:w w:val="79"/>
              </w:rPr>
              <w:t>66</w:t>
            </w:r>
          </w:p>
        </w:tc>
        <w:tc>
          <w:tcPr>
            <w:tcW w:w="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0000FF"/>
                <w:w w:val="79"/>
              </w:rPr>
              <w:t>67</w:t>
            </w:r>
          </w:p>
        </w:tc>
        <w:tc>
          <w:tcPr>
            <w:tcW w:w="0" w:type="dxa"/>
            <w:vAlign w:val="bottom"/>
          </w:tcPr>
          <w:p>
            <w:pPr>
              <w:spacing w:after="0"/>
              <w:rPr>
                <w:sz w:val="1"/>
                <w:szCs w:val="1"/>
                <w:color w:val="auto"/>
              </w:rPr>
            </w:pPr>
          </w:p>
        </w:tc>
      </w:tr>
      <w:tr>
        <w:trPr>
          <w:trHeight w:val="237"/>
        </w:trPr>
        <w:tc>
          <w:tcPr>
            <w:tcW w:w="940" w:type="dxa"/>
            <w:vAlign w:val="bottom"/>
            <w:vMerge w:val="continue"/>
          </w:tcPr>
          <w:p>
            <w:pPr>
              <w:spacing w:after="0"/>
              <w:rPr>
                <w:sz w:val="20"/>
                <w:szCs w:val="20"/>
                <w:color w:val="auto"/>
              </w:rPr>
            </w:pPr>
          </w:p>
        </w:tc>
        <w:tc>
          <w:tcPr>
            <w:tcW w:w="98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9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9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2.7</w:t>
            </w:r>
          </w:p>
        </w:tc>
        <w:tc>
          <w:tcPr>
            <w:tcW w:w="984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Pro Rata Borrowings</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FF0000"/>
                <w:strike w:val="1"/>
                <w:w w:val="79"/>
              </w:rPr>
              <w:t>67</w:t>
            </w:r>
          </w:p>
        </w:tc>
        <w:tc>
          <w:tcPr>
            <w:tcW w:w="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0000FF"/>
                <w:w w:val="79"/>
              </w:rPr>
              <w:t>68</w:t>
            </w:r>
          </w:p>
        </w:tc>
        <w:tc>
          <w:tcPr>
            <w:tcW w:w="0" w:type="dxa"/>
            <w:vAlign w:val="bottom"/>
          </w:tcPr>
          <w:p>
            <w:pPr>
              <w:spacing w:after="0"/>
              <w:rPr>
                <w:sz w:val="1"/>
                <w:szCs w:val="1"/>
                <w:color w:val="auto"/>
              </w:rPr>
            </w:pPr>
          </w:p>
        </w:tc>
      </w:tr>
      <w:tr>
        <w:trPr>
          <w:trHeight w:val="244"/>
        </w:trPr>
        <w:tc>
          <w:tcPr>
            <w:tcW w:w="9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98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40" w:type="dxa"/>
            <w:vAlign w:val="bottom"/>
            <w:vMerge w:val="restart"/>
          </w:tcPr>
          <w:p>
            <w:pPr>
              <w:ind w:left="40"/>
              <w:spacing w:after="0"/>
              <w:rPr>
                <w:sz w:val="20"/>
                <w:szCs w:val="20"/>
                <w:color w:val="auto"/>
              </w:rPr>
            </w:pPr>
            <w:r>
              <w:rPr>
                <w:rFonts w:ascii="Arial" w:cs="Arial" w:eastAsia="Arial" w:hAnsi="Arial"/>
                <w:sz w:val="18"/>
                <w:szCs w:val="18"/>
                <w:color w:val="auto"/>
              </w:rPr>
              <w:t>2.8</w:t>
            </w:r>
          </w:p>
        </w:tc>
        <w:tc>
          <w:tcPr>
            <w:tcW w:w="9840" w:type="dxa"/>
            <w:vAlign w:val="bottom"/>
            <w:vMerge w:val="restart"/>
          </w:tcPr>
          <w:p>
            <w:pPr>
              <w:ind w:left="220"/>
              <w:spacing w:after="0"/>
              <w:rPr>
                <w:sz w:val="20"/>
                <w:szCs w:val="20"/>
                <w:color w:val="auto"/>
              </w:rPr>
            </w:pPr>
            <w:r>
              <w:rPr>
                <w:rFonts w:ascii="Arial" w:cs="Arial" w:eastAsia="Arial" w:hAnsi="Arial"/>
                <w:sz w:val="18"/>
                <w:szCs w:val="18"/>
                <w:color w:val="auto"/>
              </w:rPr>
              <w:t>Interest</w:t>
            </w:r>
          </w:p>
        </w:tc>
        <w:tc>
          <w:tcPr>
            <w:tcW w:w="180" w:type="dxa"/>
            <w:vAlign w:val="bottom"/>
          </w:tcPr>
          <w:p>
            <w:pPr>
              <w:spacing w:after="0" w:line="202" w:lineRule="exact"/>
              <w:rPr>
                <w:sz w:val="20"/>
                <w:szCs w:val="20"/>
                <w:color w:val="auto"/>
              </w:rPr>
            </w:pPr>
            <w:r>
              <w:rPr>
                <w:rFonts w:ascii="Arial" w:cs="Arial" w:eastAsia="Arial" w:hAnsi="Arial"/>
                <w:sz w:val="18"/>
                <w:szCs w:val="18"/>
                <w:color w:val="FF0000"/>
                <w:strike w:val="1"/>
                <w:w w:val="79"/>
              </w:rPr>
              <w:t>67</w:t>
            </w:r>
          </w:p>
        </w:tc>
        <w:tc>
          <w:tcPr>
            <w:tcW w:w="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0000FF"/>
                <w:w w:val="79"/>
              </w:rPr>
              <w:t>68</w:t>
            </w:r>
          </w:p>
        </w:tc>
        <w:tc>
          <w:tcPr>
            <w:tcW w:w="0" w:type="dxa"/>
            <w:vAlign w:val="bottom"/>
          </w:tcPr>
          <w:p>
            <w:pPr>
              <w:spacing w:after="0"/>
              <w:rPr>
                <w:sz w:val="1"/>
                <w:szCs w:val="1"/>
                <w:color w:val="auto"/>
              </w:rPr>
            </w:pPr>
          </w:p>
        </w:tc>
      </w:tr>
      <w:tr>
        <w:trPr>
          <w:trHeight w:val="236"/>
        </w:trPr>
        <w:tc>
          <w:tcPr>
            <w:tcW w:w="940" w:type="dxa"/>
            <w:vAlign w:val="bottom"/>
            <w:vMerge w:val="continue"/>
          </w:tcPr>
          <w:p>
            <w:pPr>
              <w:spacing w:after="0"/>
              <w:rPr>
                <w:sz w:val="20"/>
                <w:szCs w:val="20"/>
                <w:color w:val="auto"/>
              </w:rPr>
            </w:pPr>
          </w:p>
        </w:tc>
        <w:tc>
          <w:tcPr>
            <w:tcW w:w="98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9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2.9</w:t>
            </w:r>
          </w:p>
        </w:tc>
        <w:tc>
          <w:tcPr>
            <w:tcW w:w="984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Interest Periods</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FF0000"/>
                <w:strike w:val="1"/>
                <w:w w:val="79"/>
              </w:rPr>
              <w:t>68</w:t>
            </w:r>
          </w:p>
        </w:tc>
        <w:tc>
          <w:tcPr>
            <w:tcW w:w="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0000FF"/>
                <w:w w:val="79"/>
              </w:rPr>
              <w:t>69</w:t>
            </w:r>
          </w:p>
        </w:tc>
        <w:tc>
          <w:tcPr>
            <w:tcW w:w="0" w:type="dxa"/>
            <w:vAlign w:val="bottom"/>
          </w:tcPr>
          <w:p>
            <w:pPr>
              <w:spacing w:after="0"/>
              <w:rPr>
                <w:sz w:val="1"/>
                <w:szCs w:val="1"/>
                <w:color w:val="auto"/>
              </w:rPr>
            </w:pPr>
          </w:p>
        </w:tc>
      </w:tr>
      <w:tr>
        <w:trPr>
          <w:trHeight w:val="243"/>
        </w:trPr>
        <w:tc>
          <w:tcPr>
            <w:tcW w:w="9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98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40" w:type="dxa"/>
            <w:vAlign w:val="bottom"/>
            <w:vMerge w:val="restart"/>
          </w:tcPr>
          <w:p>
            <w:pPr>
              <w:ind w:left="40"/>
              <w:spacing w:after="0"/>
              <w:rPr>
                <w:sz w:val="20"/>
                <w:szCs w:val="20"/>
                <w:color w:val="auto"/>
              </w:rPr>
            </w:pPr>
            <w:r>
              <w:rPr>
                <w:rFonts w:ascii="Arial" w:cs="Arial" w:eastAsia="Arial" w:hAnsi="Arial"/>
                <w:sz w:val="18"/>
                <w:szCs w:val="18"/>
                <w:color w:val="auto"/>
              </w:rPr>
              <w:t>2.10</w:t>
            </w:r>
          </w:p>
        </w:tc>
        <w:tc>
          <w:tcPr>
            <w:tcW w:w="9840" w:type="dxa"/>
            <w:vAlign w:val="bottom"/>
            <w:vMerge w:val="restart"/>
          </w:tcPr>
          <w:p>
            <w:pPr>
              <w:ind w:left="220"/>
              <w:spacing w:after="0"/>
              <w:rPr>
                <w:sz w:val="20"/>
                <w:szCs w:val="20"/>
                <w:color w:val="auto"/>
              </w:rPr>
            </w:pPr>
            <w:r>
              <w:rPr>
                <w:rFonts w:ascii="Arial" w:cs="Arial" w:eastAsia="Arial" w:hAnsi="Arial"/>
                <w:sz w:val="18"/>
                <w:szCs w:val="18"/>
                <w:color w:val="auto"/>
              </w:rPr>
              <w:t>Increased Costs, Illegality, Etc</w:t>
            </w:r>
          </w:p>
        </w:tc>
        <w:tc>
          <w:tcPr>
            <w:tcW w:w="180" w:type="dxa"/>
            <w:vAlign w:val="bottom"/>
          </w:tcPr>
          <w:p>
            <w:pPr>
              <w:spacing w:after="0" w:line="202" w:lineRule="exact"/>
              <w:rPr>
                <w:sz w:val="20"/>
                <w:szCs w:val="20"/>
                <w:color w:val="auto"/>
              </w:rPr>
            </w:pPr>
            <w:r>
              <w:rPr>
                <w:rFonts w:ascii="Arial" w:cs="Arial" w:eastAsia="Arial" w:hAnsi="Arial"/>
                <w:sz w:val="18"/>
                <w:szCs w:val="18"/>
                <w:color w:val="FF0000"/>
                <w:strike w:val="1"/>
                <w:w w:val="79"/>
              </w:rPr>
              <w:t>68</w:t>
            </w:r>
          </w:p>
        </w:tc>
        <w:tc>
          <w:tcPr>
            <w:tcW w:w="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0000FF"/>
                <w:w w:val="79"/>
              </w:rPr>
              <w:t>69</w:t>
            </w:r>
          </w:p>
        </w:tc>
        <w:tc>
          <w:tcPr>
            <w:tcW w:w="0" w:type="dxa"/>
            <w:vAlign w:val="bottom"/>
          </w:tcPr>
          <w:p>
            <w:pPr>
              <w:spacing w:after="0"/>
              <w:rPr>
                <w:sz w:val="1"/>
                <w:szCs w:val="1"/>
                <w:color w:val="auto"/>
              </w:rPr>
            </w:pPr>
          </w:p>
        </w:tc>
      </w:tr>
      <w:tr>
        <w:trPr>
          <w:trHeight w:val="236"/>
        </w:trPr>
        <w:tc>
          <w:tcPr>
            <w:tcW w:w="940" w:type="dxa"/>
            <w:vAlign w:val="bottom"/>
            <w:vMerge w:val="continue"/>
          </w:tcPr>
          <w:p>
            <w:pPr>
              <w:spacing w:after="0"/>
              <w:rPr>
                <w:sz w:val="20"/>
                <w:szCs w:val="20"/>
                <w:color w:val="auto"/>
              </w:rPr>
            </w:pPr>
          </w:p>
        </w:tc>
        <w:tc>
          <w:tcPr>
            <w:tcW w:w="98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9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2.11</w:t>
            </w:r>
          </w:p>
        </w:tc>
        <w:tc>
          <w:tcPr>
            <w:tcW w:w="984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Compensation</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FF0000"/>
                <w:strike w:val="1"/>
                <w:w w:val="79"/>
              </w:rPr>
              <w:t>70</w:t>
            </w:r>
          </w:p>
        </w:tc>
        <w:tc>
          <w:tcPr>
            <w:tcW w:w="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0000FF"/>
                <w:w w:val="79"/>
              </w:rPr>
              <w:t>71</w:t>
            </w:r>
          </w:p>
        </w:tc>
        <w:tc>
          <w:tcPr>
            <w:tcW w:w="0" w:type="dxa"/>
            <w:vAlign w:val="bottom"/>
          </w:tcPr>
          <w:p>
            <w:pPr>
              <w:spacing w:after="0"/>
              <w:rPr>
                <w:sz w:val="1"/>
                <w:szCs w:val="1"/>
                <w:color w:val="auto"/>
              </w:rPr>
            </w:pPr>
          </w:p>
        </w:tc>
      </w:tr>
      <w:tr>
        <w:trPr>
          <w:trHeight w:val="244"/>
        </w:trPr>
        <w:tc>
          <w:tcPr>
            <w:tcW w:w="9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98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40" w:type="dxa"/>
            <w:vAlign w:val="bottom"/>
            <w:vMerge w:val="restart"/>
          </w:tcPr>
          <w:p>
            <w:pPr>
              <w:ind w:left="40"/>
              <w:spacing w:after="0"/>
              <w:rPr>
                <w:sz w:val="20"/>
                <w:szCs w:val="20"/>
                <w:color w:val="auto"/>
              </w:rPr>
            </w:pPr>
            <w:r>
              <w:rPr>
                <w:rFonts w:ascii="Arial" w:cs="Arial" w:eastAsia="Arial" w:hAnsi="Arial"/>
                <w:sz w:val="18"/>
                <w:szCs w:val="18"/>
                <w:color w:val="auto"/>
              </w:rPr>
              <w:t>2.12</w:t>
            </w:r>
          </w:p>
        </w:tc>
        <w:tc>
          <w:tcPr>
            <w:tcW w:w="9840" w:type="dxa"/>
            <w:vAlign w:val="bottom"/>
            <w:vMerge w:val="restart"/>
          </w:tcPr>
          <w:p>
            <w:pPr>
              <w:ind w:left="220"/>
              <w:spacing w:after="0"/>
              <w:rPr>
                <w:sz w:val="20"/>
                <w:szCs w:val="20"/>
                <w:color w:val="auto"/>
              </w:rPr>
            </w:pPr>
            <w:r>
              <w:rPr>
                <w:rFonts w:ascii="Arial" w:cs="Arial" w:eastAsia="Arial" w:hAnsi="Arial"/>
                <w:sz w:val="18"/>
                <w:szCs w:val="18"/>
                <w:color w:val="auto"/>
              </w:rPr>
              <w:t>Change of Lending Office</w:t>
            </w:r>
          </w:p>
        </w:tc>
        <w:tc>
          <w:tcPr>
            <w:tcW w:w="180" w:type="dxa"/>
            <w:vAlign w:val="bottom"/>
          </w:tcPr>
          <w:p>
            <w:pPr>
              <w:spacing w:after="0" w:line="202" w:lineRule="exact"/>
              <w:rPr>
                <w:sz w:val="20"/>
                <w:szCs w:val="20"/>
                <w:color w:val="auto"/>
              </w:rPr>
            </w:pPr>
            <w:r>
              <w:rPr>
                <w:rFonts w:ascii="Arial" w:cs="Arial" w:eastAsia="Arial" w:hAnsi="Arial"/>
                <w:sz w:val="18"/>
                <w:szCs w:val="18"/>
                <w:color w:val="FF0000"/>
                <w:strike w:val="1"/>
                <w:w w:val="79"/>
              </w:rPr>
              <w:t>71</w:t>
            </w:r>
          </w:p>
        </w:tc>
        <w:tc>
          <w:tcPr>
            <w:tcW w:w="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0000FF"/>
                <w:w w:val="79"/>
              </w:rPr>
              <w:t>72</w:t>
            </w:r>
          </w:p>
        </w:tc>
        <w:tc>
          <w:tcPr>
            <w:tcW w:w="0" w:type="dxa"/>
            <w:vAlign w:val="bottom"/>
          </w:tcPr>
          <w:p>
            <w:pPr>
              <w:spacing w:after="0"/>
              <w:rPr>
                <w:sz w:val="1"/>
                <w:szCs w:val="1"/>
                <w:color w:val="auto"/>
              </w:rPr>
            </w:pPr>
          </w:p>
        </w:tc>
      </w:tr>
      <w:tr>
        <w:trPr>
          <w:trHeight w:val="236"/>
        </w:trPr>
        <w:tc>
          <w:tcPr>
            <w:tcW w:w="940" w:type="dxa"/>
            <w:vAlign w:val="bottom"/>
            <w:vMerge w:val="continue"/>
          </w:tcPr>
          <w:p>
            <w:pPr>
              <w:spacing w:after="0"/>
              <w:rPr>
                <w:sz w:val="20"/>
                <w:szCs w:val="20"/>
                <w:color w:val="auto"/>
              </w:rPr>
            </w:pPr>
          </w:p>
        </w:tc>
        <w:tc>
          <w:tcPr>
            <w:tcW w:w="98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9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2.13</w:t>
            </w:r>
          </w:p>
        </w:tc>
        <w:tc>
          <w:tcPr>
            <w:tcW w:w="984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Notice of Certain Costs</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FF0000"/>
                <w:strike w:val="1"/>
                <w:w w:val="79"/>
              </w:rPr>
              <w:t>71</w:t>
            </w:r>
          </w:p>
        </w:tc>
        <w:tc>
          <w:tcPr>
            <w:tcW w:w="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0000FF"/>
                <w:w w:val="79"/>
              </w:rPr>
              <w:t>72</w:t>
            </w:r>
          </w:p>
        </w:tc>
        <w:tc>
          <w:tcPr>
            <w:tcW w:w="0" w:type="dxa"/>
            <w:vAlign w:val="bottom"/>
          </w:tcPr>
          <w:p>
            <w:pPr>
              <w:spacing w:after="0"/>
              <w:rPr>
                <w:sz w:val="1"/>
                <w:szCs w:val="1"/>
                <w:color w:val="auto"/>
              </w:rPr>
            </w:pPr>
          </w:p>
        </w:tc>
      </w:tr>
      <w:tr>
        <w:trPr>
          <w:trHeight w:val="244"/>
        </w:trPr>
        <w:tc>
          <w:tcPr>
            <w:tcW w:w="9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98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40" w:type="dxa"/>
            <w:vAlign w:val="bottom"/>
            <w:vMerge w:val="restart"/>
          </w:tcPr>
          <w:p>
            <w:pPr>
              <w:ind w:left="40"/>
              <w:spacing w:after="0"/>
              <w:rPr>
                <w:sz w:val="20"/>
                <w:szCs w:val="20"/>
                <w:color w:val="auto"/>
              </w:rPr>
            </w:pPr>
            <w:r>
              <w:rPr>
                <w:rFonts w:ascii="Arial" w:cs="Arial" w:eastAsia="Arial" w:hAnsi="Arial"/>
                <w:sz w:val="18"/>
                <w:szCs w:val="18"/>
                <w:color w:val="auto"/>
              </w:rPr>
              <w:t>2.14</w:t>
            </w:r>
          </w:p>
        </w:tc>
        <w:tc>
          <w:tcPr>
            <w:tcW w:w="9840" w:type="dxa"/>
            <w:vAlign w:val="bottom"/>
            <w:vMerge w:val="restart"/>
          </w:tcPr>
          <w:p>
            <w:pPr>
              <w:ind w:left="220"/>
              <w:spacing w:after="0"/>
              <w:rPr>
                <w:sz w:val="20"/>
                <w:szCs w:val="20"/>
                <w:color w:val="auto"/>
              </w:rPr>
            </w:pPr>
            <w:r>
              <w:rPr>
                <w:rFonts w:ascii="Arial" w:cs="Arial" w:eastAsia="Arial" w:hAnsi="Arial"/>
                <w:sz w:val="18"/>
                <w:szCs w:val="18"/>
                <w:color w:val="auto"/>
              </w:rPr>
              <w:t>Incremental Facilities</w:t>
            </w:r>
          </w:p>
        </w:tc>
        <w:tc>
          <w:tcPr>
            <w:tcW w:w="180" w:type="dxa"/>
            <w:vAlign w:val="bottom"/>
          </w:tcPr>
          <w:p>
            <w:pPr>
              <w:spacing w:after="0" w:line="202" w:lineRule="exact"/>
              <w:rPr>
                <w:sz w:val="20"/>
                <w:szCs w:val="20"/>
                <w:color w:val="auto"/>
              </w:rPr>
            </w:pPr>
            <w:r>
              <w:rPr>
                <w:rFonts w:ascii="Arial" w:cs="Arial" w:eastAsia="Arial" w:hAnsi="Arial"/>
                <w:sz w:val="18"/>
                <w:szCs w:val="18"/>
                <w:color w:val="FF0000"/>
                <w:strike w:val="1"/>
                <w:w w:val="79"/>
              </w:rPr>
              <w:t>71</w:t>
            </w:r>
          </w:p>
        </w:tc>
        <w:tc>
          <w:tcPr>
            <w:tcW w:w="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0000FF"/>
                <w:w w:val="79"/>
              </w:rPr>
              <w:t>72</w:t>
            </w:r>
          </w:p>
        </w:tc>
        <w:tc>
          <w:tcPr>
            <w:tcW w:w="0" w:type="dxa"/>
            <w:vAlign w:val="bottom"/>
          </w:tcPr>
          <w:p>
            <w:pPr>
              <w:spacing w:after="0"/>
              <w:rPr>
                <w:sz w:val="1"/>
                <w:szCs w:val="1"/>
                <w:color w:val="auto"/>
              </w:rPr>
            </w:pPr>
          </w:p>
        </w:tc>
      </w:tr>
      <w:tr>
        <w:trPr>
          <w:trHeight w:val="236"/>
        </w:trPr>
        <w:tc>
          <w:tcPr>
            <w:tcW w:w="940" w:type="dxa"/>
            <w:vAlign w:val="bottom"/>
            <w:vMerge w:val="continue"/>
          </w:tcPr>
          <w:p>
            <w:pPr>
              <w:spacing w:after="0"/>
              <w:rPr>
                <w:sz w:val="20"/>
                <w:szCs w:val="20"/>
                <w:color w:val="auto"/>
              </w:rPr>
            </w:pPr>
          </w:p>
        </w:tc>
        <w:tc>
          <w:tcPr>
            <w:tcW w:w="98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9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2.15</w:t>
            </w:r>
          </w:p>
        </w:tc>
        <w:tc>
          <w:tcPr>
            <w:tcW w:w="984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[Reserved]</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FF0000"/>
                <w:strike w:val="1"/>
                <w:w w:val="79"/>
              </w:rPr>
              <w:t>75</w:t>
            </w:r>
          </w:p>
        </w:tc>
        <w:tc>
          <w:tcPr>
            <w:tcW w:w="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0000FF"/>
                <w:w w:val="79"/>
              </w:rPr>
              <w:t>76</w:t>
            </w:r>
          </w:p>
        </w:tc>
        <w:tc>
          <w:tcPr>
            <w:tcW w:w="0" w:type="dxa"/>
            <w:vAlign w:val="bottom"/>
          </w:tcPr>
          <w:p>
            <w:pPr>
              <w:spacing w:after="0"/>
              <w:rPr>
                <w:sz w:val="1"/>
                <w:szCs w:val="1"/>
                <w:color w:val="auto"/>
              </w:rPr>
            </w:pPr>
          </w:p>
        </w:tc>
      </w:tr>
      <w:tr>
        <w:trPr>
          <w:trHeight w:val="243"/>
        </w:trPr>
        <w:tc>
          <w:tcPr>
            <w:tcW w:w="9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98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40" w:type="dxa"/>
            <w:vAlign w:val="bottom"/>
            <w:vMerge w:val="restart"/>
          </w:tcPr>
          <w:p>
            <w:pPr>
              <w:ind w:left="40"/>
              <w:spacing w:after="0"/>
              <w:rPr>
                <w:sz w:val="20"/>
                <w:szCs w:val="20"/>
                <w:color w:val="auto"/>
              </w:rPr>
            </w:pPr>
            <w:r>
              <w:rPr>
                <w:rFonts w:ascii="Arial" w:cs="Arial" w:eastAsia="Arial" w:hAnsi="Arial"/>
                <w:sz w:val="18"/>
                <w:szCs w:val="18"/>
                <w:color w:val="auto"/>
              </w:rPr>
              <w:t>2.16</w:t>
            </w:r>
          </w:p>
        </w:tc>
        <w:tc>
          <w:tcPr>
            <w:tcW w:w="9840" w:type="dxa"/>
            <w:vAlign w:val="bottom"/>
            <w:vMerge w:val="restart"/>
          </w:tcPr>
          <w:p>
            <w:pPr>
              <w:ind w:left="220"/>
              <w:spacing w:after="0"/>
              <w:rPr>
                <w:sz w:val="20"/>
                <w:szCs w:val="20"/>
                <w:color w:val="auto"/>
              </w:rPr>
            </w:pPr>
            <w:r>
              <w:rPr>
                <w:rFonts w:ascii="Arial" w:cs="Arial" w:eastAsia="Arial" w:hAnsi="Arial"/>
                <w:sz w:val="18"/>
                <w:szCs w:val="18"/>
                <w:color w:val="auto"/>
              </w:rPr>
              <w:t>Defaulting Lenders</w:t>
            </w:r>
          </w:p>
        </w:tc>
        <w:tc>
          <w:tcPr>
            <w:tcW w:w="180" w:type="dxa"/>
            <w:vAlign w:val="bottom"/>
          </w:tcPr>
          <w:p>
            <w:pPr>
              <w:spacing w:after="0" w:line="202" w:lineRule="exact"/>
              <w:rPr>
                <w:sz w:val="20"/>
                <w:szCs w:val="20"/>
                <w:color w:val="auto"/>
              </w:rPr>
            </w:pPr>
            <w:r>
              <w:rPr>
                <w:rFonts w:ascii="Arial" w:cs="Arial" w:eastAsia="Arial" w:hAnsi="Arial"/>
                <w:sz w:val="18"/>
                <w:szCs w:val="18"/>
                <w:color w:val="FF0000"/>
                <w:strike w:val="1"/>
                <w:w w:val="79"/>
              </w:rPr>
              <w:t>75</w:t>
            </w:r>
          </w:p>
        </w:tc>
        <w:tc>
          <w:tcPr>
            <w:tcW w:w="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0000FF"/>
                <w:w w:val="79"/>
              </w:rPr>
              <w:t>76</w:t>
            </w:r>
          </w:p>
        </w:tc>
        <w:tc>
          <w:tcPr>
            <w:tcW w:w="0" w:type="dxa"/>
            <w:vAlign w:val="bottom"/>
          </w:tcPr>
          <w:p>
            <w:pPr>
              <w:spacing w:after="0"/>
              <w:rPr>
                <w:sz w:val="1"/>
                <w:szCs w:val="1"/>
                <w:color w:val="auto"/>
              </w:rPr>
            </w:pPr>
          </w:p>
        </w:tc>
      </w:tr>
      <w:tr>
        <w:trPr>
          <w:trHeight w:val="237"/>
        </w:trPr>
        <w:tc>
          <w:tcPr>
            <w:tcW w:w="940" w:type="dxa"/>
            <w:vAlign w:val="bottom"/>
            <w:vMerge w:val="continue"/>
          </w:tcPr>
          <w:p>
            <w:pPr>
              <w:spacing w:after="0"/>
              <w:rPr>
                <w:sz w:val="20"/>
                <w:szCs w:val="20"/>
                <w:color w:val="auto"/>
              </w:rPr>
            </w:pPr>
          </w:p>
        </w:tc>
        <w:tc>
          <w:tcPr>
            <w:tcW w:w="98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9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9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Section 3</w:t>
            </w:r>
          </w:p>
        </w:tc>
        <w:tc>
          <w:tcPr>
            <w:tcW w:w="98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Letters of Credit</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FF0000"/>
                <w:strike w:val="1"/>
                <w:w w:val="79"/>
              </w:rPr>
              <w:t>77</w:t>
            </w:r>
          </w:p>
        </w:tc>
        <w:tc>
          <w:tcPr>
            <w:tcW w:w="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0000FF"/>
                <w:w w:val="79"/>
              </w:rPr>
              <w:t>78</w:t>
            </w:r>
          </w:p>
        </w:tc>
        <w:tc>
          <w:tcPr>
            <w:tcW w:w="0" w:type="dxa"/>
            <w:vAlign w:val="bottom"/>
          </w:tcPr>
          <w:p>
            <w:pPr>
              <w:spacing w:after="0"/>
              <w:rPr>
                <w:sz w:val="1"/>
                <w:szCs w:val="1"/>
                <w:color w:val="auto"/>
              </w:rPr>
            </w:pPr>
          </w:p>
        </w:tc>
      </w:tr>
      <w:tr>
        <w:trPr>
          <w:trHeight w:val="97"/>
        </w:trPr>
        <w:tc>
          <w:tcPr>
            <w:tcW w:w="940" w:type="dxa"/>
            <w:vAlign w:val="bottom"/>
            <w:tcBorders>
              <w:top w:val="single" w:sz="8" w:color="CCEEFF"/>
            </w:tcBorders>
            <w:shd w:val="clear" w:color="auto" w:fill="CCEEFF"/>
          </w:tcPr>
          <w:p>
            <w:pPr>
              <w:spacing w:after="0"/>
              <w:rPr>
                <w:sz w:val="8"/>
                <w:szCs w:val="8"/>
                <w:color w:val="auto"/>
              </w:rPr>
            </w:pPr>
          </w:p>
        </w:tc>
        <w:tc>
          <w:tcPr>
            <w:tcW w:w="984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0000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337" w:right="339" w:bottom="0" w:gutter="0" w:footer="0" w:header="0"/>
        </w:sectPr>
      </w:pPr>
    </w:p>
    <w:bookmarkStart w:id="75" w:name="page76"/>
    <w:bookmarkEnd w:id="7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60" w:type="dxa"/>
            <w:vAlign w:val="bottom"/>
            <w:vMerge w:val="restart"/>
          </w:tcPr>
          <w:p>
            <w:pPr>
              <w:ind w:left="40"/>
              <w:spacing w:after="0"/>
              <w:rPr>
                <w:sz w:val="20"/>
                <w:szCs w:val="20"/>
                <w:color w:val="auto"/>
              </w:rPr>
            </w:pPr>
            <w:r>
              <w:rPr>
                <w:rFonts w:ascii="Arial" w:cs="Arial" w:eastAsia="Arial" w:hAnsi="Arial"/>
                <w:sz w:val="18"/>
                <w:szCs w:val="18"/>
                <w:color w:val="auto"/>
              </w:rPr>
              <w:t>3.1</w:t>
            </w:r>
          </w:p>
        </w:tc>
        <w:tc>
          <w:tcPr>
            <w:tcW w:w="10020" w:type="dxa"/>
            <w:vAlign w:val="bottom"/>
            <w:vMerge w:val="restart"/>
          </w:tcPr>
          <w:p>
            <w:pPr>
              <w:ind w:left="400"/>
              <w:spacing w:after="0"/>
              <w:rPr>
                <w:sz w:val="20"/>
                <w:szCs w:val="20"/>
                <w:color w:val="auto"/>
              </w:rPr>
            </w:pPr>
            <w:r>
              <w:rPr>
                <w:rFonts w:ascii="Arial" w:cs="Arial" w:eastAsia="Arial" w:hAnsi="Arial"/>
                <w:sz w:val="18"/>
                <w:szCs w:val="18"/>
                <w:color w:val="auto"/>
              </w:rPr>
              <w:t>Letters of Credit</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77</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0000FF"/>
                <w:w w:val="79"/>
              </w:rPr>
              <w:t>78</w:t>
            </w:r>
          </w:p>
        </w:tc>
        <w:tc>
          <w:tcPr>
            <w:tcW w:w="0" w:type="dxa"/>
            <w:vAlign w:val="bottom"/>
          </w:tcPr>
          <w:p>
            <w:pPr>
              <w:spacing w:after="0"/>
              <w:rPr>
                <w:sz w:val="1"/>
                <w:szCs w:val="1"/>
                <w:color w:val="auto"/>
              </w:rPr>
            </w:pPr>
          </w:p>
        </w:tc>
      </w:tr>
      <w:tr>
        <w:trPr>
          <w:trHeight w:val="237"/>
        </w:trPr>
        <w:tc>
          <w:tcPr>
            <w:tcW w:w="760" w:type="dxa"/>
            <w:vAlign w:val="bottom"/>
            <w:vMerge w:val="continue"/>
          </w:tcPr>
          <w:p>
            <w:pPr>
              <w:spacing w:after="0"/>
              <w:rPr>
                <w:sz w:val="20"/>
                <w:szCs w:val="20"/>
                <w:color w:val="auto"/>
              </w:rPr>
            </w:pPr>
          </w:p>
        </w:tc>
        <w:tc>
          <w:tcPr>
            <w:tcW w:w="100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10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3.2</w:t>
            </w:r>
          </w:p>
        </w:tc>
        <w:tc>
          <w:tcPr>
            <w:tcW w:w="10020" w:type="dxa"/>
            <w:vAlign w:val="bottom"/>
            <w:vMerge w:val="restart"/>
            <w:shd w:val="clear" w:color="auto" w:fill="CCEEFF"/>
          </w:tcPr>
          <w:p>
            <w:pPr>
              <w:ind w:left="400"/>
              <w:spacing w:after="0"/>
              <w:rPr>
                <w:sz w:val="20"/>
                <w:szCs w:val="20"/>
                <w:color w:val="auto"/>
              </w:rPr>
            </w:pPr>
            <w:r>
              <w:rPr>
                <w:rFonts w:ascii="Arial" w:cs="Arial" w:eastAsia="Arial" w:hAnsi="Arial"/>
                <w:sz w:val="18"/>
                <w:szCs w:val="18"/>
                <w:color w:val="auto"/>
              </w:rPr>
              <w:t>Letter of Credit Requests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FF0000"/>
                <w:strike w:val="1"/>
                <w:w w:val="79"/>
              </w:rPr>
              <w:t>78</w:t>
            </w:r>
          </w:p>
        </w:tc>
        <w:tc>
          <w:tcPr>
            <w:tcW w:w="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0000FF"/>
                <w:w w:val="79"/>
              </w:rPr>
              <w:t>79</w:t>
            </w:r>
          </w:p>
        </w:tc>
        <w:tc>
          <w:tcPr>
            <w:tcW w:w="0" w:type="dxa"/>
            <w:vAlign w:val="bottom"/>
          </w:tcPr>
          <w:p>
            <w:pPr>
              <w:spacing w:after="0"/>
              <w:rPr>
                <w:sz w:val="1"/>
                <w:szCs w:val="1"/>
                <w:color w:val="auto"/>
              </w:rPr>
            </w:pPr>
          </w:p>
        </w:tc>
      </w:tr>
      <w:tr>
        <w:trPr>
          <w:trHeight w:val="243"/>
        </w:trPr>
        <w:tc>
          <w:tcPr>
            <w:tcW w:w="76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1002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60" w:type="dxa"/>
            <w:vAlign w:val="bottom"/>
            <w:vMerge w:val="restart"/>
          </w:tcPr>
          <w:p>
            <w:pPr>
              <w:ind w:left="40"/>
              <w:spacing w:after="0"/>
              <w:rPr>
                <w:sz w:val="20"/>
                <w:szCs w:val="20"/>
                <w:color w:val="auto"/>
              </w:rPr>
            </w:pPr>
            <w:r>
              <w:rPr>
                <w:rFonts w:ascii="Arial" w:cs="Arial" w:eastAsia="Arial" w:hAnsi="Arial"/>
                <w:sz w:val="18"/>
                <w:szCs w:val="18"/>
                <w:color w:val="auto"/>
              </w:rPr>
              <w:t>3.3</w:t>
            </w:r>
          </w:p>
        </w:tc>
        <w:tc>
          <w:tcPr>
            <w:tcW w:w="10020" w:type="dxa"/>
            <w:vAlign w:val="bottom"/>
            <w:vMerge w:val="restart"/>
          </w:tcPr>
          <w:p>
            <w:pPr>
              <w:ind w:left="400"/>
              <w:spacing w:after="0"/>
              <w:rPr>
                <w:sz w:val="20"/>
                <w:szCs w:val="20"/>
                <w:color w:val="auto"/>
              </w:rPr>
            </w:pPr>
            <w:r>
              <w:rPr>
                <w:rFonts w:ascii="Arial" w:cs="Arial" w:eastAsia="Arial" w:hAnsi="Arial"/>
                <w:sz w:val="18"/>
                <w:szCs w:val="18"/>
                <w:color w:val="auto"/>
              </w:rPr>
              <w:t>Letter of Credit Participations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FF0000"/>
                <w:strike w:val="1"/>
                <w:w w:val="79"/>
              </w:rPr>
              <w:t>79</w:t>
            </w:r>
          </w:p>
        </w:tc>
        <w:tc>
          <w:tcPr>
            <w:tcW w:w="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0000FF"/>
                <w:w w:val="79"/>
              </w:rPr>
              <w:t>80</w:t>
            </w:r>
          </w:p>
        </w:tc>
        <w:tc>
          <w:tcPr>
            <w:tcW w:w="0" w:type="dxa"/>
            <w:vAlign w:val="bottom"/>
          </w:tcPr>
          <w:p>
            <w:pPr>
              <w:spacing w:after="0"/>
              <w:rPr>
                <w:sz w:val="1"/>
                <w:szCs w:val="1"/>
                <w:color w:val="auto"/>
              </w:rPr>
            </w:pPr>
          </w:p>
        </w:tc>
      </w:tr>
      <w:tr>
        <w:trPr>
          <w:trHeight w:val="237"/>
        </w:trPr>
        <w:tc>
          <w:tcPr>
            <w:tcW w:w="760" w:type="dxa"/>
            <w:vAlign w:val="bottom"/>
            <w:vMerge w:val="continue"/>
          </w:tcPr>
          <w:p>
            <w:pPr>
              <w:spacing w:after="0"/>
              <w:rPr>
                <w:sz w:val="20"/>
                <w:szCs w:val="20"/>
                <w:color w:val="auto"/>
              </w:rPr>
            </w:pPr>
          </w:p>
        </w:tc>
        <w:tc>
          <w:tcPr>
            <w:tcW w:w="100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10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3.4</w:t>
            </w:r>
          </w:p>
        </w:tc>
        <w:tc>
          <w:tcPr>
            <w:tcW w:w="100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Agreement to Repay Letter of Credit Drawings</w:t>
            </w:r>
          </w:p>
        </w:tc>
        <w:tc>
          <w:tcPr>
            <w:tcW w:w="4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3"/>
        </w:trPr>
        <w:tc>
          <w:tcPr>
            <w:tcW w:w="760" w:type="dxa"/>
            <w:vAlign w:val="bottom"/>
            <w:vMerge w:val="restart"/>
          </w:tcPr>
          <w:p>
            <w:pPr>
              <w:ind w:left="40"/>
              <w:spacing w:after="0"/>
              <w:rPr>
                <w:sz w:val="20"/>
                <w:szCs w:val="20"/>
                <w:color w:val="auto"/>
              </w:rPr>
            </w:pPr>
            <w:r>
              <w:rPr>
                <w:rFonts w:ascii="Arial" w:cs="Arial" w:eastAsia="Arial" w:hAnsi="Arial"/>
                <w:sz w:val="18"/>
                <w:szCs w:val="18"/>
                <w:color w:val="auto"/>
              </w:rPr>
              <w:t>3.5</w:t>
            </w:r>
          </w:p>
        </w:tc>
        <w:tc>
          <w:tcPr>
            <w:tcW w:w="10020" w:type="dxa"/>
            <w:vAlign w:val="bottom"/>
            <w:vMerge w:val="restart"/>
          </w:tcPr>
          <w:p>
            <w:pPr>
              <w:ind w:left="400"/>
              <w:spacing w:after="0"/>
              <w:rPr>
                <w:sz w:val="20"/>
                <w:szCs w:val="20"/>
                <w:color w:val="auto"/>
              </w:rPr>
            </w:pPr>
            <w:r>
              <w:rPr>
                <w:rFonts w:ascii="Arial" w:cs="Arial" w:eastAsia="Arial" w:hAnsi="Arial"/>
                <w:sz w:val="18"/>
                <w:szCs w:val="18"/>
                <w:color w:val="auto"/>
              </w:rPr>
              <w:t>Increased Costs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FF0000"/>
                <w:strike w:val="1"/>
                <w:w w:val="79"/>
              </w:rPr>
              <w:t>82</w:t>
            </w:r>
          </w:p>
        </w:tc>
        <w:tc>
          <w:tcPr>
            <w:tcW w:w="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0000FF"/>
                <w:w w:val="79"/>
              </w:rPr>
              <w:t>83</w:t>
            </w:r>
          </w:p>
        </w:tc>
        <w:tc>
          <w:tcPr>
            <w:tcW w:w="0" w:type="dxa"/>
            <w:vAlign w:val="bottom"/>
          </w:tcPr>
          <w:p>
            <w:pPr>
              <w:spacing w:after="0"/>
              <w:rPr>
                <w:sz w:val="1"/>
                <w:szCs w:val="1"/>
                <w:color w:val="auto"/>
              </w:rPr>
            </w:pPr>
          </w:p>
        </w:tc>
      </w:tr>
      <w:tr>
        <w:trPr>
          <w:trHeight w:val="237"/>
        </w:trPr>
        <w:tc>
          <w:tcPr>
            <w:tcW w:w="760" w:type="dxa"/>
            <w:vAlign w:val="bottom"/>
            <w:vMerge w:val="continue"/>
          </w:tcPr>
          <w:p>
            <w:pPr>
              <w:spacing w:after="0"/>
              <w:rPr>
                <w:sz w:val="20"/>
                <w:szCs w:val="20"/>
                <w:color w:val="auto"/>
              </w:rPr>
            </w:pPr>
          </w:p>
        </w:tc>
        <w:tc>
          <w:tcPr>
            <w:tcW w:w="100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10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3.6</w:t>
            </w:r>
          </w:p>
        </w:tc>
        <w:tc>
          <w:tcPr>
            <w:tcW w:w="10020" w:type="dxa"/>
            <w:vAlign w:val="bottom"/>
            <w:vMerge w:val="restart"/>
            <w:shd w:val="clear" w:color="auto" w:fill="CCEEFF"/>
          </w:tcPr>
          <w:p>
            <w:pPr>
              <w:ind w:left="400"/>
              <w:spacing w:after="0"/>
              <w:rPr>
                <w:sz w:val="20"/>
                <w:szCs w:val="20"/>
                <w:color w:val="auto"/>
              </w:rPr>
            </w:pPr>
            <w:r>
              <w:rPr>
                <w:rFonts w:ascii="Arial" w:cs="Arial" w:eastAsia="Arial" w:hAnsi="Arial"/>
                <w:sz w:val="18"/>
                <w:szCs w:val="18"/>
                <w:color w:val="auto"/>
              </w:rPr>
              <w:t>New or Successor Letter of Credit Issuer</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FF0000"/>
                <w:strike w:val="1"/>
                <w:w w:val="79"/>
              </w:rPr>
              <w:t>83</w:t>
            </w:r>
          </w:p>
        </w:tc>
        <w:tc>
          <w:tcPr>
            <w:tcW w:w="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0000FF"/>
                <w:w w:val="79"/>
              </w:rPr>
              <w:t>84</w:t>
            </w:r>
          </w:p>
        </w:tc>
        <w:tc>
          <w:tcPr>
            <w:tcW w:w="0" w:type="dxa"/>
            <w:vAlign w:val="bottom"/>
          </w:tcPr>
          <w:p>
            <w:pPr>
              <w:spacing w:after="0"/>
              <w:rPr>
                <w:sz w:val="1"/>
                <w:szCs w:val="1"/>
                <w:color w:val="auto"/>
              </w:rPr>
            </w:pPr>
          </w:p>
        </w:tc>
      </w:tr>
      <w:tr>
        <w:trPr>
          <w:trHeight w:val="243"/>
        </w:trPr>
        <w:tc>
          <w:tcPr>
            <w:tcW w:w="76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1002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0" w:type="dxa"/>
            <w:vAlign w:val="bottom"/>
          </w:tcPr>
          <w:p>
            <w:pPr>
              <w:ind w:left="40"/>
              <w:spacing w:after="0"/>
              <w:rPr>
                <w:sz w:val="20"/>
                <w:szCs w:val="20"/>
                <w:color w:val="auto"/>
              </w:rPr>
            </w:pPr>
            <w:r>
              <w:rPr>
                <w:rFonts w:ascii="Arial" w:cs="Arial" w:eastAsia="Arial" w:hAnsi="Arial"/>
                <w:sz w:val="18"/>
                <w:szCs w:val="18"/>
                <w:color w:val="auto"/>
              </w:rPr>
              <w:t>3.7</w:t>
            </w:r>
          </w:p>
        </w:tc>
        <w:tc>
          <w:tcPr>
            <w:tcW w:w="10020" w:type="dxa"/>
            <w:vAlign w:val="bottom"/>
          </w:tcPr>
          <w:p>
            <w:pPr>
              <w:ind w:left="400"/>
              <w:spacing w:after="0"/>
              <w:rPr>
                <w:sz w:val="20"/>
                <w:szCs w:val="20"/>
                <w:color w:val="auto"/>
              </w:rPr>
            </w:pPr>
            <w:r>
              <w:rPr>
                <w:rFonts w:ascii="Arial" w:cs="Arial" w:eastAsia="Arial" w:hAnsi="Arial"/>
                <w:sz w:val="18"/>
                <w:szCs w:val="18"/>
                <w:color w:val="auto"/>
              </w:rPr>
              <w:t>Role of Letter of Credit Issuer</w:t>
            </w:r>
          </w:p>
        </w:tc>
        <w:tc>
          <w:tcPr>
            <w:tcW w:w="460" w:type="dxa"/>
            <w:vAlign w:val="bottom"/>
            <w:gridSpan w:val="3"/>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10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3.8</w:t>
            </w:r>
          </w:p>
        </w:tc>
        <w:tc>
          <w:tcPr>
            <w:tcW w:w="10020" w:type="dxa"/>
            <w:vAlign w:val="bottom"/>
            <w:vMerge w:val="restart"/>
            <w:shd w:val="clear" w:color="auto" w:fill="CCEEFF"/>
          </w:tcPr>
          <w:p>
            <w:pPr>
              <w:ind w:left="400"/>
              <w:spacing w:after="0"/>
              <w:rPr>
                <w:sz w:val="20"/>
                <w:szCs w:val="20"/>
                <w:color w:val="auto"/>
              </w:rPr>
            </w:pPr>
            <w:r>
              <w:rPr>
                <w:rFonts w:ascii="Arial" w:cs="Arial" w:eastAsia="Arial" w:hAnsi="Arial"/>
                <w:sz w:val="18"/>
                <w:szCs w:val="18"/>
                <w:color w:val="auto"/>
              </w:rPr>
              <w:t>Cash Collateral</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FF0000"/>
                <w:strike w:val="1"/>
                <w:w w:val="79"/>
              </w:rPr>
              <w:t>84</w:t>
            </w:r>
          </w:p>
        </w:tc>
        <w:tc>
          <w:tcPr>
            <w:tcW w:w="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0000FF"/>
                <w:w w:val="79"/>
              </w:rPr>
              <w:t>85</w:t>
            </w:r>
          </w:p>
        </w:tc>
        <w:tc>
          <w:tcPr>
            <w:tcW w:w="0" w:type="dxa"/>
            <w:vAlign w:val="bottom"/>
          </w:tcPr>
          <w:p>
            <w:pPr>
              <w:spacing w:after="0"/>
              <w:rPr>
                <w:sz w:val="1"/>
                <w:szCs w:val="1"/>
                <w:color w:val="auto"/>
              </w:rPr>
            </w:pPr>
          </w:p>
        </w:tc>
      </w:tr>
      <w:tr>
        <w:trPr>
          <w:trHeight w:val="243"/>
        </w:trPr>
        <w:tc>
          <w:tcPr>
            <w:tcW w:w="76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1002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60" w:type="dxa"/>
            <w:vAlign w:val="bottom"/>
            <w:vMerge w:val="restart"/>
          </w:tcPr>
          <w:p>
            <w:pPr>
              <w:ind w:left="40"/>
              <w:spacing w:after="0"/>
              <w:rPr>
                <w:sz w:val="20"/>
                <w:szCs w:val="20"/>
                <w:color w:val="auto"/>
              </w:rPr>
            </w:pPr>
            <w:r>
              <w:rPr>
                <w:rFonts w:ascii="Arial" w:cs="Arial" w:eastAsia="Arial" w:hAnsi="Arial"/>
                <w:sz w:val="18"/>
                <w:szCs w:val="18"/>
                <w:color w:val="auto"/>
              </w:rPr>
              <w:t>3.9</w:t>
            </w:r>
          </w:p>
        </w:tc>
        <w:tc>
          <w:tcPr>
            <w:tcW w:w="10020" w:type="dxa"/>
            <w:vAlign w:val="bottom"/>
            <w:vMerge w:val="restart"/>
          </w:tcPr>
          <w:p>
            <w:pPr>
              <w:ind w:left="400"/>
              <w:spacing w:after="0"/>
              <w:rPr>
                <w:sz w:val="20"/>
                <w:szCs w:val="20"/>
                <w:color w:val="auto"/>
              </w:rPr>
            </w:pPr>
            <w:r>
              <w:rPr>
                <w:rFonts w:ascii="Arial" w:cs="Arial" w:eastAsia="Arial" w:hAnsi="Arial"/>
                <w:sz w:val="18"/>
                <w:szCs w:val="18"/>
                <w:color w:val="auto"/>
              </w:rPr>
              <w:t>Applicability of ISP</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FF0000"/>
                <w:strike w:val="1"/>
                <w:w w:val="79"/>
              </w:rPr>
              <w:t>85</w:t>
            </w:r>
          </w:p>
        </w:tc>
        <w:tc>
          <w:tcPr>
            <w:tcW w:w="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0000FF"/>
                <w:w w:val="79"/>
              </w:rPr>
              <w:t>86</w:t>
            </w:r>
          </w:p>
        </w:tc>
        <w:tc>
          <w:tcPr>
            <w:tcW w:w="0" w:type="dxa"/>
            <w:vAlign w:val="bottom"/>
          </w:tcPr>
          <w:p>
            <w:pPr>
              <w:spacing w:after="0"/>
              <w:rPr>
                <w:sz w:val="1"/>
                <w:szCs w:val="1"/>
                <w:color w:val="auto"/>
              </w:rPr>
            </w:pPr>
          </w:p>
        </w:tc>
      </w:tr>
      <w:tr>
        <w:trPr>
          <w:trHeight w:val="237"/>
        </w:trPr>
        <w:tc>
          <w:tcPr>
            <w:tcW w:w="760" w:type="dxa"/>
            <w:vAlign w:val="bottom"/>
            <w:vMerge w:val="continue"/>
          </w:tcPr>
          <w:p>
            <w:pPr>
              <w:spacing w:after="0"/>
              <w:rPr>
                <w:sz w:val="20"/>
                <w:szCs w:val="20"/>
                <w:color w:val="auto"/>
              </w:rPr>
            </w:pPr>
          </w:p>
        </w:tc>
        <w:tc>
          <w:tcPr>
            <w:tcW w:w="100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10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3.10</w:t>
            </w:r>
          </w:p>
        </w:tc>
        <w:tc>
          <w:tcPr>
            <w:tcW w:w="10020" w:type="dxa"/>
            <w:vAlign w:val="bottom"/>
            <w:vMerge w:val="restart"/>
            <w:shd w:val="clear" w:color="auto" w:fill="CCEEFF"/>
          </w:tcPr>
          <w:p>
            <w:pPr>
              <w:ind w:left="400"/>
              <w:spacing w:after="0"/>
              <w:rPr>
                <w:sz w:val="20"/>
                <w:szCs w:val="20"/>
                <w:color w:val="auto"/>
              </w:rPr>
            </w:pPr>
            <w:r>
              <w:rPr>
                <w:rFonts w:ascii="Arial" w:cs="Arial" w:eastAsia="Arial" w:hAnsi="Arial"/>
                <w:sz w:val="18"/>
                <w:szCs w:val="18"/>
                <w:color w:val="auto"/>
              </w:rPr>
              <w:t>Conflict with Issuer Documents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FF0000"/>
                <w:strike w:val="1"/>
                <w:w w:val="79"/>
              </w:rPr>
              <w:t>85</w:t>
            </w:r>
          </w:p>
        </w:tc>
        <w:tc>
          <w:tcPr>
            <w:tcW w:w="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0000FF"/>
                <w:w w:val="79"/>
              </w:rPr>
              <w:t>86</w:t>
            </w:r>
          </w:p>
        </w:tc>
        <w:tc>
          <w:tcPr>
            <w:tcW w:w="0" w:type="dxa"/>
            <w:vAlign w:val="bottom"/>
          </w:tcPr>
          <w:p>
            <w:pPr>
              <w:spacing w:after="0"/>
              <w:rPr>
                <w:sz w:val="1"/>
                <w:szCs w:val="1"/>
                <w:color w:val="auto"/>
              </w:rPr>
            </w:pPr>
          </w:p>
        </w:tc>
      </w:tr>
      <w:tr>
        <w:trPr>
          <w:trHeight w:val="243"/>
        </w:trPr>
        <w:tc>
          <w:tcPr>
            <w:tcW w:w="76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1002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60" w:type="dxa"/>
            <w:vAlign w:val="bottom"/>
            <w:vMerge w:val="restart"/>
          </w:tcPr>
          <w:p>
            <w:pPr>
              <w:ind w:left="40"/>
              <w:spacing w:after="0"/>
              <w:rPr>
                <w:sz w:val="20"/>
                <w:szCs w:val="20"/>
                <w:color w:val="auto"/>
              </w:rPr>
            </w:pPr>
            <w:r>
              <w:rPr>
                <w:rFonts w:ascii="Arial" w:cs="Arial" w:eastAsia="Arial" w:hAnsi="Arial"/>
                <w:sz w:val="18"/>
                <w:szCs w:val="18"/>
                <w:color w:val="auto"/>
              </w:rPr>
              <w:t>3.11</w:t>
            </w:r>
          </w:p>
        </w:tc>
        <w:tc>
          <w:tcPr>
            <w:tcW w:w="10020" w:type="dxa"/>
            <w:vAlign w:val="bottom"/>
            <w:vMerge w:val="restart"/>
          </w:tcPr>
          <w:p>
            <w:pPr>
              <w:ind w:left="400"/>
              <w:spacing w:after="0"/>
              <w:rPr>
                <w:sz w:val="20"/>
                <w:szCs w:val="20"/>
                <w:color w:val="auto"/>
              </w:rPr>
            </w:pPr>
            <w:r>
              <w:rPr>
                <w:rFonts w:ascii="Arial" w:cs="Arial" w:eastAsia="Arial" w:hAnsi="Arial"/>
                <w:sz w:val="18"/>
                <w:szCs w:val="18"/>
                <w:color w:val="auto"/>
              </w:rPr>
              <w:t>Letters of Credit Issued for Restricted Subsidiaries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FF0000"/>
                <w:strike w:val="1"/>
                <w:w w:val="79"/>
              </w:rPr>
              <w:t>85</w:t>
            </w:r>
          </w:p>
        </w:tc>
        <w:tc>
          <w:tcPr>
            <w:tcW w:w="2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0000FF"/>
                <w:w w:val="79"/>
              </w:rPr>
              <w:t>86</w:t>
            </w:r>
          </w:p>
        </w:tc>
        <w:tc>
          <w:tcPr>
            <w:tcW w:w="0" w:type="dxa"/>
            <w:vAlign w:val="bottom"/>
          </w:tcPr>
          <w:p>
            <w:pPr>
              <w:spacing w:after="0"/>
              <w:rPr>
                <w:sz w:val="1"/>
                <w:szCs w:val="1"/>
                <w:color w:val="auto"/>
              </w:rPr>
            </w:pPr>
          </w:p>
        </w:tc>
      </w:tr>
      <w:tr>
        <w:trPr>
          <w:trHeight w:val="237"/>
        </w:trPr>
        <w:tc>
          <w:tcPr>
            <w:tcW w:w="760" w:type="dxa"/>
            <w:vAlign w:val="bottom"/>
            <w:vMerge w:val="continue"/>
          </w:tcPr>
          <w:p>
            <w:pPr>
              <w:spacing w:after="0"/>
              <w:rPr>
                <w:sz w:val="20"/>
                <w:szCs w:val="20"/>
                <w:color w:val="auto"/>
              </w:rPr>
            </w:pPr>
          </w:p>
        </w:tc>
        <w:tc>
          <w:tcPr>
            <w:tcW w:w="100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10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3.12</w:t>
            </w:r>
          </w:p>
        </w:tc>
        <w:tc>
          <w:tcPr>
            <w:tcW w:w="10020" w:type="dxa"/>
            <w:vAlign w:val="bottom"/>
            <w:vMerge w:val="restart"/>
            <w:shd w:val="clear" w:color="auto" w:fill="CCEEFF"/>
          </w:tcPr>
          <w:p>
            <w:pPr>
              <w:ind w:left="400"/>
              <w:spacing w:after="0"/>
              <w:rPr>
                <w:sz w:val="20"/>
                <w:szCs w:val="20"/>
                <w:color w:val="auto"/>
              </w:rPr>
            </w:pPr>
            <w:r>
              <w:rPr>
                <w:rFonts w:ascii="Arial" w:cs="Arial" w:eastAsia="Arial" w:hAnsi="Arial"/>
                <w:sz w:val="18"/>
                <w:szCs w:val="18"/>
                <w:color w:val="auto"/>
              </w:rPr>
              <w:t>Provisions Related to Extended Revolving Credit Commitments</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FF0000"/>
                <w:strike w:val="1"/>
                <w:w w:val="79"/>
              </w:rPr>
              <w:t>85</w:t>
            </w:r>
          </w:p>
        </w:tc>
        <w:tc>
          <w:tcPr>
            <w:tcW w:w="2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0000FF"/>
                <w:w w:val="79"/>
              </w:rPr>
              <w:t>86</w:t>
            </w:r>
          </w:p>
        </w:tc>
        <w:tc>
          <w:tcPr>
            <w:tcW w:w="0" w:type="dxa"/>
            <w:vAlign w:val="bottom"/>
          </w:tcPr>
          <w:p>
            <w:pPr>
              <w:spacing w:after="0"/>
              <w:rPr>
                <w:sz w:val="1"/>
                <w:szCs w:val="1"/>
                <w:color w:val="auto"/>
              </w:rPr>
            </w:pPr>
          </w:p>
        </w:tc>
      </w:tr>
      <w:tr>
        <w:trPr>
          <w:trHeight w:val="237"/>
        </w:trPr>
        <w:tc>
          <w:tcPr>
            <w:tcW w:w="760" w:type="dxa"/>
            <w:vAlign w:val="bottom"/>
            <w:tcBorders>
              <w:top w:val="single" w:sz="8" w:color="CCEEFF"/>
            </w:tcBorders>
            <w:vMerge w:val="continue"/>
            <w:shd w:val="clear" w:color="auto" w:fill="CCEEFF"/>
          </w:tcPr>
          <w:p>
            <w:pPr>
              <w:spacing w:after="0"/>
              <w:rPr>
                <w:sz w:val="20"/>
                <w:szCs w:val="20"/>
                <w:color w:val="auto"/>
              </w:rPr>
            </w:pPr>
          </w:p>
        </w:tc>
        <w:tc>
          <w:tcPr>
            <w:tcW w:w="10020" w:type="dxa"/>
            <w:vAlign w:val="bottom"/>
            <w:tcBorders>
              <w:top w:val="single" w:sz="8" w:color="CCEEFF"/>
            </w:tcBorders>
            <w:vMerge w:val="continue"/>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 w:type="dxa"/>
            <w:vAlign w:val="bottom"/>
            <w:shd w:val="clear" w:color="auto" w:fill="CCEEFF"/>
          </w:tcPr>
          <w:p>
            <w:pPr>
              <w:spacing w:after="0"/>
              <w:rPr>
                <w:sz w:val="2"/>
                <w:szCs w:val="2"/>
                <w:color w:val="auto"/>
              </w:rPr>
            </w:pPr>
          </w:p>
        </w:tc>
        <w:tc>
          <w:tcPr>
            <w:tcW w:w="100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40"/>
          </w:cols>
          <w:pgMar w:left="320" w:top="378" w:right="339" w:bottom="1440" w:gutter="0" w:footer="0" w:header="0"/>
        </w:sectPr>
      </w:pPr>
    </w:p>
    <w:bookmarkStart w:id="76" w:name="page77"/>
    <w:bookmarkEnd w:id="7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19"/>
                <w:szCs w:val="19"/>
                <w:color w:val="auto"/>
              </w:rPr>
            </w:pPr>
          </w:p>
        </w:tc>
        <w:tc>
          <w:tcPr>
            <w:tcW w:w="9920" w:type="dxa"/>
            <w:vAlign w:val="bottom"/>
          </w:tcPr>
          <w:p>
            <w:pPr>
              <w:spacing w:after="0"/>
              <w:rPr>
                <w:sz w:val="19"/>
                <w:szCs w:val="19"/>
                <w:color w:val="auto"/>
              </w:rPr>
            </w:pPr>
          </w:p>
        </w:tc>
        <w:tc>
          <w:tcPr>
            <w:tcW w:w="38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w w:val="76"/>
              </w:rPr>
              <w:t>Page</w:t>
            </w:r>
          </w:p>
        </w:tc>
        <w:tc>
          <w:tcPr>
            <w:tcW w:w="0" w:type="dxa"/>
            <w:vAlign w:val="bottom"/>
          </w:tcPr>
          <w:p>
            <w:pPr>
              <w:spacing w:after="0"/>
              <w:rPr>
                <w:sz w:val="1"/>
                <w:szCs w:val="1"/>
                <w:color w:val="auto"/>
              </w:rPr>
            </w:pPr>
          </w:p>
        </w:tc>
      </w:tr>
      <w:tr>
        <w:trPr>
          <w:trHeight w:val="372"/>
        </w:trPr>
        <w:tc>
          <w:tcPr>
            <w:tcW w:w="940" w:type="dxa"/>
            <w:vAlign w:val="bottom"/>
          </w:tcPr>
          <w:p>
            <w:pPr>
              <w:spacing w:after="0"/>
              <w:rPr>
                <w:sz w:val="24"/>
                <w:szCs w:val="24"/>
                <w:color w:val="auto"/>
              </w:rPr>
            </w:pPr>
          </w:p>
        </w:tc>
        <w:tc>
          <w:tcPr>
            <w:tcW w:w="9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Section 4</w:t>
            </w:r>
          </w:p>
        </w:tc>
        <w:tc>
          <w:tcPr>
            <w:tcW w:w="992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Fees</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FF0000"/>
                <w:strike w:val="1"/>
                <w:w w:val="79"/>
              </w:rPr>
              <w:t>86</w:t>
            </w:r>
          </w:p>
        </w:tc>
        <w:tc>
          <w:tcPr>
            <w:tcW w:w="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0000FF"/>
                <w:w w:val="79"/>
              </w:rPr>
              <w:t>87</w:t>
            </w:r>
          </w:p>
        </w:tc>
        <w:tc>
          <w:tcPr>
            <w:tcW w:w="0" w:type="dxa"/>
            <w:vAlign w:val="bottom"/>
          </w:tcPr>
          <w:p>
            <w:pPr>
              <w:spacing w:after="0"/>
              <w:rPr>
                <w:sz w:val="1"/>
                <w:szCs w:val="1"/>
                <w:color w:val="auto"/>
              </w:rPr>
            </w:pPr>
          </w:p>
        </w:tc>
      </w:tr>
      <w:tr>
        <w:trPr>
          <w:trHeight w:val="459"/>
        </w:trPr>
        <w:tc>
          <w:tcPr>
            <w:tcW w:w="940" w:type="dxa"/>
            <w:vAlign w:val="bottom"/>
            <w:tcBorders>
              <w:top w:val="single" w:sz="8" w:color="CCEEFF"/>
              <w:bottom w:val="single" w:sz="8" w:color="CCEEFF"/>
            </w:tcBorders>
            <w:vMerge w:val="continue"/>
            <w:shd w:val="clear" w:color="auto" w:fill="CCEEFF"/>
          </w:tcPr>
          <w:p>
            <w:pPr>
              <w:spacing w:after="0"/>
              <w:rPr>
                <w:sz w:val="24"/>
                <w:szCs w:val="24"/>
                <w:color w:val="auto"/>
              </w:rPr>
            </w:pPr>
          </w:p>
        </w:tc>
        <w:tc>
          <w:tcPr>
            <w:tcW w:w="9920" w:type="dxa"/>
            <w:vAlign w:val="bottom"/>
            <w:tcBorders>
              <w:top w:val="single" w:sz="8" w:color="CCEEFF"/>
              <w:bottom w:val="single" w:sz="8" w:color="CCEEFF"/>
            </w:tcBorders>
            <w:vMerge w:val="continue"/>
            <w:shd w:val="clear" w:color="auto" w:fill="CCEEFF"/>
          </w:tcPr>
          <w:p>
            <w:pPr>
              <w:spacing w:after="0"/>
              <w:rPr>
                <w:sz w:val="24"/>
                <w:szCs w:val="24"/>
                <w:color w:val="auto"/>
              </w:rPr>
            </w:pPr>
          </w:p>
        </w:tc>
        <w:tc>
          <w:tcPr>
            <w:tcW w:w="18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0000FF"/>
              <w:bottom w:val="single" w:sz="8" w:color="CCEEFF"/>
            </w:tcBorders>
            <w:shd w:val="clear" w:color="auto" w:fill="CCEEFF"/>
          </w:tcPr>
          <w:p>
            <w:pPr>
              <w:spacing w:after="0"/>
              <w:rPr>
                <w:sz w:val="24"/>
                <w:szCs w:val="24"/>
                <w:color w:val="auto"/>
              </w:rPr>
            </w:pPr>
          </w:p>
        </w:tc>
        <w:tc>
          <w:tcPr>
            <w:tcW w:w="20" w:type="dxa"/>
            <w:vAlign w:val="bottom"/>
            <w:tcBorders>
              <w:top w:val="single" w:sz="8" w:color="CCEEFF"/>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940" w:type="dxa"/>
            <w:vAlign w:val="bottom"/>
            <w:vMerge w:val="restart"/>
          </w:tcPr>
          <w:p>
            <w:pPr>
              <w:ind w:left="40"/>
              <w:spacing w:after="0"/>
              <w:rPr>
                <w:sz w:val="20"/>
                <w:szCs w:val="20"/>
                <w:color w:val="auto"/>
              </w:rPr>
            </w:pPr>
            <w:r>
              <w:rPr>
                <w:rFonts w:ascii="Arial" w:cs="Arial" w:eastAsia="Arial" w:hAnsi="Arial"/>
                <w:sz w:val="18"/>
                <w:szCs w:val="18"/>
                <w:color w:val="auto"/>
              </w:rPr>
              <w:t>4.1</w:t>
            </w:r>
          </w:p>
        </w:tc>
        <w:tc>
          <w:tcPr>
            <w:tcW w:w="9920" w:type="dxa"/>
            <w:vAlign w:val="bottom"/>
            <w:vMerge w:val="restart"/>
          </w:tcPr>
          <w:p>
            <w:pPr>
              <w:ind w:left="220"/>
              <w:spacing w:after="0"/>
              <w:rPr>
                <w:sz w:val="20"/>
                <w:szCs w:val="20"/>
                <w:color w:val="auto"/>
              </w:rPr>
            </w:pPr>
            <w:r>
              <w:rPr>
                <w:rFonts w:ascii="Arial" w:cs="Arial" w:eastAsia="Arial" w:hAnsi="Arial"/>
                <w:sz w:val="18"/>
                <w:szCs w:val="18"/>
                <w:color w:val="auto"/>
              </w:rPr>
              <w:t>Fees</w:t>
            </w:r>
          </w:p>
        </w:tc>
        <w:tc>
          <w:tcPr>
            <w:tcW w:w="180" w:type="dxa"/>
            <w:vAlign w:val="bottom"/>
          </w:tcPr>
          <w:p>
            <w:pPr>
              <w:spacing w:after="0" w:line="202" w:lineRule="exact"/>
              <w:rPr>
                <w:sz w:val="20"/>
                <w:szCs w:val="20"/>
                <w:color w:val="auto"/>
              </w:rPr>
            </w:pPr>
            <w:r>
              <w:rPr>
                <w:rFonts w:ascii="Arial" w:cs="Arial" w:eastAsia="Arial" w:hAnsi="Arial"/>
                <w:sz w:val="18"/>
                <w:szCs w:val="18"/>
                <w:color w:val="FF0000"/>
                <w:strike w:val="1"/>
                <w:w w:val="79"/>
              </w:rPr>
              <w:t>86</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0000FF"/>
                <w:w w:val="79"/>
              </w:rPr>
              <w:t>87</w:t>
            </w:r>
          </w:p>
        </w:tc>
        <w:tc>
          <w:tcPr>
            <w:tcW w:w="0" w:type="dxa"/>
            <w:vAlign w:val="bottom"/>
          </w:tcPr>
          <w:p>
            <w:pPr>
              <w:spacing w:after="0"/>
              <w:rPr>
                <w:sz w:val="1"/>
                <w:szCs w:val="1"/>
                <w:color w:val="auto"/>
              </w:rPr>
            </w:pPr>
          </w:p>
        </w:tc>
      </w:tr>
      <w:tr>
        <w:trPr>
          <w:trHeight w:val="237"/>
        </w:trPr>
        <w:tc>
          <w:tcPr>
            <w:tcW w:w="940" w:type="dxa"/>
            <w:vAlign w:val="bottom"/>
            <w:vMerge w:val="continue"/>
          </w:tcPr>
          <w:p>
            <w:pPr>
              <w:spacing w:after="0"/>
              <w:rPr>
                <w:sz w:val="20"/>
                <w:szCs w:val="20"/>
                <w:color w:val="auto"/>
              </w:rPr>
            </w:pPr>
          </w:p>
        </w:tc>
        <w:tc>
          <w:tcPr>
            <w:tcW w:w="99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4.2</w:t>
            </w:r>
          </w:p>
        </w:tc>
        <w:tc>
          <w:tcPr>
            <w:tcW w:w="9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Voluntary Reduction of Revolving Credit Commitments</w:t>
            </w:r>
          </w:p>
        </w:tc>
        <w:tc>
          <w:tcPr>
            <w:tcW w:w="3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3"/>
        </w:trPr>
        <w:tc>
          <w:tcPr>
            <w:tcW w:w="940" w:type="dxa"/>
            <w:vAlign w:val="bottom"/>
            <w:vMerge w:val="restart"/>
          </w:tcPr>
          <w:p>
            <w:pPr>
              <w:ind w:left="40"/>
              <w:spacing w:after="0"/>
              <w:rPr>
                <w:sz w:val="20"/>
                <w:szCs w:val="20"/>
                <w:color w:val="auto"/>
              </w:rPr>
            </w:pPr>
            <w:r>
              <w:rPr>
                <w:rFonts w:ascii="Arial" w:cs="Arial" w:eastAsia="Arial" w:hAnsi="Arial"/>
                <w:sz w:val="18"/>
                <w:szCs w:val="18"/>
                <w:color w:val="auto"/>
              </w:rPr>
              <w:t>4.3</w:t>
            </w:r>
          </w:p>
        </w:tc>
        <w:tc>
          <w:tcPr>
            <w:tcW w:w="9920" w:type="dxa"/>
            <w:vAlign w:val="bottom"/>
            <w:vMerge w:val="restart"/>
          </w:tcPr>
          <w:p>
            <w:pPr>
              <w:ind w:left="220"/>
              <w:spacing w:after="0"/>
              <w:rPr>
                <w:sz w:val="20"/>
                <w:szCs w:val="20"/>
                <w:color w:val="auto"/>
              </w:rPr>
            </w:pPr>
            <w:r>
              <w:rPr>
                <w:rFonts w:ascii="Arial" w:cs="Arial" w:eastAsia="Arial" w:hAnsi="Arial"/>
                <w:sz w:val="18"/>
                <w:szCs w:val="18"/>
                <w:color w:val="auto"/>
              </w:rPr>
              <w:t>Mandatory Termination of Commitments</w:t>
            </w:r>
          </w:p>
        </w:tc>
        <w:tc>
          <w:tcPr>
            <w:tcW w:w="180" w:type="dxa"/>
            <w:vAlign w:val="bottom"/>
          </w:tcPr>
          <w:p>
            <w:pPr>
              <w:spacing w:after="0" w:line="202" w:lineRule="exact"/>
              <w:rPr>
                <w:sz w:val="20"/>
                <w:szCs w:val="20"/>
                <w:color w:val="auto"/>
              </w:rPr>
            </w:pPr>
            <w:r>
              <w:rPr>
                <w:rFonts w:ascii="Arial" w:cs="Arial" w:eastAsia="Arial" w:hAnsi="Arial"/>
                <w:sz w:val="18"/>
                <w:szCs w:val="18"/>
                <w:color w:val="FF0000"/>
                <w:strike w:val="1"/>
                <w:w w:val="79"/>
              </w:rPr>
              <w:t>87</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0000FF"/>
                <w:w w:val="79"/>
              </w:rPr>
              <w:t>88</w:t>
            </w:r>
          </w:p>
        </w:tc>
        <w:tc>
          <w:tcPr>
            <w:tcW w:w="0" w:type="dxa"/>
            <w:vAlign w:val="bottom"/>
          </w:tcPr>
          <w:p>
            <w:pPr>
              <w:spacing w:after="0"/>
              <w:rPr>
                <w:sz w:val="1"/>
                <w:szCs w:val="1"/>
                <w:color w:val="auto"/>
              </w:rPr>
            </w:pPr>
          </w:p>
        </w:tc>
      </w:tr>
      <w:tr>
        <w:trPr>
          <w:trHeight w:val="237"/>
        </w:trPr>
        <w:tc>
          <w:tcPr>
            <w:tcW w:w="940" w:type="dxa"/>
            <w:vAlign w:val="bottom"/>
            <w:vMerge w:val="continue"/>
          </w:tcPr>
          <w:p>
            <w:pPr>
              <w:spacing w:after="0"/>
              <w:rPr>
                <w:sz w:val="20"/>
                <w:szCs w:val="20"/>
                <w:color w:val="auto"/>
              </w:rPr>
            </w:pPr>
          </w:p>
        </w:tc>
        <w:tc>
          <w:tcPr>
            <w:tcW w:w="99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Section 5</w:t>
            </w:r>
          </w:p>
        </w:tc>
        <w:tc>
          <w:tcPr>
            <w:tcW w:w="992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Payments</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FF0000"/>
                <w:strike w:val="1"/>
                <w:w w:val="79"/>
              </w:rPr>
              <w:t>87</w:t>
            </w:r>
          </w:p>
        </w:tc>
        <w:tc>
          <w:tcPr>
            <w:tcW w:w="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0000FF"/>
                <w:w w:val="79"/>
              </w:rPr>
              <w:t>88</w:t>
            </w:r>
          </w:p>
        </w:tc>
        <w:tc>
          <w:tcPr>
            <w:tcW w:w="0" w:type="dxa"/>
            <w:vAlign w:val="bottom"/>
          </w:tcPr>
          <w:p>
            <w:pPr>
              <w:spacing w:after="0"/>
              <w:rPr>
                <w:sz w:val="1"/>
                <w:szCs w:val="1"/>
                <w:color w:val="auto"/>
              </w:rPr>
            </w:pPr>
          </w:p>
        </w:tc>
      </w:tr>
      <w:tr>
        <w:trPr>
          <w:trHeight w:val="243"/>
        </w:trPr>
        <w:tc>
          <w:tcPr>
            <w:tcW w:w="9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992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40" w:type="dxa"/>
            <w:vAlign w:val="bottom"/>
            <w:vMerge w:val="restart"/>
          </w:tcPr>
          <w:p>
            <w:pPr>
              <w:ind w:left="40"/>
              <w:spacing w:after="0"/>
              <w:rPr>
                <w:sz w:val="20"/>
                <w:szCs w:val="20"/>
                <w:color w:val="auto"/>
              </w:rPr>
            </w:pPr>
            <w:r>
              <w:rPr>
                <w:rFonts w:ascii="Arial" w:cs="Arial" w:eastAsia="Arial" w:hAnsi="Arial"/>
                <w:sz w:val="18"/>
                <w:szCs w:val="18"/>
                <w:color w:val="auto"/>
              </w:rPr>
              <w:t>5.1</w:t>
            </w:r>
          </w:p>
        </w:tc>
        <w:tc>
          <w:tcPr>
            <w:tcW w:w="9920" w:type="dxa"/>
            <w:vAlign w:val="bottom"/>
            <w:vMerge w:val="restart"/>
          </w:tcPr>
          <w:p>
            <w:pPr>
              <w:ind w:left="220"/>
              <w:spacing w:after="0"/>
              <w:rPr>
                <w:sz w:val="20"/>
                <w:szCs w:val="20"/>
                <w:color w:val="auto"/>
              </w:rPr>
            </w:pPr>
            <w:r>
              <w:rPr>
                <w:rFonts w:ascii="Arial" w:cs="Arial" w:eastAsia="Arial" w:hAnsi="Arial"/>
                <w:sz w:val="18"/>
                <w:szCs w:val="18"/>
                <w:color w:val="auto"/>
              </w:rPr>
              <w:t>Voluntary Prepayments</w:t>
            </w:r>
          </w:p>
        </w:tc>
        <w:tc>
          <w:tcPr>
            <w:tcW w:w="180" w:type="dxa"/>
            <w:vAlign w:val="bottom"/>
          </w:tcPr>
          <w:p>
            <w:pPr>
              <w:spacing w:after="0" w:line="202" w:lineRule="exact"/>
              <w:rPr>
                <w:sz w:val="20"/>
                <w:szCs w:val="20"/>
                <w:color w:val="auto"/>
              </w:rPr>
            </w:pPr>
            <w:r>
              <w:rPr>
                <w:rFonts w:ascii="Arial" w:cs="Arial" w:eastAsia="Arial" w:hAnsi="Arial"/>
                <w:sz w:val="18"/>
                <w:szCs w:val="18"/>
                <w:color w:val="FF0000"/>
                <w:strike w:val="1"/>
                <w:w w:val="79"/>
              </w:rPr>
              <w:t>87</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0000FF"/>
                <w:w w:val="79"/>
              </w:rPr>
              <w:t>88</w:t>
            </w:r>
          </w:p>
        </w:tc>
        <w:tc>
          <w:tcPr>
            <w:tcW w:w="0" w:type="dxa"/>
            <w:vAlign w:val="bottom"/>
          </w:tcPr>
          <w:p>
            <w:pPr>
              <w:spacing w:after="0"/>
              <w:rPr>
                <w:sz w:val="1"/>
                <w:szCs w:val="1"/>
                <w:color w:val="auto"/>
              </w:rPr>
            </w:pPr>
          </w:p>
        </w:tc>
      </w:tr>
      <w:tr>
        <w:trPr>
          <w:trHeight w:val="237"/>
        </w:trPr>
        <w:tc>
          <w:tcPr>
            <w:tcW w:w="940" w:type="dxa"/>
            <w:vAlign w:val="bottom"/>
            <w:vMerge w:val="continue"/>
          </w:tcPr>
          <w:p>
            <w:pPr>
              <w:spacing w:after="0"/>
              <w:rPr>
                <w:sz w:val="20"/>
                <w:szCs w:val="20"/>
                <w:color w:val="auto"/>
              </w:rPr>
            </w:pPr>
          </w:p>
        </w:tc>
        <w:tc>
          <w:tcPr>
            <w:tcW w:w="99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5.2</w:t>
            </w:r>
          </w:p>
        </w:tc>
        <w:tc>
          <w:tcPr>
            <w:tcW w:w="992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Mandatory Prepayments</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FF0000"/>
                <w:strike w:val="1"/>
                <w:w w:val="79"/>
              </w:rPr>
              <w:t>88</w:t>
            </w:r>
          </w:p>
        </w:tc>
        <w:tc>
          <w:tcPr>
            <w:tcW w:w="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0000FF"/>
                <w:w w:val="79"/>
              </w:rPr>
              <w:t>89</w:t>
            </w:r>
          </w:p>
        </w:tc>
        <w:tc>
          <w:tcPr>
            <w:tcW w:w="0" w:type="dxa"/>
            <w:vAlign w:val="bottom"/>
          </w:tcPr>
          <w:p>
            <w:pPr>
              <w:spacing w:after="0"/>
              <w:rPr>
                <w:sz w:val="1"/>
                <w:szCs w:val="1"/>
                <w:color w:val="auto"/>
              </w:rPr>
            </w:pPr>
          </w:p>
        </w:tc>
      </w:tr>
      <w:tr>
        <w:trPr>
          <w:trHeight w:val="243"/>
        </w:trPr>
        <w:tc>
          <w:tcPr>
            <w:tcW w:w="9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992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40" w:type="dxa"/>
            <w:vAlign w:val="bottom"/>
            <w:vMerge w:val="restart"/>
          </w:tcPr>
          <w:p>
            <w:pPr>
              <w:ind w:left="40"/>
              <w:spacing w:after="0"/>
              <w:rPr>
                <w:sz w:val="20"/>
                <w:szCs w:val="20"/>
                <w:color w:val="auto"/>
              </w:rPr>
            </w:pPr>
            <w:r>
              <w:rPr>
                <w:rFonts w:ascii="Arial" w:cs="Arial" w:eastAsia="Arial" w:hAnsi="Arial"/>
                <w:sz w:val="18"/>
                <w:szCs w:val="18"/>
                <w:color w:val="auto"/>
              </w:rPr>
              <w:t>5.3</w:t>
            </w:r>
          </w:p>
        </w:tc>
        <w:tc>
          <w:tcPr>
            <w:tcW w:w="9920" w:type="dxa"/>
            <w:vAlign w:val="bottom"/>
            <w:vMerge w:val="restart"/>
          </w:tcPr>
          <w:p>
            <w:pPr>
              <w:ind w:left="220"/>
              <w:spacing w:after="0"/>
              <w:rPr>
                <w:sz w:val="20"/>
                <w:szCs w:val="20"/>
                <w:color w:val="auto"/>
              </w:rPr>
            </w:pPr>
            <w:r>
              <w:rPr>
                <w:rFonts w:ascii="Arial" w:cs="Arial" w:eastAsia="Arial" w:hAnsi="Arial"/>
                <w:sz w:val="18"/>
                <w:szCs w:val="18"/>
                <w:color w:val="auto"/>
              </w:rPr>
              <w:t>Method and Place of Payment</w:t>
            </w:r>
          </w:p>
        </w:tc>
        <w:tc>
          <w:tcPr>
            <w:tcW w:w="180" w:type="dxa"/>
            <w:vAlign w:val="bottom"/>
          </w:tcPr>
          <w:p>
            <w:pPr>
              <w:spacing w:after="0" w:line="202" w:lineRule="exact"/>
              <w:rPr>
                <w:sz w:val="20"/>
                <w:szCs w:val="20"/>
                <w:color w:val="auto"/>
              </w:rPr>
            </w:pPr>
            <w:r>
              <w:rPr>
                <w:rFonts w:ascii="Arial" w:cs="Arial" w:eastAsia="Arial" w:hAnsi="Arial"/>
                <w:sz w:val="18"/>
                <w:szCs w:val="18"/>
                <w:color w:val="FF0000"/>
                <w:strike w:val="1"/>
                <w:w w:val="79"/>
              </w:rPr>
              <w:t>90</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0000FF"/>
                <w:w w:val="79"/>
              </w:rPr>
              <w:t>91</w:t>
            </w:r>
          </w:p>
        </w:tc>
        <w:tc>
          <w:tcPr>
            <w:tcW w:w="0" w:type="dxa"/>
            <w:vAlign w:val="bottom"/>
          </w:tcPr>
          <w:p>
            <w:pPr>
              <w:spacing w:after="0"/>
              <w:rPr>
                <w:sz w:val="1"/>
                <w:szCs w:val="1"/>
                <w:color w:val="auto"/>
              </w:rPr>
            </w:pPr>
          </w:p>
        </w:tc>
      </w:tr>
      <w:tr>
        <w:trPr>
          <w:trHeight w:val="237"/>
        </w:trPr>
        <w:tc>
          <w:tcPr>
            <w:tcW w:w="940" w:type="dxa"/>
            <w:vAlign w:val="bottom"/>
            <w:vMerge w:val="continue"/>
          </w:tcPr>
          <w:p>
            <w:pPr>
              <w:spacing w:after="0"/>
              <w:rPr>
                <w:sz w:val="20"/>
                <w:szCs w:val="20"/>
                <w:color w:val="auto"/>
              </w:rPr>
            </w:pPr>
          </w:p>
        </w:tc>
        <w:tc>
          <w:tcPr>
            <w:tcW w:w="99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5.4</w:t>
            </w:r>
          </w:p>
        </w:tc>
        <w:tc>
          <w:tcPr>
            <w:tcW w:w="992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Net Payments</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FF0000"/>
                <w:strike w:val="1"/>
                <w:w w:val="79"/>
              </w:rPr>
              <w:t>90</w:t>
            </w:r>
          </w:p>
        </w:tc>
        <w:tc>
          <w:tcPr>
            <w:tcW w:w="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0000FF"/>
                <w:w w:val="79"/>
              </w:rPr>
              <w:t>91</w:t>
            </w:r>
          </w:p>
        </w:tc>
        <w:tc>
          <w:tcPr>
            <w:tcW w:w="0" w:type="dxa"/>
            <w:vAlign w:val="bottom"/>
          </w:tcPr>
          <w:p>
            <w:pPr>
              <w:spacing w:after="0"/>
              <w:rPr>
                <w:sz w:val="1"/>
                <w:szCs w:val="1"/>
                <w:color w:val="auto"/>
              </w:rPr>
            </w:pPr>
          </w:p>
        </w:tc>
      </w:tr>
      <w:tr>
        <w:trPr>
          <w:trHeight w:val="244"/>
        </w:trPr>
        <w:tc>
          <w:tcPr>
            <w:tcW w:w="9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992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40" w:type="dxa"/>
            <w:vAlign w:val="bottom"/>
            <w:vMerge w:val="restart"/>
          </w:tcPr>
          <w:p>
            <w:pPr>
              <w:ind w:left="40"/>
              <w:spacing w:after="0"/>
              <w:rPr>
                <w:sz w:val="20"/>
                <w:szCs w:val="20"/>
                <w:color w:val="auto"/>
              </w:rPr>
            </w:pPr>
            <w:r>
              <w:rPr>
                <w:rFonts w:ascii="Arial" w:cs="Arial" w:eastAsia="Arial" w:hAnsi="Arial"/>
                <w:sz w:val="18"/>
                <w:szCs w:val="18"/>
                <w:color w:val="auto"/>
              </w:rPr>
              <w:t>5.5</w:t>
            </w:r>
          </w:p>
        </w:tc>
        <w:tc>
          <w:tcPr>
            <w:tcW w:w="9920" w:type="dxa"/>
            <w:vAlign w:val="bottom"/>
            <w:vMerge w:val="restart"/>
          </w:tcPr>
          <w:p>
            <w:pPr>
              <w:ind w:left="220"/>
              <w:spacing w:after="0"/>
              <w:rPr>
                <w:sz w:val="20"/>
                <w:szCs w:val="20"/>
                <w:color w:val="auto"/>
              </w:rPr>
            </w:pPr>
            <w:r>
              <w:rPr>
                <w:rFonts w:ascii="Arial" w:cs="Arial" w:eastAsia="Arial" w:hAnsi="Arial"/>
                <w:sz w:val="18"/>
                <w:szCs w:val="18"/>
                <w:color w:val="auto"/>
              </w:rPr>
              <w:t>Computations of Interest and Fees</w:t>
            </w:r>
          </w:p>
        </w:tc>
        <w:tc>
          <w:tcPr>
            <w:tcW w:w="180" w:type="dxa"/>
            <w:vAlign w:val="bottom"/>
          </w:tcPr>
          <w:p>
            <w:pPr>
              <w:spacing w:after="0" w:line="202" w:lineRule="exact"/>
              <w:rPr>
                <w:sz w:val="20"/>
                <w:szCs w:val="20"/>
                <w:color w:val="auto"/>
              </w:rPr>
            </w:pPr>
            <w:r>
              <w:rPr>
                <w:rFonts w:ascii="Arial" w:cs="Arial" w:eastAsia="Arial" w:hAnsi="Arial"/>
                <w:sz w:val="18"/>
                <w:szCs w:val="18"/>
                <w:color w:val="FF0000"/>
                <w:strike w:val="1"/>
                <w:w w:val="79"/>
              </w:rPr>
              <w:t>93</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0000FF"/>
                <w:w w:val="79"/>
              </w:rPr>
              <w:t>94</w:t>
            </w:r>
          </w:p>
        </w:tc>
        <w:tc>
          <w:tcPr>
            <w:tcW w:w="0" w:type="dxa"/>
            <w:vAlign w:val="bottom"/>
          </w:tcPr>
          <w:p>
            <w:pPr>
              <w:spacing w:after="0"/>
              <w:rPr>
                <w:sz w:val="1"/>
                <w:szCs w:val="1"/>
                <w:color w:val="auto"/>
              </w:rPr>
            </w:pPr>
          </w:p>
        </w:tc>
      </w:tr>
      <w:tr>
        <w:trPr>
          <w:trHeight w:val="236"/>
        </w:trPr>
        <w:tc>
          <w:tcPr>
            <w:tcW w:w="940" w:type="dxa"/>
            <w:vAlign w:val="bottom"/>
            <w:vMerge w:val="continue"/>
          </w:tcPr>
          <w:p>
            <w:pPr>
              <w:spacing w:after="0"/>
              <w:rPr>
                <w:sz w:val="20"/>
                <w:szCs w:val="20"/>
                <w:color w:val="auto"/>
              </w:rPr>
            </w:pPr>
          </w:p>
        </w:tc>
        <w:tc>
          <w:tcPr>
            <w:tcW w:w="99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5.6</w:t>
            </w:r>
          </w:p>
        </w:tc>
        <w:tc>
          <w:tcPr>
            <w:tcW w:w="992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Limit on Rate of Interest</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FF0000"/>
                <w:strike w:val="1"/>
                <w:w w:val="79"/>
              </w:rPr>
              <w:t>93</w:t>
            </w:r>
          </w:p>
        </w:tc>
        <w:tc>
          <w:tcPr>
            <w:tcW w:w="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0000FF"/>
                <w:w w:val="79"/>
              </w:rPr>
              <w:t>95</w:t>
            </w:r>
          </w:p>
        </w:tc>
        <w:tc>
          <w:tcPr>
            <w:tcW w:w="0" w:type="dxa"/>
            <w:vAlign w:val="bottom"/>
          </w:tcPr>
          <w:p>
            <w:pPr>
              <w:spacing w:after="0"/>
              <w:rPr>
                <w:sz w:val="1"/>
                <w:szCs w:val="1"/>
                <w:color w:val="auto"/>
              </w:rPr>
            </w:pPr>
          </w:p>
        </w:tc>
      </w:tr>
      <w:tr>
        <w:trPr>
          <w:trHeight w:val="243"/>
        </w:trPr>
        <w:tc>
          <w:tcPr>
            <w:tcW w:w="9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992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40" w:type="dxa"/>
            <w:vAlign w:val="bottom"/>
            <w:vMerge w:val="restart"/>
          </w:tcPr>
          <w:p>
            <w:pPr>
              <w:ind w:left="40"/>
              <w:spacing w:after="0"/>
              <w:rPr>
                <w:sz w:val="20"/>
                <w:szCs w:val="20"/>
                <w:color w:val="auto"/>
              </w:rPr>
            </w:pPr>
            <w:r>
              <w:rPr>
                <w:rFonts w:ascii="Arial" w:cs="Arial" w:eastAsia="Arial" w:hAnsi="Arial"/>
                <w:sz w:val="18"/>
                <w:szCs w:val="18"/>
                <w:color w:val="auto"/>
              </w:rPr>
              <w:t>Section 6</w:t>
            </w:r>
          </w:p>
        </w:tc>
        <w:tc>
          <w:tcPr>
            <w:tcW w:w="9920" w:type="dxa"/>
            <w:vAlign w:val="bottom"/>
            <w:vMerge w:val="restart"/>
          </w:tcPr>
          <w:p>
            <w:pPr>
              <w:ind w:left="220"/>
              <w:spacing w:after="0"/>
              <w:rPr>
                <w:sz w:val="20"/>
                <w:szCs w:val="20"/>
                <w:color w:val="auto"/>
              </w:rPr>
            </w:pPr>
            <w:r>
              <w:rPr>
                <w:rFonts w:ascii="Arial" w:cs="Arial" w:eastAsia="Arial" w:hAnsi="Arial"/>
                <w:sz w:val="18"/>
                <w:szCs w:val="18"/>
                <w:color w:val="auto"/>
              </w:rPr>
              <w:t>Conditions Precedent to Initial Borrowing</w:t>
            </w:r>
          </w:p>
        </w:tc>
        <w:tc>
          <w:tcPr>
            <w:tcW w:w="180" w:type="dxa"/>
            <w:vAlign w:val="bottom"/>
          </w:tcPr>
          <w:p>
            <w:pPr>
              <w:spacing w:after="0" w:line="202" w:lineRule="exact"/>
              <w:rPr>
                <w:sz w:val="20"/>
                <w:szCs w:val="20"/>
                <w:color w:val="auto"/>
              </w:rPr>
            </w:pPr>
            <w:r>
              <w:rPr>
                <w:rFonts w:ascii="Arial" w:cs="Arial" w:eastAsia="Arial" w:hAnsi="Arial"/>
                <w:sz w:val="18"/>
                <w:szCs w:val="18"/>
                <w:color w:val="FF0000"/>
                <w:strike w:val="1"/>
                <w:w w:val="79"/>
              </w:rPr>
              <w:t>94</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0000FF"/>
                <w:w w:val="79"/>
              </w:rPr>
              <w:t>95</w:t>
            </w:r>
          </w:p>
        </w:tc>
        <w:tc>
          <w:tcPr>
            <w:tcW w:w="0" w:type="dxa"/>
            <w:vAlign w:val="bottom"/>
          </w:tcPr>
          <w:p>
            <w:pPr>
              <w:spacing w:after="0"/>
              <w:rPr>
                <w:sz w:val="1"/>
                <w:szCs w:val="1"/>
                <w:color w:val="auto"/>
              </w:rPr>
            </w:pPr>
          </w:p>
        </w:tc>
      </w:tr>
      <w:tr>
        <w:trPr>
          <w:trHeight w:val="237"/>
        </w:trPr>
        <w:tc>
          <w:tcPr>
            <w:tcW w:w="940" w:type="dxa"/>
            <w:vAlign w:val="bottom"/>
            <w:vMerge w:val="continue"/>
          </w:tcPr>
          <w:p>
            <w:pPr>
              <w:spacing w:after="0"/>
              <w:rPr>
                <w:sz w:val="20"/>
                <w:szCs w:val="20"/>
                <w:color w:val="auto"/>
              </w:rPr>
            </w:pPr>
          </w:p>
        </w:tc>
        <w:tc>
          <w:tcPr>
            <w:tcW w:w="99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6.1</w:t>
            </w:r>
          </w:p>
        </w:tc>
        <w:tc>
          <w:tcPr>
            <w:tcW w:w="992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Credit Documents</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FF0000"/>
                <w:strike w:val="1"/>
                <w:w w:val="79"/>
              </w:rPr>
              <w:t>94</w:t>
            </w:r>
          </w:p>
        </w:tc>
        <w:tc>
          <w:tcPr>
            <w:tcW w:w="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0000FF"/>
                <w:w w:val="79"/>
              </w:rPr>
              <w:t>95</w:t>
            </w:r>
          </w:p>
        </w:tc>
        <w:tc>
          <w:tcPr>
            <w:tcW w:w="0" w:type="dxa"/>
            <w:vAlign w:val="bottom"/>
          </w:tcPr>
          <w:p>
            <w:pPr>
              <w:spacing w:after="0"/>
              <w:rPr>
                <w:sz w:val="1"/>
                <w:szCs w:val="1"/>
                <w:color w:val="auto"/>
              </w:rPr>
            </w:pPr>
          </w:p>
        </w:tc>
      </w:tr>
      <w:tr>
        <w:trPr>
          <w:trHeight w:val="243"/>
        </w:trPr>
        <w:tc>
          <w:tcPr>
            <w:tcW w:w="9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992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40" w:type="dxa"/>
            <w:vAlign w:val="bottom"/>
            <w:vMerge w:val="restart"/>
          </w:tcPr>
          <w:p>
            <w:pPr>
              <w:ind w:left="40"/>
              <w:spacing w:after="0"/>
              <w:rPr>
                <w:sz w:val="20"/>
                <w:szCs w:val="20"/>
                <w:color w:val="auto"/>
              </w:rPr>
            </w:pPr>
            <w:r>
              <w:rPr>
                <w:rFonts w:ascii="Arial" w:cs="Arial" w:eastAsia="Arial" w:hAnsi="Arial"/>
                <w:sz w:val="18"/>
                <w:szCs w:val="18"/>
                <w:color w:val="auto"/>
              </w:rPr>
              <w:t>6.2</w:t>
            </w:r>
          </w:p>
        </w:tc>
        <w:tc>
          <w:tcPr>
            <w:tcW w:w="9920" w:type="dxa"/>
            <w:vAlign w:val="bottom"/>
            <w:vMerge w:val="restart"/>
          </w:tcPr>
          <w:p>
            <w:pPr>
              <w:ind w:left="220"/>
              <w:spacing w:after="0"/>
              <w:rPr>
                <w:sz w:val="20"/>
                <w:szCs w:val="20"/>
                <w:color w:val="auto"/>
              </w:rPr>
            </w:pPr>
            <w:r>
              <w:rPr>
                <w:rFonts w:ascii="Arial" w:cs="Arial" w:eastAsia="Arial" w:hAnsi="Arial"/>
                <w:sz w:val="18"/>
                <w:szCs w:val="18"/>
                <w:color w:val="auto"/>
              </w:rPr>
              <w:t>Collateral</w:t>
            </w:r>
          </w:p>
        </w:tc>
        <w:tc>
          <w:tcPr>
            <w:tcW w:w="180" w:type="dxa"/>
            <w:vAlign w:val="bottom"/>
          </w:tcPr>
          <w:p>
            <w:pPr>
              <w:spacing w:after="0" w:line="202" w:lineRule="exact"/>
              <w:rPr>
                <w:sz w:val="20"/>
                <w:szCs w:val="20"/>
                <w:color w:val="auto"/>
              </w:rPr>
            </w:pPr>
            <w:r>
              <w:rPr>
                <w:rFonts w:ascii="Arial" w:cs="Arial" w:eastAsia="Arial" w:hAnsi="Arial"/>
                <w:sz w:val="18"/>
                <w:szCs w:val="18"/>
                <w:color w:val="FF0000"/>
                <w:strike w:val="1"/>
                <w:w w:val="79"/>
              </w:rPr>
              <w:t>94</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0000FF"/>
                <w:w w:val="79"/>
              </w:rPr>
              <w:t>95</w:t>
            </w:r>
          </w:p>
        </w:tc>
        <w:tc>
          <w:tcPr>
            <w:tcW w:w="0" w:type="dxa"/>
            <w:vAlign w:val="bottom"/>
          </w:tcPr>
          <w:p>
            <w:pPr>
              <w:spacing w:after="0"/>
              <w:rPr>
                <w:sz w:val="1"/>
                <w:szCs w:val="1"/>
                <w:color w:val="auto"/>
              </w:rPr>
            </w:pPr>
          </w:p>
        </w:tc>
      </w:tr>
      <w:tr>
        <w:trPr>
          <w:trHeight w:val="237"/>
        </w:trPr>
        <w:tc>
          <w:tcPr>
            <w:tcW w:w="940" w:type="dxa"/>
            <w:vAlign w:val="bottom"/>
            <w:vMerge w:val="continue"/>
          </w:tcPr>
          <w:p>
            <w:pPr>
              <w:spacing w:after="0"/>
              <w:rPr>
                <w:sz w:val="20"/>
                <w:szCs w:val="20"/>
                <w:color w:val="auto"/>
              </w:rPr>
            </w:pPr>
          </w:p>
        </w:tc>
        <w:tc>
          <w:tcPr>
            <w:tcW w:w="99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6.3</w:t>
            </w:r>
          </w:p>
        </w:tc>
        <w:tc>
          <w:tcPr>
            <w:tcW w:w="992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Legal Opinions</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FF0000"/>
                <w:strike w:val="1"/>
                <w:w w:val="79"/>
              </w:rPr>
              <w:t>95</w:t>
            </w:r>
          </w:p>
        </w:tc>
        <w:tc>
          <w:tcPr>
            <w:tcW w:w="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0000FF"/>
                <w:w w:val="79"/>
              </w:rPr>
              <w:t>96</w:t>
            </w:r>
          </w:p>
        </w:tc>
        <w:tc>
          <w:tcPr>
            <w:tcW w:w="0" w:type="dxa"/>
            <w:vAlign w:val="bottom"/>
          </w:tcPr>
          <w:p>
            <w:pPr>
              <w:spacing w:after="0"/>
              <w:rPr>
                <w:sz w:val="1"/>
                <w:szCs w:val="1"/>
                <w:color w:val="auto"/>
              </w:rPr>
            </w:pPr>
          </w:p>
        </w:tc>
      </w:tr>
      <w:tr>
        <w:trPr>
          <w:trHeight w:val="243"/>
        </w:trPr>
        <w:tc>
          <w:tcPr>
            <w:tcW w:w="9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992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40" w:type="dxa"/>
            <w:vAlign w:val="bottom"/>
            <w:vMerge w:val="restart"/>
          </w:tcPr>
          <w:p>
            <w:pPr>
              <w:ind w:left="40"/>
              <w:spacing w:after="0"/>
              <w:rPr>
                <w:sz w:val="20"/>
                <w:szCs w:val="20"/>
                <w:color w:val="auto"/>
              </w:rPr>
            </w:pPr>
            <w:r>
              <w:rPr>
                <w:rFonts w:ascii="Arial" w:cs="Arial" w:eastAsia="Arial" w:hAnsi="Arial"/>
                <w:sz w:val="18"/>
                <w:szCs w:val="18"/>
                <w:color w:val="auto"/>
              </w:rPr>
              <w:t>6.4</w:t>
            </w:r>
          </w:p>
        </w:tc>
        <w:tc>
          <w:tcPr>
            <w:tcW w:w="9920" w:type="dxa"/>
            <w:vAlign w:val="bottom"/>
            <w:vMerge w:val="restart"/>
          </w:tcPr>
          <w:p>
            <w:pPr>
              <w:ind w:left="220"/>
              <w:spacing w:after="0"/>
              <w:rPr>
                <w:sz w:val="20"/>
                <w:szCs w:val="20"/>
                <w:color w:val="auto"/>
              </w:rPr>
            </w:pPr>
            <w:r>
              <w:rPr>
                <w:rFonts w:ascii="Arial" w:cs="Arial" w:eastAsia="Arial" w:hAnsi="Arial"/>
                <w:sz w:val="18"/>
                <w:szCs w:val="18"/>
                <w:color w:val="auto"/>
              </w:rPr>
              <w:t>Closing Certificates</w:t>
            </w:r>
          </w:p>
        </w:tc>
        <w:tc>
          <w:tcPr>
            <w:tcW w:w="180" w:type="dxa"/>
            <w:vAlign w:val="bottom"/>
          </w:tcPr>
          <w:p>
            <w:pPr>
              <w:spacing w:after="0" w:line="202" w:lineRule="exact"/>
              <w:rPr>
                <w:sz w:val="20"/>
                <w:szCs w:val="20"/>
                <w:color w:val="auto"/>
              </w:rPr>
            </w:pPr>
            <w:r>
              <w:rPr>
                <w:rFonts w:ascii="Arial" w:cs="Arial" w:eastAsia="Arial" w:hAnsi="Arial"/>
                <w:sz w:val="18"/>
                <w:szCs w:val="18"/>
                <w:color w:val="FF0000"/>
                <w:strike w:val="1"/>
                <w:w w:val="79"/>
              </w:rPr>
              <w:t>95</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0000FF"/>
                <w:w w:val="79"/>
              </w:rPr>
              <w:t>96</w:t>
            </w:r>
          </w:p>
        </w:tc>
        <w:tc>
          <w:tcPr>
            <w:tcW w:w="0" w:type="dxa"/>
            <w:vAlign w:val="bottom"/>
          </w:tcPr>
          <w:p>
            <w:pPr>
              <w:spacing w:after="0"/>
              <w:rPr>
                <w:sz w:val="1"/>
                <w:szCs w:val="1"/>
                <w:color w:val="auto"/>
              </w:rPr>
            </w:pPr>
          </w:p>
        </w:tc>
      </w:tr>
      <w:tr>
        <w:trPr>
          <w:trHeight w:val="237"/>
        </w:trPr>
        <w:tc>
          <w:tcPr>
            <w:tcW w:w="940" w:type="dxa"/>
            <w:vAlign w:val="bottom"/>
            <w:vMerge w:val="continue"/>
          </w:tcPr>
          <w:p>
            <w:pPr>
              <w:spacing w:after="0"/>
              <w:rPr>
                <w:sz w:val="20"/>
                <w:szCs w:val="20"/>
                <w:color w:val="auto"/>
              </w:rPr>
            </w:pPr>
          </w:p>
        </w:tc>
        <w:tc>
          <w:tcPr>
            <w:tcW w:w="99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6.5</w:t>
            </w:r>
          </w:p>
        </w:tc>
        <w:tc>
          <w:tcPr>
            <w:tcW w:w="992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Authorization of Proceedings of the Credit Parties; Corporate Documents</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FF0000"/>
                <w:strike w:val="1"/>
                <w:w w:val="79"/>
              </w:rPr>
              <w:t>95</w:t>
            </w:r>
          </w:p>
        </w:tc>
        <w:tc>
          <w:tcPr>
            <w:tcW w:w="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0000FF"/>
                <w:w w:val="79"/>
              </w:rPr>
              <w:t>96</w:t>
            </w:r>
          </w:p>
        </w:tc>
        <w:tc>
          <w:tcPr>
            <w:tcW w:w="0" w:type="dxa"/>
            <w:vAlign w:val="bottom"/>
          </w:tcPr>
          <w:p>
            <w:pPr>
              <w:spacing w:after="0"/>
              <w:rPr>
                <w:sz w:val="1"/>
                <w:szCs w:val="1"/>
                <w:color w:val="auto"/>
              </w:rPr>
            </w:pPr>
          </w:p>
        </w:tc>
      </w:tr>
      <w:tr>
        <w:trPr>
          <w:trHeight w:val="244"/>
        </w:trPr>
        <w:tc>
          <w:tcPr>
            <w:tcW w:w="9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992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940" w:type="dxa"/>
            <w:vAlign w:val="bottom"/>
            <w:vMerge w:val="restart"/>
          </w:tcPr>
          <w:p>
            <w:pPr>
              <w:ind w:left="40"/>
              <w:spacing w:after="0"/>
              <w:rPr>
                <w:sz w:val="20"/>
                <w:szCs w:val="20"/>
                <w:color w:val="auto"/>
              </w:rPr>
            </w:pPr>
            <w:r>
              <w:rPr>
                <w:rFonts w:ascii="Arial" w:cs="Arial" w:eastAsia="Arial" w:hAnsi="Arial"/>
                <w:sz w:val="18"/>
                <w:szCs w:val="18"/>
                <w:color w:val="auto"/>
              </w:rPr>
              <w:t>6.6</w:t>
            </w:r>
          </w:p>
        </w:tc>
        <w:tc>
          <w:tcPr>
            <w:tcW w:w="9920" w:type="dxa"/>
            <w:vAlign w:val="bottom"/>
            <w:vMerge w:val="restart"/>
          </w:tcPr>
          <w:p>
            <w:pPr>
              <w:ind w:left="220"/>
              <w:spacing w:after="0"/>
              <w:rPr>
                <w:sz w:val="20"/>
                <w:szCs w:val="20"/>
                <w:color w:val="auto"/>
              </w:rPr>
            </w:pPr>
            <w:r>
              <w:rPr>
                <w:rFonts w:ascii="Arial" w:cs="Arial" w:eastAsia="Arial" w:hAnsi="Arial"/>
                <w:sz w:val="18"/>
                <w:szCs w:val="18"/>
                <w:color w:val="auto"/>
              </w:rPr>
              <w:t>Fees</w:t>
            </w:r>
          </w:p>
        </w:tc>
        <w:tc>
          <w:tcPr>
            <w:tcW w:w="180" w:type="dxa"/>
            <w:vAlign w:val="bottom"/>
          </w:tcPr>
          <w:p>
            <w:pPr>
              <w:spacing w:after="0" w:line="202" w:lineRule="exact"/>
              <w:rPr>
                <w:sz w:val="20"/>
                <w:szCs w:val="20"/>
                <w:color w:val="auto"/>
              </w:rPr>
            </w:pPr>
            <w:r>
              <w:rPr>
                <w:rFonts w:ascii="Arial" w:cs="Arial" w:eastAsia="Arial" w:hAnsi="Arial"/>
                <w:sz w:val="18"/>
                <w:szCs w:val="18"/>
                <w:color w:val="FF0000"/>
                <w:strike w:val="1"/>
                <w:w w:val="79"/>
              </w:rPr>
              <w:t>95</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0000FF"/>
                <w:w w:val="79"/>
              </w:rPr>
              <w:t>96</w:t>
            </w:r>
          </w:p>
        </w:tc>
        <w:tc>
          <w:tcPr>
            <w:tcW w:w="0" w:type="dxa"/>
            <w:vAlign w:val="bottom"/>
          </w:tcPr>
          <w:p>
            <w:pPr>
              <w:spacing w:after="0"/>
              <w:rPr>
                <w:sz w:val="1"/>
                <w:szCs w:val="1"/>
                <w:color w:val="auto"/>
              </w:rPr>
            </w:pPr>
          </w:p>
        </w:tc>
      </w:tr>
      <w:tr>
        <w:trPr>
          <w:trHeight w:val="237"/>
        </w:trPr>
        <w:tc>
          <w:tcPr>
            <w:tcW w:w="940" w:type="dxa"/>
            <w:vAlign w:val="bottom"/>
            <w:vMerge w:val="continue"/>
          </w:tcPr>
          <w:p>
            <w:pPr>
              <w:spacing w:after="0"/>
              <w:rPr>
                <w:sz w:val="20"/>
                <w:szCs w:val="20"/>
                <w:color w:val="auto"/>
              </w:rPr>
            </w:pPr>
          </w:p>
        </w:tc>
        <w:tc>
          <w:tcPr>
            <w:tcW w:w="99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6.7</w:t>
            </w:r>
          </w:p>
        </w:tc>
        <w:tc>
          <w:tcPr>
            <w:tcW w:w="992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Representations and Warranties; No Default</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FF0000"/>
                <w:strike w:val="1"/>
                <w:w w:val="79"/>
              </w:rPr>
              <w:t>95</w:t>
            </w:r>
          </w:p>
        </w:tc>
        <w:tc>
          <w:tcPr>
            <w:tcW w:w="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0000FF"/>
                <w:w w:val="79"/>
              </w:rPr>
              <w:t>96</w:t>
            </w:r>
          </w:p>
        </w:tc>
        <w:tc>
          <w:tcPr>
            <w:tcW w:w="0" w:type="dxa"/>
            <w:vAlign w:val="bottom"/>
          </w:tcPr>
          <w:p>
            <w:pPr>
              <w:spacing w:after="0"/>
              <w:rPr>
                <w:sz w:val="1"/>
                <w:szCs w:val="1"/>
                <w:color w:val="auto"/>
              </w:rPr>
            </w:pPr>
          </w:p>
        </w:tc>
      </w:tr>
      <w:tr>
        <w:trPr>
          <w:trHeight w:val="243"/>
        </w:trPr>
        <w:tc>
          <w:tcPr>
            <w:tcW w:w="9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992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40" w:type="dxa"/>
            <w:vAlign w:val="bottom"/>
            <w:vMerge w:val="restart"/>
          </w:tcPr>
          <w:p>
            <w:pPr>
              <w:ind w:left="40"/>
              <w:spacing w:after="0"/>
              <w:rPr>
                <w:sz w:val="20"/>
                <w:szCs w:val="20"/>
                <w:color w:val="auto"/>
              </w:rPr>
            </w:pPr>
            <w:r>
              <w:rPr>
                <w:rFonts w:ascii="Arial" w:cs="Arial" w:eastAsia="Arial" w:hAnsi="Arial"/>
                <w:sz w:val="18"/>
                <w:szCs w:val="18"/>
                <w:color w:val="auto"/>
              </w:rPr>
              <w:t>6.8</w:t>
            </w:r>
          </w:p>
        </w:tc>
        <w:tc>
          <w:tcPr>
            <w:tcW w:w="9920" w:type="dxa"/>
            <w:vAlign w:val="bottom"/>
            <w:vMerge w:val="restart"/>
          </w:tcPr>
          <w:p>
            <w:pPr>
              <w:ind w:left="220"/>
              <w:spacing w:after="0"/>
              <w:rPr>
                <w:sz w:val="20"/>
                <w:szCs w:val="20"/>
                <w:color w:val="auto"/>
              </w:rPr>
            </w:pPr>
            <w:r>
              <w:rPr>
                <w:rFonts w:ascii="Arial" w:cs="Arial" w:eastAsia="Arial" w:hAnsi="Arial"/>
                <w:sz w:val="18"/>
                <w:szCs w:val="18"/>
                <w:color w:val="auto"/>
              </w:rPr>
              <w:t>Solvency Certificate</w:t>
            </w:r>
          </w:p>
        </w:tc>
        <w:tc>
          <w:tcPr>
            <w:tcW w:w="180" w:type="dxa"/>
            <w:vAlign w:val="bottom"/>
          </w:tcPr>
          <w:p>
            <w:pPr>
              <w:spacing w:after="0" w:line="202" w:lineRule="exact"/>
              <w:rPr>
                <w:sz w:val="20"/>
                <w:szCs w:val="20"/>
                <w:color w:val="auto"/>
              </w:rPr>
            </w:pPr>
            <w:r>
              <w:rPr>
                <w:rFonts w:ascii="Arial" w:cs="Arial" w:eastAsia="Arial" w:hAnsi="Arial"/>
                <w:sz w:val="18"/>
                <w:szCs w:val="18"/>
                <w:color w:val="FF0000"/>
                <w:strike w:val="1"/>
                <w:w w:val="79"/>
              </w:rPr>
              <w:t>95</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0000FF"/>
                <w:w w:val="79"/>
              </w:rPr>
              <w:t>96</w:t>
            </w:r>
          </w:p>
        </w:tc>
        <w:tc>
          <w:tcPr>
            <w:tcW w:w="0" w:type="dxa"/>
            <w:vAlign w:val="bottom"/>
          </w:tcPr>
          <w:p>
            <w:pPr>
              <w:spacing w:after="0"/>
              <w:rPr>
                <w:sz w:val="1"/>
                <w:szCs w:val="1"/>
                <w:color w:val="auto"/>
              </w:rPr>
            </w:pPr>
          </w:p>
        </w:tc>
      </w:tr>
      <w:tr>
        <w:trPr>
          <w:trHeight w:val="237"/>
        </w:trPr>
        <w:tc>
          <w:tcPr>
            <w:tcW w:w="940" w:type="dxa"/>
            <w:vAlign w:val="bottom"/>
            <w:vMerge w:val="continue"/>
          </w:tcPr>
          <w:p>
            <w:pPr>
              <w:spacing w:after="0"/>
              <w:rPr>
                <w:sz w:val="20"/>
                <w:szCs w:val="20"/>
                <w:color w:val="auto"/>
              </w:rPr>
            </w:pPr>
          </w:p>
        </w:tc>
        <w:tc>
          <w:tcPr>
            <w:tcW w:w="99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6.9</w:t>
            </w:r>
          </w:p>
        </w:tc>
        <w:tc>
          <w:tcPr>
            <w:tcW w:w="992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KYC Information</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FF0000"/>
                <w:strike w:val="1"/>
                <w:w w:val="79"/>
              </w:rPr>
              <w:t>95</w:t>
            </w:r>
          </w:p>
        </w:tc>
        <w:tc>
          <w:tcPr>
            <w:tcW w:w="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0000FF"/>
                <w:w w:val="79"/>
              </w:rPr>
              <w:t>96</w:t>
            </w:r>
          </w:p>
        </w:tc>
        <w:tc>
          <w:tcPr>
            <w:tcW w:w="0" w:type="dxa"/>
            <w:vAlign w:val="bottom"/>
          </w:tcPr>
          <w:p>
            <w:pPr>
              <w:spacing w:after="0"/>
              <w:rPr>
                <w:sz w:val="1"/>
                <w:szCs w:val="1"/>
                <w:color w:val="auto"/>
              </w:rPr>
            </w:pPr>
          </w:p>
        </w:tc>
      </w:tr>
      <w:tr>
        <w:trPr>
          <w:trHeight w:val="244"/>
        </w:trPr>
        <w:tc>
          <w:tcPr>
            <w:tcW w:w="9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992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40" w:type="dxa"/>
            <w:vAlign w:val="bottom"/>
            <w:vMerge w:val="restart"/>
          </w:tcPr>
          <w:p>
            <w:pPr>
              <w:ind w:left="40"/>
              <w:spacing w:after="0"/>
              <w:rPr>
                <w:sz w:val="20"/>
                <w:szCs w:val="20"/>
                <w:color w:val="auto"/>
              </w:rPr>
            </w:pPr>
            <w:r>
              <w:rPr>
                <w:rFonts w:ascii="Arial" w:cs="Arial" w:eastAsia="Arial" w:hAnsi="Arial"/>
                <w:sz w:val="18"/>
                <w:szCs w:val="18"/>
                <w:color w:val="auto"/>
              </w:rPr>
              <w:t>6.10</w:t>
            </w:r>
          </w:p>
        </w:tc>
        <w:tc>
          <w:tcPr>
            <w:tcW w:w="9920" w:type="dxa"/>
            <w:vAlign w:val="bottom"/>
            <w:vMerge w:val="restart"/>
          </w:tcPr>
          <w:p>
            <w:pPr>
              <w:ind w:left="220"/>
              <w:spacing w:after="0"/>
              <w:rPr>
                <w:sz w:val="20"/>
                <w:szCs w:val="20"/>
                <w:color w:val="auto"/>
              </w:rPr>
            </w:pPr>
            <w:r>
              <w:rPr>
                <w:rFonts w:ascii="Arial" w:cs="Arial" w:eastAsia="Arial" w:hAnsi="Arial"/>
                <w:sz w:val="18"/>
                <w:szCs w:val="18"/>
                <w:color w:val="auto"/>
              </w:rPr>
              <w:t>Refinancing</w:t>
            </w:r>
          </w:p>
        </w:tc>
        <w:tc>
          <w:tcPr>
            <w:tcW w:w="180" w:type="dxa"/>
            <w:vAlign w:val="bottom"/>
          </w:tcPr>
          <w:p>
            <w:pPr>
              <w:spacing w:after="0" w:line="202" w:lineRule="exact"/>
              <w:rPr>
                <w:sz w:val="20"/>
                <w:szCs w:val="20"/>
                <w:color w:val="auto"/>
              </w:rPr>
            </w:pPr>
            <w:r>
              <w:rPr>
                <w:rFonts w:ascii="Arial" w:cs="Arial" w:eastAsia="Arial" w:hAnsi="Arial"/>
                <w:sz w:val="18"/>
                <w:szCs w:val="18"/>
                <w:color w:val="FF0000"/>
                <w:strike w:val="1"/>
                <w:w w:val="79"/>
              </w:rPr>
              <w:t>95</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0000FF"/>
                <w:w w:val="79"/>
              </w:rPr>
              <w:t>96</w:t>
            </w:r>
          </w:p>
        </w:tc>
        <w:tc>
          <w:tcPr>
            <w:tcW w:w="0" w:type="dxa"/>
            <w:vAlign w:val="bottom"/>
          </w:tcPr>
          <w:p>
            <w:pPr>
              <w:spacing w:after="0"/>
              <w:rPr>
                <w:sz w:val="1"/>
                <w:szCs w:val="1"/>
                <w:color w:val="auto"/>
              </w:rPr>
            </w:pPr>
          </w:p>
        </w:tc>
      </w:tr>
      <w:tr>
        <w:trPr>
          <w:trHeight w:val="237"/>
        </w:trPr>
        <w:tc>
          <w:tcPr>
            <w:tcW w:w="940" w:type="dxa"/>
            <w:vAlign w:val="bottom"/>
            <w:vMerge w:val="continue"/>
          </w:tcPr>
          <w:p>
            <w:pPr>
              <w:spacing w:after="0"/>
              <w:rPr>
                <w:sz w:val="20"/>
                <w:szCs w:val="20"/>
                <w:color w:val="auto"/>
              </w:rPr>
            </w:pPr>
          </w:p>
        </w:tc>
        <w:tc>
          <w:tcPr>
            <w:tcW w:w="99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6.11</w:t>
            </w:r>
          </w:p>
        </w:tc>
        <w:tc>
          <w:tcPr>
            <w:tcW w:w="992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Notice of Term Loan Borrowing</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FF0000"/>
                <w:strike w:val="1"/>
                <w:w w:val="79"/>
              </w:rPr>
              <w:t>95</w:t>
            </w:r>
          </w:p>
        </w:tc>
        <w:tc>
          <w:tcPr>
            <w:tcW w:w="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0000FF"/>
                <w:w w:val="79"/>
              </w:rPr>
              <w:t>97</w:t>
            </w:r>
          </w:p>
        </w:tc>
        <w:tc>
          <w:tcPr>
            <w:tcW w:w="0" w:type="dxa"/>
            <w:vAlign w:val="bottom"/>
          </w:tcPr>
          <w:p>
            <w:pPr>
              <w:spacing w:after="0"/>
              <w:rPr>
                <w:sz w:val="1"/>
                <w:szCs w:val="1"/>
                <w:color w:val="auto"/>
              </w:rPr>
            </w:pPr>
          </w:p>
        </w:tc>
      </w:tr>
      <w:tr>
        <w:trPr>
          <w:trHeight w:val="244"/>
        </w:trPr>
        <w:tc>
          <w:tcPr>
            <w:tcW w:w="9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992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40" w:type="dxa"/>
            <w:vAlign w:val="bottom"/>
            <w:vMerge w:val="restart"/>
          </w:tcPr>
          <w:p>
            <w:pPr>
              <w:ind w:left="40"/>
              <w:spacing w:after="0"/>
              <w:rPr>
                <w:sz w:val="20"/>
                <w:szCs w:val="20"/>
                <w:color w:val="auto"/>
              </w:rPr>
            </w:pPr>
            <w:r>
              <w:rPr>
                <w:rFonts w:ascii="Arial" w:cs="Arial" w:eastAsia="Arial" w:hAnsi="Arial"/>
                <w:sz w:val="18"/>
                <w:szCs w:val="18"/>
                <w:color w:val="auto"/>
              </w:rPr>
              <w:t>Section 7</w:t>
            </w:r>
          </w:p>
        </w:tc>
        <w:tc>
          <w:tcPr>
            <w:tcW w:w="9920" w:type="dxa"/>
            <w:vAlign w:val="bottom"/>
            <w:vMerge w:val="restart"/>
          </w:tcPr>
          <w:p>
            <w:pPr>
              <w:ind w:left="220"/>
              <w:spacing w:after="0"/>
              <w:rPr>
                <w:sz w:val="20"/>
                <w:szCs w:val="20"/>
                <w:color w:val="auto"/>
              </w:rPr>
            </w:pPr>
            <w:r>
              <w:rPr>
                <w:rFonts w:ascii="Arial" w:cs="Arial" w:eastAsia="Arial" w:hAnsi="Arial"/>
                <w:sz w:val="18"/>
                <w:szCs w:val="18"/>
                <w:color w:val="auto"/>
              </w:rPr>
              <w:t>Conditions Precedent to All Credit Events on and after the Restatement Effective Date</w:t>
            </w:r>
          </w:p>
        </w:tc>
        <w:tc>
          <w:tcPr>
            <w:tcW w:w="180" w:type="dxa"/>
            <w:vAlign w:val="bottom"/>
          </w:tcPr>
          <w:p>
            <w:pPr>
              <w:spacing w:after="0" w:line="202" w:lineRule="exact"/>
              <w:rPr>
                <w:sz w:val="20"/>
                <w:szCs w:val="20"/>
                <w:color w:val="auto"/>
              </w:rPr>
            </w:pPr>
            <w:r>
              <w:rPr>
                <w:rFonts w:ascii="Arial" w:cs="Arial" w:eastAsia="Arial" w:hAnsi="Arial"/>
                <w:sz w:val="18"/>
                <w:szCs w:val="18"/>
                <w:color w:val="FF0000"/>
                <w:strike w:val="1"/>
                <w:w w:val="79"/>
              </w:rPr>
              <w:t>96</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0000FF"/>
                <w:w w:val="79"/>
              </w:rPr>
              <w:t>97</w:t>
            </w:r>
          </w:p>
        </w:tc>
        <w:tc>
          <w:tcPr>
            <w:tcW w:w="0" w:type="dxa"/>
            <w:vAlign w:val="bottom"/>
          </w:tcPr>
          <w:p>
            <w:pPr>
              <w:spacing w:after="0"/>
              <w:rPr>
                <w:sz w:val="1"/>
                <w:szCs w:val="1"/>
                <w:color w:val="auto"/>
              </w:rPr>
            </w:pPr>
          </w:p>
        </w:tc>
      </w:tr>
      <w:tr>
        <w:trPr>
          <w:trHeight w:val="236"/>
        </w:trPr>
        <w:tc>
          <w:tcPr>
            <w:tcW w:w="940" w:type="dxa"/>
            <w:vAlign w:val="bottom"/>
            <w:vMerge w:val="continue"/>
          </w:tcPr>
          <w:p>
            <w:pPr>
              <w:spacing w:after="0"/>
              <w:rPr>
                <w:sz w:val="20"/>
                <w:szCs w:val="20"/>
                <w:color w:val="auto"/>
              </w:rPr>
            </w:pPr>
          </w:p>
        </w:tc>
        <w:tc>
          <w:tcPr>
            <w:tcW w:w="99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7.1</w:t>
            </w:r>
          </w:p>
        </w:tc>
        <w:tc>
          <w:tcPr>
            <w:tcW w:w="992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No Default; Representations and Warranties</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FF0000"/>
                <w:strike w:val="1"/>
                <w:w w:val="79"/>
              </w:rPr>
              <w:t>96</w:t>
            </w:r>
          </w:p>
        </w:tc>
        <w:tc>
          <w:tcPr>
            <w:tcW w:w="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0000FF"/>
                <w:w w:val="79"/>
              </w:rPr>
              <w:t>97</w:t>
            </w:r>
          </w:p>
        </w:tc>
        <w:tc>
          <w:tcPr>
            <w:tcW w:w="0" w:type="dxa"/>
            <w:vAlign w:val="bottom"/>
          </w:tcPr>
          <w:p>
            <w:pPr>
              <w:spacing w:after="0"/>
              <w:rPr>
                <w:sz w:val="1"/>
                <w:szCs w:val="1"/>
                <w:color w:val="auto"/>
              </w:rPr>
            </w:pPr>
          </w:p>
        </w:tc>
      </w:tr>
      <w:tr>
        <w:trPr>
          <w:trHeight w:val="244"/>
        </w:trPr>
        <w:tc>
          <w:tcPr>
            <w:tcW w:w="9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992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40" w:type="dxa"/>
            <w:vAlign w:val="bottom"/>
            <w:vMerge w:val="restart"/>
          </w:tcPr>
          <w:p>
            <w:pPr>
              <w:ind w:left="40"/>
              <w:spacing w:after="0"/>
              <w:rPr>
                <w:sz w:val="20"/>
                <w:szCs w:val="20"/>
                <w:color w:val="auto"/>
              </w:rPr>
            </w:pPr>
            <w:r>
              <w:rPr>
                <w:rFonts w:ascii="Arial" w:cs="Arial" w:eastAsia="Arial" w:hAnsi="Arial"/>
                <w:sz w:val="18"/>
                <w:szCs w:val="18"/>
                <w:color w:val="auto"/>
              </w:rPr>
              <w:t>7.2</w:t>
            </w:r>
          </w:p>
        </w:tc>
        <w:tc>
          <w:tcPr>
            <w:tcW w:w="9920" w:type="dxa"/>
            <w:vAlign w:val="bottom"/>
            <w:vMerge w:val="restart"/>
          </w:tcPr>
          <w:p>
            <w:pPr>
              <w:ind w:left="220"/>
              <w:spacing w:after="0"/>
              <w:rPr>
                <w:sz w:val="20"/>
                <w:szCs w:val="20"/>
                <w:color w:val="auto"/>
              </w:rPr>
            </w:pPr>
            <w:r>
              <w:rPr>
                <w:rFonts w:ascii="Arial" w:cs="Arial" w:eastAsia="Arial" w:hAnsi="Arial"/>
                <w:sz w:val="18"/>
                <w:szCs w:val="18"/>
                <w:color w:val="auto"/>
              </w:rPr>
              <w:t>Notice of Borrowing; Letter of Credit Request</w:t>
            </w:r>
          </w:p>
        </w:tc>
        <w:tc>
          <w:tcPr>
            <w:tcW w:w="180" w:type="dxa"/>
            <w:vAlign w:val="bottom"/>
          </w:tcPr>
          <w:p>
            <w:pPr>
              <w:spacing w:after="0" w:line="202" w:lineRule="exact"/>
              <w:rPr>
                <w:sz w:val="20"/>
                <w:szCs w:val="20"/>
                <w:color w:val="auto"/>
              </w:rPr>
            </w:pPr>
            <w:r>
              <w:rPr>
                <w:rFonts w:ascii="Arial" w:cs="Arial" w:eastAsia="Arial" w:hAnsi="Arial"/>
                <w:sz w:val="18"/>
                <w:szCs w:val="18"/>
                <w:color w:val="FF0000"/>
                <w:strike w:val="1"/>
                <w:w w:val="79"/>
              </w:rPr>
              <w:t>96</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0000FF"/>
                <w:w w:val="79"/>
              </w:rPr>
              <w:t>97</w:t>
            </w:r>
          </w:p>
        </w:tc>
        <w:tc>
          <w:tcPr>
            <w:tcW w:w="0" w:type="dxa"/>
            <w:vAlign w:val="bottom"/>
          </w:tcPr>
          <w:p>
            <w:pPr>
              <w:spacing w:after="0"/>
              <w:rPr>
                <w:sz w:val="1"/>
                <w:szCs w:val="1"/>
                <w:color w:val="auto"/>
              </w:rPr>
            </w:pPr>
          </w:p>
        </w:tc>
      </w:tr>
      <w:tr>
        <w:trPr>
          <w:trHeight w:val="236"/>
        </w:trPr>
        <w:tc>
          <w:tcPr>
            <w:tcW w:w="940" w:type="dxa"/>
            <w:vAlign w:val="bottom"/>
            <w:vMerge w:val="continue"/>
          </w:tcPr>
          <w:p>
            <w:pPr>
              <w:spacing w:after="0"/>
              <w:rPr>
                <w:sz w:val="20"/>
                <w:szCs w:val="20"/>
                <w:color w:val="auto"/>
              </w:rPr>
            </w:pPr>
          </w:p>
        </w:tc>
        <w:tc>
          <w:tcPr>
            <w:tcW w:w="99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Section 8</w:t>
            </w:r>
          </w:p>
        </w:tc>
        <w:tc>
          <w:tcPr>
            <w:tcW w:w="992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Representations and Warranties</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FF0000"/>
                <w:strike w:val="1"/>
                <w:w w:val="79"/>
              </w:rPr>
              <w:t>96</w:t>
            </w:r>
          </w:p>
        </w:tc>
        <w:tc>
          <w:tcPr>
            <w:tcW w:w="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0000FF"/>
                <w:w w:val="79"/>
              </w:rPr>
              <w:t>98</w:t>
            </w:r>
          </w:p>
        </w:tc>
        <w:tc>
          <w:tcPr>
            <w:tcW w:w="0" w:type="dxa"/>
            <w:vAlign w:val="bottom"/>
          </w:tcPr>
          <w:p>
            <w:pPr>
              <w:spacing w:after="0"/>
              <w:rPr>
                <w:sz w:val="1"/>
                <w:szCs w:val="1"/>
                <w:color w:val="auto"/>
              </w:rPr>
            </w:pPr>
          </w:p>
        </w:tc>
      </w:tr>
      <w:tr>
        <w:trPr>
          <w:trHeight w:val="243"/>
        </w:trPr>
        <w:tc>
          <w:tcPr>
            <w:tcW w:w="9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992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40" w:type="dxa"/>
            <w:vAlign w:val="bottom"/>
            <w:vMerge w:val="restart"/>
          </w:tcPr>
          <w:p>
            <w:pPr>
              <w:ind w:left="40"/>
              <w:spacing w:after="0"/>
              <w:rPr>
                <w:sz w:val="20"/>
                <w:szCs w:val="20"/>
                <w:color w:val="auto"/>
              </w:rPr>
            </w:pPr>
            <w:r>
              <w:rPr>
                <w:rFonts w:ascii="Arial" w:cs="Arial" w:eastAsia="Arial" w:hAnsi="Arial"/>
                <w:sz w:val="18"/>
                <w:szCs w:val="18"/>
                <w:color w:val="auto"/>
              </w:rPr>
              <w:t>8.1</w:t>
            </w:r>
          </w:p>
        </w:tc>
        <w:tc>
          <w:tcPr>
            <w:tcW w:w="9920" w:type="dxa"/>
            <w:vAlign w:val="bottom"/>
            <w:vMerge w:val="restart"/>
          </w:tcPr>
          <w:p>
            <w:pPr>
              <w:ind w:left="220"/>
              <w:spacing w:after="0"/>
              <w:rPr>
                <w:sz w:val="20"/>
                <w:szCs w:val="20"/>
                <w:color w:val="auto"/>
              </w:rPr>
            </w:pPr>
            <w:r>
              <w:rPr>
                <w:rFonts w:ascii="Arial" w:cs="Arial" w:eastAsia="Arial" w:hAnsi="Arial"/>
                <w:sz w:val="18"/>
                <w:szCs w:val="18"/>
                <w:color w:val="auto"/>
              </w:rPr>
              <w:t>Corporate Status</w:t>
            </w:r>
          </w:p>
        </w:tc>
        <w:tc>
          <w:tcPr>
            <w:tcW w:w="180" w:type="dxa"/>
            <w:vAlign w:val="bottom"/>
          </w:tcPr>
          <w:p>
            <w:pPr>
              <w:spacing w:after="0" w:line="202" w:lineRule="exact"/>
              <w:rPr>
                <w:sz w:val="20"/>
                <w:szCs w:val="20"/>
                <w:color w:val="auto"/>
              </w:rPr>
            </w:pPr>
            <w:r>
              <w:rPr>
                <w:rFonts w:ascii="Arial" w:cs="Arial" w:eastAsia="Arial" w:hAnsi="Arial"/>
                <w:sz w:val="18"/>
                <w:szCs w:val="18"/>
                <w:color w:val="FF0000"/>
                <w:strike w:val="1"/>
                <w:w w:val="79"/>
              </w:rPr>
              <w:t>97</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0000FF"/>
                <w:w w:val="79"/>
              </w:rPr>
              <w:t>98</w:t>
            </w:r>
          </w:p>
        </w:tc>
        <w:tc>
          <w:tcPr>
            <w:tcW w:w="0" w:type="dxa"/>
            <w:vAlign w:val="bottom"/>
          </w:tcPr>
          <w:p>
            <w:pPr>
              <w:spacing w:after="0"/>
              <w:rPr>
                <w:sz w:val="1"/>
                <w:szCs w:val="1"/>
                <w:color w:val="auto"/>
              </w:rPr>
            </w:pPr>
          </w:p>
        </w:tc>
      </w:tr>
      <w:tr>
        <w:trPr>
          <w:trHeight w:val="236"/>
        </w:trPr>
        <w:tc>
          <w:tcPr>
            <w:tcW w:w="940" w:type="dxa"/>
            <w:vAlign w:val="bottom"/>
            <w:vMerge w:val="continue"/>
          </w:tcPr>
          <w:p>
            <w:pPr>
              <w:spacing w:after="0"/>
              <w:rPr>
                <w:sz w:val="20"/>
                <w:szCs w:val="20"/>
                <w:color w:val="auto"/>
              </w:rPr>
            </w:pPr>
          </w:p>
        </w:tc>
        <w:tc>
          <w:tcPr>
            <w:tcW w:w="99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8.2</w:t>
            </w:r>
          </w:p>
        </w:tc>
        <w:tc>
          <w:tcPr>
            <w:tcW w:w="992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Corporate Power and Authority</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FF0000"/>
                <w:strike w:val="1"/>
                <w:w w:val="79"/>
              </w:rPr>
              <w:t>97</w:t>
            </w:r>
          </w:p>
        </w:tc>
        <w:tc>
          <w:tcPr>
            <w:tcW w:w="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0000FF"/>
                <w:w w:val="79"/>
              </w:rPr>
              <w:t>98</w:t>
            </w:r>
          </w:p>
        </w:tc>
        <w:tc>
          <w:tcPr>
            <w:tcW w:w="0" w:type="dxa"/>
            <w:vAlign w:val="bottom"/>
          </w:tcPr>
          <w:p>
            <w:pPr>
              <w:spacing w:after="0"/>
              <w:rPr>
                <w:sz w:val="1"/>
                <w:szCs w:val="1"/>
                <w:color w:val="auto"/>
              </w:rPr>
            </w:pPr>
          </w:p>
        </w:tc>
      </w:tr>
      <w:tr>
        <w:trPr>
          <w:trHeight w:val="243"/>
        </w:trPr>
        <w:tc>
          <w:tcPr>
            <w:tcW w:w="9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992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40" w:type="dxa"/>
            <w:vAlign w:val="bottom"/>
            <w:vMerge w:val="restart"/>
          </w:tcPr>
          <w:p>
            <w:pPr>
              <w:ind w:left="40"/>
              <w:spacing w:after="0"/>
              <w:rPr>
                <w:sz w:val="20"/>
                <w:szCs w:val="20"/>
                <w:color w:val="auto"/>
              </w:rPr>
            </w:pPr>
            <w:r>
              <w:rPr>
                <w:rFonts w:ascii="Arial" w:cs="Arial" w:eastAsia="Arial" w:hAnsi="Arial"/>
                <w:sz w:val="18"/>
                <w:szCs w:val="18"/>
                <w:color w:val="auto"/>
              </w:rPr>
              <w:t>8.3</w:t>
            </w:r>
          </w:p>
        </w:tc>
        <w:tc>
          <w:tcPr>
            <w:tcW w:w="9920" w:type="dxa"/>
            <w:vAlign w:val="bottom"/>
            <w:vMerge w:val="restart"/>
          </w:tcPr>
          <w:p>
            <w:pPr>
              <w:ind w:left="220"/>
              <w:spacing w:after="0"/>
              <w:rPr>
                <w:sz w:val="20"/>
                <w:szCs w:val="20"/>
                <w:color w:val="auto"/>
              </w:rPr>
            </w:pPr>
            <w:r>
              <w:rPr>
                <w:rFonts w:ascii="Arial" w:cs="Arial" w:eastAsia="Arial" w:hAnsi="Arial"/>
                <w:sz w:val="18"/>
                <w:szCs w:val="18"/>
                <w:color w:val="auto"/>
              </w:rPr>
              <w:t>No Violation</w:t>
            </w:r>
          </w:p>
        </w:tc>
        <w:tc>
          <w:tcPr>
            <w:tcW w:w="180" w:type="dxa"/>
            <w:vAlign w:val="bottom"/>
          </w:tcPr>
          <w:p>
            <w:pPr>
              <w:spacing w:after="0" w:line="202" w:lineRule="exact"/>
              <w:rPr>
                <w:sz w:val="20"/>
                <w:szCs w:val="20"/>
                <w:color w:val="auto"/>
              </w:rPr>
            </w:pPr>
            <w:r>
              <w:rPr>
                <w:rFonts w:ascii="Arial" w:cs="Arial" w:eastAsia="Arial" w:hAnsi="Arial"/>
                <w:sz w:val="18"/>
                <w:szCs w:val="18"/>
                <w:color w:val="FF0000"/>
                <w:strike w:val="1"/>
                <w:w w:val="79"/>
              </w:rPr>
              <w:t>97</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0000FF"/>
                <w:w w:val="79"/>
              </w:rPr>
              <w:t>98</w:t>
            </w:r>
          </w:p>
        </w:tc>
        <w:tc>
          <w:tcPr>
            <w:tcW w:w="0" w:type="dxa"/>
            <w:vAlign w:val="bottom"/>
          </w:tcPr>
          <w:p>
            <w:pPr>
              <w:spacing w:after="0"/>
              <w:rPr>
                <w:sz w:val="1"/>
                <w:szCs w:val="1"/>
                <w:color w:val="auto"/>
              </w:rPr>
            </w:pPr>
          </w:p>
        </w:tc>
      </w:tr>
      <w:tr>
        <w:trPr>
          <w:trHeight w:val="236"/>
        </w:trPr>
        <w:tc>
          <w:tcPr>
            <w:tcW w:w="940" w:type="dxa"/>
            <w:vAlign w:val="bottom"/>
            <w:vMerge w:val="continue"/>
          </w:tcPr>
          <w:p>
            <w:pPr>
              <w:spacing w:after="0"/>
              <w:rPr>
                <w:sz w:val="20"/>
                <w:szCs w:val="20"/>
                <w:color w:val="auto"/>
              </w:rPr>
            </w:pPr>
          </w:p>
        </w:tc>
        <w:tc>
          <w:tcPr>
            <w:tcW w:w="99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4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8.4</w:t>
            </w:r>
          </w:p>
        </w:tc>
        <w:tc>
          <w:tcPr>
            <w:tcW w:w="992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Litigation</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FF0000"/>
                <w:strike w:val="1"/>
                <w:w w:val="79"/>
              </w:rPr>
              <w:t>97</w:t>
            </w:r>
          </w:p>
        </w:tc>
        <w:tc>
          <w:tcPr>
            <w:tcW w:w="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0000FF"/>
                <w:w w:val="79"/>
              </w:rPr>
              <w:t>98</w:t>
            </w:r>
          </w:p>
        </w:tc>
        <w:tc>
          <w:tcPr>
            <w:tcW w:w="0" w:type="dxa"/>
            <w:vAlign w:val="bottom"/>
          </w:tcPr>
          <w:p>
            <w:pPr>
              <w:spacing w:after="0"/>
              <w:rPr>
                <w:sz w:val="1"/>
                <w:szCs w:val="1"/>
                <w:color w:val="auto"/>
              </w:rPr>
            </w:pPr>
          </w:p>
        </w:tc>
      </w:tr>
      <w:tr>
        <w:trPr>
          <w:trHeight w:val="244"/>
        </w:trPr>
        <w:tc>
          <w:tcPr>
            <w:tcW w:w="94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992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940" w:type="dxa"/>
            <w:vAlign w:val="bottom"/>
            <w:vMerge w:val="restart"/>
          </w:tcPr>
          <w:p>
            <w:pPr>
              <w:ind w:left="40"/>
              <w:spacing w:after="0"/>
              <w:rPr>
                <w:sz w:val="20"/>
                <w:szCs w:val="20"/>
                <w:color w:val="auto"/>
              </w:rPr>
            </w:pPr>
            <w:r>
              <w:rPr>
                <w:rFonts w:ascii="Arial" w:cs="Arial" w:eastAsia="Arial" w:hAnsi="Arial"/>
                <w:sz w:val="18"/>
                <w:szCs w:val="18"/>
                <w:color w:val="auto"/>
              </w:rPr>
              <w:t>8.5</w:t>
            </w:r>
          </w:p>
        </w:tc>
        <w:tc>
          <w:tcPr>
            <w:tcW w:w="9920" w:type="dxa"/>
            <w:vAlign w:val="bottom"/>
            <w:vMerge w:val="restart"/>
          </w:tcPr>
          <w:p>
            <w:pPr>
              <w:ind w:left="220"/>
              <w:spacing w:after="0"/>
              <w:rPr>
                <w:sz w:val="20"/>
                <w:szCs w:val="20"/>
                <w:color w:val="auto"/>
              </w:rPr>
            </w:pPr>
            <w:r>
              <w:rPr>
                <w:rFonts w:ascii="Arial" w:cs="Arial" w:eastAsia="Arial" w:hAnsi="Arial"/>
                <w:sz w:val="18"/>
                <w:szCs w:val="18"/>
                <w:color w:val="auto"/>
              </w:rPr>
              <w:t>Margin Regulations</w:t>
            </w:r>
          </w:p>
        </w:tc>
        <w:tc>
          <w:tcPr>
            <w:tcW w:w="180" w:type="dxa"/>
            <w:vAlign w:val="bottom"/>
          </w:tcPr>
          <w:p>
            <w:pPr>
              <w:spacing w:after="0" w:line="202" w:lineRule="exact"/>
              <w:rPr>
                <w:sz w:val="20"/>
                <w:szCs w:val="20"/>
                <w:color w:val="auto"/>
              </w:rPr>
            </w:pPr>
            <w:r>
              <w:rPr>
                <w:rFonts w:ascii="Arial" w:cs="Arial" w:eastAsia="Arial" w:hAnsi="Arial"/>
                <w:sz w:val="18"/>
                <w:szCs w:val="18"/>
                <w:color w:val="FF0000"/>
                <w:strike w:val="1"/>
                <w:w w:val="79"/>
              </w:rPr>
              <w:t>97</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0000FF"/>
                <w:w w:val="79"/>
              </w:rPr>
              <w:t>98</w:t>
            </w:r>
          </w:p>
        </w:tc>
        <w:tc>
          <w:tcPr>
            <w:tcW w:w="0" w:type="dxa"/>
            <w:vAlign w:val="bottom"/>
          </w:tcPr>
          <w:p>
            <w:pPr>
              <w:spacing w:after="0"/>
              <w:rPr>
                <w:sz w:val="1"/>
                <w:szCs w:val="1"/>
                <w:color w:val="auto"/>
              </w:rPr>
            </w:pPr>
          </w:p>
        </w:tc>
      </w:tr>
      <w:tr>
        <w:trPr>
          <w:trHeight w:val="237"/>
        </w:trPr>
        <w:tc>
          <w:tcPr>
            <w:tcW w:w="940" w:type="dxa"/>
            <w:vAlign w:val="bottom"/>
            <w:vMerge w:val="continue"/>
          </w:tcPr>
          <w:p>
            <w:pPr>
              <w:spacing w:after="0"/>
              <w:rPr>
                <w:sz w:val="20"/>
                <w:szCs w:val="20"/>
                <w:color w:val="auto"/>
              </w:rPr>
            </w:pPr>
          </w:p>
        </w:tc>
        <w:tc>
          <w:tcPr>
            <w:tcW w:w="99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9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940" w:type="dxa"/>
            <w:vAlign w:val="bottom"/>
            <w:shd w:val="clear" w:color="auto" w:fill="CCEEFF"/>
          </w:tcPr>
          <w:p>
            <w:pPr>
              <w:spacing w:after="0"/>
              <w:rPr>
                <w:sz w:val="18"/>
                <w:szCs w:val="18"/>
                <w:color w:val="auto"/>
              </w:rPr>
            </w:pPr>
          </w:p>
        </w:tc>
        <w:tc>
          <w:tcPr>
            <w:tcW w:w="9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315" w:right="339" w:bottom="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8.6</w:t>
            </w:r>
          </w:p>
        </w:tc>
        <w:tc>
          <w:tcPr>
            <w:tcW w:w="7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Governmental Approvals</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FF0000"/>
                <w:strike w:val="1"/>
              </w:rPr>
              <w:t>97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0000FF"/>
                <w:w w:val="79"/>
              </w:rPr>
              <w:t>98</w:t>
            </w:r>
          </w:p>
        </w:tc>
        <w:tc>
          <w:tcPr>
            <w:tcW w:w="0" w:type="dxa"/>
            <w:vAlign w:val="bottom"/>
          </w:tcPr>
          <w:p>
            <w:pPr>
              <w:spacing w:after="0"/>
              <w:rPr>
                <w:sz w:val="1"/>
                <w:szCs w:val="1"/>
                <w:color w:val="auto"/>
              </w:rPr>
            </w:pPr>
          </w:p>
        </w:tc>
      </w:tr>
      <w:tr>
        <w:trPr>
          <w:trHeight w:val="263"/>
        </w:trPr>
        <w:tc>
          <w:tcPr>
            <w:tcW w:w="760" w:type="dxa"/>
            <w:vAlign w:val="bottom"/>
            <w:tcBorders>
              <w:top w:val="single" w:sz="8" w:color="CCEEFF"/>
            </w:tcBorders>
            <w:shd w:val="clear" w:color="auto" w:fill="CCEEFF"/>
          </w:tcPr>
          <w:p>
            <w:pPr>
              <w:spacing w:after="0"/>
              <w:rPr>
                <w:sz w:val="22"/>
                <w:szCs w:val="22"/>
                <w:color w:val="auto"/>
              </w:rPr>
            </w:pPr>
          </w:p>
        </w:tc>
        <w:tc>
          <w:tcPr>
            <w:tcW w:w="7660" w:type="dxa"/>
            <w:vAlign w:val="bottom"/>
            <w:tcBorders>
              <w:top w:val="single" w:sz="8" w:color="CCEEFF"/>
            </w:tcBorders>
            <w:shd w:val="clear" w:color="auto" w:fill="CCEEFF"/>
          </w:tcPr>
          <w:p>
            <w:pPr>
              <w:spacing w:after="0"/>
              <w:rPr>
                <w:sz w:val="22"/>
                <w:szCs w:val="22"/>
                <w:color w:val="auto"/>
              </w:rPr>
            </w:pPr>
          </w:p>
        </w:tc>
        <w:tc>
          <w:tcPr>
            <w:tcW w:w="25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0000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760" w:type="dxa"/>
            <w:vAlign w:val="bottom"/>
            <w:vMerge w:val="restart"/>
          </w:tcPr>
          <w:p>
            <w:pPr>
              <w:ind w:left="40"/>
              <w:spacing w:after="0"/>
              <w:rPr>
                <w:sz w:val="20"/>
                <w:szCs w:val="20"/>
                <w:color w:val="auto"/>
              </w:rPr>
            </w:pPr>
            <w:r>
              <w:rPr>
                <w:rFonts w:ascii="Arial" w:cs="Arial" w:eastAsia="Arial" w:hAnsi="Arial"/>
                <w:sz w:val="18"/>
                <w:szCs w:val="18"/>
                <w:color w:val="auto"/>
              </w:rPr>
              <w:t>8.7</w:t>
            </w:r>
          </w:p>
        </w:tc>
        <w:tc>
          <w:tcPr>
            <w:tcW w:w="7660" w:type="dxa"/>
            <w:vAlign w:val="bottom"/>
            <w:vMerge w:val="restart"/>
          </w:tcPr>
          <w:p>
            <w:pPr>
              <w:ind w:left="400"/>
              <w:spacing w:after="0"/>
              <w:rPr>
                <w:sz w:val="20"/>
                <w:szCs w:val="20"/>
                <w:color w:val="auto"/>
              </w:rPr>
            </w:pPr>
            <w:r>
              <w:rPr>
                <w:rFonts w:ascii="Arial" w:cs="Arial" w:eastAsia="Arial" w:hAnsi="Arial"/>
                <w:sz w:val="18"/>
                <w:szCs w:val="18"/>
                <w:color w:val="auto"/>
              </w:rPr>
              <w:t>Investment Company Act</w:t>
            </w:r>
          </w:p>
        </w:tc>
        <w:tc>
          <w:tcPr>
            <w:tcW w:w="2620" w:type="dxa"/>
            <w:vAlign w:val="bottom"/>
            <w:gridSpan w:val="2"/>
          </w:tcPr>
          <w:p>
            <w:pPr>
              <w:jc w:val="right"/>
              <w:spacing w:after="0" w:line="202" w:lineRule="exact"/>
              <w:rPr>
                <w:sz w:val="20"/>
                <w:szCs w:val="20"/>
                <w:color w:val="auto"/>
              </w:rPr>
            </w:pPr>
            <w:r>
              <w:rPr>
                <w:rFonts w:ascii="Arial" w:cs="Arial" w:eastAsia="Arial" w:hAnsi="Arial"/>
                <w:sz w:val="18"/>
                <w:szCs w:val="18"/>
                <w:color w:val="FF0000"/>
                <w:strike w:val="1"/>
              </w:rPr>
              <w:t>97</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0000FF"/>
                <w:w w:val="79"/>
              </w:rPr>
              <w:t>99</w:t>
            </w:r>
          </w:p>
        </w:tc>
        <w:tc>
          <w:tcPr>
            <w:tcW w:w="0" w:type="dxa"/>
            <w:vAlign w:val="bottom"/>
          </w:tcPr>
          <w:p>
            <w:pPr>
              <w:spacing w:after="0"/>
              <w:rPr>
                <w:sz w:val="1"/>
                <w:szCs w:val="1"/>
                <w:color w:val="auto"/>
              </w:rPr>
            </w:pPr>
          </w:p>
        </w:tc>
      </w:tr>
      <w:tr>
        <w:trPr>
          <w:trHeight w:val="237"/>
        </w:trPr>
        <w:tc>
          <w:tcPr>
            <w:tcW w:w="760" w:type="dxa"/>
            <w:vAlign w:val="bottom"/>
            <w:vMerge w:val="continue"/>
          </w:tcPr>
          <w:p>
            <w:pPr>
              <w:spacing w:after="0"/>
              <w:rPr>
                <w:sz w:val="20"/>
                <w:szCs w:val="20"/>
                <w:color w:val="auto"/>
              </w:rPr>
            </w:pPr>
          </w:p>
        </w:tc>
        <w:tc>
          <w:tcPr>
            <w:tcW w:w="7660" w:type="dxa"/>
            <w:vAlign w:val="bottom"/>
            <w:vMerge w:val="continue"/>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8.8</w:t>
            </w:r>
          </w:p>
        </w:tc>
        <w:tc>
          <w:tcPr>
            <w:tcW w:w="7660" w:type="dxa"/>
            <w:vAlign w:val="bottom"/>
            <w:vMerge w:val="restart"/>
            <w:shd w:val="clear" w:color="auto" w:fill="CCEEFF"/>
          </w:tcPr>
          <w:p>
            <w:pPr>
              <w:ind w:left="400"/>
              <w:spacing w:after="0"/>
              <w:rPr>
                <w:sz w:val="20"/>
                <w:szCs w:val="20"/>
                <w:color w:val="auto"/>
              </w:rPr>
            </w:pPr>
            <w:r>
              <w:rPr>
                <w:rFonts w:ascii="Arial" w:cs="Arial" w:eastAsia="Arial" w:hAnsi="Arial"/>
                <w:sz w:val="18"/>
                <w:szCs w:val="18"/>
                <w:color w:val="auto"/>
              </w:rPr>
              <w:t>True and Complete Disclosure</w:t>
            </w:r>
          </w:p>
        </w:tc>
        <w:tc>
          <w:tcPr>
            <w:tcW w:w="2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FF0000"/>
                <w:strike w:val="1"/>
              </w:rPr>
              <w:t>97</w:t>
            </w:r>
          </w:p>
        </w:tc>
        <w:tc>
          <w:tcPr>
            <w:tcW w:w="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0000FF"/>
                <w:w w:val="79"/>
              </w:rPr>
              <w:t>99</w:t>
            </w:r>
          </w:p>
        </w:tc>
        <w:tc>
          <w:tcPr>
            <w:tcW w:w="0" w:type="dxa"/>
            <w:vAlign w:val="bottom"/>
          </w:tcPr>
          <w:p>
            <w:pPr>
              <w:spacing w:after="0"/>
              <w:rPr>
                <w:sz w:val="1"/>
                <w:szCs w:val="1"/>
                <w:color w:val="auto"/>
              </w:rPr>
            </w:pPr>
          </w:p>
        </w:tc>
      </w:tr>
      <w:tr>
        <w:trPr>
          <w:trHeight w:val="243"/>
        </w:trPr>
        <w:tc>
          <w:tcPr>
            <w:tcW w:w="76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766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25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60" w:type="dxa"/>
            <w:vAlign w:val="bottom"/>
            <w:vMerge w:val="restart"/>
          </w:tcPr>
          <w:p>
            <w:pPr>
              <w:ind w:left="40"/>
              <w:spacing w:after="0"/>
              <w:rPr>
                <w:sz w:val="20"/>
                <w:szCs w:val="20"/>
                <w:color w:val="auto"/>
              </w:rPr>
            </w:pPr>
            <w:r>
              <w:rPr>
                <w:rFonts w:ascii="Arial" w:cs="Arial" w:eastAsia="Arial" w:hAnsi="Arial"/>
                <w:sz w:val="18"/>
                <w:szCs w:val="18"/>
                <w:color w:val="auto"/>
              </w:rPr>
              <w:t>8.9</w:t>
            </w:r>
          </w:p>
        </w:tc>
        <w:tc>
          <w:tcPr>
            <w:tcW w:w="7660" w:type="dxa"/>
            <w:vAlign w:val="bottom"/>
            <w:vMerge w:val="restart"/>
          </w:tcPr>
          <w:p>
            <w:pPr>
              <w:ind w:left="400"/>
              <w:spacing w:after="0"/>
              <w:rPr>
                <w:sz w:val="20"/>
                <w:szCs w:val="20"/>
                <w:color w:val="auto"/>
              </w:rPr>
            </w:pPr>
            <w:r>
              <w:rPr>
                <w:rFonts w:ascii="Arial" w:cs="Arial" w:eastAsia="Arial" w:hAnsi="Arial"/>
                <w:sz w:val="18"/>
                <w:szCs w:val="18"/>
                <w:color w:val="auto"/>
              </w:rPr>
              <w:t>Financial Condition; Financial Statements</w:t>
            </w:r>
          </w:p>
        </w:tc>
        <w:tc>
          <w:tcPr>
            <w:tcW w:w="2620" w:type="dxa"/>
            <w:vAlign w:val="bottom"/>
            <w:gridSpan w:val="2"/>
          </w:tcPr>
          <w:p>
            <w:pPr>
              <w:jc w:val="right"/>
              <w:spacing w:after="0" w:line="202" w:lineRule="exact"/>
              <w:rPr>
                <w:sz w:val="20"/>
                <w:szCs w:val="20"/>
                <w:color w:val="auto"/>
              </w:rPr>
            </w:pPr>
            <w:r>
              <w:rPr>
                <w:rFonts w:ascii="Arial" w:cs="Arial" w:eastAsia="Arial" w:hAnsi="Arial"/>
                <w:sz w:val="18"/>
                <w:szCs w:val="18"/>
                <w:color w:val="FF0000"/>
                <w:strike w:val="1"/>
              </w:rPr>
              <w:t>98</w:t>
            </w:r>
          </w:p>
        </w:tc>
        <w:tc>
          <w:tcPr>
            <w:tcW w:w="2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0000FF"/>
                <w:w w:val="79"/>
              </w:rPr>
              <w:t>99</w:t>
            </w:r>
          </w:p>
        </w:tc>
        <w:tc>
          <w:tcPr>
            <w:tcW w:w="0" w:type="dxa"/>
            <w:vAlign w:val="bottom"/>
          </w:tcPr>
          <w:p>
            <w:pPr>
              <w:spacing w:after="0"/>
              <w:rPr>
                <w:sz w:val="1"/>
                <w:szCs w:val="1"/>
                <w:color w:val="auto"/>
              </w:rPr>
            </w:pPr>
          </w:p>
        </w:tc>
      </w:tr>
      <w:tr>
        <w:trPr>
          <w:trHeight w:val="237"/>
        </w:trPr>
        <w:tc>
          <w:tcPr>
            <w:tcW w:w="760" w:type="dxa"/>
            <w:vAlign w:val="bottom"/>
            <w:vMerge w:val="continue"/>
          </w:tcPr>
          <w:p>
            <w:pPr>
              <w:spacing w:after="0"/>
              <w:rPr>
                <w:sz w:val="20"/>
                <w:szCs w:val="20"/>
                <w:color w:val="auto"/>
              </w:rPr>
            </w:pPr>
          </w:p>
        </w:tc>
        <w:tc>
          <w:tcPr>
            <w:tcW w:w="7660" w:type="dxa"/>
            <w:vAlign w:val="bottom"/>
            <w:vMerge w:val="continue"/>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8.10</w:t>
            </w:r>
          </w:p>
        </w:tc>
        <w:tc>
          <w:tcPr>
            <w:tcW w:w="7660" w:type="dxa"/>
            <w:vAlign w:val="bottom"/>
            <w:vMerge w:val="restart"/>
            <w:shd w:val="clear" w:color="auto" w:fill="CCEEFF"/>
          </w:tcPr>
          <w:p>
            <w:pPr>
              <w:ind w:left="400"/>
              <w:spacing w:after="0"/>
              <w:rPr>
                <w:sz w:val="20"/>
                <w:szCs w:val="20"/>
                <w:color w:val="auto"/>
              </w:rPr>
            </w:pPr>
            <w:r>
              <w:rPr>
                <w:rFonts w:ascii="Arial" w:cs="Arial" w:eastAsia="Arial" w:hAnsi="Arial"/>
                <w:sz w:val="18"/>
                <w:szCs w:val="18"/>
                <w:color w:val="auto"/>
              </w:rPr>
              <w:t>Compliance with Laws; No Default</w:t>
            </w:r>
          </w:p>
        </w:tc>
        <w:tc>
          <w:tcPr>
            <w:tcW w:w="2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FF0000"/>
                <w:strike w:val="1"/>
              </w:rPr>
              <w:t>98</w:t>
            </w:r>
          </w:p>
        </w:tc>
        <w:tc>
          <w:tcPr>
            <w:tcW w:w="2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0000FF"/>
                <w:w w:val="79"/>
              </w:rPr>
              <w:t>99</w:t>
            </w:r>
          </w:p>
        </w:tc>
        <w:tc>
          <w:tcPr>
            <w:tcW w:w="0" w:type="dxa"/>
            <w:vAlign w:val="bottom"/>
          </w:tcPr>
          <w:p>
            <w:pPr>
              <w:spacing w:after="0"/>
              <w:rPr>
                <w:sz w:val="1"/>
                <w:szCs w:val="1"/>
                <w:color w:val="auto"/>
              </w:rPr>
            </w:pPr>
          </w:p>
        </w:tc>
      </w:tr>
      <w:tr>
        <w:trPr>
          <w:trHeight w:val="243"/>
        </w:trPr>
        <w:tc>
          <w:tcPr>
            <w:tcW w:w="76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766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25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60" w:type="dxa"/>
            <w:vAlign w:val="bottom"/>
            <w:vMerge w:val="restart"/>
          </w:tcPr>
          <w:p>
            <w:pPr>
              <w:ind w:left="40"/>
              <w:spacing w:after="0"/>
              <w:rPr>
                <w:sz w:val="20"/>
                <w:szCs w:val="20"/>
                <w:color w:val="auto"/>
              </w:rPr>
            </w:pPr>
            <w:r>
              <w:rPr>
                <w:rFonts w:ascii="Arial" w:cs="Arial" w:eastAsia="Arial" w:hAnsi="Arial"/>
                <w:sz w:val="18"/>
                <w:szCs w:val="18"/>
                <w:color w:val="auto"/>
              </w:rPr>
              <w:t>8.11</w:t>
            </w:r>
          </w:p>
        </w:tc>
        <w:tc>
          <w:tcPr>
            <w:tcW w:w="7660" w:type="dxa"/>
            <w:vAlign w:val="bottom"/>
            <w:vMerge w:val="restart"/>
          </w:tcPr>
          <w:p>
            <w:pPr>
              <w:ind w:left="400"/>
              <w:spacing w:after="0"/>
              <w:rPr>
                <w:sz w:val="20"/>
                <w:szCs w:val="20"/>
                <w:color w:val="auto"/>
              </w:rPr>
            </w:pPr>
            <w:r>
              <w:rPr>
                <w:rFonts w:ascii="Arial" w:cs="Arial" w:eastAsia="Arial" w:hAnsi="Arial"/>
                <w:sz w:val="18"/>
                <w:szCs w:val="18"/>
                <w:color w:val="auto"/>
              </w:rPr>
              <w:t>Anti-Corruption, Sanctions and Anti-Money Laundering Compliance</w:t>
            </w:r>
          </w:p>
        </w:tc>
        <w:tc>
          <w:tcPr>
            <w:tcW w:w="2520" w:type="dxa"/>
            <w:vAlign w:val="bottom"/>
          </w:tcPr>
          <w:p>
            <w:pPr>
              <w:jc w:val="right"/>
              <w:spacing w:after="0" w:line="202" w:lineRule="exact"/>
              <w:rPr>
                <w:sz w:val="20"/>
                <w:szCs w:val="20"/>
                <w:color w:val="auto"/>
              </w:rPr>
            </w:pPr>
            <w:r>
              <w:rPr>
                <w:rFonts w:ascii="Arial" w:cs="Arial" w:eastAsia="Arial" w:hAnsi="Arial"/>
                <w:sz w:val="18"/>
                <w:szCs w:val="18"/>
                <w:color w:val="FF0000"/>
                <w:strike w:val="1"/>
              </w:rPr>
              <w:t>98</w:t>
            </w:r>
          </w:p>
        </w:tc>
        <w:tc>
          <w:tcPr>
            <w:tcW w:w="3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0000FF"/>
                <w:w w:val="86"/>
              </w:rPr>
              <w:t>100</w:t>
            </w:r>
          </w:p>
        </w:tc>
        <w:tc>
          <w:tcPr>
            <w:tcW w:w="0" w:type="dxa"/>
            <w:vAlign w:val="bottom"/>
          </w:tcPr>
          <w:p>
            <w:pPr>
              <w:spacing w:after="0"/>
              <w:rPr>
                <w:sz w:val="1"/>
                <w:szCs w:val="1"/>
                <w:color w:val="auto"/>
              </w:rPr>
            </w:pPr>
          </w:p>
        </w:tc>
      </w:tr>
      <w:tr>
        <w:trPr>
          <w:trHeight w:val="237"/>
        </w:trPr>
        <w:tc>
          <w:tcPr>
            <w:tcW w:w="760" w:type="dxa"/>
            <w:vAlign w:val="bottom"/>
            <w:vMerge w:val="continue"/>
          </w:tcPr>
          <w:p>
            <w:pPr>
              <w:spacing w:after="0"/>
              <w:rPr>
                <w:sz w:val="20"/>
                <w:szCs w:val="20"/>
                <w:color w:val="auto"/>
              </w:rPr>
            </w:pPr>
          </w:p>
        </w:tc>
        <w:tc>
          <w:tcPr>
            <w:tcW w:w="7660" w:type="dxa"/>
            <w:vAlign w:val="bottom"/>
            <w:vMerge w:val="continue"/>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8.12</w:t>
            </w:r>
          </w:p>
        </w:tc>
        <w:tc>
          <w:tcPr>
            <w:tcW w:w="7660" w:type="dxa"/>
            <w:vAlign w:val="bottom"/>
            <w:vMerge w:val="restart"/>
            <w:shd w:val="clear" w:color="auto" w:fill="CCEEFF"/>
          </w:tcPr>
          <w:p>
            <w:pPr>
              <w:ind w:left="400"/>
              <w:spacing w:after="0"/>
              <w:rPr>
                <w:sz w:val="20"/>
                <w:szCs w:val="20"/>
                <w:color w:val="auto"/>
              </w:rPr>
            </w:pPr>
            <w:r>
              <w:rPr>
                <w:rFonts w:ascii="Arial" w:cs="Arial" w:eastAsia="Arial" w:hAnsi="Arial"/>
                <w:sz w:val="18"/>
                <w:szCs w:val="18"/>
                <w:color w:val="auto"/>
              </w:rPr>
              <w:t>Tax Matters</w:t>
            </w:r>
          </w:p>
        </w:tc>
        <w:tc>
          <w:tcPr>
            <w:tcW w:w="2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FF0000"/>
                <w:strike w:val="1"/>
              </w:rPr>
              <w:t>98</w:t>
            </w:r>
          </w:p>
        </w:tc>
        <w:tc>
          <w:tcPr>
            <w:tcW w:w="3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0000FF"/>
                <w:w w:val="86"/>
              </w:rPr>
              <w:t>100</w:t>
            </w:r>
          </w:p>
        </w:tc>
        <w:tc>
          <w:tcPr>
            <w:tcW w:w="0" w:type="dxa"/>
            <w:vAlign w:val="bottom"/>
          </w:tcPr>
          <w:p>
            <w:pPr>
              <w:spacing w:after="0"/>
              <w:rPr>
                <w:sz w:val="1"/>
                <w:szCs w:val="1"/>
                <w:color w:val="auto"/>
              </w:rPr>
            </w:pPr>
          </w:p>
        </w:tc>
      </w:tr>
      <w:tr>
        <w:trPr>
          <w:trHeight w:val="243"/>
        </w:trPr>
        <w:tc>
          <w:tcPr>
            <w:tcW w:w="76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766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25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60" w:type="dxa"/>
            <w:vAlign w:val="bottom"/>
            <w:vMerge w:val="restart"/>
          </w:tcPr>
          <w:p>
            <w:pPr>
              <w:ind w:left="40"/>
              <w:spacing w:after="0"/>
              <w:rPr>
                <w:sz w:val="20"/>
                <w:szCs w:val="20"/>
                <w:color w:val="auto"/>
              </w:rPr>
            </w:pPr>
            <w:r>
              <w:rPr>
                <w:rFonts w:ascii="Arial" w:cs="Arial" w:eastAsia="Arial" w:hAnsi="Arial"/>
                <w:sz w:val="18"/>
                <w:szCs w:val="18"/>
                <w:color w:val="auto"/>
              </w:rPr>
              <w:t>8.13</w:t>
            </w:r>
          </w:p>
        </w:tc>
        <w:tc>
          <w:tcPr>
            <w:tcW w:w="7660" w:type="dxa"/>
            <w:vAlign w:val="bottom"/>
            <w:vMerge w:val="restart"/>
          </w:tcPr>
          <w:p>
            <w:pPr>
              <w:ind w:left="400"/>
              <w:spacing w:after="0"/>
              <w:rPr>
                <w:sz w:val="20"/>
                <w:szCs w:val="20"/>
                <w:color w:val="auto"/>
              </w:rPr>
            </w:pPr>
            <w:r>
              <w:rPr>
                <w:rFonts w:ascii="Arial" w:cs="Arial" w:eastAsia="Arial" w:hAnsi="Arial"/>
                <w:sz w:val="18"/>
                <w:szCs w:val="18"/>
                <w:color w:val="auto"/>
              </w:rPr>
              <w:t>Compliance with ERISA</w:t>
            </w:r>
          </w:p>
        </w:tc>
        <w:tc>
          <w:tcPr>
            <w:tcW w:w="2520" w:type="dxa"/>
            <w:vAlign w:val="bottom"/>
          </w:tcPr>
          <w:p>
            <w:pPr>
              <w:jc w:val="right"/>
              <w:spacing w:after="0" w:line="202" w:lineRule="exact"/>
              <w:rPr>
                <w:sz w:val="20"/>
                <w:szCs w:val="20"/>
                <w:color w:val="auto"/>
              </w:rPr>
            </w:pPr>
            <w:r>
              <w:rPr>
                <w:rFonts w:ascii="Arial" w:cs="Arial" w:eastAsia="Arial" w:hAnsi="Arial"/>
                <w:sz w:val="18"/>
                <w:szCs w:val="18"/>
                <w:color w:val="FF0000"/>
                <w:strike w:val="1"/>
              </w:rPr>
              <w:t>99</w:t>
            </w:r>
          </w:p>
        </w:tc>
        <w:tc>
          <w:tcPr>
            <w:tcW w:w="3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0000FF"/>
                <w:w w:val="86"/>
              </w:rPr>
              <w:t>100</w:t>
            </w:r>
          </w:p>
        </w:tc>
        <w:tc>
          <w:tcPr>
            <w:tcW w:w="0" w:type="dxa"/>
            <w:vAlign w:val="bottom"/>
          </w:tcPr>
          <w:p>
            <w:pPr>
              <w:spacing w:after="0"/>
              <w:rPr>
                <w:sz w:val="1"/>
                <w:szCs w:val="1"/>
                <w:color w:val="auto"/>
              </w:rPr>
            </w:pPr>
          </w:p>
        </w:tc>
      </w:tr>
      <w:tr>
        <w:trPr>
          <w:trHeight w:val="237"/>
        </w:trPr>
        <w:tc>
          <w:tcPr>
            <w:tcW w:w="760" w:type="dxa"/>
            <w:vAlign w:val="bottom"/>
            <w:vMerge w:val="continue"/>
          </w:tcPr>
          <w:p>
            <w:pPr>
              <w:spacing w:after="0"/>
              <w:rPr>
                <w:sz w:val="20"/>
                <w:szCs w:val="20"/>
                <w:color w:val="auto"/>
              </w:rPr>
            </w:pPr>
          </w:p>
        </w:tc>
        <w:tc>
          <w:tcPr>
            <w:tcW w:w="7660" w:type="dxa"/>
            <w:vAlign w:val="bottom"/>
            <w:vMerge w:val="continue"/>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8.14</w:t>
            </w:r>
          </w:p>
        </w:tc>
        <w:tc>
          <w:tcPr>
            <w:tcW w:w="7660" w:type="dxa"/>
            <w:vAlign w:val="bottom"/>
            <w:vMerge w:val="restart"/>
            <w:shd w:val="clear" w:color="auto" w:fill="CCEEFF"/>
          </w:tcPr>
          <w:p>
            <w:pPr>
              <w:ind w:left="400"/>
              <w:spacing w:after="0"/>
              <w:rPr>
                <w:sz w:val="20"/>
                <w:szCs w:val="20"/>
                <w:color w:val="auto"/>
              </w:rPr>
            </w:pPr>
            <w:r>
              <w:rPr>
                <w:rFonts w:ascii="Arial" w:cs="Arial" w:eastAsia="Arial" w:hAnsi="Arial"/>
                <w:sz w:val="18"/>
                <w:szCs w:val="18"/>
                <w:color w:val="auto"/>
              </w:rPr>
              <w:t>Subsidiaries</w:t>
            </w:r>
          </w:p>
        </w:tc>
        <w:tc>
          <w:tcPr>
            <w:tcW w:w="2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FF0000"/>
                <w:strike w:val="1"/>
              </w:rPr>
              <w:t>99</w:t>
            </w:r>
          </w:p>
        </w:tc>
        <w:tc>
          <w:tcPr>
            <w:tcW w:w="3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0000FF"/>
                <w:w w:val="86"/>
              </w:rPr>
              <w:t>100</w:t>
            </w:r>
          </w:p>
        </w:tc>
        <w:tc>
          <w:tcPr>
            <w:tcW w:w="0" w:type="dxa"/>
            <w:vAlign w:val="bottom"/>
          </w:tcPr>
          <w:p>
            <w:pPr>
              <w:spacing w:after="0"/>
              <w:rPr>
                <w:sz w:val="1"/>
                <w:szCs w:val="1"/>
                <w:color w:val="auto"/>
              </w:rPr>
            </w:pPr>
          </w:p>
        </w:tc>
      </w:tr>
      <w:tr>
        <w:trPr>
          <w:trHeight w:val="243"/>
        </w:trPr>
        <w:tc>
          <w:tcPr>
            <w:tcW w:w="76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766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25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60" w:type="dxa"/>
            <w:vAlign w:val="bottom"/>
            <w:vMerge w:val="restart"/>
          </w:tcPr>
          <w:p>
            <w:pPr>
              <w:ind w:left="40"/>
              <w:spacing w:after="0"/>
              <w:rPr>
                <w:sz w:val="20"/>
                <w:szCs w:val="20"/>
                <w:color w:val="auto"/>
              </w:rPr>
            </w:pPr>
            <w:r>
              <w:rPr>
                <w:rFonts w:ascii="Arial" w:cs="Arial" w:eastAsia="Arial" w:hAnsi="Arial"/>
                <w:sz w:val="18"/>
                <w:szCs w:val="18"/>
                <w:color w:val="auto"/>
              </w:rPr>
              <w:t>8.15</w:t>
            </w:r>
          </w:p>
        </w:tc>
        <w:tc>
          <w:tcPr>
            <w:tcW w:w="7660" w:type="dxa"/>
            <w:vAlign w:val="bottom"/>
            <w:vMerge w:val="restart"/>
          </w:tcPr>
          <w:p>
            <w:pPr>
              <w:ind w:left="400"/>
              <w:spacing w:after="0"/>
              <w:rPr>
                <w:sz w:val="20"/>
                <w:szCs w:val="20"/>
                <w:color w:val="auto"/>
              </w:rPr>
            </w:pPr>
            <w:r>
              <w:rPr>
                <w:rFonts w:ascii="Arial" w:cs="Arial" w:eastAsia="Arial" w:hAnsi="Arial"/>
                <w:sz w:val="18"/>
                <w:szCs w:val="18"/>
                <w:color w:val="auto"/>
              </w:rPr>
              <w:t>Intellectual Property</w:t>
            </w:r>
          </w:p>
        </w:tc>
        <w:tc>
          <w:tcPr>
            <w:tcW w:w="2520" w:type="dxa"/>
            <w:vAlign w:val="bottom"/>
          </w:tcPr>
          <w:p>
            <w:pPr>
              <w:jc w:val="right"/>
              <w:spacing w:after="0" w:line="202" w:lineRule="exact"/>
              <w:rPr>
                <w:sz w:val="20"/>
                <w:szCs w:val="20"/>
                <w:color w:val="auto"/>
              </w:rPr>
            </w:pPr>
            <w:r>
              <w:rPr>
                <w:rFonts w:ascii="Arial" w:cs="Arial" w:eastAsia="Arial" w:hAnsi="Arial"/>
                <w:sz w:val="18"/>
                <w:szCs w:val="18"/>
                <w:color w:val="FF0000"/>
                <w:strike w:val="1"/>
              </w:rPr>
              <w:t>99</w:t>
            </w:r>
          </w:p>
        </w:tc>
        <w:tc>
          <w:tcPr>
            <w:tcW w:w="3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0000FF"/>
                <w:w w:val="86"/>
              </w:rPr>
              <w:t>100</w:t>
            </w:r>
          </w:p>
        </w:tc>
        <w:tc>
          <w:tcPr>
            <w:tcW w:w="0" w:type="dxa"/>
            <w:vAlign w:val="bottom"/>
          </w:tcPr>
          <w:p>
            <w:pPr>
              <w:spacing w:after="0"/>
              <w:rPr>
                <w:sz w:val="1"/>
                <w:szCs w:val="1"/>
                <w:color w:val="auto"/>
              </w:rPr>
            </w:pPr>
          </w:p>
        </w:tc>
      </w:tr>
      <w:tr>
        <w:trPr>
          <w:trHeight w:val="237"/>
        </w:trPr>
        <w:tc>
          <w:tcPr>
            <w:tcW w:w="760" w:type="dxa"/>
            <w:vAlign w:val="bottom"/>
            <w:vMerge w:val="continue"/>
          </w:tcPr>
          <w:p>
            <w:pPr>
              <w:spacing w:after="0"/>
              <w:rPr>
                <w:sz w:val="20"/>
                <w:szCs w:val="20"/>
                <w:color w:val="auto"/>
              </w:rPr>
            </w:pPr>
          </w:p>
        </w:tc>
        <w:tc>
          <w:tcPr>
            <w:tcW w:w="7660" w:type="dxa"/>
            <w:vAlign w:val="bottom"/>
            <w:vMerge w:val="continue"/>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8.16</w:t>
            </w:r>
          </w:p>
        </w:tc>
        <w:tc>
          <w:tcPr>
            <w:tcW w:w="7660" w:type="dxa"/>
            <w:vAlign w:val="bottom"/>
            <w:vMerge w:val="restart"/>
            <w:shd w:val="clear" w:color="auto" w:fill="CCEEFF"/>
          </w:tcPr>
          <w:p>
            <w:pPr>
              <w:ind w:left="400"/>
              <w:spacing w:after="0"/>
              <w:rPr>
                <w:sz w:val="20"/>
                <w:szCs w:val="20"/>
                <w:color w:val="auto"/>
              </w:rPr>
            </w:pPr>
            <w:r>
              <w:rPr>
                <w:rFonts w:ascii="Arial" w:cs="Arial" w:eastAsia="Arial" w:hAnsi="Arial"/>
                <w:sz w:val="18"/>
                <w:szCs w:val="18"/>
                <w:color w:val="auto"/>
              </w:rPr>
              <w:t>Environmental Laws</w:t>
            </w:r>
          </w:p>
        </w:tc>
        <w:tc>
          <w:tcPr>
            <w:tcW w:w="2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FF0000"/>
                <w:strike w:val="1"/>
              </w:rPr>
              <w:t>99</w:t>
            </w:r>
          </w:p>
        </w:tc>
        <w:tc>
          <w:tcPr>
            <w:tcW w:w="3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0000FF"/>
                <w:w w:val="86"/>
              </w:rPr>
              <w:t>100</w:t>
            </w:r>
          </w:p>
        </w:tc>
        <w:tc>
          <w:tcPr>
            <w:tcW w:w="0" w:type="dxa"/>
            <w:vAlign w:val="bottom"/>
          </w:tcPr>
          <w:p>
            <w:pPr>
              <w:spacing w:after="0"/>
              <w:rPr>
                <w:sz w:val="1"/>
                <w:szCs w:val="1"/>
                <w:color w:val="auto"/>
              </w:rPr>
            </w:pPr>
          </w:p>
        </w:tc>
      </w:tr>
      <w:tr>
        <w:trPr>
          <w:trHeight w:val="243"/>
        </w:trPr>
        <w:tc>
          <w:tcPr>
            <w:tcW w:w="76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766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25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0000FF"/>
              <w:bottom w:val="single" w:sz="8" w:color="CCEEFF"/>
            </w:tcBorders>
            <w:shd w:val="clear" w:color="auto" w:fill="CCEEFF"/>
          </w:tcPr>
          <w:p>
            <w:pPr>
              <w:spacing w:after="0"/>
              <w:rPr>
                <w:sz w:val="21"/>
                <w:szCs w:val="21"/>
                <w:color w:val="auto"/>
              </w:rPr>
            </w:pP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60" w:type="dxa"/>
            <w:vAlign w:val="bottom"/>
            <w:vMerge w:val="restart"/>
          </w:tcPr>
          <w:p>
            <w:pPr>
              <w:ind w:left="40"/>
              <w:spacing w:after="0"/>
              <w:rPr>
                <w:sz w:val="20"/>
                <w:szCs w:val="20"/>
                <w:color w:val="auto"/>
              </w:rPr>
            </w:pPr>
            <w:r>
              <w:rPr>
                <w:rFonts w:ascii="Arial" w:cs="Arial" w:eastAsia="Arial" w:hAnsi="Arial"/>
                <w:sz w:val="18"/>
                <w:szCs w:val="18"/>
                <w:color w:val="auto"/>
              </w:rPr>
              <w:t>8.17</w:t>
            </w:r>
          </w:p>
        </w:tc>
        <w:tc>
          <w:tcPr>
            <w:tcW w:w="7660" w:type="dxa"/>
            <w:vAlign w:val="bottom"/>
            <w:vMerge w:val="restart"/>
          </w:tcPr>
          <w:p>
            <w:pPr>
              <w:ind w:left="400"/>
              <w:spacing w:after="0"/>
              <w:rPr>
                <w:sz w:val="20"/>
                <w:szCs w:val="20"/>
                <w:color w:val="auto"/>
              </w:rPr>
            </w:pPr>
            <w:r>
              <w:rPr>
                <w:rFonts w:ascii="Arial" w:cs="Arial" w:eastAsia="Arial" w:hAnsi="Arial"/>
                <w:sz w:val="18"/>
                <w:szCs w:val="18"/>
                <w:color w:val="auto"/>
              </w:rPr>
              <w:t>Properties</w:t>
            </w:r>
          </w:p>
        </w:tc>
        <w:tc>
          <w:tcPr>
            <w:tcW w:w="2520" w:type="dxa"/>
            <w:vAlign w:val="bottom"/>
          </w:tcPr>
          <w:p>
            <w:pPr>
              <w:jc w:val="right"/>
              <w:spacing w:after="0" w:line="202" w:lineRule="exact"/>
              <w:rPr>
                <w:sz w:val="20"/>
                <w:szCs w:val="20"/>
                <w:color w:val="auto"/>
              </w:rPr>
            </w:pPr>
            <w:r>
              <w:rPr>
                <w:rFonts w:ascii="Arial" w:cs="Arial" w:eastAsia="Arial" w:hAnsi="Arial"/>
                <w:sz w:val="18"/>
                <w:szCs w:val="18"/>
                <w:color w:val="FF0000"/>
                <w:strike w:val="1"/>
              </w:rPr>
              <w:t>99</w:t>
            </w:r>
          </w:p>
        </w:tc>
        <w:tc>
          <w:tcPr>
            <w:tcW w:w="3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0000FF"/>
                <w:w w:val="86"/>
              </w:rPr>
              <w:t>101</w:t>
            </w:r>
          </w:p>
        </w:tc>
        <w:tc>
          <w:tcPr>
            <w:tcW w:w="0" w:type="dxa"/>
            <w:vAlign w:val="bottom"/>
          </w:tcPr>
          <w:p>
            <w:pPr>
              <w:spacing w:after="0"/>
              <w:rPr>
                <w:sz w:val="1"/>
                <w:szCs w:val="1"/>
                <w:color w:val="auto"/>
              </w:rPr>
            </w:pPr>
          </w:p>
        </w:tc>
      </w:tr>
      <w:tr>
        <w:trPr>
          <w:trHeight w:val="237"/>
        </w:trPr>
        <w:tc>
          <w:tcPr>
            <w:tcW w:w="760" w:type="dxa"/>
            <w:vAlign w:val="bottom"/>
            <w:vMerge w:val="continue"/>
          </w:tcPr>
          <w:p>
            <w:pPr>
              <w:spacing w:after="0"/>
              <w:rPr>
                <w:sz w:val="20"/>
                <w:szCs w:val="20"/>
                <w:color w:val="auto"/>
              </w:rPr>
            </w:pPr>
          </w:p>
        </w:tc>
        <w:tc>
          <w:tcPr>
            <w:tcW w:w="7660" w:type="dxa"/>
            <w:vAlign w:val="bottom"/>
            <w:vMerge w:val="continue"/>
          </w:tcPr>
          <w:p>
            <w:pPr>
              <w:spacing w:after="0"/>
              <w:rPr>
                <w:sz w:val="20"/>
                <w:szCs w:val="20"/>
                <w:color w:val="auto"/>
              </w:rPr>
            </w:pPr>
          </w:p>
        </w:tc>
        <w:tc>
          <w:tcPr>
            <w:tcW w:w="252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8.18</w:t>
            </w:r>
          </w:p>
        </w:tc>
        <w:tc>
          <w:tcPr>
            <w:tcW w:w="76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Solvency</w:t>
            </w:r>
          </w:p>
        </w:tc>
        <w:tc>
          <w:tcPr>
            <w:tcW w:w="2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FF0000"/>
                <w:strike w:val="1"/>
              </w:rPr>
              <w:t>100</w:t>
            </w:r>
          </w:p>
        </w:tc>
        <w:tc>
          <w:tcPr>
            <w:tcW w:w="3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0000FF"/>
                <w:w w:val="86"/>
              </w:rPr>
              <w:t>101</w:t>
            </w:r>
          </w:p>
        </w:tc>
        <w:tc>
          <w:tcPr>
            <w:tcW w:w="0" w:type="dxa"/>
            <w:vAlign w:val="bottom"/>
          </w:tcPr>
          <w:p>
            <w:pPr>
              <w:spacing w:after="0"/>
              <w:rPr>
                <w:sz w:val="1"/>
                <w:szCs w:val="1"/>
                <w:color w:val="auto"/>
              </w:rPr>
            </w:pPr>
          </w:p>
        </w:tc>
      </w:tr>
      <w:tr>
        <w:trPr>
          <w:trHeight w:val="263"/>
        </w:trPr>
        <w:tc>
          <w:tcPr>
            <w:tcW w:w="760" w:type="dxa"/>
            <w:vAlign w:val="bottom"/>
            <w:tcBorders>
              <w:top w:val="single" w:sz="8" w:color="CCEEFF"/>
            </w:tcBorders>
            <w:shd w:val="clear" w:color="auto" w:fill="CCEEFF"/>
          </w:tcPr>
          <w:p>
            <w:pPr>
              <w:spacing w:after="0"/>
              <w:rPr>
                <w:sz w:val="22"/>
                <w:szCs w:val="22"/>
                <w:color w:val="auto"/>
              </w:rPr>
            </w:pPr>
          </w:p>
        </w:tc>
        <w:tc>
          <w:tcPr>
            <w:tcW w:w="7660" w:type="dxa"/>
            <w:vAlign w:val="bottom"/>
            <w:tcBorders>
              <w:top w:val="single" w:sz="8" w:color="CCEEFF"/>
            </w:tcBorders>
            <w:shd w:val="clear" w:color="auto" w:fill="CCEEFF"/>
          </w:tcPr>
          <w:p>
            <w:pPr>
              <w:spacing w:after="0"/>
              <w:rPr>
                <w:sz w:val="22"/>
                <w:szCs w:val="22"/>
                <w:color w:val="auto"/>
              </w:rPr>
            </w:pPr>
          </w:p>
        </w:tc>
        <w:tc>
          <w:tcPr>
            <w:tcW w:w="25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0000FF"/>
            </w:tcBorders>
            <w:shd w:val="clear" w:color="auto" w:fill="CCEEFF"/>
          </w:tcPr>
          <w:p>
            <w:pPr>
              <w:spacing w:after="0"/>
              <w:rPr>
                <w:sz w:val="22"/>
                <w:szCs w:val="22"/>
                <w:color w:val="auto"/>
              </w:rPr>
            </w:pPr>
          </w:p>
        </w:tc>
        <w:tc>
          <w:tcPr>
            <w:tcW w:w="180" w:type="dxa"/>
            <w:vAlign w:val="bottom"/>
            <w:tcBorders>
              <w:top w:val="single" w:sz="8" w:color="0000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40"/>
          </w:cols>
          <w:pgMar w:left="320" w:top="108" w:right="339" w:bottom="1440" w:gutter="0" w:footer="0" w:header="0"/>
        </w:sectPr>
      </w:pPr>
    </w:p>
    <w:bookmarkStart w:id="78" w:name="page79"/>
    <w:bookmarkEnd w:id="78"/>
    <w:p>
      <w:pPr>
        <w:spacing w:after="0" w:line="39" w:lineRule="exact"/>
        <w:rPr>
          <w:sz w:val="20"/>
          <w:szCs w:val="20"/>
          <w:color w:val="auto"/>
        </w:rPr>
      </w:pPr>
    </w:p>
    <w:p>
      <w:pPr>
        <w:jc w:val="right"/>
        <w:spacing w:after="0"/>
        <w:rPr>
          <w:sz w:val="20"/>
          <w:szCs w:val="20"/>
          <w:color w:val="auto"/>
        </w:rPr>
      </w:pPr>
      <w:r>
        <w:rPr>
          <w:rFonts w:ascii="Arial" w:cs="Arial" w:eastAsia="Arial" w:hAnsi="Arial"/>
          <w:sz w:val="20"/>
          <w:szCs w:val="20"/>
          <w:u w:val="single" w:color="auto"/>
          <w:color w:val="auto"/>
        </w:rPr>
        <w:t>Page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gridSpan w:val="3"/>
            <w:vMerge w:val="restart"/>
            <w:shd w:val="clear" w:color="auto" w:fill="CCEEFF"/>
          </w:tcPr>
          <w:p>
            <w:pPr>
              <w:ind w:left="40"/>
              <w:spacing w:after="0"/>
              <w:rPr>
                <w:sz w:val="20"/>
                <w:szCs w:val="20"/>
                <w:color w:val="auto"/>
              </w:rPr>
            </w:pPr>
            <w:r>
              <w:rPr>
                <w:rFonts w:ascii="Arial" w:cs="Arial" w:eastAsia="Arial" w:hAnsi="Arial"/>
                <w:sz w:val="18"/>
                <w:szCs w:val="18"/>
                <w:color w:val="auto"/>
              </w:rPr>
              <w:t>8.19</w:t>
            </w:r>
          </w:p>
        </w:tc>
        <w:tc>
          <w:tcPr>
            <w:tcW w:w="7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Patriot Act</w:t>
            </w:r>
          </w:p>
        </w:tc>
        <w:tc>
          <w:tcPr>
            <w:tcW w:w="2780" w:type="dxa"/>
            <w:vAlign w:val="bottom"/>
            <w:shd w:val="clear" w:color="auto" w:fill="CCEEFF"/>
          </w:tcPr>
          <w:p>
            <w:pPr>
              <w:jc w:val="right"/>
              <w:spacing w:after="0"/>
              <w:rPr>
                <w:sz w:val="20"/>
                <w:szCs w:val="20"/>
                <w:color w:val="auto"/>
              </w:rPr>
            </w:pPr>
            <w:r>
              <w:rPr>
                <w:rFonts w:ascii="Arial" w:cs="Arial" w:eastAsia="Arial" w:hAnsi="Arial"/>
                <w:sz w:val="18"/>
                <w:szCs w:val="18"/>
                <w:color w:val="FF0000"/>
                <w:strike w:val="1"/>
              </w:rPr>
              <w:t>100</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0000FF"/>
                <w:w w:val="86"/>
              </w:rPr>
              <w:t>101</w:t>
            </w:r>
          </w:p>
        </w:tc>
        <w:tc>
          <w:tcPr>
            <w:tcW w:w="0" w:type="dxa"/>
            <w:vAlign w:val="bottom"/>
          </w:tcPr>
          <w:p>
            <w:pPr>
              <w:spacing w:after="0"/>
              <w:rPr>
                <w:sz w:val="1"/>
                <w:szCs w:val="1"/>
                <w:color w:val="auto"/>
              </w:rPr>
            </w:pPr>
          </w:p>
        </w:tc>
      </w:tr>
      <w:tr>
        <w:trPr>
          <w:trHeight w:val="243"/>
        </w:trPr>
        <w:tc>
          <w:tcPr>
            <w:tcW w:w="1160" w:type="dxa"/>
            <w:vAlign w:val="bottom"/>
            <w:tcBorders>
              <w:top w:val="single" w:sz="8" w:color="CCEEFF"/>
              <w:bottom w:val="single" w:sz="8" w:color="CCEEFF"/>
            </w:tcBorders>
            <w:gridSpan w:val="3"/>
            <w:vMerge w:val="continue"/>
            <w:shd w:val="clear" w:color="auto" w:fill="CCEEFF"/>
          </w:tcPr>
          <w:p>
            <w:pPr>
              <w:spacing w:after="0"/>
              <w:rPr>
                <w:sz w:val="21"/>
                <w:szCs w:val="21"/>
                <w:color w:val="auto"/>
              </w:rPr>
            </w:pPr>
          </w:p>
        </w:tc>
        <w:tc>
          <w:tcPr>
            <w:tcW w:w="7000" w:type="dxa"/>
            <w:vAlign w:val="bottom"/>
            <w:tcBorders>
              <w:top w:val="single" w:sz="8" w:color="CCEEFF"/>
              <w:bottom w:val="single" w:sz="8" w:color="CCEEFF"/>
            </w:tcBorders>
            <w:gridSpan w:val="2"/>
            <w:vMerge w:val="continue"/>
            <w:shd w:val="clear" w:color="auto" w:fill="CCEEFF"/>
          </w:tcPr>
          <w:p>
            <w:pPr>
              <w:spacing w:after="0"/>
              <w:rPr>
                <w:sz w:val="21"/>
                <w:szCs w:val="21"/>
                <w:color w:val="auto"/>
              </w:rPr>
            </w:pPr>
          </w:p>
        </w:tc>
        <w:tc>
          <w:tcPr>
            <w:tcW w:w="27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160" w:type="dxa"/>
            <w:vAlign w:val="bottom"/>
            <w:gridSpan w:val="3"/>
            <w:vMerge w:val="restart"/>
          </w:tcPr>
          <w:p>
            <w:pPr>
              <w:ind w:left="40"/>
              <w:spacing w:after="0"/>
              <w:rPr>
                <w:sz w:val="20"/>
                <w:szCs w:val="20"/>
                <w:color w:val="auto"/>
              </w:rPr>
            </w:pPr>
            <w:r>
              <w:rPr>
                <w:rFonts w:ascii="Arial" w:cs="Arial" w:eastAsia="Arial" w:hAnsi="Arial"/>
                <w:sz w:val="18"/>
                <w:szCs w:val="18"/>
                <w:color w:val="020FEE"/>
              </w:rPr>
              <w:t>8.</w:t>
            </w:r>
            <w:r>
              <w:rPr>
                <w:rFonts w:ascii="Arial" w:cs="Arial" w:eastAsia="Arial" w:hAnsi="Arial"/>
                <w:sz w:val="18"/>
                <w:szCs w:val="18"/>
                <w:u w:val="single" w:color="auto"/>
                <w:color w:val="020FEE"/>
              </w:rPr>
              <w:t>20</w:t>
            </w:r>
          </w:p>
        </w:tc>
        <w:tc>
          <w:tcPr>
            <w:tcW w:w="7000" w:type="dxa"/>
            <w:vAlign w:val="bottom"/>
            <w:gridSpan w:val="2"/>
            <w:vMerge w:val="restart"/>
          </w:tcPr>
          <w:p>
            <w:pPr>
              <w:spacing w:after="0"/>
              <w:rPr>
                <w:sz w:val="20"/>
                <w:szCs w:val="20"/>
                <w:color w:val="auto"/>
              </w:rPr>
            </w:pPr>
            <w:r>
              <w:rPr>
                <w:rFonts w:ascii="Arial" w:cs="Arial" w:eastAsia="Arial" w:hAnsi="Arial"/>
                <w:sz w:val="18"/>
                <w:szCs w:val="18"/>
                <w:color w:val="020FEE"/>
              </w:rPr>
              <w:t>EEA Financial Institutions</w:t>
            </w:r>
          </w:p>
        </w:tc>
        <w:tc>
          <w:tcPr>
            <w:tcW w:w="30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0000FF"/>
              </w:rPr>
              <w:t>101</w:t>
            </w:r>
          </w:p>
        </w:tc>
        <w:tc>
          <w:tcPr>
            <w:tcW w:w="0" w:type="dxa"/>
            <w:vAlign w:val="bottom"/>
          </w:tcPr>
          <w:p>
            <w:pPr>
              <w:spacing w:after="0"/>
              <w:rPr>
                <w:sz w:val="1"/>
                <w:szCs w:val="1"/>
                <w:color w:val="auto"/>
              </w:rPr>
            </w:pPr>
          </w:p>
        </w:tc>
      </w:tr>
      <w:tr>
        <w:trPr>
          <w:trHeight w:val="196"/>
        </w:trPr>
        <w:tc>
          <w:tcPr>
            <w:tcW w:w="1160" w:type="dxa"/>
            <w:vAlign w:val="bottom"/>
            <w:gridSpan w:val="3"/>
            <w:vMerge w:val="continue"/>
          </w:tcPr>
          <w:p>
            <w:pPr>
              <w:spacing w:after="0"/>
              <w:rPr>
                <w:sz w:val="17"/>
                <w:szCs w:val="17"/>
                <w:color w:val="auto"/>
              </w:rPr>
            </w:pPr>
          </w:p>
        </w:tc>
        <w:tc>
          <w:tcPr>
            <w:tcW w:w="7000" w:type="dxa"/>
            <w:vAlign w:val="bottom"/>
            <w:gridSpan w:val="2"/>
            <w:vMerge w:val="continue"/>
          </w:tcPr>
          <w:p>
            <w:pPr>
              <w:spacing w:after="0"/>
              <w:rPr>
                <w:sz w:val="17"/>
                <w:szCs w:val="17"/>
                <w:color w:val="auto"/>
              </w:rPr>
            </w:pPr>
          </w:p>
        </w:tc>
        <w:tc>
          <w:tcPr>
            <w:tcW w:w="2780" w:type="dxa"/>
            <w:vAlign w:val="bottom"/>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00" w:type="dxa"/>
            <w:vAlign w:val="bottom"/>
            <w:tcBorders>
              <w:top w:val="single" w:sz="8" w:color="020FEE"/>
            </w:tcBorders>
          </w:tcPr>
          <w:p>
            <w:pPr>
              <w:spacing w:after="0"/>
              <w:rPr>
                <w:sz w:val="4"/>
                <w:szCs w:val="4"/>
                <w:color w:val="auto"/>
              </w:rPr>
            </w:pPr>
          </w:p>
        </w:tc>
        <w:tc>
          <w:tcPr>
            <w:tcW w:w="820" w:type="dxa"/>
            <w:vAlign w:val="bottom"/>
          </w:tcPr>
          <w:p>
            <w:pPr>
              <w:spacing w:after="0"/>
              <w:rPr>
                <w:sz w:val="4"/>
                <w:szCs w:val="4"/>
                <w:color w:val="auto"/>
              </w:rPr>
            </w:pPr>
          </w:p>
        </w:tc>
        <w:tc>
          <w:tcPr>
            <w:tcW w:w="1920" w:type="dxa"/>
            <w:vAlign w:val="bottom"/>
            <w:tcBorders>
              <w:top w:val="single" w:sz="8" w:color="020FEE"/>
            </w:tcBorders>
          </w:tcPr>
          <w:p>
            <w:pPr>
              <w:spacing w:after="0"/>
              <w:rPr>
                <w:sz w:val="4"/>
                <w:szCs w:val="4"/>
                <w:color w:val="auto"/>
              </w:rPr>
            </w:pPr>
          </w:p>
        </w:tc>
        <w:tc>
          <w:tcPr>
            <w:tcW w:w="5080" w:type="dxa"/>
            <w:vAlign w:val="bottom"/>
          </w:tcPr>
          <w:p>
            <w:pPr>
              <w:spacing w:after="0"/>
              <w:rPr>
                <w:sz w:val="4"/>
                <w:szCs w:val="4"/>
                <w:color w:val="auto"/>
              </w:rPr>
            </w:pPr>
          </w:p>
        </w:tc>
        <w:tc>
          <w:tcPr>
            <w:tcW w:w="2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Section 9</w:t>
            </w:r>
          </w:p>
        </w:tc>
        <w:tc>
          <w:tcPr>
            <w:tcW w:w="7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Affirmative Covenants</w:t>
            </w:r>
          </w:p>
        </w:tc>
        <w:tc>
          <w:tcPr>
            <w:tcW w:w="2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FF0000"/>
                <w:strike w:val="1"/>
              </w:rPr>
              <w:t>100</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0000FF"/>
                <w:w w:val="86"/>
              </w:rPr>
              <w:t>101</w:t>
            </w:r>
          </w:p>
        </w:tc>
        <w:tc>
          <w:tcPr>
            <w:tcW w:w="0" w:type="dxa"/>
            <w:vAlign w:val="bottom"/>
          </w:tcPr>
          <w:p>
            <w:pPr>
              <w:spacing w:after="0"/>
              <w:rPr>
                <w:sz w:val="1"/>
                <w:szCs w:val="1"/>
                <w:color w:val="auto"/>
              </w:rPr>
            </w:pPr>
          </w:p>
        </w:tc>
      </w:tr>
      <w:tr>
        <w:trPr>
          <w:trHeight w:val="243"/>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CCEEFF"/>
              <w:bottom w:val="single" w:sz="8" w:color="CCEEFF"/>
            </w:tcBorders>
            <w:gridSpan w:val="2"/>
            <w:vMerge w:val="continue"/>
            <w:shd w:val="clear" w:color="auto" w:fill="CCEEFF"/>
          </w:tcPr>
          <w:p>
            <w:pPr>
              <w:spacing w:after="0"/>
              <w:rPr>
                <w:sz w:val="21"/>
                <w:szCs w:val="21"/>
                <w:color w:val="auto"/>
              </w:rPr>
            </w:pPr>
          </w:p>
        </w:tc>
        <w:tc>
          <w:tcPr>
            <w:tcW w:w="7000" w:type="dxa"/>
            <w:vAlign w:val="bottom"/>
            <w:tcBorders>
              <w:top w:val="single" w:sz="8" w:color="CCEEFF"/>
              <w:bottom w:val="single" w:sz="8" w:color="CCEEFF"/>
            </w:tcBorders>
            <w:gridSpan w:val="2"/>
            <w:vMerge w:val="continue"/>
            <w:shd w:val="clear" w:color="auto" w:fill="CCEEFF"/>
          </w:tcPr>
          <w:p>
            <w:pPr>
              <w:spacing w:after="0"/>
              <w:rPr>
                <w:sz w:val="21"/>
                <w:szCs w:val="21"/>
                <w:color w:val="auto"/>
              </w:rPr>
            </w:pPr>
          </w:p>
        </w:tc>
        <w:tc>
          <w:tcPr>
            <w:tcW w:w="27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40" w:type="dxa"/>
            <w:vAlign w:val="bottom"/>
            <w:gridSpan w:val="2"/>
            <w:vMerge w:val="restart"/>
          </w:tcPr>
          <w:p>
            <w:pPr>
              <w:ind w:left="40"/>
              <w:spacing w:after="0"/>
              <w:rPr>
                <w:sz w:val="20"/>
                <w:szCs w:val="20"/>
                <w:color w:val="auto"/>
              </w:rPr>
            </w:pPr>
            <w:r>
              <w:rPr>
                <w:rFonts w:ascii="Arial" w:cs="Arial" w:eastAsia="Arial" w:hAnsi="Arial"/>
                <w:sz w:val="18"/>
                <w:szCs w:val="18"/>
                <w:color w:val="auto"/>
              </w:rPr>
              <w:t>9.1</w:t>
            </w:r>
          </w:p>
        </w:tc>
        <w:tc>
          <w:tcPr>
            <w:tcW w:w="820" w:type="dxa"/>
            <w:vAlign w:val="bottom"/>
          </w:tcPr>
          <w:p>
            <w:pPr>
              <w:spacing w:after="0"/>
              <w:rPr>
                <w:sz w:val="17"/>
                <w:szCs w:val="17"/>
                <w:color w:val="auto"/>
              </w:rPr>
            </w:pPr>
          </w:p>
        </w:tc>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Information Covenants</w:t>
            </w:r>
          </w:p>
        </w:tc>
        <w:tc>
          <w:tcPr>
            <w:tcW w:w="2780" w:type="dxa"/>
            <w:vAlign w:val="bottom"/>
          </w:tcPr>
          <w:p>
            <w:pPr>
              <w:jc w:val="right"/>
              <w:spacing w:after="0" w:line="202" w:lineRule="exact"/>
              <w:rPr>
                <w:sz w:val="20"/>
                <w:szCs w:val="20"/>
                <w:color w:val="auto"/>
              </w:rPr>
            </w:pPr>
            <w:r>
              <w:rPr>
                <w:rFonts w:ascii="Arial" w:cs="Arial" w:eastAsia="Arial" w:hAnsi="Arial"/>
                <w:sz w:val="18"/>
                <w:szCs w:val="18"/>
                <w:color w:val="FF0000"/>
                <w:strike w:val="1"/>
              </w:rPr>
              <w:t>100</w:t>
            </w: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0000FF"/>
                <w:w w:val="86"/>
              </w:rPr>
              <w:t>101</w:t>
            </w:r>
          </w:p>
        </w:tc>
        <w:tc>
          <w:tcPr>
            <w:tcW w:w="0" w:type="dxa"/>
            <w:vAlign w:val="bottom"/>
          </w:tcPr>
          <w:p>
            <w:pPr>
              <w:spacing w:after="0"/>
              <w:rPr>
                <w:sz w:val="1"/>
                <w:szCs w:val="1"/>
                <w:color w:val="auto"/>
              </w:rPr>
            </w:pPr>
          </w:p>
        </w:tc>
      </w:tr>
      <w:tr>
        <w:trPr>
          <w:trHeight w:val="237"/>
        </w:trPr>
        <w:tc>
          <w:tcPr>
            <w:tcW w:w="340" w:type="dxa"/>
            <w:vAlign w:val="bottom"/>
            <w:gridSpan w:val="2"/>
            <w:vMerge w:val="continue"/>
          </w:tcPr>
          <w:p>
            <w:pPr>
              <w:spacing w:after="0"/>
              <w:rPr>
                <w:sz w:val="20"/>
                <w:szCs w:val="20"/>
                <w:color w:val="auto"/>
              </w:rPr>
            </w:pPr>
          </w:p>
        </w:tc>
        <w:tc>
          <w:tcPr>
            <w:tcW w:w="820" w:type="dxa"/>
            <w:vAlign w:val="bottom"/>
          </w:tcPr>
          <w:p>
            <w:pPr>
              <w:spacing w:after="0"/>
              <w:rPr>
                <w:sz w:val="20"/>
                <w:szCs w:val="20"/>
                <w:color w:val="auto"/>
              </w:rPr>
            </w:pPr>
          </w:p>
        </w:tc>
        <w:tc>
          <w:tcPr>
            <w:tcW w:w="7000" w:type="dxa"/>
            <w:vAlign w:val="bottom"/>
            <w:gridSpan w:val="2"/>
            <w:vMerge w:val="continue"/>
          </w:tcPr>
          <w:p>
            <w:pPr>
              <w:spacing w:after="0"/>
              <w:rPr>
                <w:sz w:val="20"/>
                <w:szCs w:val="20"/>
                <w:color w:val="auto"/>
              </w:rPr>
            </w:pPr>
          </w:p>
        </w:tc>
        <w:tc>
          <w:tcPr>
            <w:tcW w:w="2780" w:type="dxa"/>
            <w:vAlign w:val="bottom"/>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9.2</w:t>
            </w:r>
          </w:p>
        </w:tc>
        <w:tc>
          <w:tcPr>
            <w:tcW w:w="820" w:type="dxa"/>
            <w:vAlign w:val="bottom"/>
            <w:shd w:val="clear" w:color="auto" w:fill="CCEEFF"/>
          </w:tcPr>
          <w:p>
            <w:pPr>
              <w:spacing w:after="0"/>
              <w:rPr>
                <w:sz w:val="17"/>
                <w:szCs w:val="17"/>
                <w:color w:val="auto"/>
              </w:rPr>
            </w:pPr>
          </w:p>
        </w:tc>
        <w:tc>
          <w:tcPr>
            <w:tcW w:w="7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Books, Records, and Inspections</w:t>
            </w:r>
          </w:p>
        </w:tc>
        <w:tc>
          <w:tcPr>
            <w:tcW w:w="2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FF0000"/>
                <w:strike w:val="1"/>
              </w:rPr>
              <w:t>103</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0000FF"/>
                <w:w w:val="86"/>
              </w:rPr>
              <w:t>104</w:t>
            </w:r>
          </w:p>
        </w:tc>
        <w:tc>
          <w:tcPr>
            <w:tcW w:w="0" w:type="dxa"/>
            <w:vAlign w:val="bottom"/>
          </w:tcPr>
          <w:p>
            <w:pPr>
              <w:spacing w:after="0"/>
              <w:rPr>
                <w:sz w:val="1"/>
                <w:szCs w:val="1"/>
                <w:color w:val="auto"/>
              </w:rPr>
            </w:pPr>
          </w:p>
        </w:tc>
      </w:tr>
      <w:tr>
        <w:trPr>
          <w:trHeight w:val="243"/>
        </w:trPr>
        <w:tc>
          <w:tcPr>
            <w:tcW w:w="340" w:type="dxa"/>
            <w:vAlign w:val="bottom"/>
            <w:tcBorders>
              <w:top w:val="single" w:sz="8" w:color="CCEEFF"/>
              <w:bottom w:val="single" w:sz="8" w:color="CCEEFF"/>
            </w:tcBorders>
            <w:gridSpan w:val="2"/>
            <w:vMerge w:val="continue"/>
            <w:shd w:val="clear" w:color="auto" w:fill="CCEEFF"/>
          </w:tcPr>
          <w:p>
            <w:pPr>
              <w:spacing w:after="0"/>
              <w:rPr>
                <w:sz w:val="21"/>
                <w:szCs w:val="21"/>
                <w:color w:val="auto"/>
              </w:rPr>
            </w:pP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7000" w:type="dxa"/>
            <w:vAlign w:val="bottom"/>
            <w:tcBorders>
              <w:top w:val="single" w:sz="8" w:color="CCEEFF"/>
              <w:bottom w:val="single" w:sz="8" w:color="CCEEFF"/>
            </w:tcBorders>
            <w:gridSpan w:val="2"/>
            <w:vMerge w:val="continue"/>
            <w:shd w:val="clear" w:color="auto" w:fill="CCEEFF"/>
          </w:tcPr>
          <w:p>
            <w:pPr>
              <w:spacing w:after="0"/>
              <w:rPr>
                <w:sz w:val="21"/>
                <w:szCs w:val="21"/>
                <w:color w:val="auto"/>
              </w:rPr>
            </w:pPr>
          </w:p>
        </w:tc>
        <w:tc>
          <w:tcPr>
            <w:tcW w:w="27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40" w:type="dxa"/>
            <w:vAlign w:val="bottom"/>
            <w:gridSpan w:val="2"/>
            <w:vMerge w:val="restart"/>
          </w:tcPr>
          <w:p>
            <w:pPr>
              <w:ind w:left="40"/>
              <w:spacing w:after="0"/>
              <w:rPr>
                <w:sz w:val="20"/>
                <w:szCs w:val="20"/>
                <w:color w:val="auto"/>
              </w:rPr>
            </w:pPr>
            <w:r>
              <w:rPr>
                <w:rFonts w:ascii="Arial" w:cs="Arial" w:eastAsia="Arial" w:hAnsi="Arial"/>
                <w:sz w:val="18"/>
                <w:szCs w:val="18"/>
                <w:color w:val="auto"/>
              </w:rPr>
              <w:t>9.3</w:t>
            </w:r>
          </w:p>
        </w:tc>
        <w:tc>
          <w:tcPr>
            <w:tcW w:w="820" w:type="dxa"/>
            <w:vAlign w:val="bottom"/>
          </w:tcPr>
          <w:p>
            <w:pPr>
              <w:spacing w:after="0"/>
              <w:rPr>
                <w:sz w:val="17"/>
                <w:szCs w:val="17"/>
                <w:color w:val="auto"/>
              </w:rPr>
            </w:pPr>
          </w:p>
        </w:tc>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Maintenance of Insurance</w:t>
            </w:r>
          </w:p>
        </w:tc>
        <w:tc>
          <w:tcPr>
            <w:tcW w:w="2780" w:type="dxa"/>
            <w:vAlign w:val="bottom"/>
          </w:tcPr>
          <w:p>
            <w:pPr>
              <w:jc w:val="right"/>
              <w:spacing w:after="0" w:line="202" w:lineRule="exact"/>
              <w:rPr>
                <w:sz w:val="20"/>
                <w:szCs w:val="20"/>
                <w:color w:val="auto"/>
              </w:rPr>
            </w:pPr>
            <w:r>
              <w:rPr>
                <w:rFonts w:ascii="Arial" w:cs="Arial" w:eastAsia="Arial" w:hAnsi="Arial"/>
                <w:sz w:val="18"/>
                <w:szCs w:val="18"/>
                <w:color w:val="FF0000"/>
                <w:strike w:val="1"/>
              </w:rPr>
              <w:t>103</w:t>
            </w: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0000FF"/>
                <w:w w:val="86"/>
              </w:rPr>
              <w:t>104</w:t>
            </w:r>
          </w:p>
        </w:tc>
        <w:tc>
          <w:tcPr>
            <w:tcW w:w="0" w:type="dxa"/>
            <w:vAlign w:val="bottom"/>
          </w:tcPr>
          <w:p>
            <w:pPr>
              <w:spacing w:after="0"/>
              <w:rPr>
                <w:sz w:val="1"/>
                <w:szCs w:val="1"/>
                <w:color w:val="auto"/>
              </w:rPr>
            </w:pPr>
          </w:p>
        </w:tc>
      </w:tr>
      <w:tr>
        <w:trPr>
          <w:trHeight w:val="237"/>
        </w:trPr>
        <w:tc>
          <w:tcPr>
            <w:tcW w:w="340" w:type="dxa"/>
            <w:vAlign w:val="bottom"/>
            <w:gridSpan w:val="2"/>
            <w:vMerge w:val="continue"/>
          </w:tcPr>
          <w:p>
            <w:pPr>
              <w:spacing w:after="0"/>
              <w:rPr>
                <w:sz w:val="20"/>
                <w:szCs w:val="20"/>
                <w:color w:val="auto"/>
              </w:rPr>
            </w:pPr>
          </w:p>
        </w:tc>
        <w:tc>
          <w:tcPr>
            <w:tcW w:w="820" w:type="dxa"/>
            <w:vAlign w:val="bottom"/>
          </w:tcPr>
          <w:p>
            <w:pPr>
              <w:spacing w:after="0"/>
              <w:rPr>
                <w:sz w:val="20"/>
                <w:szCs w:val="20"/>
                <w:color w:val="auto"/>
              </w:rPr>
            </w:pPr>
          </w:p>
        </w:tc>
        <w:tc>
          <w:tcPr>
            <w:tcW w:w="7000" w:type="dxa"/>
            <w:vAlign w:val="bottom"/>
            <w:gridSpan w:val="2"/>
            <w:vMerge w:val="continue"/>
          </w:tcPr>
          <w:p>
            <w:pPr>
              <w:spacing w:after="0"/>
              <w:rPr>
                <w:sz w:val="20"/>
                <w:szCs w:val="20"/>
                <w:color w:val="auto"/>
              </w:rPr>
            </w:pPr>
          </w:p>
        </w:tc>
        <w:tc>
          <w:tcPr>
            <w:tcW w:w="2780" w:type="dxa"/>
            <w:vAlign w:val="bottom"/>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9.4</w:t>
            </w:r>
          </w:p>
        </w:tc>
        <w:tc>
          <w:tcPr>
            <w:tcW w:w="820" w:type="dxa"/>
            <w:vAlign w:val="bottom"/>
            <w:shd w:val="clear" w:color="auto" w:fill="CCEEFF"/>
          </w:tcPr>
          <w:p>
            <w:pPr>
              <w:spacing w:after="0"/>
              <w:rPr>
                <w:sz w:val="17"/>
                <w:szCs w:val="17"/>
                <w:color w:val="auto"/>
              </w:rPr>
            </w:pPr>
          </w:p>
        </w:tc>
        <w:tc>
          <w:tcPr>
            <w:tcW w:w="7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Payment of Taxes</w:t>
            </w:r>
          </w:p>
        </w:tc>
        <w:tc>
          <w:tcPr>
            <w:tcW w:w="2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FF0000"/>
                <w:strike w:val="1"/>
              </w:rPr>
              <w:t>103</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0000FF"/>
                <w:w w:val="86"/>
              </w:rPr>
              <w:t>105</w:t>
            </w:r>
          </w:p>
        </w:tc>
        <w:tc>
          <w:tcPr>
            <w:tcW w:w="0" w:type="dxa"/>
            <w:vAlign w:val="bottom"/>
          </w:tcPr>
          <w:p>
            <w:pPr>
              <w:spacing w:after="0"/>
              <w:rPr>
                <w:sz w:val="1"/>
                <w:szCs w:val="1"/>
                <w:color w:val="auto"/>
              </w:rPr>
            </w:pPr>
          </w:p>
        </w:tc>
      </w:tr>
      <w:tr>
        <w:trPr>
          <w:trHeight w:val="243"/>
        </w:trPr>
        <w:tc>
          <w:tcPr>
            <w:tcW w:w="340" w:type="dxa"/>
            <w:vAlign w:val="bottom"/>
            <w:tcBorders>
              <w:top w:val="single" w:sz="8" w:color="CCEEFF"/>
              <w:bottom w:val="single" w:sz="8" w:color="CCEEFF"/>
            </w:tcBorders>
            <w:gridSpan w:val="2"/>
            <w:vMerge w:val="continue"/>
            <w:shd w:val="clear" w:color="auto" w:fill="CCEEFF"/>
          </w:tcPr>
          <w:p>
            <w:pPr>
              <w:spacing w:after="0"/>
              <w:rPr>
                <w:sz w:val="21"/>
                <w:szCs w:val="21"/>
                <w:color w:val="auto"/>
              </w:rPr>
            </w:pP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7000" w:type="dxa"/>
            <w:vAlign w:val="bottom"/>
            <w:tcBorders>
              <w:top w:val="single" w:sz="8" w:color="CCEEFF"/>
              <w:bottom w:val="single" w:sz="8" w:color="CCEEFF"/>
            </w:tcBorders>
            <w:gridSpan w:val="2"/>
            <w:vMerge w:val="continue"/>
            <w:shd w:val="clear" w:color="auto" w:fill="CCEEFF"/>
          </w:tcPr>
          <w:p>
            <w:pPr>
              <w:spacing w:after="0"/>
              <w:rPr>
                <w:sz w:val="21"/>
                <w:szCs w:val="21"/>
                <w:color w:val="auto"/>
              </w:rPr>
            </w:pPr>
          </w:p>
        </w:tc>
        <w:tc>
          <w:tcPr>
            <w:tcW w:w="27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40" w:type="dxa"/>
            <w:vAlign w:val="bottom"/>
            <w:gridSpan w:val="2"/>
            <w:vMerge w:val="restart"/>
          </w:tcPr>
          <w:p>
            <w:pPr>
              <w:ind w:left="40"/>
              <w:spacing w:after="0"/>
              <w:rPr>
                <w:sz w:val="20"/>
                <w:szCs w:val="20"/>
                <w:color w:val="auto"/>
              </w:rPr>
            </w:pPr>
            <w:r>
              <w:rPr>
                <w:rFonts w:ascii="Arial" w:cs="Arial" w:eastAsia="Arial" w:hAnsi="Arial"/>
                <w:sz w:val="18"/>
                <w:szCs w:val="18"/>
                <w:color w:val="auto"/>
              </w:rPr>
              <w:t>9.5</w:t>
            </w:r>
          </w:p>
        </w:tc>
        <w:tc>
          <w:tcPr>
            <w:tcW w:w="820" w:type="dxa"/>
            <w:vAlign w:val="bottom"/>
          </w:tcPr>
          <w:p>
            <w:pPr>
              <w:spacing w:after="0"/>
              <w:rPr>
                <w:sz w:val="17"/>
                <w:szCs w:val="17"/>
                <w:color w:val="auto"/>
              </w:rPr>
            </w:pPr>
          </w:p>
        </w:tc>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Preservation of Existence; Consolidated Corporate Franchises</w:t>
            </w:r>
          </w:p>
        </w:tc>
        <w:tc>
          <w:tcPr>
            <w:tcW w:w="2780" w:type="dxa"/>
            <w:vAlign w:val="bottom"/>
          </w:tcPr>
          <w:p>
            <w:pPr>
              <w:jc w:val="right"/>
              <w:spacing w:after="0" w:line="202" w:lineRule="exact"/>
              <w:rPr>
                <w:sz w:val="20"/>
                <w:szCs w:val="20"/>
                <w:color w:val="auto"/>
              </w:rPr>
            </w:pPr>
            <w:r>
              <w:rPr>
                <w:rFonts w:ascii="Arial" w:cs="Arial" w:eastAsia="Arial" w:hAnsi="Arial"/>
                <w:sz w:val="18"/>
                <w:szCs w:val="18"/>
                <w:color w:val="FF0000"/>
                <w:strike w:val="1"/>
              </w:rPr>
              <w:t>104</w:t>
            </w: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0000FF"/>
                <w:w w:val="86"/>
              </w:rPr>
              <w:t>105</w:t>
            </w:r>
          </w:p>
        </w:tc>
        <w:tc>
          <w:tcPr>
            <w:tcW w:w="0" w:type="dxa"/>
            <w:vAlign w:val="bottom"/>
          </w:tcPr>
          <w:p>
            <w:pPr>
              <w:spacing w:after="0"/>
              <w:rPr>
                <w:sz w:val="1"/>
                <w:szCs w:val="1"/>
                <w:color w:val="auto"/>
              </w:rPr>
            </w:pPr>
          </w:p>
        </w:tc>
      </w:tr>
      <w:tr>
        <w:trPr>
          <w:trHeight w:val="237"/>
        </w:trPr>
        <w:tc>
          <w:tcPr>
            <w:tcW w:w="340" w:type="dxa"/>
            <w:vAlign w:val="bottom"/>
            <w:gridSpan w:val="2"/>
            <w:vMerge w:val="continue"/>
          </w:tcPr>
          <w:p>
            <w:pPr>
              <w:spacing w:after="0"/>
              <w:rPr>
                <w:sz w:val="20"/>
                <w:szCs w:val="20"/>
                <w:color w:val="auto"/>
              </w:rPr>
            </w:pPr>
          </w:p>
        </w:tc>
        <w:tc>
          <w:tcPr>
            <w:tcW w:w="820" w:type="dxa"/>
            <w:vAlign w:val="bottom"/>
          </w:tcPr>
          <w:p>
            <w:pPr>
              <w:spacing w:after="0"/>
              <w:rPr>
                <w:sz w:val="20"/>
                <w:szCs w:val="20"/>
                <w:color w:val="auto"/>
              </w:rPr>
            </w:pPr>
          </w:p>
        </w:tc>
        <w:tc>
          <w:tcPr>
            <w:tcW w:w="7000" w:type="dxa"/>
            <w:vAlign w:val="bottom"/>
            <w:gridSpan w:val="2"/>
            <w:vMerge w:val="continue"/>
          </w:tcPr>
          <w:p>
            <w:pPr>
              <w:spacing w:after="0"/>
              <w:rPr>
                <w:sz w:val="20"/>
                <w:szCs w:val="20"/>
                <w:color w:val="auto"/>
              </w:rPr>
            </w:pPr>
          </w:p>
        </w:tc>
        <w:tc>
          <w:tcPr>
            <w:tcW w:w="2780" w:type="dxa"/>
            <w:vAlign w:val="bottom"/>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9.6</w:t>
            </w:r>
          </w:p>
        </w:tc>
        <w:tc>
          <w:tcPr>
            <w:tcW w:w="820" w:type="dxa"/>
            <w:vAlign w:val="bottom"/>
            <w:shd w:val="clear" w:color="auto" w:fill="CCEEFF"/>
          </w:tcPr>
          <w:p>
            <w:pPr>
              <w:spacing w:after="0"/>
              <w:rPr>
                <w:sz w:val="17"/>
                <w:szCs w:val="17"/>
                <w:color w:val="auto"/>
              </w:rPr>
            </w:pPr>
          </w:p>
        </w:tc>
        <w:tc>
          <w:tcPr>
            <w:tcW w:w="7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Compliance with Statutes, Regulations, Etc</w:t>
            </w:r>
          </w:p>
        </w:tc>
        <w:tc>
          <w:tcPr>
            <w:tcW w:w="2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FF0000"/>
                <w:strike w:val="1"/>
              </w:rPr>
              <w:t>104</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0000FF"/>
                <w:w w:val="86"/>
              </w:rPr>
              <w:t>105</w:t>
            </w:r>
          </w:p>
        </w:tc>
        <w:tc>
          <w:tcPr>
            <w:tcW w:w="0" w:type="dxa"/>
            <w:vAlign w:val="bottom"/>
          </w:tcPr>
          <w:p>
            <w:pPr>
              <w:spacing w:after="0"/>
              <w:rPr>
                <w:sz w:val="1"/>
                <w:szCs w:val="1"/>
                <w:color w:val="auto"/>
              </w:rPr>
            </w:pPr>
          </w:p>
        </w:tc>
      </w:tr>
      <w:tr>
        <w:trPr>
          <w:trHeight w:val="243"/>
        </w:trPr>
        <w:tc>
          <w:tcPr>
            <w:tcW w:w="340" w:type="dxa"/>
            <w:vAlign w:val="bottom"/>
            <w:tcBorders>
              <w:top w:val="single" w:sz="8" w:color="CCEEFF"/>
              <w:bottom w:val="single" w:sz="8" w:color="CCEEFF"/>
            </w:tcBorders>
            <w:gridSpan w:val="2"/>
            <w:vMerge w:val="continue"/>
            <w:shd w:val="clear" w:color="auto" w:fill="CCEEFF"/>
          </w:tcPr>
          <w:p>
            <w:pPr>
              <w:spacing w:after="0"/>
              <w:rPr>
                <w:sz w:val="21"/>
                <w:szCs w:val="21"/>
                <w:color w:val="auto"/>
              </w:rPr>
            </w:pP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7000" w:type="dxa"/>
            <w:vAlign w:val="bottom"/>
            <w:tcBorders>
              <w:top w:val="single" w:sz="8" w:color="CCEEFF"/>
              <w:bottom w:val="single" w:sz="8" w:color="CCEEFF"/>
            </w:tcBorders>
            <w:gridSpan w:val="2"/>
            <w:vMerge w:val="continue"/>
            <w:shd w:val="clear" w:color="auto" w:fill="CCEEFF"/>
          </w:tcPr>
          <w:p>
            <w:pPr>
              <w:spacing w:after="0"/>
              <w:rPr>
                <w:sz w:val="21"/>
                <w:szCs w:val="21"/>
                <w:color w:val="auto"/>
              </w:rPr>
            </w:pPr>
          </w:p>
        </w:tc>
        <w:tc>
          <w:tcPr>
            <w:tcW w:w="27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40" w:type="dxa"/>
            <w:vAlign w:val="bottom"/>
            <w:gridSpan w:val="2"/>
            <w:vMerge w:val="restart"/>
          </w:tcPr>
          <w:p>
            <w:pPr>
              <w:ind w:left="40"/>
              <w:spacing w:after="0"/>
              <w:rPr>
                <w:sz w:val="20"/>
                <w:szCs w:val="20"/>
                <w:color w:val="auto"/>
              </w:rPr>
            </w:pPr>
            <w:r>
              <w:rPr>
                <w:rFonts w:ascii="Arial" w:cs="Arial" w:eastAsia="Arial" w:hAnsi="Arial"/>
                <w:sz w:val="18"/>
                <w:szCs w:val="18"/>
                <w:color w:val="auto"/>
              </w:rPr>
              <w:t>9.7</w:t>
            </w:r>
          </w:p>
        </w:tc>
        <w:tc>
          <w:tcPr>
            <w:tcW w:w="820" w:type="dxa"/>
            <w:vAlign w:val="bottom"/>
          </w:tcPr>
          <w:p>
            <w:pPr>
              <w:spacing w:after="0"/>
              <w:rPr>
                <w:sz w:val="17"/>
                <w:szCs w:val="17"/>
                <w:color w:val="auto"/>
              </w:rPr>
            </w:pPr>
          </w:p>
        </w:tc>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ERISA</w:t>
            </w:r>
          </w:p>
        </w:tc>
        <w:tc>
          <w:tcPr>
            <w:tcW w:w="2780" w:type="dxa"/>
            <w:vAlign w:val="bottom"/>
          </w:tcPr>
          <w:p>
            <w:pPr>
              <w:jc w:val="right"/>
              <w:spacing w:after="0" w:line="202" w:lineRule="exact"/>
              <w:rPr>
                <w:sz w:val="20"/>
                <w:szCs w:val="20"/>
                <w:color w:val="auto"/>
              </w:rPr>
            </w:pPr>
            <w:r>
              <w:rPr>
                <w:rFonts w:ascii="Arial" w:cs="Arial" w:eastAsia="Arial" w:hAnsi="Arial"/>
                <w:sz w:val="18"/>
                <w:szCs w:val="18"/>
                <w:color w:val="FF0000"/>
                <w:strike w:val="1"/>
              </w:rPr>
              <w:t>104</w:t>
            </w: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0000FF"/>
                <w:w w:val="86"/>
              </w:rPr>
              <w:t>105</w:t>
            </w:r>
          </w:p>
        </w:tc>
        <w:tc>
          <w:tcPr>
            <w:tcW w:w="0" w:type="dxa"/>
            <w:vAlign w:val="bottom"/>
          </w:tcPr>
          <w:p>
            <w:pPr>
              <w:spacing w:after="0"/>
              <w:rPr>
                <w:sz w:val="1"/>
                <w:szCs w:val="1"/>
                <w:color w:val="auto"/>
              </w:rPr>
            </w:pPr>
          </w:p>
        </w:tc>
      </w:tr>
      <w:tr>
        <w:trPr>
          <w:trHeight w:val="237"/>
        </w:trPr>
        <w:tc>
          <w:tcPr>
            <w:tcW w:w="340" w:type="dxa"/>
            <w:vAlign w:val="bottom"/>
            <w:gridSpan w:val="2"/>
            <w:vMerge w:val="continue"/>
          </w:tcPr>
          <w:p>
            <w:pPr>
              <w:spacing w:after="0"/>
              <w:rPr>
                <w:sz w:val="20"/>
                <w:szCs w:val="20"/>
                <w:color w:val="auto"/>
              </w:rPr>
            </w:pPr>
          </w:p>
        </w:tc>
        <w:tc>
          <w:tcPr>
            <w:tcW w:w="820" w:type="dxa"/>
            <w:vAlign w:val="bottom"/>
          </w:tcPr>
          <w:p>
            <w:pPr>
              <w:spacing w:after="0"/>
              <w:rPr>
                <w:sz w:val="20"/>
                <w:szCs w:val="20"/>
                <w:color w:val="auto"/>
              </w:rPr>
            </w:pPr>
          </w:p>
        </w:tc>
        <w:tc>
          <w:tcPr>
            <w:tcW w:w="7000" w:type="dxa"/>
            <w:vAlign w:val="bottom"/>
            <w:gridSpan w:val="2"/>
            <w:vMerge w:val="continue"/>
          </w:tcPr>
          <w:p>
            <w:pPr>
              <w:spacing w:after="0"/>
              <w:rPr>
                <w:sz w:val="20"/>
                <w:szCs w:val="20"/>
                <w:color w:val="auto"/>
              </w:rPr>
            </w:pPr>
          </w:p>
        </w:tc>
        <w:tc>
          <w:tcPr>
            <w:tcW w:w="2780" w:type="dxa"/>
            <w:vAlign w:val="bottom"/>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rPr>
              <w:t>9.8</w:t>
            </w:r>
          </w:p>
        </w:tc>
        <w:tc>
          <w:tcPr>
            <w:tcW w:w="820" w:type="dxa"/>
            <w:vAlign w:val="bottom"/>
            <w:shd w:val="clear" w:color="auto" w:fill="CCEEFF"/>
          </w:tcPr>
          <w:p>
            <w:pPr>
              <w:spacing w:after="0"/>
              <w:rPr>
                <w:sz w:val="17"/>
                <w:szCs w:val="17"/>
                <w:color w:val="auto"/>
              </w:rPr>
            </w:pPr>
          </w:p>
        </w:tc>
        <w:tc>
          <w:tcPr>
            <w:tcW w:w="7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Maintenance of Properties</w:t>
            </w:r>
          </w:p>
        </w:tc>
        <w:tc>
          <w:tcPr>
            <w:tcW w:w="2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FF0000"/>
                <w:strike w:val="1"/>
              </w:rPr>
              <w:t>104</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0000FF"/>
                <w:w w:val="86"/>
              </w:rPr>
              <w:t>106</w:t>
            </w:r>
          </w:p>
        </w:tc>
        <w:tc>
          <w:tcPr>
            <w:tcW w:w="0" w:type="dxa"/>
            <w:vAlign w:val="bottom"/>
          </w:tcPr>
          <w:p>
            <w:pPr>
              <w:spacing w:after="0"/>
              <w:rPr>
                <w:sz w:val="1"/>
                <w:szCs w:val="1"/>
                <w:color w:val="auto"/>
              </w:rPr>
            </w:pPr>
          </w:p>
        </w:tc>
      </w:tr>
      <w:tr>
        <w:trPr>
          <w:trHeight w:val="243"/>
        </w:trPr>
        <w:tc>
          <w:tcPr>
            <w:tcW w:w="340" w:type="dxa"/>
            <w:vAlign w:val="bottom"/>
            <w:tcBorders>
              <w:top w:val="single" w:sz="8" w:color="CCEEFF"/>
              <w:bottom w:val="single" w:sz="8" w:color="CCEEFF"/>
            </w:tcBorders>
            <w:gridSpan w:val="2"/>
            <w:vMerge w:val="continue"/>
            <w:shd w:val="clear" w:color="auto" w:fill="CCEEFF"/>
          </w:tcPr>
          <w:p>
            <w:pPr>
              <w:spacing w:after="0"/>
              <w:rPr>
                <w:sz w:val="21"/>
                <w:szCs w:val="21"/>
                <w:color w:val="auto"/>
              </w:rPr>
            </w:pP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7000" w:type="dxa"/>
            <w:vAlign w:val="bottom"/>
            <w:tcBorders>
              <w:top w:val="single" w:sz="8" w:color="CCEEFF"/>
              <w:bottom w:val="single" w:sz="8" w:color="CCEEFF"/>
            </w:tcBorders>
            <w:gridSpan w:val="2"/>
            <w:vMerge w:val="continue"/>
            <w:shd w:val="clear" w:color="auto" w:fill="CCEEFF"/>
          </w:tcPr>
          <w:p>
            <w:pPr>
              <w:spacing w:after="0"/>
              <w:rPr>
                <w:sz w:val="21"/>
                <w:szCs w:val="21"/>
                <w:color w:val="auto"/>
              </w:rPr>
            </w:pPr>
          </w:p>
        </w:tc>
        <w:tc>
          <w:tcPr>
            <w:tcW w:w="27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40" w:type="dxa"/>
            <w:vAlign w:val="bottom"/>
            <w:gridSpan w:val="2"/>
            <w:vMerge w:val="restart"/>
          </w:tcPr>
          <w:p>
            <w:pPr>
              <w:ind w:left="40"/>
              <w:spacing w:after="0"/>
              <w:rPr>
                <w:sz w:val="20"/>
                <w:szCs w:val="20"/>
                <w:color w:val="auto"/>
              </w:rPr>
            </w:pPr>
            <w:r>
              <w:rPr>
                <w:rFonts w:ascii="Arial" w:cs="Arial" w:eastAsia="Arial" w:hAnsi="Arial"/>
                <w:sz w:val="18"/>
                <w:szCs w:val="18"/>
                <w:color w:val="auto"/>
              </w:rPr>
              <w:t>9.9</w:t>
            </w:r>
          </w:p>
        </w:tc>
        <w:tc>
          <w:tcPr>
            <w:tcW w:w="820" w:type="dxa"/>
            <w:vAlign w:val="bottom"/>
          </w:tcPr>
          <w:p>
            <w:pPr>
              <w:spacing w:after="0"/>
              <w:rPr>
                <w:sz w:val="17"/>
                <w:szCs w:val="17"/>
                <w:color w:val="auto"/>
              </w:rPr>
            </w:pPr>
          </w:p>
        </w:tc>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Affiliates</w:t>
            </w:r>
          </w:p>
        </w:tc>
        <w:tc>
          <w:tcPr>
            <w:tcW w:w="2780" w:type="dxa"/>
            <w:vAlign w:val="bottom"/>
          </w:tcPr>
          <w:p>
            <w:pPr>
              <w:jc w:val="right"/>
              <w:spacing w:after="0" w:line="202" w:lineRule="exact"/>
              <w:rPr>
                <w:sz w:val="20"/>
                <w:szCs w:val="20"/>
                <w:color w:val="auto"/>
              </w:rPr>
            </w:pPr>
            <w:r>
              <w:rPr>
                <w:rFonts w:ascii="Arial" w:cs="Arial" w:eastAsia="Arial" w:hAnsi="Arial"/>
                <w:sz w:val="18"/>
                <w:szCs w:val="18"/>
                <w:color w:val="FF0000"/>
                <w:strike w:val="1"/>
              </w:rPr>
              <w:t>104</w:t>
            </w: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0000FF"/>
                <w:w w:val="86"/>
              </w:rPr>
              <w:t>106</w:t>
            </w:r>
          </w:p>
        </w:tc>
        <w:tc>
          <w:tcPr>
            <w:tcW w:w="0" w:type="dxa"/>
            <w:vAlign w:val="bottom"/>
          </w:tcPr>
          <w:p>
            <w:pPr>
              <w:spacing w:after="0"/>
              <w:rPr>
                <w:sz w:val="1"/>
                <w:szCs w:val="1"/>
                <w:color w:val="auto"/>
              </w:rPr>
            </w:pPr>
          </w:p>
        </w:tc>
      </w:tr>
      <w:tr>
        <w:trPr>
          <w:trHeight w:val="237"/>
        </w:trPr>
        <w:tc>
          <w:tcPr>
            <w:tcW w:w="340" w:type="dxa"/>
            <w:vAlign w:val="bottom"/>
            <w:gridSpan w:val="2"/>
            <w:vMerge w:val="continue"/>
          </w:tcPr>
          <w:p>
            <w:pPr>
              <w:spacing w:after="0"/>
              <w:rPr>
                <w:sz w:val="20"/>
                <w:szCs w:val="20"/>
                <w:color w:val="auto"/>
              </w:rPr>
            </w:pPr>
          </w:p>
        </w:tc>
        <w:tc>
          <w:tcPr>
            <w:tcW w:w="820" w:type="dxa"/>
            <w:vAlign w:val="bottom"/>
          </w:tcPr>
          <w:p>
            <w:pPr>
              <w:spacing w:after="0"/>
              <w:rPr>
                <w:sz w:val="20"/>
                <w:szCs w:val="20"/>
                <w:color w:val="auto"/>
              </w:rPr>
            </w:pPr>
          </w:p>
        </w:tc>
        <w:tc>
          <w:tcPr>
            <w:tcW w:w="7000" w:type="dxa"/>
            <w:vAlign w:val="bottom"/>
            <w:gridSpan w:val="2"/>
            <w:vMerge w:val="continue"/>
          </w:tcPr>
          <w:p>
            <w:pPr>
              <w:spacing w:after="0"/>
              <w:rPr>
                <w:sz w:val="20"/>
                <w:szCs w:val="20"/>
                <w:color w:val="auto"/>
              </w:rPr>
            </w:pPr>
          </w:p>
        </w:tc>
        <w:tc>
          <w:tcPr>
            <w:tcW w:w="2780" w:type="dxa"/>
            <w:vAlign w:val="bottom"/>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160" w:type="dxa"/>
            <w:vAlign w:val="bottom"/>
            <w:gridSpan w:val="3"/>
            <w:vMerge w:val="restart"/>
            <w:shd w:val="clear" w:color="auto" w:fill="CCEEFF"/>
          </w:tcPr>
          <w:p>
            <w:pPr>
              <w:ind w:left="40"/>
              <w:spacing w:after="0"/>
              <w:rPr>
                <w:sz w:val="20"/>
                <w:szCs w:val="20"/>
                <w:color w:val="auto"/>
              </w:rPr>
            </w:pPr>
            <w:r>
              <w:rPr>
                <w:rFonts w:ascii="Arial" w:cs="Arial" w:eastAsia="Arial" w:hAnsi="Arial"/>
                <w:sz w:val="18"/>
                <w:szCs w:val="18"/>
                <w:color w:val="auto"/>
              </w:rPr>
              <w:t>9.10</w:t>
            </w:r>
          </w:p>
        </w:tc>
        <w:tc>
          <w:tcPr>
            <w:tcW w:w="7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End of Fiscal Years</w:t>
            </w:r>
          </w:p>
        </w:tc>
        <w:tc>
          <w:tcPr>
            <w:tcW w:w="2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FF0000"/>
                <w:strike w:val="1"/>
              </w:rPr>
              <w:t>105</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0000FF"/>
                <w:w w:val="86"/>
              </w:rPr>
              <w:t>106</w:t>
            </w:r>
          </w:p>
        </w:tc>
        <w:tc>
          <w:tcPr>
            <w:tcW w:w="0" w:type="dxa"/>
            <w:vAlign w:val="bottom"/>
          </w:tcPr>
          <w:p>
            <w:pPr>
              <w:spacing w:after="0"/>
              <w:rPr>
                <w:sz w:val="1"/>
                <w:szCs w:val="1"/>
                <w:color w:val="auto"/>
              </w:rPr>
            </w:pPr>
          </w:p>
        </w:tc>
      </w:tr>
      <w:tr>
        <w:trPr>
          <w:trHeight w:val="243"/>
        </w:trPr>
        <w:tc>
          <w:tcPr>
            <w:tcW w:w="1160" w:type="dxa"/>
            <w:vAlign w:val="bottom"/>
            <w:tcBorders>
              <w:top w:val="single" w:sz="8" w:color="CCEEFF"/>
              <w:bottom w:val="single" w:sz="8" w:color="CCEEFF"/>
            </w:tcBorders>
            <w:gridSpan w:val="3"/>
            <w:vMerge w:val="continue"/>
            <w:shd w:val="clear" w:color="auto" w:fill="CCEEFF"/>
          </w:tcPr>
          <w:p>
            <w:pPr>
              <w:spacing w:after="0"/>
              <w:rPr>
                <w:sz w:val="21"/>
                <w:szCs w:val="21"/>
                <w:color w:val="auto"/>
              </w:rPr>
            </w:pPr>
          </w:p>
        </w:tc>
        <w:tc>
          <w:tcPr>
            <w:tcW w:w="7000" w:type="dxa"/>
            <w:vAlign w:val="bottom"/>
            <w:tcBorders>
              <w:top w:val="single" w:sz="8" w:color="CCEEFF"/>
              <w:bottom w:val="single" w:sz="8" w:color="CCEEFF"/>
            </w:tcBorders>
            <w:gridSpan w:val="2"/>
            <w:vMerge w:val="continue"/>
            <w:shd w:val="clear" w:color="auto" w:fill="CCEEFF"/>
          </w:tcPr>
          <w:p>
            <w:pPr>
              <w:spacing w:after="0"/>
              <w:rPr>
                <w:sz w:val="21"/>
                <w:szCs w:val="21"/>
                <w:color w:val="auto"/>
              </w:rPr>
            </w:pPr>
          </w:p>
        </w:tc>
        <w:tc>
          <w:tcPr>
            <w:tcW w:w="27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40" w:type="dxa"/>
            <w:vAlign w:val="bottom"/>
            <w:gridSpan w:val="2"/>
            <w:vMerge w:val="restart"/>
          </w:tcPr>
          <w:p>
            <w:pPr>
              <w:ind w:left="40"/>
              <w:spacing w:after="0"/>
              <w:rPr>
                <w:sz w:val="20"/>
                <w:szCs w:val="20"/>
                <w:color w:val="auto"/>
              </w:rPr>
            </w:pPr>
            <w:r>
              <w:rPr>
                <w:rFonts w:ascii="Arial" w:cs="Arial" w:eastAsia="Arial" w:hAnsi="Arial"/>
                <w:sz w:val="18"/>
                <w:szCs w:val="18"/>
                <w:color w:val="auto"/>
                <w:w w:val="79"/>
              </w:rPr>
              <w:t>9.11</w:t>
            </w:r>
          </w:p>
        </w:tc>
        <w:tc>
          <w:tcPr>
            <w:tcW w:w="820" w:type="dxa"/>
            <w:vAlign w:val="bottom"/>
          </w:tcPr>
          <w:p>
            <w:pPr>
              <w:spacing w:after="0"/>
              <w:rPr>
                <w:sz w:val="17"/>
                <w:szCs w:val="17"/>
                <w:color w:val="auto"/>
              </w:rPr>
            </w:pPr>
          </w:p>
        </w:tc>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Additional Guarantors and Grantors</w:t>
            </w:r>
          </w:p>
        </w:tc>
        <w:tc>
          <w:tcPr>
            <w:tcW w:w="2780" w:type="dxa"/>
            <w:vAlign w:val="bottom"/>
          </w:tcPr>
          <w:p>
            <w:pPr>
              <w:jc w:val="right"/>
              <w:spacing w:after="0" w:line="202" w:lineRule="exact"/>
              <w:rPr>
                <w:sz w:val="20"/>
                <w:szCs w:val="20"/>
                <w:color w:val="auto"/>
              </w:rPr>
            </w:pPr>
            <w:r>
              <w:rPr>
                <w:rFonts w:ascii="Arial" w:cs="Arial" w:eastAsia="Arial" w:hAnsi="Arial"/>
                <w:sz w:val="18"/>
                <w:szCs w:val="18"/>
                <w:color w:val="FF0000"/>
                <w:strike w:val="1"/>
              </w:rPr>
              <w:t>105</w:t>
            </w: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0000FF"/>
                <w:w w:val="86"/>
              </w:rPr>
              <w:t>107</w:t>
            </w:r>
          </w:p>
        </w:tc>
        <w:tc>
          <w:tcPr>
            <w:tcW w:w="0" w:type="dxa"/>
            <w:vAlign w:val="bottom"/>
          </w:tcPr>
          <w:p>
            <w:pPr>
              <w:spacing w:after="0"/>
              <w:rPr>
                <w:sz w:val="1"/>
                <w:szCs w:val="1"/>
                <w:color w:val="auto"/>
              </w:rPr>
            </w:pPr>
          </w:p>
        </w:tc>
      </w:tr>
      <w:tr>
        <w:trPr>
          <w:trHeight w:val="237"/>
        </w:trPr>
        <w:tc>
          <w:tcPr>
            <w:tcW w:w="340" w:type="dxa"/>
            <w:vAlign w:val="bottom"/>
            <w:gridSpan w:val="2"/>
            <w:vMerge w:val="continue"/>
          </w:tcPr>
          <w:p>
            <w:pPr>
              <w:spacing w:after="0"/>
              <w:rPr>
                <w:sz w:val="20"/>
                <w:szCs w:val="20"/>
                <w:color w:val="auto"/>
              </w:rPr>
            </w:pPr>
          </w:p>
        </w:tc>
        <w:tc>
          <w:tcPr>
            <w:tcW w:w="820" w:type="dxa"/>
            <w:vAlign w:val="bottom"/>
          </w:tcPr>
          <w:p>
            <w:pPr>
              <w:spacing w:after="0"/>
              <w:rPr>
                <w:sz w:val="20"/>
                <w:szCs w:val="20"/>
                <w:color w:val="auto"/>
              </w:rPr>
            </w:pPr>
          </w:p>
        </w:tc>
        <w:tc>
          <w:tcPr>
            <w:tcW w:w="7000" w:type="dxa"/>
            <w:vAlign w:val="bottom"/>
            <w:gridSpan w:val="2"/>
            <w:vMerge w:val="continue"/>
          </w:tcPr>
          <w:p>
            <w:pPr>
              <w:spacing w:after="0"/>
              <w:rPr>
                <w:sz w:val="20"/>
                <w:szCs w:val="20"/>
                <w:color w:val="auto"/>
              </w:rPr>
            </w:pPr>
          </w:p>
        </w:tc>
        <w:tc>
          <w:tcPr>
            <w:tcW w:w="2780" w:type="dxa"/>
            <w:vAlign w:val="bottom"/>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160" w:type="dxa"/>
            <w:vAlign w:val="bottom"/>
            <w:gridSpan w:val="3"/>
            <w:vMerge w:val="restart"/>
            <w:shd w:val="clear" w:color="auto" w:fill="CCEEFF"/>
          </w:tcPr>
          <w:p>
            <w:pPr>
              <w:ind w:left="40"/>
              <w:spacing w:after="0"/>
              <w:rPr>
                <w:sz w:val="20"/>
                <w:szCs w:val="20"/>
                <w:color w:val="auto"/>
              </w:rPr>
            </w:pPr>
            <w:r>
              <w:rPr>
                <w:rFonts w:ascii="Arial" w:cs="Arial" w:eastAsia="Arial" w:hAnsi="Arial"/>
                <w:sz w:val="18"/>
                <w:szCs w:val="18"/>
                <w:color w:val="auto"/>
              </w:rPr>
              <w:t>9.12</w:t>
            </w:r>
          </w:p>
        </w:tc>
        <w:tc>
          <w:tcPr>
            <w:tcW w:w="7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Pledge of Additional Stock and Evidence of Indebtedness</w:t>
            </w:r>
          </w:p>
        </w:tc>
        <w:tc>
          <w:tcPr>
            <w:tcW w:w="2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FF0000"/>
                <w:strike w:val="1"/>
              </w:rPr>
              <w:t>106</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0000FF"/>
                <w:w w:val="86"/>
              </w:rPr>
              <w:t>107</w:t>
            </w:r>
          </w:p>
        </w:tc>
        <w:tc>
          <w:tcPr>
            <w:tcW w:w="0" w:type="dxa"/>
            <w:vAlign w:val="bottom"/>
          </w:tcPr>
          <w:p>
            <w:pPr>
              <w:spacing w:after="0"/>
              <w:rPr>
                <w:sz w:val="1"/>
                <w:szCs w:val="1"/>
                <w:color w:val="auto"/>
              </w:rPr>
            </w:pPr>
          </w:p>
        </w:tc>
      </w:tr>
      <w:tr>
        <w:trPr>
          <w:trHeight w:val="244"/>
        </w:trPr>
        <w:tc>
          <w:tcPr>
            <w:tcW w:w="1160" w:type="dxa"/>
            <w:vAlign w:val="bottom"/>
            <w:tcBorders>
              <w:top w:val="single" w:sz="8" w:color="CCEEFF"/>
              <w:bottom w:val="single" w:sz="8" w:color="CCEEFF"/>
            </w:tcBorders>
            <w:gridSpan w:val="3"/>
            <w:vMerge w:val="continue"/>
            <w:shd w:val="clear" w:color="auto" w:fill="CCEEFF"/>
          </w:tcPr>
          <w:p>
            <w:pPr>
              <w:spacing w:after="0"/>
              <w:rPr>
                <w:sz w:val="21"/>
                <w:szCs w:val="21"/>
                <w:color w:val="auto"/>
              </w:rPr>
            </w:pPr>
          </w:p>
        </w:tc>
        <w:tc>
          <w:tcPr>
            <w:tcW w:w="7000" w:type="dxa"/>
            <w:vAlign w:val="bottom"/>
            <w:tcBorders>
              <w:top w:val="single" w:sz="8" w:color="CCEEFF"/>
              <w:bottom w:val="single" w:sz="8" w:color="CCEEFF"/>
            </w:tcBorders>
            <w:gridSpan w:val="2"/>
            <w:vMerge w:val="continue"/>
            <w:shd w:val="clear" w:color="auto" w:fill="CCEEFF"/>
          </w:tcPr>
          <w:p>
            <w:pPr>
              <w:spacing w:after="0"/>
              <w:rPr>
                <w:sz w:val="21"/>
                <w:szCs w:val="21"/>
                <w:color w:val="auto"/>
              </w:rPr>
            </w:pPr>
          </w:p>
        </w:tc>
        <w:tc>
          <w:tcPr>
            <w:tcW w:w="27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160" w:type="dxa"/>
            <w:vAlign w:val="bottom"/>
            <w:gridSpan w:val="3"/>
            <w:vMerge w:val="restart"/>
          </w:tcPr>
          <w:p>
            <w:pPr>
              <w:ind w:left="40"/>
              <w:spacing w:after="0"/>
              <w:rPr>
                <w:sz w:val="20"/>
                <w:szCs w:val="20"/>
                <w:color w:val="auto"/>
              </w:rPr>
            </w:pPr>
            <w:r>
              <w:rPr>
                <w:rFonts w:ascii="Arial" w:cs="Arial" w:eastAsia="Arial" w:hAnsi="Arial"/>
                <w:sz w:val="18"/>
                <w:szCs w:val="18"/>
                <w:color w:val="auto"/>
              </w:rPr>
              <w:t>9.13</w:t>
            </w:r>
          </w:p>
        </w:tc>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Use of Proceeds</w:t>
            </w:r>
          </w:p>
        </w:tc>
        <w:tc>
          <w:tcPr>
            <w:tcW w:w="2780" w:type="dxa"/>
            <w:vAlign w:val="bottom"/>
          </w:tcPr>
          <w:p>
            <w:pPr>
              <w:jc w:val="right"/>
              <w:spacing w:after="0" w:line="202" w:lineRule="exact"/>
              <w:rPr>
                <w:sz w:val="20"/>
                <w:szCs w:val="20"/>
                <w:color w:val="auto"/>
              </w:rPr>
            </w:pPr>
            <w:r>
              <w:rPr>
                <w:rFonts w:ascii="Arial" w:cs="Arial" w:eastAsia="Arial" w:hAnsi="Arial"/>
                <w:sz w:val="18"/>
                <w:szCs w:val="18"/>
                <w:color w:val="FF0000"/>
                <w:strike w:val="1"/>
              </w:rPr>
              <w:t>106</w:t>
            </w: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0000FF"/>
                <w:w w:val="86"/>
              </w:rPr>
              <w:t>107</w:t>
            </w:r>
          </w:p>
        </w:tc>
        <w:tc>
          <w:tcPr>
            <w:tcW w:w="0" w:type="dxa"/>
            <w:vAlign w:val="bottom"/>
          </w:tcPr>
          <w:p>
            <w:pPr>
              <w:spacing w:after="0"/>
              <w:rPr>
                <w:sz w:val="1"/>
                <w:szCs w:val="1"/>
                <w:color w:val="auto"/>
              </w:rPr>
            </w:pPr>
          </w:p>
        </w:tc>
      </w:tr>
      <w:tr>
        <w:trPr>
          <w:trHeight w:val="237"/>
        </w:trPr>
        <w:tc>
          <w:tcPr>
            <w:tcW w:w="1160" w:type="dxa"/>
            <w:vAlign w:val="bottom"/>
            <w:gridSpan w:val="3"/>
            <w:vMerge w:val="continue"/>
          </w:tcPr>
          <w:p>
            <w:pPr>
              <w:spacing w:after="0"/>
              <w:rPr>
                <w:sz w:val="20"/>
                <w:szCs w:val="20"/>
                <w:color w:val="auto"/>
              </w:rPr>
            </w:pPr>
          </w:p>
        </w:tc>
        <w:tc>
          <w:tcPr>
            <w:tcW w:w="7000" w:type="dxa"/>
            <w:vAlign w:val="bottom"/>
            <w:gridSpan w:val="2"/>
            <w:vMerge w:val="continue"/>
          </w:tcPr>
          <w:p>
            <w:pPr>
              <w:spacing w:after="0"/>
              <w:rPr>
                <w:sz w:val="20"/>
                <w:szCs w:val="20"/>
                <w:color w:val="auto"/>
              </w:rPr>
            </w:pPr>
          </w:p>
        </w:tc>
        <w:tc>
          <w:tcPr>
            <w:tcW w:w="2780" w:type="dxa"/>
            <w:vAlign w:val="bottom"/>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160" w:type="dxa"/>
            <w:vAlign w:val="bottom"/>
            <w:gridSpan w:val="3"/>
            <w:vMerge w:val="restart"/>
            <w:shd w:val="clear" w:color="auto" w:fill="CCEEFF"/>
          </w:tcPr>
          <w:p>
            <w:pPr>
              <w:ind w:left="40"/>
              <w:spacing w:after="0"/>
              <w:rPr>
                <w:sz w:val="20"/>
                <w:szCs w:val="20"/>
                <w:color w:val="auto"/>
              </w:rPr>
            </w:pPr>
            <w:r>
              <w:rPr>
                <w:rFonts w:ascii="Arial" w:cs="Arial" w:eastAsia="Arial" w:hAnsi="Arial"/>
                <w:sz w:val="18"/>
                <w:szCs w:val="18"/>
                <w:color w:val="auto"/>
              </w:rPr>
              <w:t>9.14</w:t>
            </w:r>
          </w:p>
        </w:tc>
        <w:tc>
          <w:tcPr>
            <w:tcW w:w="7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Further Assurances</w:t>
            </w:r>
          </w:p>
        </w:tc>
        <w:tc>
          <w:tcPr>
            <w:tcW w:w="2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FF0000"/>
                <w:strike w:val="1"/>
              </w:rPr>
              <w:t>106</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0000FF"/>
                <w:w w:val="86"/>
              </w:rPr>
              <w:t>107</w:t>
            </w:r>
          </w:p>
        </w:tc>
        <w:tc>
          <w:tcPr>
            <w:tcW w:w="0" w:type="dxa"/>
            <w:vAlign w:val="bottom"/>
          </w:tcPr>
          <w:p>
            <w:pPr>
              <w:spacing w:after="0"/>
              <w:rPr>
                <w:sz w:val="1"/>
                <w:szCs w:val="1"/>
                <w:color w:val="auto"/>
              </w:rPr>
            </w:pPr>
          </w:p>
        </w:tc>
      </w:tr>
      <w:tr>
        <w:trPr>
          <w:trHeight w:val="243"/>
        </w:trPr>
        <w:tc>
          <w:tcPr>
            <w:tcW w:w="1160" w:type="dxa"/>
            <w:vAlign w:val="bottom"/>
            <w:tcBorders>
              <w:top w:val="single" w:sz="8" w:color="CCEEFF"/>
              <w:bottom w:val="single" w:sz="8" w:color="CCEEFF"/>
            </w:tcBorders>
            <w:gridSpan w:val="3"/>
            <w:vMerge w:val="continue"/>
            <w:shd w:val="clear" w:color="auto" w:fill="CCEEFF"/>
          </w:tcPr>
          <w:p>
            <w:pPr>
              <w:spacing w:after="0"/>
              <w:rPr>
                <w:sz w:val="21"/>
                <w:szCs w:val="21"/>
                <w:color w:val="auto"/>
              </w:rPr>
            </w:pPr>
          </w:p>
        </w:tc>
        <w:tc>
          <w:tcPr>
            <w:tcW w:w="7000" w:type="dxa"/>
            <w:vAlign w:val="bottom"/>
            <w:tcBorders>
              <w:top w:val="single" w:sz="8" w:color="CCEEFF"/>
              <w:bottom w:val="single" w:sz="8" w:color="CCEEFF"/>
            </w:tcBorders>
            <w:gridSpan w:val="2"/>
            <w:vMerge w:val="continue"/>
            <w:shd w:val="clear" w:color="auto" w:fill="CCEEFF"/>
          </w:tcPr>
          <w:p>
            <w:pPr>
              <w:spacing w:after="0"/>
              <w:rPr>
                <w:sz w:val="21"/>
                <w:szCs w:val="21"/>
                <w:color w:val="auto"/>
              </w:rPr>
            </w:pPr>
          </w:p>
        </w:tc>
        <w:tc>
          <w:tcPr>
            <w:tcW w:w="27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160" w:type="dxa"/>
            <w:vAlign w:val="bottom"/>
            <w:gridSpan w:val="3"/>
            <w:vMerge w:val="restart"/>
          </w:tcPr>
          <w:p>
            <w:pPr>
              <w:ind w:left="40"/>
              <w:spacing w:after="0"/>
              <w:rPr>
                <w:sz w:val="20"/>
                <w:szCs w:val="20"/>
                <w:color w:val="auto"/>
              </w:rPr>
            </w:pPr>
            <w:r>
              <w:rPr>
                <w:rFonts w:ascii="Arial" w:cs="Arial" w:eastAsia="Arial" w:hAnsi="Arial"/>
                <w:sz w:val="18"/>
                <w:szCs w:val="18"/>
                <w:color w:val="auto"/>
              </w:rPr>
              <w:t>9.15</w:t>
            </w:r>
          </w:p>
        </w:tc>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Lines of Business</w:t>
            </w:r>
          </w:p>
        </w:tc>
        <w:tc>
          <w:tcPr>
            <w:tcW w:w="2780" w:type="dxa"/>
            <w:vAlign w:val="bottom"/>
          </w:tcPr>
          <w:p>
            <w:pPr>
              <w:jc w:val="right"/>
              <w:spacing w:after="0" w:line="202" w:lineRule="exact"/>
              <w:rPr>
                <w:sz w:val="20"/>
                <w:szCs w:val="20"/>
                <w:color w:val="auto"/>
              </w:rPr>
            </w:pPr>
            <w:r>
              <w:rPr>
                <w:rFonts w:ascii="Arial" w:cs="Arial" w:eastAsia="Arial" w:hAnsi="Arial"/>
                <w:sz w:val="18"/>
                <w:szCs w:val="18"/>
                <w:color w:val="FF0000"/>
                <w:strike w:val="1"/>
              </w:rPr>
              <w:t>107</w:t>
            </w: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0000FF"/>
                <w:w w:val="86"/>
              </w:rPr>
              <w:t>109</w:t>
            </w:r>
          </w:p>
        </w:tc>
        <w:tc>
          <w:tcPr>
            <w:tcW w:w="0" w:type="dxa"/>
            <w:vAlign w:val="bottom"/>
          </w:tcPr>
          <w:p>
            <w:pPr>
              <w:spacing w:after="0"/>
              <w:rPr>
                <w:sz w:val="1"/>
                <w:szCs w:val="1"/>
                <w:color w:val="auto"/>
              </w:rPr>
            </w:pPr>
          </w:p>
        </w:tc>
      </w:tr>
      <w:tr>
        <w:trPr>
          <w:trHeight w:val="237"/>
        </w:trPr>
        <w:tc>
          <w:tcPr>
            <w:tcW w:w="1160" w:type="dxa"/>
            <w:vAlign w:val="bottom"/>
            <w:gridSpan w:val="3"/>
            <w:vMerge w:val="continue"/>
          </w:tcPr>
          <w:p>
            <w:pPr>
              <w:spacing w:after="0"/>
              <w:rPr>
                <w:sz w:val="20"/>
                <w:szCs w:val="20"/>
                <w:color w:val="auto"/>
              </w:rPr>
            </w:pPr>
          </w:p>
        </w:tc>
        <w:tc>
          <w:tcPr>
            <w:tcW w:w="7000" w:type="dxa"/>
            <w:vAlign w:val="bottom"/>
            <w:gridSpan w:val="2"/>
            <w:vMerge w:val="continue"/>
          </w:tcPr>
          <w:p>
            <w:pPr>
              <w:spacing w:after="0"/>
              <w:rPr>
                <w:sz w:val="20"/>
                <w:szCs w:val="20"/>
                <w:color w:val="auto"/>
              </w:rPr>
            </w:pPr>
          </w:p>
        </w:tc>
        <w:tc>
          <w:tcPr>
            <w:tcW w:w="2780" w:type="dxa"/>
            <w:vAlign w:val="bottom"/>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Section 10</w:t>
            </w:r>
          </w:p>
        </w:tc>
        <w:tc>
          <w:tcPr>
            <w:tcW w:w="7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Negative Covenants</w:t>
            </w:r>
          </w:p>
        </w:tc>
        <w:tc>
          <w:tcPr>
            <w:tcW w:w="2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FF0000"/>
                <w:strike w:val="1"/>
              </w:rPr>
              <w:t>107</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0000FF"/>
                <w:w w:val="86"/>
              </w:rPr>
              <w:t>109</w:t>
            </w:r>
          </w:p>
        </w:tc>
        <w:tc>
          <w:tcPr>
            <w:tcW w:w="0" w:type="dxa"/>
            <w:vAlign w:val="bottom"/>
          </w:tcPr>
          <w:p>
            <w:pPr>
              <w:spacing w:after="0"/>
              <w:rPr>
                <w:sz w:val="1"/>
                <w:szCs w:val="1"/>
                <w:color w:val="auto"/>
              </w:rPr>
            </w:pPr>
          </w:p>
        </w:tc>
      </w:tr>
      <w:tr>
        <w:trPr>
          <w:trHeight w:val="243"/>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CCEEFF"/>
              <w:bottom w:val="single" w:sz="8" w:color="CCEEFF"/>
            </w:tcBorders>
            <w:gridSpan w:val="2"/>
            <w:vMerge w:val="continue"/>
            <w:shd w:val="clear" w:color="auto" w:fill="CCEEFF"/>
          </w:tcPr>
          <w:p>
            <w:pPr>
              <w:spacing w:after="0"/>
              <w:rPr>
                <w:sz w:val="21"/>
                <w:szCs w:val="21"/>
                <w:color w:val="auto"/>
              </w:rPr>
            </w:pPr>
          </w:p>
        </w:tc>
        <w:tc>
          <w:tcPr>
            <w:tcW w:w="7000" w:type="dxa"/>
            <w:vAlign w:val="bottom"/>
            <w:tcBorders>
              <w:top w:val="single" w:sz="8" w:color="CCEEFF"/>
              <w:bottom w:val="single" w:sz="8" w:color="CCEEFF"/>
            </w:tcBorders>
            <w:gridSpan w:val="2"/>
            <w:vMerge w:val="continue"/>
            <w:shd w:val="clear" w:color="auto" w:fill="CCEEFF"/>
          </w:tcPr>
          <w:p>
            <w:pPr>
              <w:spacing w:after="0"/>
              <w:rPr>
                <w:sz w:val="21"/>
                <w:szCs w:val="21"/>
                <w:color w:val="auto"/>
              </w:rPr>
            </w:pPr>
          </w:p>
        </w:tc>
        <w:tc>
          <w:tcPr>
            <w:tcW w:w="27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160" w:type="dxa"/>
            <w:vAlign w:val="bottom"/>
            <w:gridSpan w:val="3"/>
            <w:vMerge w:val="restart"/>
          </w:tcPr>
          <w:p>
            <w:pPr>
              <w:ind w:left="40"/>
              <w:spacing w:after="0"/>
              <w:rPr>
                <w:sz w:val="20"/>
                <w:szCs w:val="20"/>
                <w:color w:val="auto"/>
              </w:rPr>
            </w:pPr>
            <w:r>
              <w:rPr>
                <w:rFonts w:ascii="Arial" w:cs="Arial" w:eastAsia="Arial" w:hAnsi="Arial"/>
                <w:sz w:val="18"/>
                <w:szCs w:val="18"/>
                <w:color w:val="auto"/>
              </w:rPr>
              <w:t>10.1</w:t>
            </w:r>
          </w:p>
        </w:tc>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Limitation on Indebtedness</w:t>
            </w:r>
          </w:p>
        </w:tc>
        <w:tc>
          <w:tcPr>
            <w:tcW w:w="2780" w:type="dxa"/>
            <w:vAlign w:val="bottom"/>
          </w:tcPr>
          <w:p>
            <w:pPr>
              <w:jc w:val="right"/>
              <w:spacing w:after="0" w:line="202" w:lineRule="exact"/>
              <w:rPr>
                <w:sz w:val="20"/>
                <w:szCs w:val="20"/>
                <w:color w:val="auto"/>
              </w:rPr>
            </w:pPr>
            <w:r>
              <w:rPr>
                <w:rFonts w:ascii="Arial" w:cs="Arial" w:eastAsia="Arial" w:hAnsi="Arial"/>
                <w:sz w:val="18"/>
                <w:szCs w:val="18"/>
                <w:color w:val="FF0000"/>
                <w:strike w:val="1"/>
              </w:rPr>
              <w:t>108</w:t>
            </w: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0000FF"/>
                <w:w w:val="86"/>
              </w:rPr>
              <w:t>109</w:t>
            </w:r>
          </w:p>
        </w:tc>
        <w:tc>
          <w:tcPr>
            <w:tcW w:w="0" w:type="dxa"/>
            <w:vAlign w:val="bottom"/>
          </w:tcPr>
          <w:p>
            <w:pPr>
              <w:spacing w:after="0"/>
              <w:rPr>
                <w:sz w:val="1"/>
                <w:szCs w:val="1"/>
                <w:color w:val="auto"/>
              </w:rPr>
            </w:pPr>
          </w:p>
        </w:tc>
      </w:tr>
      <w:tr>
        <w:trPr>
          <w:trHeight w:val="237"/>
        </w:trPr>
        <w:tc>
          <w:tcPr>
            <w:tcW w:w="1160" w:type="dxa"/>
            <w:vAlign w:val="bottom"/>
            <w:gridSpan w:val="3"/>
            <w:vMerge w:val="continue"/>
          </w:tcPr>
          <w:p>
            <w:pPr>
              <w:spacing w:after="0"/>
              <w:rPr>
                <w:sz w:val="20"/>
                <w:szCs w:val="20"/>
                <w:color w:val="auto"/>
              </w:rPr>
            </w:pPr>
          </w:p>
        </w:tc>
        <w:tc>
          <w:tcPr>
            <w:tcW w:w="7000" w:type="dxa"/>
            <w:vAlign w:val="bottom"/>
            <w:gridSpan w:val="2"/>
            <w:vMerge w:val="continue"/>
          </w:tcPr>
          <w:p>
            <w:pPr>
              <w:spacing w:after="0"/>
              <w:rPr>
                <w:sz w:val="20"/>
                <w:szCs w:val="20"/>
                <w:color w:val="auto"/>
              </w:rPr>
            </w:pPr>
          </w:p>
        </w:tc>
        <w:tc>
          <w:tcPr>
            <w:tcW w:w="2780" w:type="dxa"/>
            <w:vAlign w:val="bottom"/>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160" w:type="dxa"/>
            <w:vAlign w:val="bottom"/>
            <w:gridSpan w:val="3"/>
            <w:vMerge w:val="restart"/>
            <w:shd w:val="clear" w:color="auto" w:fill="CCEEFF"/>
          </w:tcPr>
          <w:p>
            <w:pPr>
              <w:ind w:left="40"/>
              <w:spacing w:after="0"/>
              <w:rPr>
                <w:sz w:val="20"/>
                <w:szCs w:val="20"/>
                <w:color w:val="auto"/>
              </w:rPr>
            </w:pPr>
            <w:r>
              <w:rPr>
                <w:rFonts w:ascii="Arial" w:cs="Arial" w:eastAsia="Arial" w:hAnsi="Arial"/>
                <w:sz w:val="18"/>
                <w:szCs w:val="18"/>
                <w:color w:val="auto"/>
              </w:rPr>
              <w:t>10.2</w:t>
            </w:r>
          </w:p>
        </w:tc>
        <w:tc>
          <w:tcPr>
            <w:tcW w:w="7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Limitation on Liens</w:t>
            </w:r>
          </w:p>
        </w:tc>
        <w:tc>
          <w:tcPr>
            <w:tcW w:w="2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FF0000"/>
                <w:strike w:val="1"/>
              </w:rPr>
              <w:t>112</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0000FF"/>
                <w:w w:val="86"/>
              </w:rPr>
              <w:t>113</w:t>
            </w:r>
          </w:p>
        </w:tc>
        <w:tc>
          <w:tcPr>
            <w:tcW w:w="0" w:type="dxa"/>
            <w:vAlign w:val="bottom"/>
          </w:tcPr>
          <w:p>
            <w:pPr>
              <w:spacing w:after="0"/>
              <w:rPr>
                <w:sz w:val="1"/>
                <w:szCs w:val="1"/>
                <w:color w:val="auto"/>
              </w:rPr>
            </w:pPr>
          </w:p>
        </w:tc>
      </w:tr>
      <w:tr>
        <w:trPr>
          <w:trHeight w:val="244"/>
        </w:trPr>
        <w:tc>
          <w:tcPr>
            <w:tcW w:w="1160" w:type="dxa"/>
            <w:vAlign w:val="bottom"/>
            <w:tcBorders>
              <w:top w:val="single" w:sz="8" w:color="CCEEFF"/>
              <w:bottom w:val="single" w:sz="8" w:color="CCEEFF"/>
            </w:tcBorders>
            <w:gridSpan w:val="3"/>
            <w:vMerge w:val="continue"/>
            <w:shd w:val="clear" w:color="auto" w:fill="CCEEFF"/>
          </w:tcPr>
          <w:p>
            <w:pPr>
              <w:spacing w:after="0"/>
              <w:rPr>
                <w:sz w:val="21"/>
                <w:szCs w:val="21"/>
                <w:color w:val="auto"/>
              </w:rPr>
            </w:pPr>
          </w:p>
        </w:tc>
        <w:tc>
          <w:tcPr>
            <w:tcW w:w="7000" w:type="dxa"/>
            <w:vAlign w:val="bottom"/>
            <w:tcBorders>
              <w:top w:val="single" w:sz="8" w:color="CCEEFF"/>
              <w:bottom w:val="single" w:sz="8" w:color="CCEEFF"/>
            </w:tcBorders>
            <w:gridSpan w:val="2"/>
            <w:vMerge w:val="continue"/>
            <w:shd w:val="clear" w:color="auto" w:fill="CCEEFF"/>
          </w:tcPr>
          <w:p>
            <w:pPr>
              <w:spacing w:after="0"/>
              <w:rPr>
                <w:sz w:val="21"/>
                <w:szCs w:val="21"/>
                <w:color w:val="auto"/>
              </w:rPr>
            </w:pPr>
          </w:p>
        </w:tc>
        <w:tc>
          <w:tcPr>
            <w:tcW w:w="27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10.3</w:t>
            </w:r>
          </w:p>
        </w:tc>
        <w:tc>
          <w:tcPr>
            <w:tcW w:w="7000" w:type="dxa"/>
            <w:vAlign w:val="bottom"/>
            <w:gridSpan w:val="2"/>
          </w:tcPr>
          <w:p>
            <w:pPr>
              <w:spacing w:after="0"/>
              <w:rPr>
                <w:sz w:val="20"/>
                <w:szCs w:val="20"/>
                <w:color w:val="auto"/>
              </w:rPr>
            </w:pPr>
            <w:r>
              <w:rPr>
                <w:rFonts w:ascii="Arial" w:cs="Arial" w:eastAsia="Arial" w:hAnsi="Arial"/>
                <w:sz w:val="18"/>
                <w:szCs w:val="18"/>
                <w:color w:val="auto"/>
              </w:rPr>
              <w:t>Limitation on Fundamental Changes</w:t>
            </w:r>
          </w:p>
        </w:tc>
        <w:tc>
          <w:tcPr>
            <w:tcW w:w="3080" w:type="dxa"/>
            <w:vAlign w:val="bottom"/>
            <w:gridSpan w:val="3"/>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10.4</w:t>
            </w: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Limitation on Sale of Assets</w:t>
            </w:r>
          </w:p>
        </w:tc>
        <w:tc>
          <w:tcPr>
            <w:tcW w:w="3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10.5</w:t>
            </w:r>
          </w:p>
        </w:tc>
        <w:tc>
          <w:tcPr>
            <w:tcW w:w="7000" w:type="dxa"/>
            <w:vAlign w:val="bottom"/>
            <w:gridSpan w:val="2"/>
          </w:tcPr>
          <w:p>
            <w:pPr>
              <w:spacing w:after="0"/>
              <w:rPr>
                <w:sz w:val="20"/>
                <w:szCs w:val="20"/>
                <w:color w:val="auto"/>
              </w:rPr>
            </w:pPr>
            <w:r>
              <w:rPr>
                <w:rFonts w:ascii="Arial" w:cs="Arial" w:eastAsia="Arial" w:hAnsi="Arial"/>
                <w:sz w:val="18"/>
                <w:szCs w:val="18"/>
                <w:color w:val="auto"/>
              </w:rPr>
              <w:t>Limitation on Restricted Payments</w:t>
            </w:r>
          </w:p>
        </w:tc>
        <w:tc>
          <w:tcPr>
            <w:tcW w:w="3080" w:type="dxa"/>
            <w:vAlign w:val="bottom"/>
            <w:gridSpan w:val="3"/>
          </w:tcPr>
          <w:p>
            <w:pPr>
              <w:jc w:val="right"/>
              <w:ind w:right="2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10.6</w:t>
            </w: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Limitation on Subsidiary Distributions</w:t>
            </w:r>
          </w:p>
        </w:tc>
        <w:tc>
          <w:tcPr>
            <w:tcW w:w="3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43"/>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10.7</w:t>
            </w:r>
          </w:p>
        </w:tc>
        <w:tc>
          <w:tcPr>
            <w:tcW w:w="7000" w:type="dxa"/>
            <w:vAlign w:val="bottom"/>
            <w:gridSpan w:val="2"/>
          </w:tcPr>
          <w:p>
            <w:pPr>
              <w:spacing w:after="0"/>
              <w:rPr>
                <w:sz w:val="20"/>
                <w:szCs w:val="20"/>
                <w:color w:val="auto"/>
              </w:rPr>
            </w:pPr>
            <w:r>
              <w:rPr>
                <w:rFonts w:ascii="Arial" w:cs="Arial" w:eastAsia="Arial" w:hAnsi="Arial"/>
                <w:sz w:val="18"/>
                <w:szCs w:val="18"/>
                <w:color w:val="auto"/>
              </w:rPr>
              <w:t>Financial Covenants</w:t>
            </w:r>
          </w:p>
        </w:tc>
        <w:tc>
          <w:tcPr>
            <w:tcW w:w="3080" w:type="dxa"/>
            <w:vAlign w:val="bottom"/>
            <w:gridSpan w:val="3"/>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Section 11</w:t>
            </w: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Events of Default</w:t>
            </w:r>
          </w:p>
        </w:tc>
        <w:tc>
          <w:tcPr>
            <w:tcW w:w="3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340" w:type="dxa"/>
            <w:vAlign w:val="bottom"/>
            <w:gridSpan w:val="2"/>
          </w:tcPr>
          <w:p>
            <w:pPr>
              <w:ind w:left="40"/>
              <w:spacing w:after="0"/>
              <w:rPr>
                <w:sz w:val="20"/>
                <w:szCs w:val="20"/>
                <w:color w:val="auto"/>
              </w:rPr>
            </w:pPr>
            <w:r>
              <w:rPr>
                <w:rFonts w:ascii="Arial" w:cs="Arial" w:eastAsia="Arial" w:hAnsi="Arial"/>
                <w:sz w:val="18"/>
                <w:szCs w:val="18"/>
                <w:color w:val="auto"/>
                <w:w w:val="79"/>
              </w:rPr>
              <w:t>11.1</w:t>
            </w:r>
          </w:p>
        </w:tc>
        <w:tc>
          <w:tcPr>
            <w:tcW w:w="8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Payments</w:t>
            </w:r>
          </w:p>
        </w:tc>
        <w:tc>
          <w:tcPr>
            <w:tcW w:w="3080" w:type="dxa"/>
            <w:vAlign w:val="bottom"/>
            <w:gridSpan w:val="3"/>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79"/>
              </w:rPr>
              <w:t>11.2</w:t>
            </w:r>
          </w:p>
        </w:tc>
        <w:tc>
          <w:tcPr>
            <w:tcW w:w="8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Representations, Etc</w:t>
            </w:r>
          </w:p>
        </w:tc>
        <w:tc>
          <w:tcPr>
            <w:tcW w:w="3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340" w:type="dxa"/>
            <w:vAlign w:val="bottom"/>
            <w:gridSpan w:val="2"/>
          </w:tcPr>
          <w:p>
            <w:pPr>
              <w:ind w:left="40"/>
              <w:spacing w:after="0"/>
              <w:rPr>
                <w:sz w:val="20"/>
                <w:szCs w:val="20"/>
                <w:color w:val="auto"/>
              </w:rPr>
            </w:pPr>
            <w:r>
              <w:rPr>
                <w:rFonts w:ascii="Arial" w:cs="Arial" w:eastAsia="Arial" w:hAnsi="Arial"/>
                <w:sz w:val="18"/>
                <w:szCs w:val="18"/>
                <w:color w:val="auto"/>
                <w:w w:val="79"/>
              </w:rPr>
              <w:t>11.3</w:t>
            </w:r>
          </w:p>
        </w:tc>
        <w:tc>
          <w:tcPr>
            <w:tcW w:w="8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Covenants</w:t>
            </w:r>
          </w:p>
        </w:tc>
        <w:tc>
          <w:tcPr>
            <w:tcW w:w="3080" w:type="dxa"/>
            <w:vAlign w:val="bottom"/>
            <w:gridSpan w:val="3"/>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79"/>
              </w:rPr>
              <w:t>11.4</w:t>
            </w:r>
          </w:p>
        </w:tc>
        <w:tc>
          <w:tcPr>
            <w:tcW w:w="8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Default Under Other Agreements</w:t>
            </w:r>
          </w:p>
        </w:tc>
        <w:tc>
          <w:tcPr>
            <w:tcW w:w="3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340" w:type="dxa"/>
            <w:vAlign w:val="bottom"/>
            <w:gridSpan w:val="2"/>
          </w:tcPr>
          <w:p>
            <w:pPr>
              <w:ind w:left="40"/>
              <w:spacing w:after="0"/>
              <w:rPr>
                <w:sz w:val="20"/>
                <w:szCs w:val="20"/>
                <w:color w:val="auto"/>
              </w:rPr>
            </w:pPr>
            <w:r>
              <w:rPr>
                <w:rFonts w:ascii="Arial" w:cs="Arial" w:eastAsia="Arial" w:hAnsi="Arial"/>
                <w:sz w:val="18"/>
                <w:szCs w:val="18"/>
                <w:color w:val="auto"/>
                <w:w w:val="79"/>
              </w:rPr>
              <w:t>11.5</w:t>
            </w:r>
          </w:p>
        </w:tc>
        <w:tc>
          <w:tcPr>
            <w:tcW w:w="8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Bankruptcy, Etc</w:t>
            </w:r>
          </w:p>
        </w:tc>
        <w:tc>
          <w:tcPr>
            <w:tcW w:w="3080" w:type="dxa"/>
            <w:vAlign w:val="bottom"/>
            <w:gridSpan w:val="3"/>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79"/>
              </w:rPr>
              <w:t>11.6</w:t>
            </w:r>
          </w:p>
        </w:tc>
        <w:tc>
          <w:tcPr>
            <w:tcW w:w="820" w:type="dxa"/>
            <w:vAlign w:val="bottom"/>
            <w:tcBorders>
              <w:bottom w:val="single" w:sz="8" w:color="CCEEFF"/>
            </w:tcBorders>
            <w:shd w:val="clear" w:color="auto" w:fill="CCEEFF"/>
          </w:tcPr>
          <w:p>
            <w:pPr>
              <w:spacing w:after="0"/>
              <w:rPr>
                <w:sz w:val="21"/>
                <w:szCs w:val="21"/>
                <w:color w:val="auto"/>
              </w:rPr>
            </w:pP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ERISA</w:t>
            </w:r>
          </w:p>
        </w:tc>
        <w:tc>
          <w:tcPr>
            <w:tcW w:w="3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3"/>
        </w:trPr>
        <w:tc>
          <w:tcPr>
            <w:tcW w:w="340" w:type="dxa"/>
            <w:vAlign w:val="bottom"/>
            <w:gridSpan w:val="2"/>
            <w:vMerge w:val="restart"/>
          </w:tcPr>
          <w:p>
            <w:pPr>
              <w:ind w:left="40"/>
              <w:spacing w:after="0"/>
              <w:rPr>
                <w:sz w:val="20"/>
                <w:szCs w:val="20"/>
                <w:color w:val="auto"/>
              </w:rPr>
            </w:pPr>
            <w:r>
              <w:rPr>
                <w:rFonts w:ascii="Arial" w:cs="Arial" w:eastAsia="Arial" w:hAnsi="Arial"/>
                <w:sz w:val="18"/>
                <w:szCs w:val="18"/>
                <w:color w:val="auto"/>
                <w:w w:val="79"/>
              </w:rPr>
              <w:t>11.7</w:t>
            </w:r>
          </w:p>
        </w:tc>
        <w:tc>
          <w:tcPr>
            <w:tcW w:w="820" w:type="dxa"/>
            <w:vAlign w:val="bottom"/>
          </w:tcPr>
          <w:p>
            <w:pPr>
              <w:spacing w:after="0"/>
              <w:rPr>
                <w:sz w:val="17"/>
                <w:szCs w:val="17"/>
                <w:color w:val="auto"/>
              </w:rPr>
            </w:pPr>
          </w:p>
        </w:tc>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Guarantee</w:t>
            </w:r>
          </w:p>
        </w:tc>
        <w:tc>
          <w:tcPr>
            <w:tcW w:w="2780" w:type="dxa"/>
            <w:vAlign w:val="bottom"/>
          </w:tcPr>
          <w:p>
            <w:pPr>
              <w:jc w:val="right"/>
              <w:spacing w:after="0" w:line="202" w:lineRule="exact"/>
              <w:rPr>
                <w:sz w:val="20"/>
                <w:szCs w:val="20"/>
                <w:color w:val="auto"/>
              </w:rPr>
            </w:pPr>
            <w:r>
              <w:rPr>
                <w:rFonts w:ascii="Arial" w:cs="Arial" w:eastAsia="Arial" w:hAnsi="Arial"/>
                <w:sz w:val="18"/>
                <w:szCs w:val="18"/>
                <w:color w:val="FF0000"/>
                <w:strike w:val="1"/>
              </w:rPr>
              <w:t>124</w:t>
            </w: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0000FF"/>
                <w:w w:val="86"/>
              </w:rPr>
              <w:t>125</w:t>
            </w:r>
          </w:p>
        </w:tc>
        <w:tc>
          <w:tcPr>
            <w:tcW w:w="0" w:type="dxa"/>
            <w:vAlign w:val="bottom"/>
          </w:tcPr>
          <w:p>
            <w:pPr>
              <w:spacing w:after="0"/>
              <w:rPr>
                <w:sz w:val="1"/>
                <w:szCs w:val="1"/>
                <w:color w:val="auto"/>
              </w:rPr>
            </w:pPr>
          </w:p>
        </w:tc>
      </w:tr>
      <w:tr>
        <w:trPr>
          <w:trHeight w:val="236"/>
        </w:trPr>
        <w:tc>
          <w:tcPr>
            <w:tcW w:w="340" w:type="dxa"/>
            <w:vAlign w:val="bottom"/>
            <w:gridSpan w:val="2"/>
            <w:vMerge w:val="continue"/>
          </w:tcPr>
          <w:p>
            <w:pPr>
              <w:spacing w:after="0"/>
              <w:rPr>
                <w:sz w:val="20"/>
                <w:szCs w:val="20"/>
                <w:color w:val="auto"/>
              </w:rPr>
            </w:pPr>
          </w:p>
        </w:tc>
        <w:tc>
          <w:tcPr>
            <w:tcW w:w="820" w:type="dxa"/>
            <w:vAlign w:val="bottom"/>
          </w:tcPr>
          <w:p>
            <w:pPr>
              <w:spacing w:after="0"/>
              <w:rPr>
                <w:sz w:val="20"/>
                <w:szCs w:val="20"/>
                <w:color w:val="auto"/>
              </w:rPr>
            </w:pPr>
          </w:p>
        </w:tc>
        <w:tc>
          <w:tcPr>
            <w:tcW w:w="7000" w:type="dxa"/>
            <w:vAlign w:val="bottom"/>
            <w:gridSpan w:val="2"/>
            <w:vMerge w:val="continue"/>
          </w:tcPr>
          <w:p>
            <w:pPr>
              <w:spacing w:after="0"/>
              <w:rPr>
                <w:sz w:val="20"/>
                <w:szCs w:val="20"/>
                <w:color w:val="auto"/>
              </w:rPr>
            </w:pPr>
          </w:p>
        </w:tc>
        <w:tc>
          <w:tcPr>
            <w:tcW w:w="2780" w:type="dxa"/>
            <w:vAlign w:val="bottom"/>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gridSpan w:val="2"/>
            <w:vMerge w:val="restart"/>
            <w:shd w:val="clear" w:color="auto" w:fill="CCEEFF"/>
          </w:tcPr>
          <w:p>
            <w:pPr>
              <w:ind w:left="40"/>
              <w:spacing w:after="0"/>
              <w:rPr>
                <w:sz w:val="20"/>
                <w:szCs w:val="20"/>
                <w:color w:val="auto"/>
              </w:rPr>
            </w:pPr>
            <w:r>
              <w:rPr>
                <w:rFonts w:ascii="Arial" w:cs="Arial" w:eastAsia="Arial" w:hAnsi="Arial"/>
                <w:sz w:val="18"/>
                <w:szCs w:val="18"/>
                <w:color w:val="auto"/>
                <w:w w:val="79"/>
              </w:rPr>
              <w:t>11.8</w:t>
            </w:r>
          </w:p>
        </w:tc>
        <w:tc>
          <w:tcPr>
            <w:tcW w:w="820" w:type="dxa"/>
            <w:vAlign w:val="bottom"/>
            <w:shd w:val="clear" w:color="auto" w:fill="CCEEFF"/>
          </w:tcPr>
          <w:p>
            <w:pPr>
              <w:spacing w:after="0"/>
              <w:rPr>
                <w:sz w:val="17"/>
                <w:szCs w:val="17"/>
                <w:color w:val="auto"/>
              </w:rPr>
            </w:pPr>
          </w:p>
        </w:tc>
        <w:tc>
          <w:tcPr>
            <w:tcW w:w="7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Pledge Agreement</w:t>
            </w:r>
          </w:p>
        </w:tc>
        <w:tc>
          <w:tcPr>
            <w:tcW w:w="2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FF0000"/>
                <w:strike w:val="1"/>
              </w:rPr>
              <w:t>124</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0000FF"/>
                <w:w w:val="86"/>
              </w:rPr>
              <w:t>125</w:t>
            </w:r>
          </w:p>
        </w:tc>
        <w:tc>
          <w:tcPr>
            <w:tcW w:w="0" w:type="dxa"/>
            <w:vAlign w:val="bottom"/>
          </w:tcPr>
          <w:p>
            <w:pPr>
              <w:spacing w:after="0"/>
              <w:rPr>
                <w:sz w:val="1"/>
                <w:szCs w:val="1"/>
                <w:color w:val="auto"/>
              </w:rPr>
            </w:pPr>
          </w:p>
        </w:tc>
      </w:tr>
      <w:tr>
        <w:trPr>
          <w:trHeight w:val="243"/>
        </w:trPr>
        <w:tc>
          <w:tcPr>
            <w:tcW w:w="340" w:type="dxa"/>
            <w:vAlign w:val="bottom"/>
            <w:tcBorders>
              <w:top w:val="single" w:sz="8" w:color="CCEEFF"/>
              <w:bottom w:val="single" w:sz="8" w:color="CCEEFF"/>
            </w:tcBorders>
            <w:gridSpan w:val="2"/>
            <w:vMerge w:val="continue"/>
            <w:shd w:val="clear" w:color="auto" w:fill="CCEEFF"/>
          </w:tcPr>
          <w:p>
            <w:pPr>
              <w:spacing w:after="0"/>
              <w:rPr>
                <w:sz w:val="21"/>
                <w:szCs w:val="21"/>
                <w:color w:val="auto"/>
              </w:rPr>
            </w:pP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7000" w:type="dxa"/>
            <w:vAlign w:val="bottom"/>
            <w:tcBorders>
              <w:top w:val="single" w:sz="8" w:color="CCEEFF"/>
              <w:bottom w:val="single" w:sz="8" w:color="CCEEFF"/>
            </w:tcBorders>
            <w:gridSpan w:val="2"/>
            <w:vMerge w:val="continue"/>
            <w:shd w:val="clear" w:color="auto" w:fill="CCEEFF"/>
          </w:tcPr>
          <w:p>
            <w:pPr>
              <w:spacing w:after="0"/>
              <w:rPr>
                <w:sz w:val="21"/>
                <w:szCs w:val="21"/>
                <w:color w:val="auto"/>
              </w:rPr>
            </w:pPr>
          </w:p>
        </w:tc>
        <w:tc>
          <w:tcPr>
            <w:tcW w:w="27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gridSpan w:val="2"/>
          </w:tcPr>
          <w:p>
            <w:pPr>
              <w:ind w:left="40"/>
              <w:spacing w:after="0"/>
              <w:rPr>
                <w:sz w:val="20"/>
                <w:szCs w:val="20"/>
                <w:color w:val="auto"/>
              </w:rPr>
            </w:pPr>
            <w:r>
              <w:rPr>
                <w:rFonts w:ascii="Arial" w:cs="Arial" w:eastAsia="Arial" w:hAnsi="Arial"/>
                <w:sz w:val="18"/>
                <w:szCs w:val="18"/>
                <w:color w:val="auto"/>
                <w:w w:val="79"/>
              </w:rPr>
              <w:t>11.9</w:t>
            </w:r>
          </w:p>
        </w:tc>
        <w:tc>
          <w:tcPr>
            <w:tcW w:w="820" w:type="dxa"/>
            <w:vAlign w:val="bottom"/>
          </w:tcPr>
          <w:p>
            <w:pPr>
              <w:spacing w:after="0"/>
              <w:rPr>
                <w:sz w:val="21"/>
                <w:szCs w:val="21"/>
                <w:color w:val="auto"/>
              </w:rPr>
            </w:pPr>
          </w:p>
        </w:tc>
        <w:tc>
          <w:tcPr>
            <w:tcW w:w="7000" w:type="dxa"/>
            <w:vAlign w:val="bottom"/>
            <w:gridSpan w:val="2"/>
          </w:tcPr>
          <w:p>
            <w:pPr>
              <w:spacing w:after="0"/>
              <w:rPr>
                <w:sz w:val="20"/>
                <w:szCs w:val="20"/>
                <w:color w:val="auto"/>
              </w:rPr>
            </w:pPr>
            <w:r>
              <w:rPr>
                <w:rFonts w:ascii="Arial" w:cs="Arial" w:eastAsia="Arial" w:hAnsi="Arial"/>
                <w:sz w:val="18"/>
                <w:szCs w:val="18"/>
                <w:color w:val="auto"/>
              </w:rPr>
              <w:t>Security Agreement</w:t>
            </w:r>
          </w:p>
        </w:tc>
        <w:tc>
          <w:tcPr>
            <w:tcW w:w="3080" w:type="dxa"/>
            <w:vAlign w:val="bottom"/>
            <w:gridSpan w:val="3"/>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11.10</w:t>
            </w: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Judgments</w:t>
            </w:r>
          </w:p>
        </w:tc>
        <w:tc>
          <w:tcPr>
            <w:tcW w:w="3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1160" w:type="dxa"/>
            <w:vAlign w:val="bottom"/>
            <w:gridSpan w:val="3"/>
          </w:tcPr>
          <w:p>
            <w:pPr>
              <w:ind w:left="40"/>
              <w:spacing w:after="0"/>
              <w:rPr>
                <w:sz w:val="20"/>
                <w:szCs w:val="20"/>
                <w:color w:val="auto"/>
              </w:rPr>
            </w:pPr>
            <w:r>
              <w:rPr>
                <w:rFonts w:ascii="Arial" w:cs="Arial" w:eastAsia="Arial" w:hAnsi="Arial"/>
                <w:sz w:val="18"/>
                <w:szCs w:val="18"/>
                <w:color w:val="auto"/>
              </w:rPr>
              <w:t>11.11</w:t>
            </w:r>
          </w:p>
        </w:tc>
        <w:tc>
          <w:tcPr>
            <w:tcW w:w="7000" w:type="dxa"/>
            <w:vAlign w:val="bottom"/>
            <w:gridSpan w:val="2"/>
          </w:tcPr>
          <w:p>
            <w:pPr>
              <w:spacing w:after="0"/>
              <w:rPr>
                <w:sz w:val="20"/>
                <w:szCs w:val="20"/>
                <w:color w:val="auto"/>
              </w:rPr>
            </w:pPr>
            <w:r>
              <w:rPr>
                <w:rFonts w:ascii="Arial" w:cs="Arial" w:eastAsia="Arial" w:hAnsi="Arial"/>
                <w:sz w:val="18"/>
                <w:szCs w:val="18"/>
                <w:color w:val="auto"/>
              </w:rPr>
              <w:t>Change of Control</w:t>
            </w:r>
          </w:p>
        </w:tc>
        <w:tc>
          <w:tcPr>
            <w:tcW w:w="3080" w:type="dxa"/>
            <w:vAlign w:val="bottom"/>
            <w:gridSpan w:val="3"/>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11.12</w:t>
            </w:r>
          </w:p>
        </w:tc>
        <w:tc>
          <w:tcPr>
            <w:tcW w:w="7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Remedies Upon Event of Default</w:t>
            </w:r>
          </w:p>
        </w:tc>
        <w:tc>
          <w:tcPr>
            <w:tcW w:w="3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2"/>
        </w:trPr>
        <w:tc>
          <w:tcPr>
            <w:tcW w:w="1160" w:type="dxa"/>
            <w:vAlign w:val="bottom"/>
            <w:gridSpan w:val="3"/>
            <w:vMerge w:val="restart"/>
          </w:tcPr>
          <w:p>
            <w:pPr>
              <w:ind w:left="40"/>
              <w:spacing w:after="0"/>
              <w:rPr>
                <w:sz w:val="20"/>
                <w:szCs w:val="20"/>
                <w:color w:val="auto"/>
              </w:rPr>
            </w:pPr>
            <w:r>
              <w:rPr>
                <w:rFonts w:ascii="Arial" w:cs="Arial" w:eastAsia="Arial" w:hAnsi="Arial"/>
                <w:sz w:val="18"/>
                <w:szCs w:val="18"/>
                <w:color w:val="auto"/>
              </w:rPr>
              <w:t>11.13</w:t>
            </w:r>
          </w:p>
        </w:tc>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Application of Proceeds</w:t>
            </w:r>
          </w:p>
        </w:tc>
        <w:tc>
          <w:tcPr>
            <w:tcW w:w="2780" w:type="dxa"/>
            <w:vAlign w:val="bottom"/>
          </w:tcPr>
          <w:p>
            <w:pPr>
              <w:jc w:val="right"/>
              <w:spacing w:after="0" w:line="202" w:lineRule="exact"/>
              <w:rPr>
                <w:sz w:val="20"/>
                <w:szCs w:val="20"/>
                <w:color w:val="auto"/>
              </w:rPr>
            </w:pPr>
            <w:r>
              <w:rPr>
                <w:rFonts w:ascii="Arial" w:cs="Arial" w:eastAsia="Arial" w:hAnsi="Arial"/>
                <w:sz w:val="18"/>
                <w:szCs w:val="18"/>
                <w:color w:val="FF0000"/>
                <w:strike w:val="1"/>
              </w:rPr>
              <w:t>125</w:t>
            </w: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0000FF"/>
                <w:w w:val="86"/>
              </w:rPr>
              <w:t>126</w:t>
            </w:r>
          </w:p>
        </w:tc>
        <w:tc>
          <w:tcPr>
            <w:tcW w:w="0" w:type="dxa"/>
            <w:vAlign w:val="bottom"/>
          </w:tcPr>
          <w:p>
            <w:pPr>
              <w:spacing w:after="0"/>
              <w:rPr>
                <w:sz w:val="1"/>
                <w:szCs w:val="1"/>
                <w:color w:val="auto"/>
              </w:rPr>
            </w:pPr>
          </w:p>
        </w:tc>
      </w:tr>
      <w:tr>
        <w:trPr>
          <w:trHeight w:val="236"/>
        </w:trPr>
        <w:tc>
          <w:tcPr>
            <w:tcW w:w="1160" w:type="dxa"/>
            <w:vAlign w:val="bottom"/>
            <w:gridSpan w:val="3"/>
            <w:vMerge w:val="continue"/>
          </w:tcPr>
          <w:p>
            <w:pPr>
              <w:spacing w:after="0"/>
              <w:rPr>
                <w:sz w:val="20"/>
                <w:szCs w:val="20"/>
                <w:color w:val="auto"/>
              </w:rPr>
            </w:pPr>
          </w:p>
        </w:tc>
        <w:tc>
          <w:tcPr>
            <w:tcW w:w="7000" w:type="dxa"/>
            <w:vAlign w:val="bottom"/>
            <w:gridSpan w:val="2"/>
            <w:vMerge w:val="continue"/>
          </w:tcPr>
          <w:p>
            <w:pPr>
              <w:spacing w:after="0"/>
              <w:rPr>
                <w:sz w:val="20"/>
                <w:szCs w:val="20"/>
                <w:color w:val="auto"/>
              </w:rPr>
            </w:pPr>
          </w:p>
        </w:tc>
        <w:tc>
          <w:tcPr>
            <w:tcW w:w="2780" w:type="dxa"/>
            <w:vAlign w:val="bottom"/>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78" w:orient="portrait"/>
          <w:cols w:equalWidth="0" w:num="1">
            <w:col w:w="11240"/>
          </w:cols>
          <w:pgMar w:left="320" w:top="339" w:right="339" w:bottom="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11.14</w:t>
            </w:r>
          </w:p>
        </w:tc>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Cure</w:t>
            </w:r>
          </w:p>
        </w:tc>
        <w:tc>
          <w:tcPr>
            <w:tcW w:w="4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Arial" w:cs="Arial" w:eastAsia="Arial" w:hAnsi="Arial"/>
                <w:sz w:val="18"/>
                <w:szCs w:val="18"/>
                <w:color w:val="auto"/>
              </w:rPr>
              <w:t>Section 12</w:t>
            </w:r>
          </w:p>
        </w:tc>
        <w:tc>
          <w:tcPr>
            <w:tcW w:w="5780" w:type="dxa"/>
            <w:vAlign w:val="bottom"/>
          </w:tcPr>
          <w:p>
            <w:pPr>
              <w:ind w:left="180"/>
              <w:spacing w:after="0"/>
              <w:rPr>
                <w:sz w:val="20"/>
                <w:szCs w:val="20"/>
                <w:color w:val="auto"/>
              </w:rPr>
            </w:pPr>
            <w:r>
              <w:rPr>
                <w:rFonts w:ascii="Arial" w:cs="Arial" w:eastAsia="Arial" w:hAnsi="Arial"/>
                <w:sz w:val="18"/>
                <w:szCs w:val="18"/>
                <w:color w:val="auto"/>
              </w:rPr>
              <w:t>The Agents</w:t>
            </w:r>
          </w:p>
        </w:tc>
        <w:tc>
          <w:tcPr>
            <w:tcW w:w="4480" w:type="dxa"/>
            <w:vAlign w:val="bottom"/>
            <w:gridSpan w:val="3"/>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57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12.1</w:t>
            </w:r>
          </w:p>
        </w:tc>
        <w:tc>
          <w:tcPr>
            <w:tcW w:w="5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Appointment</w:t>
            </w:r>
          </w:p>
        </w:tc>
        <w:tc>
          <w:tcPr>
            <w:tcW w:w="44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Arial" w:cs="Arial" w:eastAsia="Arial" w:hAnsi="Arial"/>
                <w:sz w:val="18"/>
                <w:szCs w:val="18"/>
                <w:color w:val="auto"/>
              </w:rPr>
              <w:t>12.2</w:t>
            </w:r>
          </w:p>
        </w:tc>
        <w:tc>
          <w:tcPr>
            <w:tcW w:w="5780" w:type="dxa"/>
            <w:vAlign w:val="bottom"/>
          </w:tcPr>
          <w:p>
            <w:pPr>
              <w:ind w:left="180"/>
              <w:spacing w:after="0"/>
              <w:rPr>
                <w:sz w:val="20"/>
                <w:szCs w:val="20"/>
                <w:color w:val="auto"/>
              </w:rPr>
            </w:pPr>
            <w:r>
              <w:rPr>
                <w:rFonts w:ascii="Arial" w:cs="Arial" w:eastAsia="Arial" w:hAnsi="Arial"/>
                <w:sz w:val="18"/>
                <w:szCs w:val="18"/>
                <w:color w:val="auto"/>
              </w:rPr>
              <w:t>Delegation of Duties</w:t>
            </w:r>
          </w:p>
        </w:tc>
        <w:tc>
          <w:tcPr>
            <w:tcW w:w="4480" w:type="dxa"/>
            <w:vAlign w:val="bottom"/>
            <w:gridSpan w:val="3"/>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57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12.3</w:t>
            </w:r>
          </w:p>
        </w:tc>
        <w:tc>
          <w:tcPr>
            <w:tcW w:w="57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Exculpatory Provisions</w:t>
            </w:r>
          </w:p>
        </w:tc>
        <w:tc>
          <w:tcPr>
            <w:tcW w:w="4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FF0000"/>
                <w:strike w:val="1"/>
              </w:rPr>
              <w:t>127</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0000FF"/>
                <w:w w:val="86"/>
              </w:rPr>
              <w:t>128</w:t>
            </w:r>
          </w:p>
        </w:tc>
        <w:tc>
          <w:tcPr>
            <w:tcW w:w="0" w:type="dxa"/>
            <w:vAlign w:val="bottom"/>
          </w:tcPr>
          <w:p>
            <w:pPr>
              <w:spacing w:after="0"/>
              <w:rPr>
                <w:sz w:val="1"/>
                <w:szCs w:val="1"/>
                <w:color w:val="auto"/>
              </w:rPr>
            </w:pPr>
          </w:p>
        </w:tc>
      </w:tr>
      <w:tr>
        <w:trPr>
          <w:trHeight w:val="243"/>
        </w:trPr>
        <w:tc>
          <w:tcPr>
            <w:tcW w:w="98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578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41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Arial" w:cs="Arial" w:eastAsia="Arial" w:hAnsi="Arial"/>
                <w:sz w:val="18"/>
                <w:szCs w:val="18"/>
                <w:color w:val="auto"/>
              </w:rPr>
              <w:t>12.4</w:t>
            </w:r>
          </w:p>
        </w:tc>
        <w:tc>
          <w:tcPr>
            <w:tcW w:w="5780" w:type="dxa"/>
            <w:vAlign w:val="bottom"/>
          </w:tcPr>
          <w:p>
            <w:pPr>
              <w:ind w:left="180"/>
              <w:spacing w:after="0"/>
              <w:rPr>
                <w:sz w:val="20"/>
                <w:szCs w:val="20"/>
                <w:color w:val="auto"/>
              </w:rPr>
            </w:pPr>
            <w:r>
              <w:rPr>
                <w:rFonts w:ascii="Arial" w:cs="Arial" w:eastAsia="Arial" w:hAnsi="Arial"/>
                <w:sz w:val="18"/>
                <w:szCs w:val="18"/>
                <w:color w:val="auto"/>
              </w:rPr>
              <w:t>Reliance by Agents</w:t>
            </w:r>
          </w:p>
        </w:tc>
        <w:tc>
          <w:tcPr>
            <w:tcW w:w="4480" w:type="dxa"/>
            <w:vAlign w:val="bottom"/>
            <w:gridSpan w:val="3"/>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57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12.5</w:t>
            </w:r>
          </w:p>
        </w:tc>
        <w:tc>
          <w:tcPr>
            <w:tcW w:w="57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Notice of Default</w:t>
            </w:r>
          </w:p>
        </w:tc>
        <w:tc>
          <w:tcPr>
            <w:tcW w:w="4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FF0000"/>
                <w:strike w:val="1"/>
              </w:rPr>
              <w:t>128</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0000FF"/>
                <w:w w:val="86"/>
              </w:rPr>
              <w:t>129</w:t>
            </w:r>
          </w:p>
        </w:tc>
        <w:tc>
          <w:tcPr>
            <w:tcW w:w="0" w:type="dxa"/>
            <w:vAlign w:val="bottom"/>
          </w:tcPr>
          <w:p>
            <w:pPr>
              <w:spacing w:after="0"/>
              <w:rPr>
                <w:sz w:val="1"/>
                <w:szCs w:val="1"/>
                <w:color w:val="auto"/>
              </w:rPr>
            </w:pPr>
          </w:p>
        </w:tc>
      </w:tr>
      <w:tr>
        <w:trPr>
          <w:trHeight w:val="237"/>
        </w:trPr>
        <w:tc>
          <w:tcPr>
            <w:tcW w:w="980" w:type="dxa"/>
            <w:vAlign w:val="bottom"/>
            <w:tcBorders>
              <w:top w:val="single" w:sz="8" w:color="CCEEFF"/>
            </w:tcBorders>
            <w:vMerge w:val="continue"/>
            <w:shd w:val="clear" w:color="auto" w:fill="CCEEFF"/>
          </w:tcPr>
          <w:p>
            <w:pPr>
              <w:spacing w:after="0"/>
              <w:rPr>
                <w:sz w:val="20"/>
                <w:szCs w:val="20"/>
                <w:color w:val="auto"/>
              </w:rPr>
            </w:pPr>
          </w:p>
        </w:tc>
        <w:tc>
          <w:tcPr>
            <w:tcW w:w="5780" w:type="dxa"/>
            <w:vAlign w:val="bottom"/>
            <w:tcBorders>
              <w:top w:val="single" w:sz="8" w:color="CCEEFF"/>
            </w:tcBorders>
            <w:vMerge w:val="continue"/>
            <w:shd w:val="clear" w:color="auto" w:fill="CCEEFF"/>
          </w:tcPr>
          <w:p>
            <w:pPr>
              <w:spacing w:after="0"/>
              <w:rPr>
                <w:sz w:val="20"/>
                <w:szCs w:val="20"/>
                <w:color w:val="auto"/>
              </w:rPr>
            </w:pPr>
          </w:p>
        </w:tc>
        <w:tc>
          <w:tcPr>
            <w:tcW w:w="41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0000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80" w:type="dxa"/>
            <w:vAlign w:val="bottom"/>
            <w:shd w:val="clear" w:color="auto" w:fill="CCEEFF"/>
          </w:tcPr>
          <w:p>
            <w:pPr>
              <w:spacing w:after="0"/>
              <w:rPr>
                <w:sz w:val="2"/>
                <w:szCs w:val="2"/>
                <w:color w:val="auto"/>
              </w:rPr>
            </w:pPr>
          </w:p>
        </w:tc>
        <w:tc>
          <w:tcPr>
            <w:tcW w:w="5780" w:type="dxa"/>
            <w:vAlign w:val="bottom"/>
            <w:shd w:val="clear" w:color="auto" w:fill="CCEEFF"/>
          </w:tcPr>
          <w:p>
            <w:pPr>
              <w:spacing w:after="0"/>
              <w:rPr>
                <w:sz w:val="2"/>
                <w:szCs w:val="2"/>
                <w:color w:val="auto"/>
              </w:rPr>
            </w:pPr>
          </w:p>
        </w:tc>
        <w:tc>
          <w:tcPr>
            <w:tcW w:w="4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40"/>
          </w:cols>
          <w:pgMar w:left="320" w:top="140"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400" w:type="dxa"/>
            <w:vAlign w:val="bottom"/>
            <w:gridSpan w:val="4"/>
          </w:tcPr>
          <w:p>
            <w:pPr>
              <w:ind w:left="2020"/>
              <w:spacing w:after="0"/>
              <w:rPr>
                <w:sz w:val="20"/>
                <w:szCs w:val="20"/>
                <w:color w:val="auto"/>
              </w:rPr>
            </w:pPr>
            <w:r>
              <w:rPr>
                <w:rFonts w:ascii="Arial" w:cs="Arial" w:eastAsia="Arial" w:hAnsi="Arial"/>
                <w:sz w:val="20"/>
                <w:szCs w:val="20"/>
                <w:color w:val="auto"/>
                <w:w w:val="76"/>
              </w:rPr>
              <w:t>Page</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12.6</w:t>
            </w:r>
          </w:p>
        </w:tc>
        <w:tc>
          <w:tcPr>
            <w:tcW w:w="786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Non-Reliance on Administrative Agent, Collateral Agent, and Other Lenders</w:t>
            </w:r>
          </w:p>
        </w:tc>
        <w:tc>
          <w:tcPr>
            <w:tcW w:w="24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Arial" w:cs="Arial" w:eastAsia="Arial" w:hAnsi="Arial"/>
                <w:sz w:val="18"/>
                <w:szCs w:val="18"/>
                <w:color w:val="auto"/>
              </w:rPr>
              <w:t>12.7</w:t>
            </w:r>
          </w:p>
        </w:tc>
        <w:tc>
          <w:tcPr>
            <w:tcW w:w="7860" w:type="dxa"/>
            <w:vAlign w:val="bottom"/>
            <w:gridSpan w:val="4"/>
          </w:tcPr>
          <w:p>
            <w:pPr>
              <w:ind w:left="180"/>
              <w:spacing w:after="0"/>
              <w:rPr>
                <w:sz w:val="20"/>
                <w:szCs w:val="20"/>
                <w:color w:val="auto"/>
              </w:rPr>
            </w:pPr>
            <w:r>
              <w:rPr>
                <w:rFonts w:ascii="Arial" w:cs="Arial" w:eastAsia="Arial" w:hAnsi="Arial"/>
                <w:sz w:val="18"/>
                <w:szCs w:val="18"/>
                <w:color w:val="auto"/>
              </w:rPr>
              <w:t>Indemnification</w:t>
            </w:r>
          </w:p>
        </w:tc>
        <w:tc>
          <w:tcPr>
            <w:tcW w:w="2400" w:type="dxa"/>
            <w:vAlign w:val="bottom"/>
            <w:gridSpan w:val="4"/>
          </w:tcPr>
          <w:p>
            <w:pPr>
              <w:jc w:val="right"/>
              <w:ind w:right="2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12.8</w:t>
            </w:r>
          </w:p>
        </w:tc>
        <w:tc>
          <w:tcPr>
            <w:tcW w:w="786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Agents in Their Individual Capacities</w:t>
            </w:r>
          </w:p>
        </w:tc>
        <w:tc>
          <w:tcPr>
            <w:tcW w:w="24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Arial" w:cs="Arial" w:eastAsia="Arial" w:hAnsi="Arial"/>
                <w:sz w:val="18"/>
                <w:szCs w:val="18"/>
                <w:color w:val="auto"/>
              </w:rPr>
              <w:t>12.9</w:t>
            </w:r>
          </w:p>
        </w:tc>
        <w:tc>
          <w:tcPr>
            <w:tcW w:w="7860" w:type="dxa"/>
            <w:vAlign w:val="bottom"/>
            <w:gridSpan w:val="4"/>
          </w:tcPr>
          <w:p>
            <w:pPr>
              <w:ind w:left="180"/>
              <w:spacing w:after="0"/>
              <w:rPr>
                <w:sz w:val="20"/>
                <w:szCs w:val="20"/>
                <w:color w:val="auto"/>
              </w:rPr>
            </w:pPr>
            <w:r>
              <w:rPr>
                <w:rFonts w:ascii="Arial" w:cs="Arial" w:eastAsia="Arial" w:hAnsi="Arial"/>
                <w:sz w:val="18"/>
                <w:szCs w:val="18"/>
                <w:color w:val="auto"/>
              </w:rPr>
              <w:t>Successor Agents</w:t>
            </w:r>
          </w:p>
        </w:tc>
        <w:tc>
          <w:tcPr>
            <w:tcW w:w="2400" w:type="dxa"/>
            <w:vAlign w:val="bottom"/>
            <w:gridSpan w:val="4"/>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12.10</w:t>
            </w:r>
          </w:p>
        </w:tc>
        <w:tc>
          <w:tcPr>
            <w:tcW w:w="786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Withholding Tax</w:t>
            </w:r>
          </w:p>
        </w:tc>
        <w:tc>
          <w:tcPr>
            <w:tcW w:w="24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Arial" w:cs="Arial" w:eastAsia="Arial" w:hAnsi="Arial"/>
                <w:sz w:val="18"/>
                <w:szCs w:val="18"/>
                <w:color w:val="auto"/>
              </w:rPr>
              <w:t>12.11</w:t>
            </w:r>
          </w:p>
        </w:tc>
        <w:tc>
          <w:tcPr>
            <w:tcW w:w="7860" w:type="dxa"/>
            <w:vAlign w:val="bottom"/>
            <w:gridSpan w:val="4"/>
          </w:tcPr>
          <w:p>
            <w:pPr>
              <w:ind w:left="180"/>
              <w:spacing w:after="0"/>
              <w:rPr>
                <w:sz w:val="20"/>
                <w:szCs w:val="20"/>
                <w:color w:val="auto"/>
              </w:rPr>
            </w:pPr>
            <w:r>
              <w:rPr>
                <w:rFonts w:ascii="Arial" w:cs="Arial" w:eastAsia="Arial" w:hAnsi="Arial"/>
                <w:sz w:val="18"/>
                <w:szCs w:val="18"/>
                <w:color w:val="auto"/>
              </w:rPr>
              <w:t>Agents Under Security Documents and Guarantee</w:t>
            </w:r>
          </w:p>
        </w:tc>
        <w:tc>
          <w:tcPr>
            <w:tcW w:w="2400" w:type="dxa"/>
            <w:vAlign w:val="bottom"/>
            <w:gridSpan w:val="4"/>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12.12</w:t>
            </w:r>
          </w:p>
        </w:tc>
        <w:tc>
          <w:tcPr>
            <w:tcW w:w="786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Right to Realize on Collateral and Enforce Guarantee</w:t>
            </w:r>
          </w:p>
        </w:tc>
        <w:tc>
          <w:tcPr>
            <w:tcW w:w="24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Arial" w:cs="Arial" w:eastAsia="Arial" w:hAnsi="Arial"/>
                <w:sz w:val="18"/>
                <w:szCs w:val="18"/>
                <w:color w:val="auto"/>
              </w:rPr>
              <w:t>12.13</w:t>
            </w:r>
          </w:p>
        </w:tc>
        <w:tc>
          <w:tcPr>
            <w:tcW w:w="7860" w:type="dxa"/>
            <w:vAlign w:val="bottom"/>
            <w:gridSpan w:val="4"/>
          </w:tcPr>
          <w:p>
            <w:pPr>
              <w:ind w:left="180"/>
              <w:spacing w:after="0"/>
              <w:rPr>
                <w:sz w:val="20"/>
                <w:szCs w:val="20"/>
                <w:color w:val="auto"/>
              </w:rPr>
            </w:pPr>
            <w:r>
              <w:rPr>
                <w:rFonts w:ascii="Arial" w:cs="Arial" w:eastAsia="Arial" w:hAnsi="Arial"/>
                <w:sz w:val="18"/>
                <w:szCs w:val="18"/>
                <w:color w:val="auto"/>
              </w:rPr>
              <w:t>Intercreditor Agreements Govern</w:t>
            </w:r>
          </w:p>
        </w:tc>
        <w:tc>
          <w:tcPr>
            <w:tcW w:w="2400" w:type="dxa"/>
            <w:vAlign w:val="bottom"/>
            <w:gridSpan w:val="4"/>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12.14</w:t>
            </w:r>
          </w:p>
        </w:tc>
        <w:tc>
          <w:tcPr>
            <w:tcW w:w="786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Certain ERISA Matters</w:t>
            </w:r>
          </w:p>
        </w:tc>
        <w:tc>
          <w:tcPr>
            <w:tcW w:w="24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Arial" w:cs="Arial" w:eastAsia="Arial" w:hAnsi="Arial"/>
                <w:sz w:val="18"/>
                <w:szCs w:val="18"/>
                <w:color w:val="auto"/>
              </w:rPr>
              <w:t>Section 13</w:t>
            </w:r>
          </w:p>
        </w:tc>
        <w:tc>
          <w:tcPr>
            <w:tcW w:w="7860" w:type="dxa"/>
            <w:vAlign w:val="bottom"/>
            <w:gridSpan w:val="4"/>
          </w:tcPr>
          <w:p>
            <w:pPr>
              <w:ind w:left="180"/>
              <w:spacing w:after="0"/>
              <w:rPr>
                <w:sz w:val="20"/>
                <w:szCs w:val="20"/>
                <w:color w:val="auto"/>
              </w:rPr>
            </w:pPr>
            <w:r>
              <w:rPr>
                <w:rFonts w:ascii="Arial" w:cs="Arial" w:eastAsia="Arial" w:hAnsi="Arial"/>
                <w:sz w:val="18"/>
                <w:szCs w:val="18"/>
                <w:color w:val="auto"/>
              </w:rPr>
              <w:t>Miscellaneous</w:t>
            </w:r>
          </w:p>
        </w:tc>
        <w:tc>
          <w:tcPr>
            <w:tcW w:w="2400" w:type="dxa"/>
            <w:vAlign w:val="bottom"/>
            <w:gridSpan w:val="4"/>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13.1</w:t>
            </w:r>
          </w:p>
        </w:tc>
        <w:tc>
          <w:tcPr>
            <w:tcW w:w="786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Amendments, Waivers, and Releases</w:t>
            </w:r>
          </w:p>
        </w:tc>
        <w:tc>
          <w:tcPr>
            <w:tcW w:w="24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Arial" w:cs="Arial" w:eastAsia="Arial" w:hAnsi="Arial"/>
                <w:sz w:val="18"/>
                <w:szCs w:val="18"/>
                <w:color w:val="auto"/>
              </w:rPr>
              <w:t>13.2</w:t>
            </w:r>
          </w:p>
        </w:tc>
        <w:tc>
          <w:tcPr>
            <w:tcW w:w="7860" w:type="dxa"/>
            <w:vAlign w:val="bottom"/>
            <w:gridSpan w:val="4"/>
          </w:tcPr>
          <w:p>
            <w:pPr>
              <w:ind w:left="180"/>
              <w:spacing w:after="0"/>
              <w:rPr>
                <w:sz w:val="20"/>
                <w:szCs w:val="20"/>
                <w:color w:val="auto"/>
              </w:rPr>
            </w:pPr>
            <w:r>
              <w:rPr>
                <w:rFonts w:ascii="Arial" w:cs="Arial" w:eastAsia="Arial" w:hAnsi="Arial"/>
                <w:sz w:val="18"/>
                <w:szCs w:val="18"/>
                <w:color w:val="auto"/>
              </w:rPr>
              <w:t>Notices</w:t>
            </w:r>
          </w:p>
        </w:tc>
        <w:tc>
          <w:tcPr>
            <w:tcW w:w="2400" w:type="dxa"/>
            <w:vAlign w:val="bottom"/>
            <w:gridSpan w:val="4"/>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13.3</w:t>
            </w:r>
          </w:p>
        </w:tc>
        <w:tc>
          <w:tcPr>
            <w:tcW w:w="7860" w:type="dxa"/>
            <w:vAlign w:val="bottom"/>
            <w:gridSpan w:val="4"/>
            <w:vMerge w:val="restart"/>
            <w:shd w:val="clear" w:color="auto" w:fill="CCEEFF"/>
          </w:tcPr>
          <w:p>
            <w:pPr>
              <w:ind w:left="180"/>
              <w:spacing w:after="0"/>
              <w:rPr>
                <w:sz w:val="20"/>
                <w:szCs w:val="20"/>
                <w:color w:val="auto"/>
              </w:rPr>
            </w:pPr>
            <w:r>
              <w:rPr>
                <w:rFonts w:ascii="Arial" w:cs="Arial" w:eastAsia="Arial" w:hAnsi="Arial"/>
                <w:sz w:val="18"/>
                <w:szCs w:val="18"/>
                <w:color w:val="auto"/>
              </w:rPr>
              <w:t>No Waiver; Cumulative Remedies</w:t>
            </w:r>
          </w:p>
        </w:tc>
        <w:tc>
          <w:tcPr>
            <w:tcW w:w="2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FF0000"/>
                <w:strike w:val="1"/>
              </w:rPr>
              <w:t>137</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0000FF"/>
                <w:w w:val="86"/>
              </w:rPr>
              <w:t>138</w:t>
            </w:r>
          </w:p>
        </w:tc>
        <w:tc>
          <w:tcPr>
            <w:tcW w:w="0" w:type="dxa"/>
            <w:vAlign w:val="bottom"/>
          </w:tcPr>
          <w:p>
            <w:pPr>
              <w:spacing w:after="0"/>
              <w:rPr>
                <w:sz w:val="1"/>
                <w:szCs w:val="1"/>
                <w:color w:val="auto"/>
              </w:rPr>
            </w:pPr>
          </w:p>
        </w:tc>
      </w:tr>
      <w:tr>
        <w:trPr>
          <w:trHeight w:val="243"/>
        </w:trPr>
        <w:tc>
          <w:tcPr>
            <w:tcW w:w="98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7860" w:type="dxa"/>
            <w:vAlign w:val="bottom"/>
            <w:tcBorders>
              <w:top w:val="single" w:sz="8" w:color="CCEEFF"/>
              <w:bottom w:val="single" w:sz="8" w:color="CCEEFF"/>
            </w:tcBorders>
            <w:gridSpan w:val="4"/>
            <w:vMerge w:val="continue"/>
            <w:shd w:val="clear" w:color="auto" w:fill="CCEEFF"/>
          </w:tcPr>
          <w:p>
            <w:pPr>
              <w:spacing w:after="0"/>
              <w:rPr>
                <w:sz w:val="21"/>
                <w:szCs w:val="21"/>
                <w:color w:val="auto"/>
              </w:rPr>
            </w:pPr>
          </w:p>
        </w:tc>
        <w:tc>
          <w:tcPr>
            <w:tcW w:w="20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Arial" w:cs="Arial" w:eastAsia="Arial" w:hAnsi="Arial"/>
                <w:sz w:val="18"/>
                <w:szCs w:val="18"/>
                <w:color w:val="auto"/>
              </w:rPr>
              <w:t>13.4</w:t>
            </w:r>
          </w:p>
        </w:tc>
        <w:tc>
          <w:tcPr>
            <w:tcW w:w="7860" w:type="dxa"/>
            <w:vAlign w:val="bottom"/>
            <w:gridSpan w:val="4"/>
          </w:tcPr>
          <w:p>
            <w:pPr>
              <w:ind w:left="180"/>
              <w:spacing w:after="0"/>
              <w:rPr>
                <w:sz w:val="20"/>
                <w:szCs w:val="20"/>
                <w:color w:val="auto"/>
              </w:rPr>
            </w:pPr>
            <w:r>
              <w:rPr>
                <w:rFonts w:ascii="Arial" w:cs="Arial" w:eastAsia="Arial" w:hAnsi="Arial"/>
                <w:sz w:val="18"/>
                <w:szCs w:val="18"/>
                <w:color w:val="auto"/>
              </w:rPr>
              <w:t>Survival of Representations and Warranties</w:t>
            </w:r>
          </w:p>
        </w:tc>
        <w:tc>
          <w:tcPr>
            <w:tcW w:w="2400" w:type="dxa"/>
            <w:vAlign w:val="bottom"/>
            <w:gridSpan w:val="4"/>
          </w:tcPr>
          <w:p>
            <w:pPr>
              <w:jc w:val="right"/>
              <w:ind w:right="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13.5</w:t>
            </w:r>
          </w:p>
        </w:tc>
        <w:tc>
          <w:tcPr>
            <w:tcW w:w="786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Payment of Expenses; Indemnification</w:t>
            </w:r>
          </w:p>
        </w:tc>
        <w:tc>
          <w:tcPr>
            <w:tcW w:w="24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Arial" w:cs="Arial" w:eastAsia="Arial" w:hAnsi="Arial"/>
                <w:sz w:val="18"/>
                <w:szCs w:val="18"/>
                <w:color w:val="auto"/>
              </w:rPr>
              <w:t>13.6</w:t>
            </w:r>
          </w:p>
        </w:tc>
        <w:tc>
          <w:tcPr>
            <w:tcW w:w="7860" w:type="dxa"/>
            <w:vAlign w:val="bottom"/>
            <w:gridSpan w:val="4"/>
          </w:tcPr>
          <w:p>
            <w:pPr>
              <w:ind w:left="180"/>
              <w:spacing w:after="0"/>
              <w:rPr>
                <w:sz w:val="20"/>
                <w:szCs w:val="20"/>
                <w:color w:val="auto"/>
              </w:rPr>
            </w:pPr>
            <w:r>
              <w:rPr>
                <w:rFonts w:ascii="Arial" w:cs="Arial" w:eastAsia="Arial" w:hAnsi="Arial"/>
                <w:sz w:val="18"/>
                <w:szCs w:val="18"/>
                <w:color w:val="auto"/>
              </w:rPr>
              <w:t>Successors and Assigns; Participations and Assignments</w:t>
            </w:r>
          </w:p>
        </w:tc>
        <w:tc>
          <w:tcPr>
            <w:tcW w:w="2400" w:type="dxa"/>
            <w:vAlign w:val="bottom"/>
            <w:gridSpan w:val="4"/>
          </w:tcPr>
          <w:p>
            <w:pPr>
              <w:jc w:val="right"/>
              <w:ind w:right="2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13.7</w:t>
            </w:r>
          </w:p>
        </w:tc>
        <w:tc>
          <w:tcPr>
            <w:tcW w:w="786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Replacements of Lenders Under Certain Circumstances</w:t>
            </w:r>
          </w:p>
        </w:tc>
        <w:tc>
          <w:tcPr>
            <w:tcW w:w="24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Arial" w:cs="Arial" w:eastAsia="Arial" w:hAnsi="Arial"/>
                <w:sz w:val="18"/>
                <w:szCs w:val="18"/>
                <w:color w:val="auto"/>
              </w:rPr>
              <w:t>13.8</w:t>
            </w:r>
          </w:p>
        </w:tc>
        <w:tc>
          <w:tcPr>
            <w:tcW w:w="7860" w:type="dxa"/>
            <w:vAlign w:val="bottom"/>
            <w:gridSpan w:val="4"/>
          </w:tcPr>
          <w:p>
            <w:pPr>
              <w:ind w:left="180"/>
              <w:spacing w:after="0"/>
              <w:rPr>
                <w:sz w:val="20"/>
                <w:szCs w:val="20"/>
                <w:color w:val="auto"/>
              </w:rPr>
            </w:pPr>
            <w:r>
              <w:rPr>
                <w:rFonts w:ascii="Arial" w:cs="Arial" w:eastAsia="Arial" w:hAnsi="Arial"/>
                <w:sz w:val="18"/>
                <w:szCs w:val="18"/>
                <w:color w:val="auto"/>
              </w:rPr>
              <w:t>Adjustments; Set-off</w:t>
            </w:r>
          </w:p>
        </w:tc>
        <w:tc>
          <w:tcPr>
            <w:tcW w:w="2400" w:type="dxa"/>
            <w:vAlign w:val="bottom"/>
            <w:gridSpan w:val="4"/>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13.9</w:t>
            </w:r>
          </w:p>
        </w:tc>
        <w:tc>
          <w:tcPr>
            <w:tcW w:w="786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Counterparts</w:t>
            </w:r>
          </w:p>
        </w:tc>
        <w:tc>
          <w:tcPr>
            <w:tcW w:w="24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Arial" w:cs="Arial" w:eastAsia="Arial" w:hAnsi="Arial"/>
                <w:sz w:val="18"/>
                <w:szCs w:val="18"/>
                <w:color w:val="auto"/>
              </w:rPr>
              <w:t>13.10</w:t>
            </w:r>
          </w:p>
        </w:tc>
        <w:tc>
          <w:tcPr>
            <w:tcW w:w="7860" w:type="dxa"/>
            <w:vAlign w:val="bottom"/>
            <w:gridSpan w:val="4"/>
          </w:tcPr>
          <w:p>
            <w:pPr>
              <w:ind w:left="180"/>
              <w:spacing w:after="0"/>
              <w:rPr>
                <w:sz w:val="20"/>
                <w:szCs w:val="20"/>
                <w:color w:val="auto"/>
              </w:rPr>
            </w:pPr>
            <w:r>
              <w:rPr>
                <w:rFonts w:ascii="Arial" w:cs="Arial" w:eastAsia="Arial" w:hAnsi="Arial"/>
                <w:sz w:val="18"/>
                <w:szCs w:val="18"/>
                <w:color w:val="auto"/>
              </w:rPr>
              <w:t>Severability</w:t>
            </w:r>
          </w:p>
        </w:tc>
        <w:tc>
          <w:tcPr>
            <w:tcW w:w="2400" w:type="dxa"/>
            <w:vAlign w:val="bottom"/>
            <w:gridSpan w:val="4"/>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13.11</w:t>
            </w:r>
          </w:p>
        </w:tc>
        <w:tc>
          <w:tcPr>
            <w:tcW w:w="786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Integration</w:t>
            </w:r>
          </w:p>
        </w:tc>
        <w:tc>
          <w:tcPr>
            <w:tcW w:w="24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3"/>
        </w:trPr>
        <w:tc>
          <w:tcPr>
            <w:tcW w:w="980" w:type="dxa"/>
            <w:vAlign w:val="bottom"/>
            <w:vMerge w:val="restart"/>
          </w:tcPr>
          <w:p>
            <w:pPr>
              <w:ind w:left="40"/>
              <w:spacing w:after="0"/>
              <w:rPr>
                <w:sz w:val="20"/>
                <w:szCs w:val="20"/>
                <w:color w:val="auto"/>
              </w:rPr>
            </w:pPr>
            <w:r>
              <w:rPr>
                <w:rFonts w:ascii="Arial" w:cs="Arial" w:eastAsia="Arial" w:hAnsi="Arial"/>
                <w:sz w:val="18"/>
                <w:szCs w:val="18"/>
                <w:color w:val="auto"/>
              </w:rPr>
              <w:t>13.12</w:t>
            </w:r>
          </w:p>
        </w:tc>
        <w:tc>
          <w:tcPr>
            <w:tcW w:w="7860" w:type="dxa"/>
            <w:vAlign w:val="bottom"/>
            <w:gridSpan w:val="4"/>
            <w:vMerge w:val="restart"/>
          </w:tcPr>
          <w:p>
            <w:pPr>
              <w:ind w:left="180"/>
              <w:spacing w:after="0"/>
              <w:rPr>
                <w:sz w:val="20"/>
                <w:szCs w:val="20"/>
                <w:color w:val="auto"/>
              </w:rPr>
            </w:pPr>
            <w:r>
              <w:rPr>
                <w:rFonts w:ascii="Arial" w:cs="Arial" w:eastAsia="Arial" w:hAnsi="Arial"/>
                <w:sz w:val="18"/>
                <w:szCs w:val="18"/>
                <w:color w:val="auto"/>
              </w:rPr>
              <w:t>GOVERNING LAW</w:t>
            </w:r>
          </w:p>
        </w:tc>
        <w:tc>
          <w:tcPr>
            <w:tcW w:w="2100" w:type="dxa"/>
            <w:vAlign w:val="bottom"/>
            <w:gridSpan w:val="2"/>
          </w:tcPr>
          <w:p>
            <w:pPr>
              <w:jc w:val="right"/>
              <w:spacing w:after="0" w:line="202" w:lineRule="exact"/>
              <w:rPr>
                <w:sz w:val="20"/>
                <w:szCs w:val="20"/>
                <w:color w:val="auto"/>
              </w:rPr>
            </w:pPr>
            <w:r>
              <w:rPr>
                <w:rFonts w:ascii="Arial" w:cs="Arial" w:eastAsia="Arial" w:hAnsi="Arial"/>
                <w:sz w:val="18"/>
                <w:szCs w:val="18"/>
                <w:color w:val="FF0000"/>
                <w:strike w:val="1"/>
              </w:rPr>
              <w:t>144</w:t>
            </w: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0000FF"/>
                <w:w w:val="86"/>
              </w:rPr>
              <w:t>145</w:t>
            </w:r>
          </w:p>
        </w:tc>
        <w:tc>
          <w:tcPr>
            <w:tcW w:w="0" w:type="dxa"/>
            <w:vAlign w:val="bottom"/>
          </w:tcPr>
          <w:p>
            <w:pPr>
              <w:spacing w:after="0"/>
              <w:rPr>
                <w:sz w:val="1"/>
                <w:szCs w:val="1"/>
                <w:color w:val="auto"/>
              </w:rPr>
            </w:pPr>
          </w:p>
        </w:tc>
      </w:tr>
      <w:tr>
        <w:trPr>
          <w:trHeight w:val="237"/>
        </w:trPr>
        <w:tc>
          <w:tcPr>
            <w:tcW w:w="980" w:type="dxa"/>
            <w:vAlign w:val="bottom"/>
            <w:vMerge w:val="continue"/>
          </w:tcPr>
          <w:p>
            <w:pPr>
              <w:spacing w:after="0"/>
              <w:rPr>
                <w:sz w:val="20"/>
                <w:szCs w:val="20"/>
                <w:color w:val="auto"/>
              </w:rPr>
            </w:pPr>
          </w:p>
        </w:tc>
        <w:tc>
          <w:tcPr>
            <w:tcW w:w="7860" w:type="dxa"/>
            <w:vAlign w:val="bottom"/>
            <w:gridSpan w:val="4"/>
            <w:vMerge w:val="continue"/>
          </w:tcPr>
          <w:p>
            <w:pPr>
              <w:spacing w:after="0"/>
              <w:rPr>
                <w:sz w:val="20"/>
                <w:szCs w:val="20"/>
                <w:color w:val="auto"/>
              </w:rPr>
            </w:pP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13.13</w:t>
            </w:r>
          </w:p>
        </w:tc>
        <w:tc>
          <w:tcPr>
            <w:tcW w:w="7860" w:type="dxa"/>
            <w:vAlign w:val="bottom"/>
            <w:gridSpan w:val="4"/>
            <w:vMerge w:val="restart"/>
            <w:shd w:val="clear" w:color="auto" w:fill="CCEEFF"/>
          </w:tcPr>
          <w:p>
            <w:pPr>
              <w:ind w:left="180"/>
              <w:spacing w:after="0"/>
              <w:rPr>
                <w:sz w:val="20"/>
                <w:szCs w:val="20"/>
                <w:color w:val="auto"/>
              </w:rPr>
            </w:pPr>
            <w:r>
              <w:rPr>
                <w:rFonts w:ascii="Arial" w:cs="Arial" w:eastAsia="Arial" w:hAnsi="Arial"/>
                <w:sz w:val="18"/>
                <w:szCs w:val="18"/>
                <w:color w:val="auto"/>
              </w:rPr>
              <w:t>Submission to Jurisdiction; Waivers</w:t>
            </w:r>
          </w:p>
        </w:tc>
        <w:tc>
          <w:tcPr>
            <w:tcW w:w="2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FF0000"/>
                <w:strike w:val="1"/>
              </w:rPr>
              <w:t>144</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0000FF"/>
                <w:w w:val="86"/>
              </w:rPr>
              <w:t>145</w:t>
            </w:r>
          </w:p>
        </w:tc>
        <w:tc>
          <w:tcPr>
            <w:tcW w:w="0" w:type="dxa"/>
            <w:vAlign w:val="bottom"/>
          </w:tcPr>
          <w:p>
            <w:pPr>
              <w:spacing w:after="0"/>
              <w:rPr>
                <w:sz w:val="1"/>
                <w:szCs w:val="1"/>
                <w:color w:val="auto"/>
              </w:rPr>
            </w:pPr>
          </w:p>
        </w:tc>
      </w:tr>
      <w:tr>
        <w:trPr>
          <w:trHeight w:val="243"/>
        </w:trPr>
        <w:tc>
          <w:tcPr>
            <w:tcW w:w="98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7860" w:type="dxa"/>
            <w:vAlign w:val="bottom"/>
            <w:tcBorders>
              <w:top w:val="single" w:sz="8" w:color="CCEEFF"/>
              <w:bottom w:val="single" w:sz="8" w:color="CCEEFF"/>
            </w:tcBorders>
            <w:gridSpan w:val="4"/>
            <w:vMerge w:val="continue"/>
            <w:shd w:val="clear" w:color="auto" w:fill="CCEEFF"/>
          </w:tcPr>
          <w:p>
            <w:pPr>
              <w:spacing w:after="0"/>
              <w:rPr>
                <w:sz w:val="21"/>
                <w:szCs w:val="21"/>
                <w:color w:val="auto"/>
              </w:rPr>
            </w:pPr>
          </w:p>
        </w:tc>
        <w:tc>
          <w:tcPr>
            <w:tcW w:w="20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Arial" w:cs="Arial" w:eastAsia="Arial" w:hAnsi="Arial"/>
                <w:sz w:val="18"/>
                <w:szCs w:val="18"/>
                <w:color w:val="auto"/>
              </w:rPr>
              <w:t>13.14</w:t>
            </w:r>
          </w:p>
        </w:tc>
        <w:tc>
          <w:tcPr>
            <w:tcW w:w="7860" w:type="dxa"/>
            <w:vAlign w:val="bottom"/>
            <w:gridSpan w:val="4"/>
          </w:tcPr>
          <w:p>
            <w:pPr>
              <w:ind w:left="180"/>
              <w:spacing w:after="0"/>
              <w:rPr>
                <w:sz w:val="20"/>
                <w:szCs w:val="20"/>
                <w:color w:val="auto"/>
              </w:rPr>
            </w:pPr>
            <w:r>
              <w:rPr>
                <w:rFonts w:ascii="Arial" w:cs="Arial" w:eastAsia="Arial" w:hAnsi="Arial"/>
                <w:sz w:val="18"/>
                <w:szCs w:val="18"/>
                <w:color w:val="auto"/>
              </w:rPr>
              <w:t>Acknowledgments</w:t>
            </w:r>
          </w:p>
        </w:tc>
        <w:tc>
          <w:tcPr>
            <w:tcW w:w="2400" w:type="dxa"/>
            <w:vAlign w:val="bottom"/>
            <w:gridSpan w:val="4"/>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13.15</w:t>
            </w:r>
          </w:p>
        </w:tc>
        <w:tc>
          <w:tcPr>
            <w:tcW w:w="786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WAIVERS OF JURY TRIAL</w:t>
            </w:r>
          </w:p>
        </w:tc>
        <w:tc>
          <w:tcPr>
            <w:tcW w:w="24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Arial" w:cs="Arial" w:eastAsia="Arial" w:hAnsi="Arial"/>
                <w:sz w:val="18"/>
                <w:szCs w:val="18"/>
                <w:color w:val="auto"/>
              </w:rPr>
              <w:t>13.16</w:t>
            </w:r>
          </w:p>
        </w:tc>
        <w:tc>
          <w:tcPr>
            <w:tcW w:w="7860" w:type="dxa"/>
            <w:vAlign w:val="bottom"/>
            <w:gridSpan w:val="4"/>
          </w:tcPr>
          <w:p>
            <w:pPr>
              <w:ind w:left="180"/>
              <w:spacing w:after="0"/>
              <w:rPr>
                <w:sz w:val="20"/>
                <w:szCs w:val="20"/>
                <w:color w:val="auto"/>
              </w:rPr>
            </w:pPr>
            <w:r>
              <w:rPr>
                <w:rFonts w:ascii="Arial" w:cs="Arial" w:eastAsia="Arial" w:hAnsi="Arial"/>
                <w:sz w:val="18"/>
                <w:szCs w:val="18"/>
                <w:color w:val="auto"/>
              </w:rPr>
              <w:t>Confidentiality</w:t>
            </w:r>
          </w:p>
        </w:tc>
        <w:tc>
          <w:tcPr>
            <w:tcW w:w="2400" w:type="dxa"/>
            <w:vAlign w:val="bottom"/>
            <w:gridSpan w:val="4"/>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13.17</w:t>
            </w:r>
          </w:p>
        </w:tc>
        <w:tc>
          <w:tcPr>
            <w:tcW w:w="786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Direct Website Communications</w:t>
            </w:r>
          </w:p>
        </w:tc>
        <w:tc>
          <w:tcPr>
            <w:tcW w:w="24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43"/>
        </w:trPr>
        <w:tc>
          <w:tcPr>
            <w:tcW w:w="980" w:type="dxa"/>
            <w:vAlign w:val="bottom"/>
          </w:tcPr>
          <w:p>
            <w:pPr>
              <w:ind w:left="40"/>
              <w:spacing w:after="0"/>
              <w:rPr>
                <w:sz w:val="20"/>
                <w:szCs w:val="20"/>
                <w:color w:val="auto"/>
              </w:rPr>
            </w:pPr>
            <w:r>
              <w:rPr>
                <w:rFonts w:ascii="Arial" w:cs="Arial" w:eastAsia="Arial" w:hAnsi="Arial"/>
                <w:sz w:val="18"/>
                <w:szCs w:val="18"/>
                <w:color w:val="auto"/>
              </w:rPr>
              <w:t>13.18</w:t>
            </w:r>
          </w:p>
        </w:tc>
        <w:tc>
          <w:tcPr>
            <w:tcW w:w="7860" w:type="dxa"/>
            <w:vAlign w:val="bottom"/>
            <w:gridSpan w:val="4"/>
          </w:tcPr>
          <w:p>
            <w:pPr>
              <w:ind w:left="180"/>
              <w:spacing w:after="0"/>
              <w:rPr>
                <w:sz w:val="20"/>
                <w:szCs w:val="20"/>
                <w:color w:val="auto"/>
              </w:rPr>
            </w:pPr>
            <w:r>
              <w:rPr>
                <w:rFonts w:ascii="Arial" w:cs="Arial" w:eastAsia="Arial" w:hAnsi="Arial"/>
                <w:sz w:val="18"/>
                <w:szCs w:val="18"/>
                <w:color w:val="auto"/>
              </w:rPr>
              <w:t>USA PATRIOT Act</w:t>
            </w:r>
          </w:p>
        </w:tc>
        <w:tc>
          <w:tcPr>
            <w:tcW w:w="2400" w:type="dxa"/>
            <w:vAlign w:val="bottom"/>
            <w:gridSpan w:val="4"/>
          </w:tcPr>
          <w:p>
            <w:pPr>
              <w:jc w:val="right"/>
              <w:ind w:right="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13.19</w:t>
            </w:r>
          </w:p>
        </w:tc>
        <w:tc>
          <w:tcPr>
            <w:tcW w:w="7860" w:type="dxa"/>
            <w:vAlign w:val="bottom"/>
            <w:gridSpan w:val="4"/>
            <w:vMerge w:val="restart"/>
            <w:shd w:val="clear" w:color="auto" w:fill="CCEEFF"/>
          </w:tcPr>
          <w:p>
            <w:pPr>
              <w:ind w:left="180"/>
              <w:spacing w:after="0"/>
              <w:rPr>
                <w:sz w:val="20"/>
                <w:szCs w:val="20"/>
                <w:color w:val="auto"/>
              </w:rPr>
            </w:pPr>
            <w:r>
              <w:rPr>
                <w:rFonts w:ascii="Arial" w:cs="Arial" w:eastAsia="Arial" w:hAnsi="Arial"/>
                <w:sz w:val="18"/>
                <w:szCs w:val="18"/>
                <w:color w:val="auto"/>
              </w:rPr>
              <w:t>[Reserved]</w:t>
            </w:r>
          </w:p>
        </w:tc>
        <w:tc>
          <w:tcPr>
            <w:tcW w:w="2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FF0000"/>
                <w:strike w:val="1"/>
              </w:rPr>
              <w:t>148</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0000FF"/>
                <w:w w:val="86"/>
              </w:rPr>
              <w:t>149</w:t>
            </w:r>
          </w:p>
        </w:tc>
        <w:tc>
          <w:tcPr>
            <w:tcW w:w="0" w:type="dxa"/>
            <w:vAlign w:val="bottom"/>
          </w:tcPr>
          <w:p>
            <w:pPr>
              <w:spacing w:after="0"/>
              <w:rPr>
                <w:sz w:val="1"/>
                <w:szCs w:val="1"/>
                <w:color w:val="auto"/>
              </w:rPr>
            </w:pPr>
          </w:p>
        </w:tc>
      </w:tr>
      <w:tr>
        <w:trPr>
          <w:trHeight w:val="243"/>
        </w:trPr>
        <w:tc>
          <w:tcPr>
            <w:tcW w:w="980" w:type="dxa"/>
            <w:vAlign w:val="bottom"/>
            <w:tcBorders>
              <w:top w:val="single" w:sz="8" w:color="CCEEFF"/>
              <w:bottom w:val="single" w:sz="8" w:color="CCEEFF"/>
            </w:tcBorders>
            <w:vMerge w:val="continue"/>
            <w:shd w:val="clear" w:color="auto" w:fill="CCEEFF"/>
          </w:tcPr>
          <w:p>
            <w:pPr>
              <w:spacing w:after="0"/>
              <w:rPr>
                <w:sz w:val="21"/>
                <w:szCs w:val="21"/>
                <w:color w:val="auto"/>
              </w:rPr>
            </w:pPr>
          </w:p>
        </w:tc>
        <w:tc>
          <w:tcPr>
            <w:tcW w:w="7860" w:type="dxa"/>
            <w:vAlign w:val="bottom"/>
            <w:tcBorders>
              <w:top w:val="single" w:sz="8" w:color="CCEEFF"/>
              <w:bottom w:val="single" w:sz="8" w:color="CCEEFF"/>
            </w:tcBorders>
            <w:gridSpan w:val="4"/>
            <w:vMerge w:val="continue"/>
            <w:shd w:val="clear" w:color="auto" w:fill="CCEEFF"/>
          </w:tcPr>
          <w:p>
            <w:pPr>
              <w:spacing w:after="0"/>
              <w:rPr>
                <w:sz w:val="21"/>
                <w:szCs w:val="21"/>
                <w:color w:val="auto"/>
              </w:rPr>
            </w:pPr>
          </w:p>
        </w:tc>
        <w:tc>
          <w:tcPr>
            <w:tcW w:w="20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80" w:type="dxa"/>
            <w:vAlign w:val="bottom"/>
            <w:vMerge w:val="restart"/>
          </w:tcPr>
          <w:p>
            <w:pPr>
              <w:ind w:left="40"/>
              <w:spacing w:after="0"/>
              <w:rPr>
                <w:sz w:val="20"/>
                <w:szCs w:val="20"/>
                <w:color w:val="auto"/>
              </w:rPr>
            </w:pPr>
            <w:r>
              <w:rPr>
                <w:rFonts w:ascii="Arial" w:cs="Arial" w:eastAsia="Arial" w:hAnsi="Arial"/>
                <w:sz w:val="18"/>
                <w:szCs w:val="18"/>
                <w:color w:val="auto"/>
              </w:rPr>
              <w:t>13.20</w:t>
            </w:r>
          </w:p>
        </w:tc>
        <w:tc>
          <w:tcPr>
            <w:tcW w:w="7860" w:type="dxa"/>
            <w:vAlign w:val="bottom"/>
            <w:gridSpan w:val="4"/>
            <w:vMerge w:val="restart"/>
          </w:tcPr>
          <w:p>
            <w:pPr>
              <w:ind w:left="180"/>
              <w:spacing w:after="0"/>
              <w:rPr>
                <w:sz w:val="20"/>
                <w:szCs w:val="20"/>
                <w:color w:val="auto"/>
              </w:rPr>
            </w:pPr>
            <w:r>
              <w:rPr>
                <w:rFonts w:ascii="Arial" w:cs="Arial" w:eastAsia="Arial" w:hAnsi="Arial"/>
                <w:sz w:val="18"/>
                <w:szCs w:val="18"/>
                <w:color w:val="auto"/>
              </w:rPr>
              <w:t>Payments Set Aside</w:t>
            </w:r>
          </w:p>
        </w:tc>
        <w:tc>
          <w:tcPr>
            <w:tcW w:w="2100" w:type="dxa"/>
            <w:vAlign w:val="bottom"/>
            <w:gridSpan w:val="2"/>
          </w:tcPr>
          <w:p>
            <w:pPr>
              <w:jc w:val="right"/>
              <w:spacing w:after="0" w:line="202" w:lineRule="exact"/>
              <w:rPr>
                <w:sz w:val="20"/>
                <w:szCs w:val="20"/>
                <w:color w:val="auto"/>
              </w:rPr>
            </w:pPr>
            <w:r>
              <w:rPr>
                <w:rFonts w:ascii="Arial" w:cs="Arial" w:eastAsia="Arial" w:hAnsi="Arial"/>
                <w:sz w:val="18"/>
                <w:szCs w:val="18"/>
                <w:color w:val="FF0000"/>
                <w:strike w:val="1"/>
              </w:rPr>
              <w:t>148</w:t>
            </w:r>
          </w:p>
        </w:tc>
        <w:tc>
          <w:tcPr>
            <w:tcW w:w="3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0000FF"/>
                <w:w w:val="86"/>
              </w:rPr>
              <w:t>149</w:t>
            </w:r>
          </w:p>
        </w:tc>
        <w:tc>
          <w:tcPr>
            <w:tcW w:w="0" w:type="dxa"/>
            <w:vAlign w:val="bottom"/>
          </w:tcPr>
          <w:p>
            <w:pPr>
              <w:spacing w:after="0"/>
              <w:rPr>
                <w:sz w:val="1"/>
                <w:szCs w:val="1"/>
                <w:color w:val="auto"/>
              </w:rPr>
            </w:pPr>
          </w:p>
        </w:tc>
      </w:tr>
      <w:tr>
        <w:trPr>
          <w:trHeight w:val="237"/>
        </w:trPr>
        <w:tc>
          <w:tcPr>
            <w:tcW w:w="980" w:type="dxa"/>
            <w:vAlign w:val="bottom"/>
            <w:vMerge w:val="continue"/>
          </w:tcPr>
          <w:p>
            <w:pPr>
              <w:spacing w:after="0"/>
              <w:rPr>
                <w:sz w:val="20"/>
                <w:szCs w:val="20"/>
                <w:color w:val="auto"/>
              </w:rPr>
            </w:pPr>
          </w:p>
        </w:tc>
        <w:tc>
          <w:tcPr>
            <w:tcW w:w="7860" w:type="dxa"/>
            <w:vAlign w:val="bottom"/>
            <w:gridSpan w:val="4"/>
            <w:vMerge w:val="continue"/>
          </w:tcPr>
          <w:p>
            <w:pPr>
              <w:spacing w:after="0"/>
              <w:rPr>
                <w:sz w:val="20"/>
                <w:szCs w:val="20"/>
                <w:color w:val="auto"/>
              </w:rPr>
            </w:pP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13.21</w:t>
            </w:r>
          </w:p>
        </w:tc>
        <w:tc>
          <w:tcPr>
            <w:tcW w:w="786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rPr>
              <w:t>No Fiduciary Duty</w:t>
            </w:r>
          </w:p>
        </w:tc>
        <w:tc>
          <w:tcPr>
            <w:tcW w:w="24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3"/>
        </w:trPr>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13.22</w:t>
            </w:r>
          </w:p>
        </w:tc>
        <w:tc>
          <w:tcPr>
            <w:tcW w:w="3460" w:type="dxa"/>
            <w:vAlign w:val="bottom"/>
          </w:tcPr>
          <w:p>
            <w:pPr>
              <w:ind w:left="180"/>
              <w:spacing w:after="0" w:line="202" w:lineRule="exact"/>
              <w:rPr>
                <w:sz w:val="20"/>
                <w:szCs w:val="20"/>
                <w:color w:val="auto"/>
              </w:rPr>
            </w:pPr>
            <w:r>
              <w:rPr>
                <w:rFonts w:ascii="Arial" w:cs="Arial" w:eastAsia="Arial" w:hAnsi="Arial"/>
                <w:sz w:val="18"/>
                <w:szCs w:val="18"/>
                <w:color w:val="auto"/>
                <w:w w:val="93"/>
              </w:rPr>
              <w:t>Acknowledgement and Consent to Bail-In of</w:t>
            </w:r>
          </w:p>
        </w:tc>
        <w:tc>
          <w:tcPr>
            <w:tcW w:w="360" w:type="dxa"/>
            <w:vAlign w:val="bottom"/>
          </w:tcPr>
          <w:p>
            <w:pPr>
              <w:spacing w:after="0" w:line="202" w:lineRule="exact"/>
              <w:rPr>
                <w:sz w:val="20"/>
                <w:szCs w:val="20"/>
                <w:color w:val="auto"/>
              </w:rPr>
            </w:pPr>
            <w:r>
              <w:rPr>
                <w:rFonts w:ascii="Arial" w:cs="Arial" w:eastAsia="Arial" w:hAnsi="Arial"/>
                <w:sz w:val="18"/>
                <w:szCs w:val="18"/>
                <w:color w:val="EE2724"/>
                <w:strike w:val="1"/>
                <w:w w:val="94"/>
              </w:rPr>
              <w:t>EEA</w:t>
            </w:r>
          </w:p>
        </w:tc>
        <w:tc>
          <w:tcPr>
            <w:tcW w:w="4040" w:type="dxa"/>
            <w:vAlign w:val="bottom"/>
            <w:gridSpan w:val="2"/>
          </w:tcPr>
          <w:p>
            <w:pPr>
              <w:spacing w:after="0" w:line="202" w:lineRule="exact"/>
              <w:rPr>
                <w:sz w:val="20"/>
                <w:szCs w:val="20"/>
                <w:color w:val="auto"/>
              </w:rPr>
            </w:pPr>
            <w:r>
              <w:rPr>
                <w:rFonts w:ascii="Arial" w:cs="Arial" w:eastAsia="Arial" w:hAnsi="Arial"/>
                <w:sz w:val="18"/>
                <w:szCs w:val="18"/>
                <w:color w:val="0528EE"/>
              </w:rPr>
              <w:t xml:space="preserve">Affected </w:t>
            </w:r>
            <w:r>
              <w:rPr>
                <w:rFonts w:ascii="Arial" w:cs="Arial" w:eastAsia="Arial" w:hAnsi="Arial"/>
                <w:sz w:val="18"/>
                <w:szCs w:val="18"/>
                <w:color w:val="000000"/>
              </w:rPr>
              <w:t>Financial Institutions</w:t>
            </w:r>
          </w:p>
        </w:tc>
        <w:tc>
          <w:tcPr>
            <w:tcW w:w="2400" w:type="dxa"/>
            <w:vAlign w:val="bottom"/>
            <w:gridSpan w:val="4"/>
          </w:tcPr>
          <w:p>
            <w:pPr>
              <w:jc w:val="right"/>
              <w:ind w:right="20"/>
              <w:spacing w:after="0" w:line="202"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3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Borders>
              <w:top w:val="single" w:sz="8" w:color="0528EE"/>
            </w:tcBorders>
          </w:tcPr>
          <w:p>
            <w:pPr>
              <w:spacing w:after="0"/>
              <w:rPr>
                <w:sz w:val="4"/>
                <w:szCs w:val="4"/>
                <w:color w:val="auto"/>
              </w:rPr>
            </w:pPr>
          </w:p>
        </w:tc>
        <w:tc>
          <w:tcPr>
            <w:tcW w:w="34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9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13.23</w:t>
            </w:r>
          </w:p>
        </w:tc>
        <w:tc>
          <w:tcPr>
            <w:tcW w:w="7860" w:type="dxa"/>
            <w:vAlign w:val="bottom"/>
            <w:gridSpan w:val="4"/>
            <w:vMerge w:val="restart"/>
            <w:shd w:val="clear" w:color="auto" w:fill="CCEEFF"/>
          </w:tcPr>
          <w:p>
            <w:pPr>
              <w:ind w:left="180"/>
              <w:spacing w:after="0"/>
              <w:rPr>
                <w:sz w:val="20"/>
                <w:szCs w:val="20"/>
                <w:color w:val="auto"/>
              </w:rPr>
            </w:pPr>
            <w:r>
              <w:rPr>
                <w:rFonts w:ascii="Arial" w:cs="Arial" w:eastAsia="Arial" w:hAnsi="Arial"/>
                <w:sz w:val="18"/>
                <w:szCs w:val="18"/>
                <w:color w:val="auto"/>
              </w:rPr>
              <w:t>Acknowledgement Regarding Any Supported QFCs</w:t>
            </w:r>
          </w:p>
        </w:tc>
        <w:tc>
          <w:tcPr>
            <w:tcW w:w="2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FF0000"/>
                <w:strike w:val="1"/>
              </w:rPr>
              <w:t>149</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0000FF"/>
                <w:w w:val="86"/>
              </w:rPr>
              <w:t>150</w:t>
            </w:r>
          </w:p>
        </w:tc>
        <w:tc>
          <w:tcPr>
            <w:tcW w:w="0" w:type="dxa"/>
            <w:vAlign w:val="bottom"/>
          </w:tcPr>
          <w:p>
            <w:pPr>
              <w:spacing w:after="0"/>
              <w:rPr>
                <w:sz w:val="1"/>
                <w:szCs w:val="1"/>
                <w:color w:val="auto"/>
              </w:rPr>
            </w:pPr>
          </w:p>
        </w:tc>
      </w:tr>
      <w:tr>
        <w:trPr>
          <w:trHeight w:val="237"/>
        </w:trPr>
        <w:tc>
          <w:tcPr>
            <w:tcW w:w="980" w:type="dxa"/>
            <w:vAlign w:val="bottom"/>
            <w:tcBorders>
              <w:top w:val="single" w:sz="8" w:color="CCEEFF"/>
            </w:tcBorders>
            <w:vMerge w:val="continue"/>
            <w:shd w:val="clear" w:color="auto" w:fill="CCEEFF"/>
          </w:tcPr>
          <w:p>
            <w:pPr>
              <w:spacing w:after="0"/>
              <w:rPr>
                <w:sz w:val="20"/>
                <w:szCs w:val="20"/>
                <w:color w:val="auto"/>
              </w:rPr>
            </w:pPr>
          </w:p>
        </w:tc>
        <w:tc>
          <w:tcPr>
            <w:tcW w:w="7860" w:type="dxa"/>
            <w:vAlign w:val="bottom"/>
            <w:tcBorders>
              <w:top w:val="single" w:sz="8" w:color="CCEEFF"/>
            </w:tcBorders>
            <w:gridSpan w:val="4"/>
            <w:vMerge w:val="continue"/>
            <w:shd w:val="clear" w:color="auto" w:fill="CCEEFF"/>
          </w:tcPr>
          <w:p>
            <w:pPr>
              <w:spacing w:after="0"/>
              <w:rPr>
                <w:sz w:val="20"/>
                <w:szCs w:val="20"/>
                <w:color w:val="auto"/>
              </w:rPr>
            </w:pPr>
          </w:p>
        </w:tc>
        <w:tc>
          <w:tcPr>
            <w:tcW w:w="20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0000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80" w:type="dxa"/>
            <w:vAlign w:val="bottom"/>
            <w:shd w:val="clear" w:color="auto" w:fill="CCEEFF"/>
          </w:tcPr>
          <w:p>
            <w:pPr>
              <w:spacing w:after="0"/>
              <w:rPr>
                <w:sz w:val="2"/>
                <w:szCs w:val="2"/>
                <w:color w:val="auto"/>
              </w:rPr>
            </w:pPr>
          </w:p>
        </w:tc>
        <w:tc>
          <w:tcPr>
            <w:tcW w:w="34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SCHEDULES</w:t>
      </w:r>
    </w:p>
    <w:p>
      <w:pPr>
        <w:spacing w:after="0" w:line="3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Schedule 1.1(a)</w:t>
      </w:r>
      <w:r>
        <w:rPr>
          <w:sz w:val="20"/>
          <w:szCs w:val="20"/>
          <w:color w:val="auto"/>
        </w:rPr>
        <w:tab/>
      </w:r>
      <w:r>
        <w:rPr>
          <w:rFonts w:ascii="Arial" w:cs="Arial" w:eastAsia="Arial" w:hAnsi="Arial"/>
          <w:sz w:val="16"/>
          <w:szCs w:val="16"/>
          <w:color w:val="auto"/>
        </w:rPr>
        <w:t>Mortgaged Properties</w:t>
      </w:r>
    </w:p>
    <w:p>
      <w:pPr>
        <w:spacing w:after="0" w:line="23"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Schedule 1.1(b)</w:t>
      </w:r>
      <w:r>
        <w:rPr>
          <w:sz w:val="20"/>
          <w:szCs w:val="20"/>
          <w:color w:val="auto"/>
        </w:rPr>
        <w:tab/>
      </w:r>
      <w:r>
        <w:rPr>
          <w:rFonts w:ascii="Arial" w:cs="Arial" w:eastAsia="Arial" w:hAnsi="Arial"/>
          <w:sz w:val="16"/>
          <w:szCs w:val="16"/>
          <w:color w:val="auto"/>
        </w:rPr>
        <w:t>Commitments of Lenders</w:t>
      </w:r>
    </w:p>
    <w:p>
      <w:pPr>
        <w:spacing w:after="0" w:line="9"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Schedule 1.1(c)</w:t>
      </w:r>
      <w:r>
        <w:rPr>
          <w:sz w:val="20"/>
          <w:szCs w:val="20"/>
          <w:color w:val="auto"/>
        </w:rPr>
        <w:tab/>
      </w:r>
      <w:r>
        <w:rPr>
          <w:rFonts w:ascii="Arial" w:cs="Arial" w:eastAsia="Arial" w:hAnsi="Arial"/>
          <w:sz w:val="16"/>
          <w:szCs w:val="16"/>
          <w:color w:val="auto"/>
        </w:rPr>
        <w:t>Existing Letters of Credit</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Schedule 8.14</w:t>
      </w:r>
      <w:r>
        <w:rPr>
          <w:sz w:val="20"/>
          <w:szCs w:val="20"/>
          <w:color w:val="auto"/>
        </w:rPr>
        <w:tab/>
      </w:r>
      <w:r>
        <w:rPr>
          <w:rFonts w:ascii="Arial" w:cs="Arial" w:eastAsia="Arial" w:hAnsi="Arial"/>
          <w:sz w:val="16"/>
          <w:szCs w:val="16"/>
          <w:color w:val="auto"/>
        </w:rPr>
        <w:t>Subsidiaries</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Schedule 8.16</w:t>
      </w:r>
      <w:r>
        <w:rPr>
          <w:sz w:val="20"/>
          <w:szCs w:val="20"/>
          <w:color w:val="auto"/>
        </w:rPr>
        <w:tab/>
      </w:r>
      <w:r>
        <w:rPr>
          <w:rFonts w:ascii="Arial" w:cs="Arial" w:eastAsia="Arial" w:hAnsi="Arial"/>
          <w:sz w:val="16"/>
          <w:szCs w:val="16"/>
          <w:color w:val="auto"/>
        </w:rPr>
        <w:t>Environmental</w:t>
      </w:r>
    </w:p>
    <w:p>
      <w:pPr>
        <w:spacing w:after="0" w:line="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FF0000"/>
          <w:strike w:val="1"/>
        </w:rPr>
        <w:t>[</w:t>
      </w:r>
      <w:r>
        <w:rPr>
          <w:rFonts w:ascii="Arial" w:cs="Arial" w:eastAsia="Arial" w:hAnsi="Arial"/>
          <w:sz w:val="18"/>
          <w:szCs w:val="18"/>
          <w:color w:val="000000"/>
        </w:rPr>
        <w:t>Schedule 9.14</w:t>
      </w:r>
      <w:r>
        <w:rPr>
          <w:sz w:val="20"/>
          <w:szCs w:val="20"/>
          <w:color w:val="auto"/>
        </w:rPr>
        <w:tab/>
      </w:r>
      <w:r>
        <w:rPr>
          <w:rFonts w:ascii="Arial" w:cs="Arial" w:eastAsia="Arial" w:hAnsi="Arial"/>
          <w:sz w:val="16"/>
          <w:szCs w:val="16"/>
          <w:color w:val="auto"/>
        </w:rPr>
        <w:t>Post-Closing Actions</w:t>
      </w:r>
      <w:r>
        <w:rPr>
          <w:rFonts w:ascii="Arial" w:cs="Arial" w:eastAsia="Arial" w:hAnsi="Arial"/>
          <w:sz w:val="16"/>
          <w:szCs w:val="16"/>
          <w:color w:val="FF0000"/>
          <w:strike w:val="1"/>
        </w:rPr>
        <w:t>]</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Schedule 10.1</w:t>
      </w:r>
      <w:r>
        <w:rPr>
          <w:sz w:val="20"/>
          <w:szCs w:val="20"/>
          <w:color w:val="auto"/>
        </w:rPr>
        <w:tab/>
      </w:r>
      <w:r>
        <w:rPr>
          <w:rFonts w:ascii="Arial" w:cs="Arial" w:eastAsia="Arial" w:hAnsi="Arial"/>
          <w:sz w:val="16"/>
          <w:szCs w:val="16"/>
          <w:color w:val="auto"/>
        </w:rPr>
        <w:t>Restatement Effective Date Indebtedness</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Schedule 10.2</w:t>
      </w:r>
      <w:r>
        <w:rPr>
          <w:sz w:val="20"/>
          <w:szCs w:val="20"/>
          <w:color w:val="auto"/>
        </w:rPr>
        <w:tab/>
      </w:r>
      <w:r>
        <w:rPr>
          <w:rFonts w:ascii="Arial" w:cs="Arial" w:eastAsia="Arial" w:hAnsi="Arial"/>
          <w:sz w:val="16"/>
          <w:szCs w:val="16"/>
          <w:color w:val="auto"/>
        </w:rPr>
        <w:t>Restatement Effective Date Liens</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Schedule 10.5</w:t>
      </w:r>
      <w:r>
        <w:rPr>
          <w:sz w:val="20"/>
          <w:szCs w:val="20"/>
          <w:color w:val="auto"/>
        </w:rPr>
        <w:tab/>
      </w:r>
      <w:r>
        <w:rPr>
          <w:rFonts w:ascii="Arial" w:cs="Arial" w:eastAsia="Arial" w:hAnsi="Arial"/>
          <w:sz w:val="16"/>
          <w:szCs w:val="16"/>
          <w:color w:val="auto"/>
        </w:rPr>
        <w:t>Restatement Effective Date Investments</w:t>
      </w:r>
    </w:p>
    <w:p>
      <w:pPr>
        <w:spacing w:after="0" w:line="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Schedule 13.2</w:t>
      </w:r>
      <w:r>
        <w:rPr>
          <w:sz w:val="20"/>
          <w:szCs w:val="20"/>
          <w:color w:val="auto"/>
        </w:rPr>
        <w:tab/>
      </w:r>
      <w:r>
        <w:rPr>
          <w:rFonts w:ascii="Arial" w:cs="Arial" w:eastAsia="Arial" w:hAnsi="Arial"/>
          <w:sz w:val="16"/>
          <w:szCs w:val="16"/>
          <w:color w:val="auto"/>
        </w:rPr>
        <w:t>Notice Addresses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p>
    <w:p>
      <w:pPr>
        <w:spacing w:after="0" w:line="3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Form of Joinder Agreement</w:t>
      </w:r>
    </w:p>
    <w:p>
      <w:pPr>
        <w:spacing w:after="0" w:line="2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[Reserved]</w:t>
      </w:r>
    </w:p>
    <w:p>
      <w:pPr>
        <w:spacing w:after="0" w:line="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[Reserved]</w:t>
      </w:r>
    </w:p>
    <w:p>
      <w:pPr>
        <w:spacing w:after="0" w:line="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[Reserved]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40"/>
          </w:cols>
          <w:pgMar w:left="320" w:top="315" w:right="339" w:bottom="1440" w:gutter="0" w:footer="0" w:header="0"/>
        </w:sectPr>
      </w:pPr>
    </w:p>
    <w:bookmarkStart w:id="81" w:name="page82"/>
    <w:bookmarkEnd w:id="81"/>
    <w:p>
      <w:pPr>
        <w:spacing w:after="0"/>
        <w:tabs>
          <w:tab w:leader="none" w:pos="86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6"/>
          <w:szCs w:val="16"/>
          <w:color w:val="auto"/>
        </w:rPr>
        <w:t>Form of Credit Party Restatement Effective Certificate</w:t>
      </w:r>
    </w:p>
    <w:p>
      <w:pPr>
        <w:spacing w:after="0" w:line="2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Exhibit F</w:t>
      </w:r>
      <w:r>
        <w:rPr>
          <w:sz w:val="20"/>
          <w:szCs w:val="20"/>
          <w:color w:val="auto"/>
        </w:rPr>
        <w:tab/>
      </w:r>
      <w:r>
        <w:rPr>
          <w:rFonts w:ascii="Arial" w:cs="Arial" w:eastAsia="Arial" w:hAnsi="Arial"/>
          <w:sz w:val="16"/>
          <w:szCs w:val="16"/>
          <w:color w:val="auto"/>
        </w:rPr>
        <w:t>Form of Assignment and Acceptance</w:t>
      </w:r>
    </w:p>
    <w:p>
      <w:pPr>
        <w:spacing w:after="0" w:line="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Exhibit G-1</w:t>
      </w:r>
      <w:r>
        <w:rPr>
          <w:sz w:val="20"/>
          <w:szCs w:val="20"/>
          <w:color w:val="auto"/>
        </w:rPr>
        <w:tab/>
      </w:r>
      <w:r>
        <w:rPr>
          <w:rFonts w:ascii="Arial" w:cs="Arial" w:eastAsia="Arial" w:hAnsi="Arial"/>
          <w:sz w:val="16"/>
          <w:szCs w:val="16"/>
          <w:color w:val="auto"/>
        </w:rPr>
        <w:t>Form of Promissory Note (Term A Loans)</w:t>
      </w:r>
    </w:p>
    <w:p>
      <w:pPr>
        <w:spacing w:after="0" w:line="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Exhibit G-2</w:t>
      </w:r>
      <w:r>
        <w:rPr>
          <w:sz w:val="20"/>
          <w:szCs w:val="20"/>
          <w:color w:val="auto"/>
        </w:rPr>
        <w:tab/>
      </w:r>
      <w:r>
        <w:rPr>
          <w:rFonts w:ascii="Arial" w:cs="Arial" w:eastAsia="Arial" w:hAnsi="Arial"/>
          <w:sz w:val="16"/>
          <w:szCs w:val="16"/>
          <w:color w:val="auto"/>
        </w:rPr>
        <w:t>Form of Promissory Note (Revolving Credit Loans)</w:t>
      </w:r>
    </w:p>
    <w:p>
      <w:pPr>
        <w:spacing w:after="0" w:line="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Exhibit H</w:t>
      </w:r>
      <w:r>
        <w:rPr>
          <w:sz w:val="20"/>
          <w:szCs w:val="20"/>
          <w:color w:val="auto"/>
        </w:rPr>
        <w:tab/>
      </w:r>
      <w:r>
        <w:rPr>
          <w:rFonts w:ascii="Arial" w:cs="Arial" w:eastAsia="Arial" w:hAnsi="Arial"/>
          <w:sz w:val="16"/>
          <w:szCs w:val="16"/>
          <w:color w:val="auto"/>
        </w:rPr>
        <w:t>Form of First Lien Intercreditor Agreement</w:t>
      </w:r>
    </w:p>
    <w:p>
      <w:pPr>
        <w:spacing w:after="0" w:line="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Exhibit I</w:t>
      </w:r>
      <w:r>
        <w:rPr>
          <w:sz w:val="20"/>
          <w:szCs w:val="20"/>
          <w:color w:val="auto"/>
        </w:rPr>
        <w:tab/>
      </w:r>
      <w:r>
        <w:rPr>
          <w:rFonts w:ascii="Arial" w:cs="Arial" w:eastAsia="Arial" w:hAnsi="Arial"/>
          <w:sz w:val="16"/>
          <w:szCs w:val="16"/>
          <w:color w:val="auto"/>
        </w:rPr>
        <w:t>Form of Second Lien Intercreditor Agreement</w:t>
      </w:r>
    </w:p>
    <w:p>
      <w:pPr>
        <w:sectPr>
          <w:pgSz w:w="11900" w:h="16838" w:orient="portrait"/>
          <w:cols w:equalWidth="0" w:num="1">
            <w:col w:w="10139"/>
          </w:cols>
          <w:pgMar w:left="320" w:top="341" w:right="1440" w:bottom="1440" w:gutter="0" w:footer="0" w:header="0"/>
        </w:sectPr>
      </w:pPr>
    </w:p>
    <w:p>
      <w:pPr>
        <w:spacing w:after="0" w:line="9" w:lineRule="exact"/>
        <w:rPr>
          <w:sz w:val="20"/>
          <w:szCs w:val="20"/>
          <w:color w:val="auto"/>
        </w:rPr>
      </w:pPr>
    </w:p>
    <w:p>
      <w:pPr>
        <w:jc w:val="both"/>
        <w:ind w:right="20"/>
        <w:spacing w:after="0" w:line="530" w:lineRule="auto"/>
        <w:rPr>
          <w:sz w:val="20"/>
          <w:szCs w:val="20"/>
          <w:color w:val="auto"/>
        </w:rPr>
      </w:pPr>
      <w:r>
        <w:rPr>
          <w:rFonts w:ascii="Arial" w:cs="Arial" w:eastAsia="Arial" w:hAnsi="Arial"/>
          <w:sz w:val="17"/>
          <w:szCs w:val="17"/>
          <w:color w:val="auto"/>
        </w:rPr>
        <w:t>Exhibit J-1 Exhibit J-2 Exhibit J-3 Exhibit J-4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Form of Non-Bank Tax Certificate</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(For Non-U.S. Lenders That Are Not Partnerships For U.S. Federal Income Tax Purposes)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 of Non-Bank Tax Certificate</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(For Non-U.S. Lenders That Are Partnerships For U.S. Federal Income Tax Purposes)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Form of Non-Bank Tax Certificate</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(For Non-U.S. Participants That Are Not Partnerships For U.S. Federal Income Tax Purposes)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 of Non-Bank Tax Certificate</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(For Foreign Participants That Are Partnerships For U.S. Federal Income Tax Purposes)</w:t>
      </w:r>
    </w:p>
    <w:p>
      <w:pPr>
        <w:spacing w:after="0" w:line="20" w:lineRule="exact"/>
        <w:rPr>
          <w:sz w:val="20"/>
          <w:szCs w:val="20"/>
          <w:color w:val="auto"/>
        </w:rPr>
      </w:pPr>
    </w:p>
    <w:p>
      <w:pPr>
        <w:sectPr>
          <w:pgSz w:w="11900" w:h="16838" w:orient="portrait"/>
          <w:cols w:equalWidth="0" w:num="2">
            <w:col w:w="820" w:space="720"/>
            <w:col w:w="8599"/>
          </w:cols>
          <w:pgMar w:left="320" w:top="341" w:right="1440" w:bottom="1440" w:gutter="0" w:footer="0" w:header="0"/>
          <w:type w:val="continuous"/>
        </w:sectPr>
      </w:pPr>
    </w:p>
    <w:p>
      <w:pPr>
        <w:ind w:right="4859"/>
        <w:spacing w:after="0" w:line="255" w:lineRule="auto"/>
        <w:rPr>
          <w:sz w:val="20"/>
          <w:szCs w:val="20"/>
          <w:color w:val="auto"/>
        </w:rPr>
      </w:pPr>
      <w:r>
        <w:rPr>
          <w:rFonts w:ascii="Arial" w:cs="Arial" w:eastAsia="Arial" w:hAnsi="Arial"/>
          <w:sz w:val="18"/>
          <w:szCs w:val="18"/>
          <w:color w:val="auto"/>
        </w:rPr>
        <w:t>Exhibit K Form of Notice of Borrowing or Continuation or Conversion Exhibit L Form of Letter of Credit Request Exhibit M Form of Hedge Bank Designation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-v-</w:t>
      </w:r>
    </w:p>
    <w:p>
      <w:pPr>
        <w:sectPr>
          <w:pgSz w:w="11900" w:h="16838" w:orient="portrait"/>
          <w:cols w:equalWidth="0" w:num="1">
            <w:col w:w="10139"/>
          </w:cols>
          <w:pgMar w:left="320" w:top="341" w:right="1440" w:bottom="1440" w:gutter="0" w:footer="0" w:header="0"/>
          <w:type w:val="continuous"/>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AMENDED AND RESTATED CREDIT AGREEMENT</w:t>
      </w:r>
    </w:p>
    <w:p>
      <w:pPr>
        <w:spacing w:after="0" w:line="229"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AMENDED AND RESTATED CREDIT AGREEMENT, dated as of July 18, 2019 (as amended, amended and restated, supplemented or otherwise modified from time to time), among NAUTILUS ACQUISITION HOLDINGS, INC., a Delaware corporation (“</w:t>
      </w:r>
      <w:r>
        <w:rPr>
          <w:rFonts w:ascii="Arial" w:cs="Arial" w:eastAsia="Arial" w:hAnsi="Arial"/>
          <w:sz w:val="16"/>
          <w:szCs w:val="16"/>
          <w:b w:val="1"/>
          <w:bCs w:val="1"/>
          <w:color w:val="auto"/>
        </w:rPr>
        <w:t>Holdings</w:t>
      </w:r>
      <w:r>
        <w:rPr>
          <w:rFonts w:ascii="Arial" w:cs="Arial" w:eastAsia="Arial" w:hAnsi="Arial"/>
          <w:sz w:val="16"/>
          <w:szCs w:val="16"/>
          <w:color w:val="auto"/>
        </w:rPr>
        <w:t>”), National Vision, Inc., a Georgia corporation (the “</w:t>
      </w:r>
      <w:r>
        <w:rPr>
          <w:rFonts w:ascii="Arial" w:cs="Arial" w:eastAsia="Arial" w:hAnsi="Arial"/>
          <w:sz w:val="16"/>
          <w:szCs w:val="16"/>
          <w:b w:val="1"/>
          <w:bCs w:val="1"/>
          <w:color w:val="auto"/>
        </w:rPr>
        <w:t>Borrower</w:t>
      </w:r>
      <w:r>
        <w:rPr>
          <w:rFonts w:ascii="Arial" w:cs="Arial" w:eastAsia="Arial" w:hAnsi="Arial"/>
          <w:sz w:val="16"/>
          <w:szCs w:val="16"/>
          <w:color w:val="auto"/>
        </w:rPr>
        <w:t>”), the lending institutions from time to time parties hereto (each a “</w:t>
      </w:r>
      <w:r>
        <w:rPr>
          <w:rFonts w:ascii="Arial" w:cs="Arial" w:eastAsia="Arial" w:hAnsi="Arial"/>
          <w:sz w:val="16"/>
          <w:szCs w:val="16"/>
          <w:b w:val="1"/>
          <w:bCs w:val="1"/>
          <w:color w:val="auto"/>
        </w:rPr>
        <w:t>Lender</w:t>
      </w:r>
      <w:r>
        <w:rPr>
          <w:rFonts w:ascii="Arial" w:cs="Arial" w:eastAsia="Arial" w:hAnsi="Arial"/>
          <w:sz w:val="16"/>
          <w:szCs w:val="16"/>
          <w:color w:val="auto"/>
        </w:rPr>
        <w:t>” and, collectively, together with the Swingline Lender, the “</w:t>
      </w:r>
      <w:r>
        <w:rPr>
          <w:rFonts w:ascii="Arial" w:cs="Arial" w:eastAsia="Arial" w:hAnsi="Arial"/>
          <w:sz w:val="16"/>
          <w:szCs w:val="16"/>
          <w:b w:val="1"/>
          <w:bCs w:val="1"/>
          <w:color w:val="auto"/>
        </w:rPr>
        <w:t>Lenders</w:t>
      </w:r>
      <w:r>
        <w:rPr>
          <w:rFonts w:ascii="Arial" w:cs="Arial" w:eastAsia="Arial" w:hAnsi="Arial"/>
          <w:sz w:val="16"/>
          <w:szCs w:val="16"/>
          <w:color w:val="auto"/>
        </w:rPr>
        <w:t xml:space="preserve">”), BANK OF AMERICA, N.A., as the Swingline Lender, the Administrative Agent and the Collateral Agent (such terms and each other capitalized term used but not defined in this preamble having the meaning provided in </w:t>
      </w:r>
      <w:r>
        <w:rPr>
          <w:rFonts w:ascii="Arial" w:cs="Arial" w:eastAsia="Arial" w:hAnsi="Arial"/>
          <w:sz w:val="16"/>
          <w:szCs w:val="16"/>
          <w:u w:val="single" w:color="auto"/>
          <w:color w:val="auto"/>
        </w:rPr>
        <w:t>Section 1</w:t>
      </w:r>
      <w:r>
        <w:rPr>
          <w:rFonts w:ascii="Arial" w:cs="Arial" w:eastAsia="Arial" w:hAnsi="Arial"/>
          <w:sz w:val="16"/>
          <w:szCs w:val="16"/>
          <w:color w:val="auto"/>
        </w:rPr>
        <w:t>) and each Letter of Credit Issuer.</w:t>
      </w:r>
    </w:p>
    <w:p>
      <w:pPr>
        <w:spacing w:after="0" w:line="161"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WHEREAS, the Borrower, Holdings, certain lenders and Goldman Sachs Bank USA, in its capacity as administrative agent and collateral agent (in such capacities, the “</w:t>
      </w:r>
      <w:r>
        <w:rPr>
          <w:rFonts w:ascii="Arial" w:cs="Arial" w:eastAsia="Arial" w:hAnsi="Arial"/>
          <w:sz w:val="18"/>
          <w:szCs w:val="18"/>
          <w:b w:val="1"/>
          <w:bCs w:val="1"/>
          <w:color w:val="auto"/>
        </w:rPr>
        <w:t>Former Agent</w:t>
      </w:r>
      <w:r>
        <w:rPr>
          <w:rFonts w:ascii="Arial" w:cs="Arial" w:eastAsia="Arial" w:hAnsi="Arial"/>
          <w:sz w:val="18"/>
          <w:szCs w:val="18"/>
          <w:color w:val="auto"/>
        </w:rPr>
        <w:t>”), entered into that certain First Lien Credit Agreement dated as of March 13, 2014 (as amended, supplemented or otherwise modified prior to the Restatement Effective Date, the “</w:t>
      </w:r>
      <w:r>
        <w:rPr>
          <w:rFonts w:ascii="Arial" w:cs="Arial" w:eastAsia="Arial" w:hAnsi="Arial"/>
          <w:sz w:val="18"/>
          <w:szCs w:val="18"/>
          <w:b w:val="1"/>
          <w:bCs w:val="1"/>
          <w:color w:val="auto"/>
        </w:rPr>
        <w:t>Original Credit Agreement</w:t>
      </w:r>
      <w:r>
        <w:rPr>
          <w:rFonts w:ascii="Arial" w:cs="Arial" w:eastAsia="Arial" w:hAnsi="Arial"/>
          <w:sz w:val="18"/>
          <w:szCs w:val="18"/>
          <w:color w:val="auto"/>
        </w:rPr>
        <w:t>”);</w:t>
      </w:r>
    </w:p>
    <w:p>
      <w:pPr>
        <w:spacing w:after="0" w:line="184"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WHEREAS, pursuant to the Restatement Agreement (as defined below), the Borrower has requested that the Required Lenders amend and restate the Original Credit Agreement and that the Lenders provide new Term A Loans in an aggregate principal amount of up to $420,000,000 and a new Revolving Credit Facility in an aggregate principal amount of up to $300,000,000, the proceeds of which are to be used (i) to redeem, defease, refinance or repay certain existing indebtedness of the Borrower and its Subsidiaries, including all amounts outstanding (other than contingent obligations) under the Original Credit Agreement immediately prior to the Restatement Effective Date (the “</w:t>
      </w:r>
      <w:r>
        <w:rPr>
          <w:rFonts w:ascii="Arial" w:cs="Arial" w:eastAsia="Arial" w:hAnsi="Arial"/>
          <w:sz w:val="17"/>
          <w:szCs w:val="17"/>
          <w:b w:val="1"/>
          <w:bCs w:val="1"/>
          <w:color w:val="auto"/>
        </w:rPr>
        <w:t>Restatement Date Refinancing</w:t>
      </w:r>
      <w:r>
        <w:rPr>
          <w:rFonts w:ascii="Arial" w:cs="Arial" w:eastAsia="Arial" w:hAnsi="Arial"/>
          <w:sz w:val="17"/>
          <w:szCs w:val="17"/>
          <w:color w:val="auto"/>
        </w:rPr>
        <w:t>”), (ii) to pay fees and expenses incurred in connection with the Transactions (as defined below) and (iii) for general corporate purposes;</w:t>
      </w:r>
    </w:p>
    <w:p>
      <w:pPr>
        <w:spacing w:after="0" w:line="17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WHEREAS, the Lenders and Letter of Credit Issuers are willing to make available to the Borrower such term loan and revolving credit and letter of credit facilities upon the terms and subject to the conditions set forth herein;</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WHEREAS, the Lenders party to the Restatement Agreement have consented to the amendment and restatement of the Original Credit Agreement and such Lenders are willing to provide the facilities described above, in each case, subject to terms and conditions set forth in the Restatement Agreement;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it is the intent of the parties hereto that this Agreement amend and restate in its entirety the Original Credit Agreement; and</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the premises and the covenants and agreements contained herein, the parties hereto hereby agree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spacing w:after="0"/>
        <w:tabs>
          <w:tab w:leader="none" w:pos="196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u w:val="single" w:color="auto"/>
          <w:color w:val="auto"/>
        </w:rPr>
        <w:t>Definitions</w:t>
      </w:r>
    </w:p>
    <w:p>
      <w:pPr>
        <w:spacing w:after="0" w:line="225" w:lineRule="exact"/>
        <w:rPr>
          <w:sz w:val="20"/>
          <w:szCs w:val="20"/>
          <w:color w:val="auto"/>
        </w:rPr>
      </w:pPr>
    </w:p>
    <w:p>
      <w:pPr>
        <w:ind w:right="540" w:firstLine="648"/>
        <w:spacing w:after="0" w:line="34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Defined Terms</w:t>
      </w:r>
      <w:r>
        <w:rPr>
          <w:rFonts w:ascii="Arial" w:cs="Arial" w:eastAsia="Arial" w:hAnsi="Arial"/>
          <w:sz w:val="16"/>
          <w:szCs w:val="16"/>
          <w:color w:val="auto"/>
        </w:rPr>
        <w:t xml:space="preserve">. As used herein, the following terms shall have the meanings specified in this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unless the context otherwise requires (it being understood that defined terms in this Agreement shall include in the singular number the plural and in the plural the singular):</w:t>
      </w:r>
    </w:p>
    <w:p>
      <w:pPr>
        <w:spacing w:after="0" w:line="12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ABR</w:t>
      </w:r>
      <w:r>
        <w:rPr>
          <w:rFonts w:ascii="Arial" w:cs="Arial" w:eastAsia="Arial" w:hAnsi="Arial"/>
          <w:sz w:val="17"/>
          <w:szCs w:val="17"/>
          <w:color w:val="auto"/>
        </w:rPr>
        <w:t xml:space="preserve">” shall mean for any day a fluctuating rate per annum equal to the highest of (i) the Federal Funds Effective Rate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1/2 of 1%, (ii) the rate of interest in effect for such day as announced from time to time by the Administrative Agent as its “prime rate” at its principal office in New York City and (iii) the rate per annum determined in the manner set forth in clause (ii) of the definition of “LIBOR Rate”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the foregoing, in no event shall the ABR at any time be less than </w:t>
      </w:r>
      <w:r>
        <w:rPr>
          <w:rFonts w:ascii="Arial" w:cs="Arial" w:eastAsia="Arial" w:hAnsi="Arial"/>
          <w:sz w:val="17"/>
          <w:szCs w:val="17"/>
          <w:color w:val="FF0000"/>
          <w:strike w:val="1"/>
        </w:rPr>
        <w:t>1.00</w:t>
      </w:r>
      <w:r>
        <w:rPr>
          <w:rFonts w:ascii="Arial" w:cs="Arial" w:eastAsia="Arial" w:hAnsi="Arial"/>
          <w:sz w:val="17"/>
          <w:szCs w:val="17"/>
          <w:u w:val="single" w:color="auto"/>
          <w:color w:val="0000FF"/>
        </w:rPr>
        <w:t>2.00</w:t>
      </w:r>
      <w:r>
        <w:rPr>
          <w:rFonts w:ascii="Arial" w:cs="Arial" w:eastAsia="Arial" w:hAnsi="Arial"/>
          <w:sz w:val="17"/>
          <w:szCs w:val="17"/>
          <w:color w:val="auto"/>
        </w:rPr>
        <w:t xml:space="preserve">% per annum.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ABR is being used as an alternate rate of interest pursuant to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hereof, then the ABR shall, subject</w:t>
      </w:r>
    </w:p>
    <w:p>
      <w:pPr>
        <w:sectPr>
          <w:pgSz w:w="11900" w:h="16838" w:orient="portrait"/>
          <w:cols w:equalWidth="0" w:num="1">
            <w:col w:w="11220"/>
          </w:cols>
          <w:pgMar w:left="320" w:top="337" w:right="359" w:bottom="1440" w:gutter="0" w:footer="0" w:header="0"/>
        </w:sectPr>
      </w:pPr>
    </w:p>
    <w:bookmarkStart w:id="83" w:name="page84"/>
    <w:bookmarkEnd w:id="83"/>
    <w:p>
      <w:pPr>
        <w:ind w:right="360"/>
        <w:spacing w:after="0" w:line="277" w:lineRule="auto"/>
        <w:rPr>
          <w:sz w:val="20"/>
          <w:szCs w:val="20"/>
          <w:color w:val="auto"/>
        </w:rPr>
      </w:pPr>
      <w:r>
        <w:rPr>
          <w:rFonts w:ascii="Arial" w:cs="Arial" w:eastAsia="Arial" w:hAnsi="Arial"/>
          <w:sz w:val="18"/>
          <w:szCs w:val="18"/>
          <w:color w:val="auto"/>
        </w:rPr>
        <w:t>to the proviso in the first sentence of this definition, be the greater of clauses (i) and (ii) above and shall be determined without reference to clause (iii) above.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ABR Loan</w:t>
      </w:r>
      <w:r>
        <w:rPr>
          <w:rFonts w:ascii="Arial" w:cs="Arial" w:eastAsia="Arial" w:hAnsi="Arial"/>
          <w:sz w:val="18"/>
          <w:szCs w:val="18"/>
          <w:color w:val="auto"/>
        </w:rPr>
        <w:t>” shall mean each Loan bearing interest based on the ABR.</w:t>
      </w:r>
    </w:p>
    <w:p>
      <w:pPr>
        <w:spacing w:after="0" w:line="225"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EBITDA</w:t>
      </w:r>
      <w:r>
        <w:rPr>
          <w:rFonts w:ascii="Arial" w:cs="Arial" w:eastAsia="Arial" w:hAnsi="Arial"/>
          <w:sz w:val="18"/>
          <w:szCs w:val="18"/>
          <w:color w:val="auto"/>
        </w:rPr>
        <w:t>” shall mean, with respect to any Acquired Entity or Business or any Converted Restricted Subsidiary (any of the foregoing, a “</w:t>
      </w:r>
      <w:r>
        <w:rPr>
          <w:rFonts w:ascii="Arial" w:cs="Arial" w:eastAsia="Arial" w:hAnsi="Arial"/>
          <w:sz w:val="18"/>
          <w:szCs w:val="18"/>
          <w:b w:val="1"/>
          <w:bCs w:val="1"/>
          <w:color w:val="auto"/>
        </w:rPr>
        <w:t>Pro Forma Entity</w:t>
      </w:r>
      <w:r>
        <w:rPr>
          <w:rFonts w:ascii="Arial" w:cs="Arial" w:eastAsia="Arial" w:hAnsi="Arial"/>
          <w:sz w:val="18"/>
          <w:szCs w:val="18"/>
          <w:color w:val="auto"/>
        </w:rPr>
        <w:t>”) for any period, the amount for such period of Consolidated EBITDA of such Pro Forma Entity (determined using such definitions as if references to Holdings and the Restricted Subsidiaries therein were to such Pro Forma Entity and its Restricted Subsidiaries), all as determined on a consolidated basis for such Pro Forma Entity in accordance with GAAP.</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Entity or Business</w:t>
      </w:r>
      <w:r>
        <w:rPr>
          <w:rFonts w:ascii="Arial" w:cs="Arial" w:eastAsia="Arial" w:hAnsi="Arial"/>
          <w:sz w:val="18"/>
          <w:szCs w:val="18"/>
          <w:color w:val="auto"/>
        </w:rPr>
        <w:t>” shall have the meaning provided in the definition of the term “Consolidated EBITDA”.</w:t>
      </w:r>
    </w:p>
    <w:p>
      <w:pPr>
        <w:spacing w:after="0" w:line="225"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Indebtedness</w:t>
      </w:r>
      <w:r>
        <w:rPr>
          <w:rFonts w:ascii="Arial" w:cs="Arial" w:eastAsia="Arial" w:hAnsi="Arial"/>
          <w:sz w:val="18"/>
          <w:szCs w:val="18"/>
          <w:color w:val="auto"/>
        </w:rPr>
        <w:t>” shall mean, with respect to any specified Person, (i) Indebtedness of any other Person existing at the time such other Person is merged, consolidated, or amalgamated with or into or became a Restricted Subsidiary of such specified Person and (ii) Indebtedness secured by a Lien encumbering any asset acquired by such specified Person.</w:t>
      </w:r>
    </w:p>
    <w:p>
      <w:pPr>
        <w:spacing w:after="0" w:line="176"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Additional Restrictions Period</w:t>
      </w:r>
      <w:r>
        <w:rPr>
          <w:rFonts w:ascii="Arial" w:cs="Arial" w:eastAsia="Arial" w:hAnsi="Arial"/>
          <w:sz w:val="18"/>
          <w:szCs w:val="18"/>
          <w:u w:val="single" w:color="auto"/>
          <w:color w:val="0000FF"/>
        </w:rPr>
        <w:t>” means the period commencing on the Amendment No. 1 Effective Date and ending on the earlier of (x) the last day of the Borrower's 2021 fiscal year and (y) any earlier date that a Responsible Officer of the Borrower delivers a certificate to the Administrative Agent electing to terminate the Additional Restrictions Period, so long as, in the case of this subclause (y), the Consolidated Total Debt to Consolidated EBITDA Ratio was equal to or less than 4.25 to 1.00 as of the last day of the most recently ended fiscal quarter for which Section 9.1 Financials have been delivered..</w:t>
      </w:r>
    </w:p>
    <w:p>
      <w:pPr>
        <w:spacing w:after="0" w:line="183"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Total Revolving Credit Commitment</w:t>
      </w:r>
      <w:r>
        <w:rPr>
          <w:rFonts w:ascii="Arial" w:cs="Arial" w:eastAsia="Arial" w:hAnsi="Arial"/>
          <w:sz w:val="18"/>
          <w:szCs w:val="18"/>
          <w:color w:val="auto"/>
        </w:rPr>
        <w:t>” shall mean at any time the Total Revolving Credit Commitment less the aggregate Revolving Credit Commitments of all Defaulting Lenders.</w:t>
      </w:r>
    </w:p>
    <w:p>
      <w:pPr>
        <w:spacing w:after="0" w:line="162"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Total Term A Loan Commitment</w:t>
      </w:r>
      <w:r>
        <w:rPr>
          <w:rFonts w:ascii="Arial" w:cs="Arial" w:eastAsia="Arial" w:hAnsi="Arial"/>
          <w:sz w:val="18"/>
          <w:szCs w:val="18"/>
          <w:color w:val="auto"/>
        </w:rPr>
        <w:t>” shall mean at any time the Total Term A Loan Commitment less the Term A Loan Commitments of all Defaulting Lenders.</w:t>
      </w:r>
    </w:p>
    <w:p>
      <w:pPr>
        <w:spacing w:after="0" w:line="162"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Total Term Loan Commitment</w:t>
      </w:r>
      <w:r>
        <w:rPr>
          <w:rFonts w:ascii="Arial" w:cs="Arial" w:eastAsia="Arial" w:hAnsi="Arial"/>
          <w:sz w:val="18"/>
          <w:szCs w:val="18"/>
          <w:color w:val="auto"/>
        </w:rPr>
        <w:t>” shall mean at any time the Total Term Loan Commitment less the Term Loan Commitments of all Defaulting Lenders.</w:t>
      </w:r>
    </w:p>
    <w:p>
      <w:pPr>
        <w:spacing w:after="0" w:line="162" w:lineRule="exact"/>
        <w:rPr>
          <w:sz w:val="20"/>
          <w:szCs w:val="20"/>
          <w:color w:val="auto"/>
        </w:rPr>
      </w:pPr>
    </w:p>
    <w:p>
      <w:pPr>
        <w:ind w:right="3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xml:space="preserve">” shall mean Bank of America, N.A., as the administrative agent for the Lenders under this Agreement and the other Credit Documents, or any successor administrative agent pursuant to </w:t>
      </w:r>
      <w:r>
        <w:rPr>
          <w:rFonts w:ascii="Arial" w:cs="Arial" w:eastAsia="Arial" w:hAnsi="Arial"/>
          <w:sz w:val="18"/>
          <w:szCs w:val="18"/>
          <w:u w:val="single" w:color="auto"/>
          <w:color w:val="auto"/>
        </w:rPr>
        <w:t>Section 12.9</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matters relating to the Original Credit Agreement or periods prior to the Restatement Effective Date, such term shall refer to the Former Agent.</w:t>
      </w:r>
    </w:p>
    <w:p>
      <w:pPr>
        <w:spacing w:after="0" w:line="176"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Agent’s Office</w:t>
      </w:r>
      <w:r>
        <w:rPr>
          <w:rFonts w:ascii="Arial" w:cs="Arial" w:eastAsia="Arial" w:hAnsi="Arial"/>
          <w:sz w:val="18"/>
          <w:szCs w:val="18"/>
          <w:color w:val="auto"/>
        </w:rPr>
        <w:t xml:space="preserve">” shall mean the Administrative Agent’s address and, as appropriate, account as set forth on </w:t>
      </w:r>
      <w:r>
        <w:rPr>
          <w:rFonts w:ascii="Arial" w:cs="Arial" w:eastAsia="Arial" w:hAnsi="Arial"/>
          <w:sz w:val="18"/>
          <w:szCs w:val="18"/>
          <w:u w:val="single" w:color="auto"/>
          <w:color w:val="auto"/>
        </w:rPr>
        <w:t>Schedule 13.2</w:t>
      </w:r>
      <w:r>
        <w:rPr>
          <w:rFonts w:ascii="Arial" w:cs="Arial" w:eastAsia="Arial" w:hAnsi="Arial"/>
          <w:sz w:val="18"/>
          <w:szCs w:val="18"/>
          <w:color w:val="auto"/>
        </w:rPr>
        <w:t xml:space="preserve"> or such other address or account as the Administrative Agent may from time to time notify the Borrower and the Lenders.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Questionnaire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13.6(b)(ii)(D)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Affected Financial Institution</w:t>
      </w:r>
      <w:r>
        <w:rPr>
          <w:rFonts w:ascii="Arial" w:cs="Arial" w:eastAsia="Arial" w:hAnsi="Arial"/>
          <w:sz w:val="18"/>
          <w:szCs w:val="18"/>
          <w:u w:val="single" w:color="auto"/>
          <w:color w:val="0000FF"/>
        </w:rPr>
        <w:t>” means (a) any EEA Financial Institution or (b) any UK Financial Institution.</w:t>
      </w:r>
    </w:p>
    <w:p>
      <w:pPr>
        <w:spacing w:after="0" w:line="225" w:lineRule="exact"/>
        <w:rPr>
          <w:sz w:val="20"/>
          <w:szCs w:val="20"/>
          <w:color w:val="auto"/>
        </w:rPr>
      </w:pPr>
    </w:p>
    <w:p>
      <w:pPr>
        <w:ind w:right="12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shall mean, with respect to any Person, any other Person directly or indirectly controlling, controlled by, or under direct or indirect common control with such Person. A Person shall be deemed to control another Person if such Person possesses, directly or indirectly, the power to direct or cause the direction of the management and policies of such other Person, whether through the ownership of voting securities, by contract or otherwise.</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341" w:right="379" w:bottom="1440" w:gutter="0" w:footer="0" w:header="0"/>
        </w:sectPr>
      </w:pPr>
    </w:p>
    <w:bookmarkStart w:id="84" w:name="page85"/>
    <w:bookmarkEnd w:id="8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 Parties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13.17(b)</w:t>
      </w:r>
      <w:r>
        <w:rPr>
          <w:rFonts w:ascii="Arial" w:cs="Arial" w:eastAsia="Arial" w:hAnsi="Arial"/>
          <w:sz w:val="18"/>
          <w:szCs w:val="18"/>
          <w:color w:val="auto"/>
        </w:rPr>
        <w:t>.</w:t>
      </w:r>
    </w:p>
    <w:p>
      <w:pPr>
        <w:spacing w:after="0" w:line="117"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Agents</w:t>
      </w:r>
      <w:r>
        <w:rPr>
          <w:rFonts w:ascii="Arial" w:cs="Arial" w:eastAsia="Arial" w:hAnsi="Arial"/>
          <w:sz w:val="18"/>
          <w:szCs w:val="18"/>
          <w:color w:val="auto"/>
        </w:rPr>
        <w:t>” shall mean the Administrative Agent, the Collateral Agent and each Syndication Agent, Documentation Agent and Joint Lead Arranger and Bookrunner.</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mean this Credit Agreement.</w:t>
      </w:r>
    </w:p>
    <w:p>
      <w:pPr>
        <w:spacing w:after="0" w:line="117"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0000FF"/>
        </w:rPr>
        <w:t>Amendment No. 1</w:t>
      </w:r>
      <w:r>
        <w:rPr>
          <w:rFonts w:ascii="Arial" w:cs="Arial" w:eastAsia="Arial" w:hAnsi="Arial"/>
          <w:sz w:val="18"/>
          <w:szCs w:val="18"/>
          <w:u w:val="single" w:color="auto"/>
          <w:color w:val="0000FF"/>
        </w:rPr>
        <w:t>” shall mean that certain Amendment No. 1 dated as of the Amendment No.1 Effective Date by and among the Borrower, 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Guarantors, the Lenders party thereto and the Administrative Agent and Collateral Agent.</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Amendment No. 1 Effective Date</w:t>
      </w:r>
      <w:r>
        <w:rPr>
          <w:rFonts w:ascii="Arial" w:cs="Arial" w:eastAsia="Arial" w:hAnsi="Arial"/>
          <w:sz w:val="18"/>
          <w:szCs w:val="18"/>
          <w:u w:val="single" w:color="auto"/>
          <w:color w:val="0000FF"/>
        </w:rPr>
        <w:t>” shall have the meaning given to such term in Amendment No. 1.</w:t>
      </w:r>
    </w:p>
    <w:p>
      <w:pPr>
        <w:spacing w:after="0" w:line="117"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color w:val="000000"/>
        </w:rPr>
        <w:t>Anti-Corruption Laws</w:t>
      </w:r>
      <w:r>
        <w:rPr>
          <w:rFonts w:ascii="Arial" w:cs="Arial" w:eastAsia="Arial" w:hAnsi="Arial"/>
          <w:sz w:val="18"/>
          <w:szCs w:val="18"/>
          <w:color w:val="000000"/>
        </w:rPr>
        <w:t>” shall mean all laws, rules, and regulations of any jurisdiction applicable to the Borrower or any of its Subsidiaries from</w:t>
      </w:r>
      <w:r>
        <w:rPr>
          <w:rFonts w:ascii="Arial" w:cs="Arial" w:eastAsia="Arial" w:hAnsi="Arial"/>
          <w:sz w:val="18"/>
          <w:szCs w:val="18"/>
          <w:color w:val="0000FF"/>
        </w:rPr>
        <w:t xml:space="preserve"> </w:t>
      </w:r>
      <w:r>
        <w:rPr>
          <w:rFonts w:ascii="Arial" w:cs="Arial" w:eastAsia="Arial" w:hAnsi="Arial"/>
          <w:sz w:val="18"/>
          <w:szCs w:val="18"/>
          <w:color w:val="000000"/>
        </w:rPr>
        <w:t>time to time concerning or relating to bribery, money laundering or corruption, including the United States Foreign Corrupt Practices Act of 1977, as amended, and the rules and regulations promulgated thereunder.</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Margin</w:t>
      </w:r>
      <w:r>
        <w:rPr>
          <w:rFonts w:ascii="Arial" w:cs="Arial" w:eastAsia="Arial" w:hAnsi="Arial"/>
          <w:sz w:val="18"/>
          <w:szCs w:val="18"/>
          <w:color w:val="auto"/>
        </w:rPr>
        <w:t>” shall mean a percentage per annum equal to:</w:t>
      </w:r>
    </w:p>
    <w:p>
      <w:pPr>
        <w:spacing w:after="0" w:line="121" w:lineRule="exact"/>
        <w:rPr>
          <w:sz w:val="20"/>
          <w:szCs w:val="20"/>
          <w:color w:val="auto"/>
        </w:rPr>
      </w:pPr>
    </w:p>
    <w:p>
      <w:pPr>
        <w:ind w:left="660" w:right="20" w:firstLine="644"/>
        <w:spacing w:after="0" w:line="263" w:lineRule="auto"/>
        <w:tabs>
          <w:tab w:leader="none" w:pos="1733"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until delivery of financial statements and a related Compliance Certificate for the period ending on September 30, 2019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 (1) for LIBOR Loans, 1.50%, (2) for ABR Loans, 0.50%, (3) for Letter of Credit Fees, 1.50% per annum and (4) for Commitment Fees, 0.25% per annum and</w:t>
      </w:r>
    </w:p>
    <w:p>
      <w:pPr>
        <w:spacing w:after="0" w:line="75" w:lineRule="exact"/>
        <w:rPr>
          <w:rFonts w:ascii="Arial" w:cs="Arial" w:eastAsia="Arial" w:hAnsi="Arial"/>
          <w:sz w:val="18"/>
          <w:szCs w:val="18"/>
          <w:color w:val="auto"/>
        </w:rPr>
      </w:pPr>
    </w:p>
    <w:p>
      <w:pPr>
        <w:ind w:left="660" w:firstLine="644"/>
        <w:spacing w:after="0" w:line="253" w:lineRule="auto"/>
        <w:tabs>
          <w:tab w:leader="none" w:pos="1743"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thereafter, the percentages per annum set forth in the table below, based upon the Consolidated First Lien Secured Debt to Consolidated EBITDA Ratio as set forth in the most recent Compliance Certificate received by the Administrative Agent pursuant to </w:t>
      </w:r>
      <w:r>
        <w:rPr>
          <w:rFonts w:ascii="Arial" w:cs="Arial" w:eastAsia="Arial" w:hAnsi="Arial"/>
          <w:sz w:val="18"/>
          <w:szCs w:val="18"/>
          <w:u w:val="single" w:color="auto"/>
          <w:color w:val="auto"/>
        </w:rPr>
        <w:t>Section 9.1</w:t>
      </w:r>
      <w:r>
        <w:rPr>
          <w:rFonts w:ascii="Arial" w:cs="Arial" w:eastAsia="Arial" w:hAnsi="Arial"/>
          <w:sz w:val="18"/>
          <w:szCs w:val="18"/>
          <w:u w:val="single" w:color="auto"/>
          <w:color w:val="0000FF"/>
        </w:rPr>
        <w: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provided that (x) if on the date that is 30 days after the Amendment No. 1 Effective Date less than $135,000,000 of Net Cash Proceeds has been generated from Capital Markets Prepayment Events consummated following the Amendment No. 1 Effective Date, each of the Applicable Margins set forth below shall be increased by 50 basis points until the date that at least $135,000,000 of Net Cash Proceeds has been generated from Capital Markets Prepayment Events consummated following the Amendment No. 1 Effective Date and (y) in addition to any increase pursuant to the foregoing clause (x), during any period when Consolidated EBITDA for the most recently ended Test Period is less than $0, each of the Applicable Margins set forth below for Pricing Level I (other than the Commitment Fee Rate) shall be increased by 50 basis points from the levels set forth below</w:t>
      </w:r>
      <w:r>
        <w:rPr>
          <w:rFonts w:ascii="Arial" w:cs="Arial" w:eastAsia="Arial" w:hAnsi="Arial"/>
          <w:sz w:val="18"/>
          <w:szCs w:val="18"/>
          <w:color w:val="000000"/>
        </w:rPr>
        <w:t>:</w:t>
      </w:r>
    </w:p>
    <w:p>
      <w:pPr>
        <w:spacing w:after="0" w:line="218" w:lineRule="exact"/>
        <w:rPr>
          <w:sz w:val="20"/>
          <w:szCs w:val="20"/>
          <w:color w:val="auto"/>
        </w:rPr>
      </w:pPr>
    </w:p>
    <w:tbl>
      <w:tblPr>
        <w:tblLayout w:type="fixed"/>
        <w:tblInd w:w="1850" w:type="dxa"/>
        <w:tblCellMar>
          <w:top w:w="0" w:type="dxa"/>
          <w:left w:w="0" w:type="dxa"/>
          <w:bottom w:w="0" w:type="dxa"/>
          <w:right w:w="0" w:type="dxa"/>
        </w:tblCellMar>
      </w:tblPr>
      <w:tr>
        <w:trPr>
          <w:trHeight w:val="238"/>
        </w:trPr>
        <w:tc>
          <w:tcPr>
            <w:tcW w:w="1100" w:type="dxa"/>
            <w:vAlign w:val="bottom"/>
            <w:tcBorders>
              <w:top w:val="single" w:sz="8" w:color="010101"/>
              <w:left w:val="single" w:sz="8" w:color="010101"/>
              <w:right w:val="single" w:sz="8" w:color="010101"/>
            </w:tcBorders>
          </w:tcPr>
          <w:p>
            <w:pPr>
              <w:spacing w:after="0"/>
              <w:rPr>
                <w:sz w:val="20"/>
                <w:szCs w:val="20"/>
                <w:color w:val="auto"/>
              </w:rPr>
            </w:pPr>
          </w:p>
        </w:tc>
        <w:tc>
          <w:tcPr>
            <w:tcW w:w="2060" w:type="dxa"/>
            <w:vAlign w:val="bottom"/>
            <w:tcBorders>
              <w:top w:val="single" w:sz="8" w:color="010101"/>
              <w:right w:val="single" w:sz="8" w:color="010101"/>
            </w:tcBorders>
            <w:gridSpan w:val="5"/>
          </w:tcPr>
          <w:p>
            <w:pPr>
              <w:jc w:val="center"/>
              <w:spacing w:after="0"/>
              <w:rPr>
                <w:sz w:val="20"/>
                <w:szCs w:val="20"/>
                <w:color w:val="auto"/>
              </w:rPr>
            </w:pPr>
            <w:r>
              <w:rPr>
                <w:rFonts w:ascii="Arial" w:cs="Arial" w:eastAsia="Arial" w:hAnsi="Arial"/>
                <w:sz w:val="18"/>
                <w:szCs w:val="18"/>
                <w:b w:val="1"/>
                <w:bCs w:val="1"/>
                <w:color w:val="auto"/>
                <w:w w:val="90"/>
              </w:rPr>
              <w:t>Consolidated First Lien</w:t>
            </w:r>
          </w:p>
        </w:tc>
        <w:tc>
          <w:tcPr>
            <w:tcW w:w="1160" w:type="dxa"/>
            <w:vAlign w:val="bottom"/>
            <w:tcBorders>
              <w:top w:val="single" w:sz="8" w:color="010101"/>
              <w:right w:val="single" w:sz="8" w:color="010101"/>
            </w:tcBorders>
          </w:tcPr>
          <w:p>
            <w:pPr>
              <w:spacing w:after="0"/>
              <w:rPr>
                <w:sz w:val="20"/>
                <w:szCs w:val="20"/>
                <w:color w:val="auto"/>
              </w:rPr>
            </w:pPr>
          </w:p>
        </w:tc>
        <w:tc>
          <w:tcPr>
            <w:tcW w:w="1220" w:type="dxa"/>
            <w:vAlign w:val="bottom"/>
            <w:tcBorders>
              <w:top w:val="single" w:sz="8" w:color="010101"/>
              <w:right w:val="single" w:sz="8" w:color="010101"/>
            </w:tcBorders>
          </w:tcPr>
          <w:p>
            <w:pPr>
              <w:spacing w:after="0"/>
              <w:rPr>
                <w:sz w:val="20"/>
                <w:szCs w:val="20"/>
                <w:color w:val="auto"/>
              </w:rPr>
            </w:pPr>
          </w:p>
        </w:tc>
        <w:tc>
          <w:tcPr>
            <w:tcW w:w="1240" w:type="dxa"/>
            <w:vAlign w:val="bottom"/>
            <w:tcBorders>
              <w:top w:val="single" w:sz="8" w:color="010101"/>
              <w:right w:val="single" w:sz="8" w:color="010101"/>
            </w:tcBorders>
          </w:tcPr>
          <w:p>
            <w:pPr>
              <w:spacing w:after="0"/>
              <w:rPr>
                <w:sz w:val="20"/>
                <w:szCs w:val="20"/>
                <w:color w:val="auto"/>
              </w:rPr>
            </w:pPr>
          </w:p>
        </w:tc>
        <w:tc>
          <w:tcPr>
            <w:tcW w:w="1460" w:type="dxa"/>
            <w:vAlign w:val="bottom"/>
            <w:tcBorders>
              <w:top w:val="single" w:sz="8" w:color="010101"/>
              <w:right w:val="single" w:sz="8" w:color="010101"/>
            </w:tcBorders>
          </w:tcPr>
          <w:p>
            <w:pPr>
              <w:spacing w:after="0"/>
              <w:rPr>
                <w:sz w:val="20"/>
                <w:szCs w:val="20"/>
                <w:color w:val="auto"/>
              </w:rPr>
            </w:pPr>
          </w:p>
        </w:tc>
      </w:tr>
      <w:tr>
        <w:trPr>
          <w:trHeight w:val="216"/>
        </w:trPr>
        <w:tc>
          <w:tcPr>
            <w:tcW w:w="1100" w:type="dxa"/>
            <w:vAlign w:val="bottom"/>
            <w:tcBorders>
              <w:left w:val="single" w:sz="8" w:color="010101"/>
              <w:right w:val="single" w:sz="8" w:color="010101"/>
            </w:tcBorders>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Borders>
              <w:right w:val="single" w:sz="8" w:color="010101"/>
            </w:tcBorders>
            <w:gridSpan w:val="4"/>
          </w:tcPr>
          <w:p>
            <w:pPr>
              <w:jc w:val="center"/>
              <w:ind w:right="270"/>
              <w:spacing w:after="0"/>
              <w:rPr>
                <w:sz w:val="20"/>
                <w:szCs w:val="20"/>
                <w:color w:val="auto"/>
              </w:rPr>
            </w:pPr>
            <w:r>
              <w:rPr>
                <w:rFonts w:ascii="Arial" w:cs="Arial" w:eastAsia="Arial" w:hAnsi="Arial"/>
                <w:sz w:val="18"/>
                <w:szCs w:val="18"/>
                <w:b w:val="1"/>
                <w:bCs w:val="1"/>
                <w:color w:val="auto"/>
                <w:w w:val="88"/>
              </w:rPr>
              <w:t>Secured Debt to</w:t>
            </w:r>
          </w:p>
        </w:tc>
        <w:tc>
          <w:tcPr>
            <w:tcW w:w="1160" w:type="dxa"/>
            <w:vAlign w:val="bottom"/>
            <w:tcBorders>
              <w:right w:val="single" w:sz="8" w:color="010101"/>
            </w:tcBorders>
          </w:tcPr>
          <w:p>
            <w:pPr>
              <w:spacing w:after="0"/>
              <w:rPr>
                <w:sz w:val="18"/>
                <w:szCs w:val="18"/>
                <w:color w:val="auto"/>
              </w:rPr>
            </w:pPr>
          </w:p>
        </w:tc>
        <w:tc>
          <w:tcPr>
            <w:tcW w:w="1220" w:type="dxa"/>
            <w:vAlign w:val="bottom"/>
            <w:tcBorders>
              <w:right w:val="single" w:sz="8" w:color="010101"/>
            </w:tcBorders>
          </w:tcPr>
          <w:p>
            <w:pPr>
              <w:spacing w:after="0"/>
              <w:rPr>
                <w:sz w:val="18"/>
                <w:szCs w:val="18"/>
                <w:color w:val="auto"/>
              </w:rPr>
            </w:pPr>
          </w:p>
        </w:tc>
        <w:tc>
          <w:tcPr>
            <w:tcW w:w="1240" w:type="dxa"/>
            <w:vAlign w:val="bottom"/>
            <w:tcBorders>
              <w:right w:val="single" w:sz="8" w:color="010101"/>
            </w:tcBorders>
          </w:tcPr>
          <w:p>
            <w:pPr>
              <w:spacing w:after="0"/>
              <w:rPr>
                <w:sz w:val="18"/>
                <w:szCs w:val="18"/>
                <w:color w:val="auto"/>
              </w:rPr>
            </w:pPr>
          </w:p>
        </w:tc>
        <w:tc>
          <w:tcPr>
            <w:tcW w:w="1460" w:type="dxa"/>
            <w:vAlign w:val="bottom"/>
            <w:tcBorders>
              <w:right w:val="single" w:sz="8" w:color="010101"/>
            </w:tcBorders>
          </w:tcPr>
          <w:p>
            <w:pPr>
              <w:spacing w:after="0"/>
              <w:rPr>
                <w:sz w:val="18"/>
                <w:szCs w:val="18"/>
                <w:color w:val="auto"/>
              </w:rPr>
            </w:pPr>
          </w:p>
        </w:tc>
      </w:tr>
      <w:tr>
        <w:trPr>
          <w:trHeight w:val="216"/>
        </w:trPr>
        <w:tc>
          <w:tcPr>
            <w:tcW w:w="1100" w:type="dxa"/>
            <w:vAlign w:val="bottom"/>
            <w:tcBorders>
              <w:left w:val="single" w:sz="8" w:color="010101"/>
              <w:right w:val="single" w:sz="8" w:color="010101"/>
            </w:tcBorders>
          </w:tcPr>
          <w:p>
            <w:pPr>
              <w:jc w:val="center"/>
              <w:spacing w:after="0"/>
              <w:rPr>
                <w:sz w:val="20"/>
                <w:szCs w:val="20"/>
                <w:color w:val="auto"/>
              </w:rPr>
            </w:pPr>
            <w:r>
              <w:rPr>
                <w:rFonts w:ascii="Arial" w:cs="Arial" w:eastAsia="Arial" w:hAnsi="Arial"/>
                <w:sz w:val="18"/>
                <w:szCs w:val="18"/>
                <w:b w:val="1"/>
                <w:bCs w:val="1"/>
                <w:color w:val="auto"/>
                <w:w w:val="91"/>
              </w:rPr>
              <w:t>Pricing</w:t>
            </w:r>
          </w:p>
        </w:tc>
        <w:tc>
          <w:tcPr>
            <w:tcW w:w="2060" w:type="dxa"/>
            <w:vAlign w:val="bottom"/>
            <w:tcBorders>
              <w:right w:val="single" w:sz="8" w:color="010101"/>
            </w:tcBorders>
            <w:gridSpan w:val="5"/>
          </w:tcPr>
          <w:p>
            <w:pPr>
              <w:jc w:val="center"/>
              <w:spacing w:after="0"/>
              <w:rPr>
                <w:sz w:val="20"/>
                <w:szCs w:val="20"/>
                <w:color w:val="auto"/>
              </w:rPr>
            </w:pPr>
            <w:r>
              <w:rPr>
                <w:rFonts w:ascii="Arial" w:cs="Arial" w:eastAsia="Arial" w:hAnsi="Arial"/>
                <w:sz w:val="18"/>
                <w:szCs w:val="18"/>
                <w:b w:val="1"/>
                <w:bCs w:val="1"/>
                <w:color w:val="auto"/>
                <w:w w:val="93"/>
              </w:rPr>
              <w:t>Consolidated EBITDA</w:t>
            </w:r>
          </w:p>
        </w:tc>
        <w:tc>
          <w:tcPr>
            <w:tcW w:w="1160" w:type="dxa"/>
            <w:vAlign w:val="bottom"/>
            <w:tcBorders>
              <w:right w:val="single" w:sz="8" w:color="010101"/>
            </w:tcBorders>
          </w:tcPr>
          <w:p>
            <w:pPr>
              <w:jc w:val="center"/>
              <w:spacing w:after="0"/>
              <w:rPr>
                <w:sz w:val="20"/>
                <w:szCs w:val="20"/>
                <w:color w:val="auto"/>
              </w:rPr>
            </w:pPr>
            <w:r>
              <w:rPr>
                <w:rFonts w:ascii="Arial" w:cs="Arial" w:eastAsia="Arial" w:hAnsi="Arial"/>
                <w:sz w:val="18"/>
                <w:szCs w:val="18"/>
                <w:b w:val="1"/>
                <w:bCs w:val="1"/>
                <w:color w:val="auto"/>
                <w:w w:val="94"/>
              </w:rPr>
              <w:t>Letter of</w:t>
            </w:r>
          </w:p>
        </w:tc>
        <w:tc>
          <w:tcPr>
            <w:tcW w:w="1220" w:type="dxa"/>
            <w:vAlign w:val="bottom"/>
            <w:tcBorders>
              <w:right w:val="single" w:sz="8" w:color="010101"/>
            </w:tcBorders>
          </w:tcPr>
          <w:p>
            <w:pPr>
              <w:spacing w:after="0"/>
              <w:rPr>
                <w:sz w:val="18"/>
                <w:szCs w:val="18"/>
                <w:color w:val="auto"/>
              </w:rPr>
            </w:pPr>
          </w:p>
        </w:tc>
        <w:tc>
          <w:tcPr>
            <w:tcW w:w="1240" w:type="dxa"/>
            <w:vAlign w:val="bottom"/>
            <w:tcBorders>
              <w:right w:val="single" w:sz="8" w:color="010101"/>
            </w:tcBorders>
          </w:tcPr>
          <w:p>
            <w:pPr>
              <w:spacing w:after="0"/>
              <w:rPr>
                <w:sz w:val="18"/>
                <w:szCs w:val="18"/>
                <w:color w:val="auto"/>
              </w:rPr>
            </w:pPr>
          </w:p>
        </w:tc>
        <w:tc>
          <w:tcPr>
            <w:tcW w:w="1460" w:type="dxa"/>
            <w:vAlign w:val="bottom"/>
            <w:tcBorders>
              <w:right w:val="single" w:sz="8" w:color="010101"/>
            </w:tcBorders>
          </w:tcPr>
          <w:p>
            <w:pPr>
              <w:jc w:val="center"/>
              <w:spacing w:after="0"/>
              <w:rPr>
                <w:sz w:val="20"/>
                <w:szCs w:val="20"/>
                <w:color w:val="auto"/>
              </w:rPr>
            </w:pPr>
            <w:r>
              <w:rPr>
                <w:rFonts w:ascii="Arial" w:cs="Arial" w:eastAsia="Arial" w:hAnsi="Arial"/>
                <w:sz w:val="18"/>
                <w:szCs w:val="18"/>
                <w:b w:val="1"/>
                <w:bCs w:val="1"/>
                <w:color w:val="auto"/>
                <w:w w:val="91"/>
              </w:rPr>
              <w:t>Commitment Fee</w:t>
            </w:r>
          </w:p>
        </w:tc>
      </w:tr>
      <w:tr>
        <w:trPr>
          <w:trHeight w:val="234"/>
        </w:trPr>
        <w:tc>
          <w:tcPr>
            <w:tcW w:w="1100" w:type="dxa"/>
            <w:vAlign w:val="bottom"/>
            <w:tcBorders>
              <w:left w:val="single" w:sz="8" w:color="010101"/>
              <w:right w:val="single" w:sz="8" w:color="010101"/>
            </w:tcBorders>
          </w:tcPr>
          <w:p>
            <w:pPr>
              <w:jc w:val="center"/>
              <w:spacing w:after="0"/>
              <w:rPr>
                <w:sz w:val="20"/>
                <w:szCs w:val="20"/>
                <w:color w:val="auto"/>
              </w:rPr>
            </w:pPr>
            <w:r>
              <w:rPr>
                <w:rFonts w:ascii="Arial" w:cs="Arial" w:eastAsia="Arial" w:hAnsi="Arial"/>
                <w:sz w:val="18"/>
                <w:szCs w:val="18"/>
                <w:b w:val="1"/>
                <w:bCs w:val="1"/>
                <w:color w:val="auto"/>
                <w:w w:val="91"/>
              </w:rPr>
              <w:t>Level</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Borders>
              <w:right w:val="single" w:sz="8" w:color="010101"/>
            </w:tcBorders>
            <w:gridSpan w:val="2"/>
          </w:tcPr>
          <w:p>
            <w:pPr>
              <w:jc w:val="center"/>
              <w:ind w:right="690"/>
              <w:spacing w:after="0"/>
              <w:rPr>
                <w:sz w:val="20"/>
                <w:szCs w:val="20"/>
                <w:color w:val="auto"/>
              </w:rPr>
            </w:pPr>
            <w:r>
              <w:rPr>
                <w:rFonts w:ascii="Arial" w:cs="Arial" w:eastAsia="Arial" w:hAnsi="Arial"/>
                <w:sz w:val="18"/>
                <w:szCs w:val="18"/>
                <w:b w:val="1"/>
                <w:bCs w:val="1"/>
                <w:color w:val="auto"/>
                <w:w w:val="93"/>
              </w:rPr>
              <w:t>Ratio</w:t>
            </w:r>
          </w:p>
        </w:tc>
        <w:tc>
          <w:tcPr>
            <w:tcW w:w="1160" w:type="dxa"/>
            <w:vAlign w:val="bottom"/>
            <w:tcBorders>
              <w:right w:val="single" w:sz="8" w:color="010101"/>
            </w:tcBorders>
          </w:tcPr>
          <w:p>
            <w:pPr>
              <w:jc w:val="center"/>
              <w:spacing w:after="0"/>
              <w:rPr>
                <w:sz w:val="20"/>
                <w:szCs w:val="20"/>
                <w:color w:val="auto"/>
              </w:rPr>
            </w:pPr>
            <w:r>
              <w:rPr>
                <w:rFonts w:ascii="Arial" w:cs="Arial" w:eastAsia="Arial" w:hAnsi="Arial"/>
                <w:sz w:val="18"/>
                <w:szCs w:val="18"/>
                <w:b w:val="1"/>
                <w:bCs w:val="1"/>
                <w:color w:val="auto"/>
                <w:w w:val="89"/>
              </w:rPr>
              <w:t>Credit Fees</w:t>
            </w:r>
          </w:p>
        </w:tc>
        <w:tc>
          <w:tcPr>
            <w:tcW w:w="1220" w:type="dxa"/>
            <w:vAlign w:val="bottom"/>
            <w:tcBorders>
              <w:right w:val="single" w:sz="8" w:color="010101"/>
            </w:tcBorders>
          </w:tcPr>
          <w:p>
            <w:pPr>
              <w:ind w:left="140"/>
              <w:spacing w:after="0"/>
              <w:rPr>
                <w:sz w:val="20"/>
                <w:szCs w:val="20"/>
                <w:color w:val="auto"/>
              </w:rPr>
            </w:pPr>
            <w:r>
              <w:rPr>
                <w:rFonts w:ascii="Arial" w:cs="Arial" w:eastAsia="Arial" w:hAnsi="Arial"/>
                <w:sz w:val="18"/>
                <w:szCs w:val="18"/>
                <w:b w:val="1"/>
                <w:bCs w:val="1"/>
                <w:color w:val="auto"/>
              </w:rPr>
              <w:t>ABR Loans</w:t>
            </w:r>
          </w:p>
        </w:tc>
        <w:tc>
          <w:tcPr>
            <w:tcW w:w="1240" w:type="dxa"/>
            <w:vAlign w:val="bottom"/>
            <w:tcBorders>
              <w:right w:val="single" w:sz="8" w:color="010101"/>
            </w:tcBorders>
          </w:tcPr>
          <w:p>
            <w:pPr>
              <w:ind w:left="60"/>
              <w:spacing w:after="0"/>
              <w:rPr>
                <w:sz w:val="20"/>
                <w:szCs w:val="20"/>
                <w:color w:val="auto"/>
              </w:rPr>
            </w:pPr>
            <w:r>
              <w:rPr>
                <w:rFonts w:ascii="Arial" w:cs="Arial" w:eastAsia="Arial" w:hAnsi="Arial"/>
                <w:sz w:val="18"/>
                <w:szCs w:val="18"/>
                <w:b w:val="1"/>
                <w:bCs w:val="1"/>
                <w:color w:val="auto"/>
                <w:w w:val="99"/>
              </w:rPr>
              <w:t>LIBOR Loans</w:t>
            </w:r>
          </w:p>
        </w:tc>
        <w:tc>
          <w:tcPr>
            <w:tcW w:w="1460" w:type="dxa"/>
            <w:vAlign w:val="bottom"/>
            <w:tcBorders>
              <w:right w:val="single" w:sz="8" w:color="010101"/>
            </w:tcBorders>
          </w:tcPr>
          <w:p>
            <w:pPr>
              <w:jc w:val="center"/>
              <w:spacing w:after="0"/>
              <w:rPr>
                <w:sz w:val="20"/>
                <w:szCs w:val="20"/>
                <w:color w:val="auto"/>
              </w:rPr>
            </w:pPr>
            <w:r>
              <w:rPr>
                <w:rFonts w:ascii="Arial" w:cs="Arial" w:eastAsia="Arial" w:hAnsi="Arial"/>
                <w:sz w:val="18"/>
                <w:szCs w:val="18"/>
                <w:b w:val="1"/>
                <w:bCs w:val="1"/>
                <w:color w:val="auto"/>
                <w:w w:val="92"/>
              </w:rPr>
              <w:t>Rate</w:t>
            </w:r>
          </w:p>
        </w:tc>
      </w:tr>
      <w:tr>
        <w:trPr>
          <w:trHeight w:val="27"/>
        </w:trPr>
        <w:tc>
          <w:tcPr>
            <w:tcW w:w="1100" w:type="dxa"/>
            <w:vAlign w:val="bottom"/>
            <w:tcBorders>
              <w:left w:val="single" w:sz="8" w:color="010101"/>
              <w:bottom w:val="single" w:sz="8" w:color="010101"/>
              <w:right w:val="single" w:sz="8" w:color="010101"/>
            </w:tcBorders>
          </w:tcPr>
          <w:p>
            <w:pPr>
              <w:spacing w:after="0"/>
              <w:rPr>
                <w:sz w:val="2"/>
                <w:szCs w:val="2"/>
                <w:color w:val="auto"/>
              </w:rPr>
            </w:pPr>
          </w:p>
        </w:tc>
        <w:tc>
          <w:tcPr>
            <w:tcW w:w="320" w:type="dxa"/>
            <w:vAlign w:val="bottom"/>
            <w:tcBorders>
              <w:bottom w:val="single" w:sz="8" w:color="010101"/>
            </w:tcBorders>
          </w:tcPr>
          <w:p>
            <w:pPr>
              <w:spacing w:after="0"/>
              <w:rPr>
                <w:sz w:val="2"/>
                <w:szCs w:val="2"/>
                <w:color w:val="auto"/>
              </w:rPr>
            </w:pPr>
          </w:p>
        </w:tc>
        <w:tc>
          <w:tcPr>
            <w:tcW w:w="100" w:type="dxa"/>
            <w:vAlign w:val="bottom"/>
            <w:tcBorders>
              <w:bottom w:val="single" w:sz="8" w:color="010101"/>
            </w:tcBorders>
          </w:tcPr>
          <w:p>
            <w:pPr>
              <w:spacing w:after="0"/>
              <w:rPr>
                <w:sz w:val="2"/>
                <w:szCs w:val="2"/>
                <w:color w:val="auto"/>
              </w:rPr>
            </w:pPr>
          </w:p>
        </w:tc>
        <w:tc>
          <w:tcPr>
            <w:tcW w:w="320" w:type="dxa"/>
            <w:vAlign w:val="bottom"/>
            <w:tcBorders>
              <w:bottom w:val="single" w:sz="8" w:color="010101"/>
            </w:tcBorders>
          </w:tcPr>
          <w:p>
            <w:pPr>
              <w:spacing w:after="0"/>
              <w:rPr>
                <w:sz w:val="2"/>
                <w:szCs w:val="2"/>
                <w:color w:val="auto"/>
              </w:rPr>
            </w:pPr>
          </w:p>
        </w:tc>
        <w:tc>
          <w:tcPr>
            <w:tcW w:w="100" w:type="dxa"/>
            <w:vAlign w:val="bottom"/>
            <w:tcBorders>
              <w:bottom w:val="single" w:sz="8" w:color="010101"/>
            </w:tcBorders>
          </w:tcPr>
          <w:p>
            <w:pPr>
              <w:spacing w:after="0"/>
              <w:rPr>
                <w:sz w:val="2"/>
                <w:szCs w:val="2"/>
                <w:color w:val="auto"/>
              </w:rPr>
            </w:pPr>
          </w:p>
        </w:tc>
        <w:tc>
          <w:tcPr>
            <w:tcW w:w="1220" w:type="dxa"/>
            <w:vAlign w:val="bottom"/>
            <w:tcBorders>
              <w:bottom w:val="single" w:sz="8" w:color="010101"/>
              <w:right w:val="single" w:sz="8" w:color="010101"/>
            </w:tcBorders>
          </w:tcPr>
          <w:p>
            <w:pPr>
              <w:spacing w:after="0"/>
              <w:rPr>
                <w:sz w:val="2"/>
                <w:szCs w:val="2"/>
                <w:color w:val="auto"/>
              </w:rPr>
            </w:pPr>
          </w:p>
        </w:tc>
        <w:tc>
          <w:tcPr>
            <w:tcW w:w="1160" w:type="dxa"/>
            <w:vAlign w:val="bottom"/>
            <w:tcBorders>
              <w:bottom w:val="single" w:sz="8" w:color="010101"/>
              <w:right w:val="single" w:sz="8" w:color="010101"/>
            </w:tcBorders>
          </w:tcPr>
          <w:p>
            <w:pPr>
              <w:spacing w:after="0"/>
              <w:rPr>
                <w:sz w:val="2"/>
                <w:szCs w:val="2"/>
                <w:color w:val="auto"/>
              </w:rPr>
            </w:pPr>
          </w:p>
        </w:tc>
        <w:tc>
          <w:tcPr>
            <w:tcW w:w="1220" w:type="dxa"/>
            <w:vAlign w:val="bottom"/>
            <w:tcBorders>
              <w:bottom w:val="single" w:sz="8" w:color="010101"/>
              <w:right w:val="single" w:sz="8" w:color="010101"/>
            </w:tcBorders>
          </w:tcPr>
          <w:p>
            <w:pPr>
              <w:spacing w:after="0"/>
              <w:rPr>
                <w:sz w:val="2"/>
                <w:szCs w:val="2"/>
                <w:color w:val="auto"/>
              </w:rPr>
            </w:pPr>
          </w:p>
        </w:tc>
        <w:tc>
          <w:tcPr>
            <w:tcW w:w="1240" w:type="dxa"/>
            <w:vAlign w:val="bottom"/>
            <w:tcBorders>
              <w:bottom w:val="single" w:sz="8" w:color="010101"/>
              <w:right w:val="single" w:sz="8" w:color="010101"/>
            </w:tcBorders>
          </w:tcPr>
          <w:p>
            <w:pPr>
              <w:spacing w:after="0"/>
              <w:rPr>
                <w:sz w:val="2"/>
                <w:szCs w:val="2"/>
                <w:color w:val="auto"/>
              </w:rPr>
            </w:pPr>
          </w:p>
        </w:tc>
        <w:tc>
          <w:tcPr>
            <w:tcW w:w="1460" w:type="dxa"/>
            <w:vAlign w:val="bottom"/>
            <w:tcBorders>
              <w:bottom w:val="single" w:sz="8" w:color="010101"/>
              <w:right w:val="single" w:sz="8" w:color="010101"/>
            </w:tcBorders>
          </w:tcPr>
          <w:p>
            <w:pPr>
              <w:spacing w:after="0"/>
              <w:rPr>
                <w:sz w:val="2"/>
                <w:szCs w:val="2"/>
                <w:color w:val="auto"/>
              </w:rPr>
            </w:pPr>
          </w:p>
        </w:tc>
      </w:tr>
      <w:tr>
        <w:trPr>
          <w:trHeight w:val="237"/>
        </w:trPr>
        <w:tc>
          <w:tcPr>
            <w:tcW w:w="1100" w:type="dxa"/>
            <w:vAlign w:val="bottom"/>
            <w:tcBorders>
              <w:left w:val="single" w:sz="8" w:color="010101"/>
              <w:right w:val="single" w:sz="8" w:color="010101"/>
            </w:tcBorders>
          </w:tcPr>
          <w:p>
            <w:pPr>
              <w:jc w:val="center"/>
              <w:spacing w:after="0"/>
              <w:rPr>
                <w:sz w:val="20"/>
                <w:szCs w:val="20"/>
                <w:color w:val="auto"/>
              </w:rPr>
            </w:pPr>
            <w:r>
              <w:rPr>
                <w:rFonts w:ascii="Arial" w:cs="Arial" w:eastAsia="Arial" w:hAnsi="Arial"/>
                <w:sz w:val="18"/>
                <w:szCs w:val="18"/>
                <w:color w:val="auto"/>
              </w:rPr>
              <w:t>I</w:t>
            </w:r>
          </w:p>
        </w:tc>
        <w:tc>
          <w:tcPr>
            <w:tcW w:w="2060" w:type="dxa"/>
            <w:vAlign w:val="bottom"/>
            <w:tcBorders>
              <w:right w:val="single" w:sz="8" w:color="010101"/>
            </w:tcBorders>
            <w:gridSpan w:val="5"/>
          </w:tcPr>
          <w:p>
            <w:pPr>
              <w:jc w:val="center"/>
              <w:spacing w:after="0"/>
              <w:rPr>
                <w:sz w:val="20"/>
                <w:szCs w:val="20"/>
                <w:color w:val="auto"/>
              </w:rPr>
            </w:pPr>
            <w:r>
              <w:rPr>
                <w:rFonts w:ascii="Arial" w:cs="Arial" w:eastAsia="Arial" w:hAnsi="Arial"/>
                <w:sz w:val="18"/>
                <w:szCs w:val="18"/>
                <w:color w:val="auto"/>
                <w:w w:val="91"/>
              </w:rPr>
              <w:t>&gt;3.75:1.00</w:t>
            </w:r>
          </w:p>
        </w:tc>
        <w:tc>
          <w:tcPr>
            <w:tcW w:w="1160" w:type="dxa"/>
            <w:vAlign w:val="bottom"/>
            <w:tcBorders>
              <w:right w:val="single" w:sz="8" w:color="010101"/>
            </w:tcBorders>
          </w:tcPr>
          <w:p>
            <w:pPr>
              <w:jc w:val="center"/>
              <w:spacing w:after="0"/>
              <w:rPr>
                <w:sz w:val="20"/>
                <w:szCs w:val="20"/>
                <w:color w:val="auto"/>
              </w:rPr>
            </w:pPr>
            <w:r>
              <w:rPr>
                <w:rFonts w:ascii="Arial" w:cs="Arial" w:eastAsia="Arial" w:hAnsi="Arial"/>
                <w:sz w:val="18"/>
                <w:szCs w:val="18"/>
                <w:color w:val="auto"/>
                <w:w w:val="90"/>
              </w:rPr>
              <w:t>2.75%</w:t>
            </w:r>
          </w:p>
        </w:tc>
        <w:tc>
          <w:tcPr>
            <w:tcW w:w="1220" w:type="dxa"/>
            <w:vAlign w:val="bottom"/>
            <w:tcBorders>
              <w:right w:val="single" w:sz="8" w:color="010101"/>
            </w:tcBorders>
          </w:tcPr>
          <w:p>
            <w:pPr>
              <w:jc w:val="center"/>
              <w:spacing w:after="0"/>
              <w:rPr>
                <w:sz w:val="20"/>
                <w:szCs w:val="20"/>
                <w:color w:val="auto"/>
              </w:rPr>
            </w:pPr>
            <w:r>
              <w:rPr>
                <w:rFonts w:ascii="Arial" w:cs="Arial" w:eastAsia="Arial" w:hAnsi="Arial"/>
                <w:sz w:val="18"/>
                <w:szCs w:val="18"/>
                <w:color w:val="auto"/>
                <w:w w:val="90"/>
              </w:rPr>
              <w:t>1.75%</w:t>
            </w:r>
          </w:p>
        </w:tc>
        <w:tc>
          <w:tcPr>
            <w:tcW w:w="1240" w:type="dxa"/>
            <w:vAlign w:val="bottom"/>
            <w:tcBorders>
              <w:right w:val="single" w:sz="8" w:color="010101"/>
            </w:tcBorders>
          </w:tcPr>
          <w:p>
            <w:pPr>
              <w:jc w:val="center"/>
              <w:spacing w:after="0"/>
              <w:rPr>
                <w:sz w:val="20"/>
                <w:szCs w:val="20"/>
                <w:color w:val="auto"/>
              </w:rPr>
            </w:pPr>
            <w:r>
              <w:rPr>
                <w:rFonts w:ascii="Arial" w:cs="Arial" w:eastAsia="Arial" w:hAnsi="Arial"/>
                <w:sz w:val="18"/>
                <w:szCs w:val="18"/>
                <w:color w:val="auto"/>
                <w:w w:val="93"/>
              </w:rPr>
              <w:t>2.75%</w:t>
            </w:r>
          </w:p>
        </w:tc>
        <w:tc>
          <w:tcPr>
            <w:tcW w:w="1460" w:type="dxa"/>
            <w:vAlign w:val="bottom"/>
            <w:tcBorders>
              <w:right w:val="single" w:sz="8" w:color="010101"/>
            </w:tcBorders>
          </w:tcPr>
          <w:p>
            <w:pPr>
              <w:jc w:val="center"/>
              <w:spacing w:after="0"/>
              <w:rPr>
                <w:sz w:val="20"/>
                <w:szCs w:val="20"/>
                <w:color w:val="auto"/>
              </w:rPr>
            </w:pPr>
            <w:r>
              <w:rPr>
                <w:rFonts w:ascii="Arial" w:cs="Arial" w:eastAsia="Arial" w:hAnsi="Arial"/>
                <w:sz w:val="18"/>
                <w:szCs w:val="18"/>
                <w:color w:val="auto"/>
                <w:w w:val="92"/>
              </w:rPr>
              <w:t>0.5%</w:t>
            </w:r>
          </w:p>
        </w:tc>
      </w:tr>
      <w:tr>
        <w:trPr>
          <w:trHeight w:val="27"/>
        </w:trPr>
        <w:tc>
          <w:tcPr>
            <w:tcW w:w="1100" w:type="dxa"/>
            <w:vAlign w:val="bottom"/>
            <w:tcBorders>
              <w:left w:val="single" w:sz="8" w:color="010101"/>
              <w:bottom w:val="single" w:sz="8" w:color="010101"/>
              <w:right w:val="single" w:sz="8" w:color="010101"/>
            </w:tcBorders>
          </w:tcPr>
          <w:p>
            <w:pPr>
              <w:spacing w:after="0"/>
              <w:rPr>
                <w:sz w:val="2"/>
                <w:szCs w:val="2"/>
                <w:color w:val="auto"/>
              </w:rPr>
            </w:pPr>
          </w:p>
        </w:tc>
        <w:tc>
          <w:tcPr>
            <w:tcW w:w="320" w:type="dxa"/>
            <w:vAlign w:val="bottom"/>
            <w:tcBorders>
              <w:bottom w:val="single" w:sz="8" w:color="010101"/>
            </w:tcBorders>
          </w:tcPr>
          <w:p>
            <w:pPr>
              <w:spacing w:after="0"/>
              <w:rPr>
                <w:sz w:val="2"/>
                <w:szCs w:val="2"/>
                <w:color w:val="auto"/>
              </w:rPr>
            </w:pPr>
          </w:p>
        </w:tc>
        <w:tc>
          <w:tcPr>
            <w:tcW w:w="100" w:type="dxa"/>
            <w:vAlign w:val="bottom"/>
            <w:tcBorders>
              <w:bottom w:val="single" w:sz="8" w:color="010101"/>
            </w:tcBorders>
          </w:tcPr>
          <w:p>
            <w:pPr>
              <w:spacing w:after="0"/>
              <w:rPr>
                <w:sz w:val="2"/>
                <w:szCs w:val="2"/>
                <w:color w:val="auto"/>
              </w:rPr>
            </w:pPr>
          </w:p>
        </w:tc>
        <w:tc>
          <w:tcPr>
            <w:tcW w:w="320" w:type="dxa"/>
            <w:vAlign w:val="bottom"/>
            <w:tcBorders>
              <w:bottom w:val="single" w:sz="8" w:color="010101"/>
            </w:tcBorders>
          </w:tcPr>
          <w:p>
            <w:pPr>
              <w:spacing w:after="0"/>
              <w:rPr>
                <w:sz w:val="2"/>
                <w:szCs w:val="2"/>
                <w:color w:val="auto"/>
              </w:rPr>
            </w:pPr>
          </w:p>
        </w:tc>
        <w:tc>
          <w:tcPr>
            <w:tcW w:w="100" w:type="dxa"/>
            <w:vAlign w:val="bottom"/>
            <w:tcBorders>
              <w:bottom w:val="single" w:sz="8" w:color="010101"/>
            </w:tcBorders>
          </w:tcPr>
          <w:p>
            <w:pPr>
              <w:spacing w:after="0"/>
              <w:rPr>
                <w:sz w:val="2"/>
                <w:szCs w:val="2"/>
                <w:color w:val="auto"/>
              </w:rPr>
            </w:pPr>
          </w:p>
        </w:tc>
        <w:tc>
          <w:tcPr>
            <w:tcW w:w="1220" w:type="dxa"/>
            <w:vAlign w:val="bottom"/>
            <w:tcBorders>
              <w:bottom w:val="single" w:sz="8" w:color="010101"/>
              <w:right w:val="single" w:sz="8" w:color="010101"/>
            </w:tcBorders>
          </w:tcPr>
          <w:p>
            <w:pPr>
              <w:spacing w:after="0"/>
              <w:rPr>
                <w:sz w:val="2"/>
                <w:szCs w:val="2"/>
                <w:color w:val="auto"/>
              </w:rPr>
            </w:pPr>
          </w:p>
        </w:tc>
        <w:tc>
          <w:tcPr>
            <w:tcW w:w="1160" w:type="dxa"/>
            <w:vAlign w:val="bottom"/>
            <w:tcBorders>
              <w:bottom w:val="single" w:sz="8" w:color="010101"/>
              <w:right w:val="single" w:sz="8" w:color="010101"/>
            </w:tcBorders>
          </w:tcPr>
          <w:p>
            <w:pPr>
              <w:spacing w:after="0"/>
              <w:rPr>
                <w:sz w:val="2"/>
                <w:szCs w:val="2"/>
                <w:color w:val="auto"/>
              </w:rPr>
            </w:pPr>
          </w:p>
        </w:tc>
        <w:tc>
          <w:tcPr>
            <w:tcW w:w="1220" w:type="dxa"/>
            <w:vAlign w:val="bottom"/>
            <w:tcBorders>
              <w:bottom w:val="single" w:sz="8" w:color="010101"/>
              <w:right w:val="single" w:sz="8" w:color="010101"/>
            </w:tcBorders>
          </w:tcPr>
          <w:p>
            <w:pPr>
              <w:spacing w:after="0"/>
              <w:rPr>
                <w:sz w:val="2"/>
                <w:szCs w:val="2"/>
                <w:color w:val="auto"/>
              </w:rPr>
            </w:pPr>
          </w:p>
        </w:tc>
        <w:tc>
          <w:tcPr>
            <w:tcW w:w="1240" w:type="dxa"/>
            <w:vAlign w:val="bottom"/>
            <w:tcBorders>
              <w:bottom w:val="single" w:sz="8" w:color="010101"/>
              <w:right w:val="single" w:sz="8" w:color="010101"/>
            </w:tcBorders>
          </w:tcPr>
          <w:p>
            <w:pPr>
              <w:spacing w:after="0"/>
              <w:rPr>
                <w:sz w:val="2"/>
                <w:szCs w:val="2"/>
                <w:color w:val="auto"/>
              </w:rPr>
            </w:pPr>
          </w:p>
        </w:tc>
        <w:tc>
          <w:tcPr>
            <w:tcW w:w="1460" w:type="dxa"/>
            <w:vAlign w:val="bottom"/>
            <w:tcBorders>
              <w:bottom w:val="single" w:sz="8" w:color="010101"/>
              <w:right w:val="single" w:sz="8" w:color="010101"/>
            </w:tcBorders>
          </w:tcPr>
          <w:p>
            <w:pPr>
              <w:spacing w:after="0"/>
              <w:rPr>
                <w:sz w:val="2"/>
                <w:szCs w:val="2"/>
                <w:color w:val="auto"/>
              </w:rPr>
            </w:pPr>
          </w:p>
        </w:tc>
      </w:tr>
      <w:tr>
        <w:trPr>
          <w:trHeight w:val="196"/>
        </w:trPr>
        <w:tc>
          <w:tcPr>
            <w:tcW w:w="1100" w:type="dxa"/>
            <w:vAlign w:val="bottom"/>
            <w:tcBorders>
              <w:left w:val="single" w:sz="8" w:color="010101"/>
              <w:right w:val="single" w:sz="8" w:color="010101"/>
            </w:tcBorders>
          </w:tcPr>
          <w:p>
            <w:pPr>
              <w:spacing w:after="0"/>
              <w:rPr>
                <w:sz w:val="17"/>
                <w:szCs w:val="17"/>
                <w:color w:val="auto"/>
              </w:rPr>
            </w:pPr>
          </w:p>
        </w:tc>
        <w:tc>
          <w:tcPr>
            <w:tcW w:w="2060" w:type="dxa"/>
            <w:vAlign w:val="bottom"/>
            <w:tcBorders>
              <w:right w:val="single" w:sz="8" w:color="010101"/>
            </w:tcBorders>
            <w:gridSpan w:val="5"/>
          </w:tcPr>
          <w:p>
            <w:pPr>
              <w:jc w:val="center"/>
              <w:ind w:left="170"/>
              <w:spacing w:after="0" w:line="196" w:lineRule="exact"/>
              <w:rPr>
                <w:sz w:val="20"/>
                <w:szCs w:val="20"/>
                <w:color w:val="auto"/>
              </w:rPr>
            </w:pPr>
            <w:r>
              <w:rPr>
                <w:rFonts w:ascii="Arial" w:cs="Arial" w:eastAsia="Arial" w:hAnsi="Arial"/>
                <w:sz w:val="18"/>
                <w:szCs w:val="18"/>
                <w:color w:val="auto"/>
                <w:w w:val="92"/>
              </w:rPr>
              <w:t>&lt; 3.75:1.00</w:t>
            </w:r>
          </w:p>
        </w:tc>
        <w:tc>
          <w:tcPr>
            <w:tcW w:w="1160" w:type="dxa"/>
            <w:vAlign w:val="bottom"/>
            <w:tcBorders>
              <w:right w:val="single" w:sz="8" w:color="010101"/>
            </w:tcBorders>
          </w:tcPr>
          <w:p>
            <w:pPr>
              <w:spacing w:after="0"/>
              <w:rPr>
                <w:sz w:val="17"/>
                <w:szCs w:val="17"/>
                <w:color w:val="auto"/>
              </w:rPr>
            </w:pPr>
          </w:p>
        </w:tc>
        <w:tc>
          <w:tcPr>
            <w:tcW w:w="1220" w:type="dxa"/>
            <w:vAlign w:val="bottom"/>
            <w:tcBorders>
              <w:right w:val="single" w:sz="8" w:color="010101"/>
            </w:tcBorders>
          </w:tcPr>
          <w:p>
            <w:pPr>
              <w:spacing w:after="0"/>
              <w:rPr>
                <w:sz w:val="17"/>
                <w:szCs w:val="17"/>
                <w:color w:val="auto"/>
              </w:rPr>
            </w:pPr>
          </w:p>
        </w:tc>
        <w:tc>
          <w:tcPr>
            <w:tcW w:w="1240" w:type="dxa"/>
            <w:vAlign w:val="bottom"/>
            <w:tcBorders>
              <w:right w:val="single" w:sz="8" w:color="010101"/>
            </w:tcBorders>
          </w:tcPr>
          <w:p>
            <w:pPr>
              <w:spacing w:after="0"/>
              <w:rPr>
                <w:sz w:val="17"/>
                <w:szCs w:val="17"/>
                <w:color w:val="auto"/>
              </w:rPr>
            </w:pPr>
          </w:p>
        </w:tc>
        <w:tc>
          <w:tcPr>
            <w:tcW w:w="1460" w:type="dxa"/>
            <w:vAlign w:val="bottom"/>
            <w:tcBorders>
              <w:right w:val="single" w:sz="8" w:color="010101"/>
            </w:tcBorders>
          </w:tcPr>
          <w:p>
            <w:pPr>
              <w:spacing w:after="0"/>
              <w:rPr>
                <w:sz w:val="17"/>
                <w:szCs w:val="17"/>
                <w:color w:val="auto"/>
              </w:rPr>
            </w:pPr>
          </w:p>
        </w:tc>
      </w:tr>
      <w:tr>
        <w:trPr>
          <w:trHeight w:val="222"/>
        </w:trPr>
        <w:tc>
          <w:tcPr>
            <w:tcW w:w="1100" w:type="dxa"/>
            <w:vAlign w:val="bottom"/>
            <w:tcBorders>
              <w:left w:val="single" w:sz="8" w:color="010101"/>
              <w:right w:val="single" w:sz="8" w:color="010101"/>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20" w:type="dxa"/>
            <w:vAlign w:val="bottom"/>
            <w:tcBorders>
              <w:right w:val="single" w:sz="8" w:color="010101"/>
            </w:tcBorders>
          </w:tcPr>
          <w:p>
            <w:pPr>
              <w:jc w:val="center"/>
              <w:ind w:right="490"/>
              <w:spacing w:after="0"/>
              <w:rPr>
                <w:sz w:val="20"/>
                <w:szCs w:val="20"/>
                <w:color w:val="auto"/>
              </w:rPr>
            </w:pPr>
            <w:r>
              <w:rPr>
                <w:rFonts w:ascii="Arial" w:cs="Arial" w:eastAsia="Arial" w:hAnsi="Arial"/>
                <w:sz w:val="18"/>
                <w:szCs w:val="18"/>
                <w:color w:val="auto"/>
                <w:w w:val="95"/>
              </w:rPr>
              <w:t>but</w:t>
            </w:r>
          </w:p>
        </w:tc>
        <w:tc>
          <w:tcPr>
            <w:tcW w:w="1160" w:type="dxa"/>
            <w:vAlign w:val="bottom"/>
            <w:tcBorders>
              <w:right w:val="single" w:sz="8" w:color="010101"/>
            </w:tcBorders>
          </w:tcPr>
          <w:p>
            <w:pPr>
              <w:spacing w:after="0"/>
              <w:rPr>
                <w:sz w:val="19"/>
                <w:szCs w:val="19"/>
                <w:color w:val="auto"/>
              </w:rPr>
            </w:pPr>
          </w:p>
        </w:tc>
        <w:tc>
          <w:tcPr>
            <w:tcW w:w="1220" w:type="dxa"/>
            <w:vAlign w:val="bottom"/>
            <w:tcBorders>
              <w:right w:val="single" w:sz="8" w:color="010101"/>
            </w:tcBorders>
          </w:tcPr>
          <w:p>
            <w:pPr>
              <w:spacing w:after="0"/>
              <w:rPr>
                <w:sz w:val="19"/>
                <w:szCs w:val="19"/>
                <w:color w:val="auto"/>
              </w:rPr>
            </w:pPr>
          </w:p>
        </w:tc>
        <w:tc>
          <w:tcPr>
            <w:tcW w:w="1240" w:type="dxa"/>
            <w:vAlign w:val="bottom"/>
            <w:tcBorders>
              <w:right w:val="single" w:sz="8" w:color="010101"/>
            </w:tcBorders>
          </w:tcPr>
          <w:p>
            <w:pPr>
              <w:spacing w:after="0"/>
              <w:rPr>
                <w:sz w:val="19"/>
                <w:szCs w:val="19"/>
                <w:color w:val="auto"/>
              </w:rPr>
            </w:pPr>
          </w:p>
        </w:tc>
        <w:tc>
          <w:tcPr>
            <w:tcW w:w="1460" w:type="dxa"/>
            <w:vAlign w:val="bottom"/>
            <w:tcBorders>
              <w:right w:val="single" w:sz="8" w:color="010101"/>
            </w:tcBorders>
          </w:tcPr>
          <w:p>
            <w:pPr>
              <w:spacing w:after="0"/>
              <w:rPr>
                <w:sz w:val="19"/>
                <w:szCs w:val="19"/>
                <w:color w:val="auto"/>
              </w:rPr>
            </w:pPr>
          </w:p>
        </w:tc>
      </w:tr>
      <w:tr>
        <w:trPr>
          <w:trHeight w:val="230"/>
        </w:trPr>
        <w:tc>
          <w:tcPr>
            <w:tcW w:w="1100" w:type="dxa"/>
            <w:vAlign w:val="bottom"/>
            <w:tcBorders>
              <w:left w:val="single" w:sz="8" w:color="010101"/>
              <w:right w:val="single" w:sz="8" w:color="010101"/>
            </w:tcBorders>
          </w:tcPr>
          <w:p>
            <w:pPr>
              <w:jc w:val="center"/>
              <w:spacing w:after="0"/>
              <w:rPr>
                <w:sz w:val="20"/>
                <w:szCs w:val="20"/>
                <w:color w:val="auto"/>
              </w:rPr>
            </w:pPr>
            <w:r>
              <w:rPr>
                <w:rFonts w:ascii="Arial" w:cs="Arial" w:eastAsia="Arial" w:hAnsi="Arial"/>
                <w:sz w:val="18"/>
                <w:szCs w:val="18"/>
                <w:color w:val="auto"/>
              </w:rPr>
              <w:t>II</w:t>
            </w:r>
          </w:p>
        </w:tc>
        <w:tc>
          <w:tcPr>
            <w:tcW w:w="2060" w:type="dxa"/>
            <w:vAlign w:val="bottom"/>
            <w:tcBorders>
              <w:right w:val="single" w:sz="8" w:color="010101"/>
            </w:tcBorders>
            <w:gridSpan w:val="5"/>
          </w:tcPr>
          <w:p>
            <w:pPr>
              <w:jc w:val="center"/>
              <w:ind w:left="170"/>
              <w:spacing w:after="0"/>
              <w:rPr>
                <w:sz w:val="20"/>
                <w:szCs w:val="20"/>
                <w:color w:val="auto"/>
              </w:rPr>
            </w:pPr>
            <w:r>
              <w:rPr>
                <w:rFonts w:ascii="Arial" w:cs="Arial" w:eastAsia="Arial" w:hAnsi="Arial"/>
                <w:sz w:val="18"/>
                <w:szCs w:val="18"/>
                <w:color w:val="auto"/>
                <w:w w:val="92"/>
              </w:rPr>
              <w:t>&gt; 2.75:1.00</w:t>
            </w:r>
          </w:p>
        </w:tc>
        <w:tc>
          <w:tcPr>
            <w:tcW w:w="1160" w:type="dxa"/>
            <w:vAlign w:val="bottom"/>
            <w:tcBorders>
              <w:right w:val="single" w:sz="8" w:color="010101"/>
            </w:tcBorders>
          </w:tcPr>
          <w:p>
            <w:pPr>
              <w:jc w:val="center"/>
              <w:spacing w:after="0"/>
              <w:rPr>
                <w:sz w:val="20"/>
                <w:szCs w:val="20"/>
                <w:color w:val="auto"/>
              </w:rPr>
            </w:pPr>
            <w:r>
              <w:rPr>
                <w:rFonts w:ascii="Arial" w:cs="Arial" w:eastAsia="Arial" w:hAnsi="Arial"/>
                <w:sz w:val="18"/>
                <w:szCs w:val="18"/>
                <w:color w:val="auto"/>
                <w:w w:val="92"/>
              </w:rPr>
              <w:t>2.5%</w:t>
            </w:r>
          </w:p>
        </w:tc>
        <w:tc>
          <w:tcPr>
            <w:tcW w:w="1220" w:type="dxa"/>
            <w:vAlign w:val="bottom"/>
            <w:tcBorders>
              <w:right w:val="single" w:sz="8" w:color="010101"/>
            </w:tcBorders>
          </w:tcPr>
          <w:p>
            <w:pPr>
              <w:jc w:val="center"/>
              <w:spacing w:after="0"/>
              <w:rPr>
                <w:sz w:val="20"/>
                <w:szCs w:val="20"/>
                <w:color w:val="auto"/>
              </w:rPr>
            </w:pPr>
            <w:r>
              <w:rPr>
                <w:rFonts w:ascii="Arial" w:cs="Arial" w:eastAsia="Arial" w:hAnsi="Arial"/>
                <w:sz w:val="18"/>
                <w:szCs w:val="18"/>
                <w:color w:val="auto"/>
                <w:w w:val="92"/>
              </w:rPr>
              <w:t>1.5%</w:t>
            </w:r>
          </w:p>
        </w:tc>
        <w:tc>
          <w:tcPr>
            <w:tcW w:w="1240" w:type="dxa"/>
            <w:vAlign w:val="bottom"/>
            <w:tcBorders>
              <w:right w:val="single" w:sz="8" w:color="010101"/>
            </w:tcBorders>
          </w:tcPr>
          <w:p>
            <w:pPr>
              <w:jc w:val="center"/>
              <w:spacing w:after="0"/>
              <w:rPr>
                <w:sz w:val="20"/>
                <w:szCs w:val="20"/>
                <w:color w:val="auto"/>
              </w:rPr>
            </w:pPr>
            <w:r>
              <w:rPr>
                <w:rFonts w:ascii="Arial" w:cs="Arial" w:eastAsia="Arial" w:hAnsi="Arial"/>
                <w:sz w:val="18"/>
                <w:szCs w:val="18"/>
                <w:color w:val="auto"/>
                <w:w w:val="87"/>
              </w:rPr>
              <w:t>2.5%</w:t>
            </w:r>
          </w:p>
        </w:tc>
        <w:tc>
          <w:tcPr>
            <w:tcW w:w="1460" w:type="dxa"/>
            <w:vAlign w:val="bottom"/>
            <w:tcBorders>
              <w:right w:val="single" w:sz="8" w:color="010101"/>
            </w:tcBorders>
          </w:tcPr>
          <w:p>
            <w:pPr>
              <w:jc w:val="center"/>
              <w:spacing w:after="0"/>
              <w:rPr>
                <w:sz w:val="20"/>
                <w:szCs w:val="20"/>
                <w:color w:val="auto"/>
              </w:rPr>
            </w:pPr>
            <w:r>
              <w:rPr>
                <w:rFonts w:ascii="Arial" w:cs="Arial" w:eastAsia="Arial" w:hAnsi="Arial"/>
                <w:sz w:val="18"/>
                <w:szCs w:val="18"/>
                <w:color w:val="auto"/>
                <w:w w:val="90"/>
              </w:rPr>
              <w:t>0.45%</w:t>
            </w:r>
          </w:p>
        </w:tc>
      </w:tr>
      <w:tr>
        <w:trPr>
          <w:trHeight w:val="27"/>
        </w:trPr>
        <w:tc>
          <w:tcPr>
            <w:tcW w:w="1100" w:type="dxa"/>
            <w:vAlign w:val="bottom"/>
            <w:tcBorders>
              <w:left w:val="single" w:sz="8" w:color="010101"/>
              <w:bottom w:val="single" w:sz="8" w:color="010101"/>
              <w:right w:val="single" w:sz="8" w:color="010101"/>
            </w:tcBorders>
          </w:tcPr>
          <w:p>
            <w:pPr>
              <w:spacing w:after="0"/>
              <w:rPr>
                <w:sz w:val="2"/>
                <w:szCs w:val="2"/>
                <w:color w:val="auto"/>
              </w:rPr>
            </w:pPr>
          </w:p>
        </w:tc>
        <w:tc>
          <w:tcPr>
            <w:tcW w:w="320" w:type="dxa"/>
            <w:vAlign w:val="bottom"/>
            <w:tcBorders>
              <w:bottom w:val="single" w:sz="8" w:color="010101"/>
            </w:tcBorders>
          </w:tcPr>
          <w:p>
            <w:pPr>
              <w:spacing w:after="0"/>
              <w:rPr>
                <w:sz w:val="2"/>
                <w:szCs w:val="2"/>
                <w:color w:val="auto"/>
              </w:rPr>
            </w:pPr>
          </w:p>
        </w:tc>
        <w:tc>
          <w:tcPr>
            <w:tcW w:w="100" w:type="dxa"/>
            <w:vAlign w:val="bottom"/>
            <w:tcBorders>
              <w:bottom w:val="single" w:sz="8" w:color="010101"/>
            </w:tcBorders>
          </w:tcPr>
          <w:p>
            <w:pPr>
              <w:spacing w:after="0"/>
              <w:rPr>
                <w:sz w:val="2"/>
                <w:szCs w:val="2"/>
                <w:color w:val="auto"/>
              </w:rPr>
            </w:pPr>
          </w:p>
        </w:tc>
        <w:tc>
          <w:tcPr>
            <w:tcW w:w="320" w:type="dxa"/>
            <w:vAlign w:val="bottom"/>
            <w:tcBorders>
              <w:bottom w:val="single" w:sz="8" w:color="010101"/>
            </w:tcBorders>
          </w:tcPr>
          <w:p>
            <w:pPr>
              <w:spacing w:after="0"/>
              <w:rPr>
                <w:sz w:val="2"/>
                <w:szCs w:val="2"/>
                <w:color w:val="auto"/>
              </w:rPr>
            </w:pPr>
          </w:p>
        </w:tc>
        <w:tc>
          <w:tcPr>
            <w:tcW w:w="100" w:type="dxa"/>
            <w:vAlign w:val="bottom"/>
            <w:tcBorders>
              <w:bottom w:val="single" w:sz="8" w:color="010101"/>
            </w:tcBorders>
          </w:tcPr>
          <w:p>
            <w:pPr>
              <w:spacing w:after="0"/>
              <w:rPr>
                <w:sz w:val="2"/>
                <w:szCs w:val="2"/>
                <w:color w:val="auto"/>
              </w:rPr>
            </w:pPr>
          </w:p>
        </w:tc>
        <w:tc>
          <w:tcPr>
            <w:tcW w:w="1220" w:type="dxa"/>
            <w:vAlign w:val="bottom"/>
            <w:tcBorders>
              <w:bottom w:val="single" w:sz="8" w:color="010101"/>
              <w:right w:val="single" w:sz="8" w:color="010101"/>
            </w:tcBorders>
          </w:tcPr>
          <w:p>
            <w:pPr>
              <w:spacing w:after="0"/>
              <w:rPr>
                <w:sz w:val="2"/>
                <w:szCs w:val="2"/>
                <w:color w:val="auto"/>
              </w:rPr>
            </w:pPr>
          </w:p>
        </w:tc>
        <w:tc>
          <w:tcPr>
            <w:tcW w:w="1160" w:type="dxa"/>
            <w:vAlign w:val="bottom"/>
            <w:tcBorders>
              <w:bottom w:val="single" w:sz="8" w:color="010101"/>
              <w:right w:val="single" w:sz="8" w:color="010101"/>
            </w:tcBorders>
          </w:tcPr>
          <w:p>
            <w:pPr>
              <w:spacing w:after="0"/>
              <w:rPr>
                <w:sz w:val="2"/>
                <w:szCs w:val="2"/>
                <w:color w:val="auto"/>
              </w:rPr>
            </w:pPr>
          </w:p>
        </w:tc>
        <w:tc>
          <w:tcPr>
            <w:tcW w:w="1220" w:type="dxa"/>
            <w:vAlign w:val="bottom"/>
            <w:tcBorders>
              <w:bottom w:val="single" w:sz="8" w:color="010101"/>
              <w:right w:val="single" w:sz="8" w:color="010101"/>
            </w:tcBorders>
          </w:tcPr>
          <w:p>
            <w:pPr>
              <w:spacing w:after="0"/>
              <w:rPr>
                <w:sz w:val="2"/>
                <w:szCs w:val="2"/>
                <w:color w:val="auto"/>
              </w:rPr>
            </w:pPr>
          </w:p>
        </w:tc>
        <w:tc>
          <w:tcPr>
            <w:tcW w:w="1240" w:type="dxa"/>
            <w:vAlign w:val="bottom"/>
            <w:tcBorders>
              <w:bottom w:val="single" w:sz="8" w:color="010101"/>
              <w:right w:val="single" w:sz="8" w:color="010101"/>
            </w:tcBorders>
          </w:tcPr>
          <w:p>
            <w:pPr>
              <w:spacing w:after="0"/>
              <w:rPr>
                <w:sz w:val="2"/>
                <w:szCs w:val="2"/>
                <w:color w:val="auto"/>
              </w:rPr>
            </w:pPr>
          </w:p>
        </w:tc>
        <w:tc>
          <w:tcPr>
            <w:tcW w:w="1460" w:type="dxa"/>
            <w:vAlign w:val="bottom"/>
            <w:tcBorders>
              <w:bottom w:val="single" w:sz="8" w:color="010101"/>
              <w:right w:val="single" w:sz="8" w:color="010101"/>
            </w:tcBorders>
          </w:tcPr>
          <w:p>
            <w:pPr>
              <w:spacing w:after="0"/>
              <w:rPr>
                <w:sz w:val="2"/>
                <w:szCs w:val="2"/>
                <w:color w:val="auto"/>
              </w:rPr>
            </w:pPr>
          </w:p>
        </w:tc>
      </w:tr>
      <w:tr>
        <w:trPr>
          <w:trHeight w:val="196"/>
        </w:trPr>
        <w:tc>
          <w:tcPr>
            <w:tcW w:w="1100" w:type="dxa"/>
            <w:vAlign w:val="bottom"/>
            <w:tcBorders>
              <w:left w:val="single" w:sz="8" w:color="010101"/>
              <w:right w:val="single" w:sz="8" w:color="010101"/>
            </w:tcBorders>
          </w:tcPr>
          <w:p>
            <w:pPr>
              <w:spacing w:after="0"/>
              <w:rPr>
                <w:sz w:val="17"/>
                <w:szCs w:val="17"/>
                <w:color w:val="auto"/>
              </w:rPr>
            </w:pPr>
          </w:p>
        </w:tc>
        <w:tc>
          <w:tcPr>
            <w:tcW w:w="2060" w:type="dxa"/>
            <w:vAlign w:val="bottom"/>
            <w:tcBorders>
              <w:right w:val="single" w:sz="8" w:color="010101"/>
            </w:tcBorders>
            <w:gridSpan w:val="5"/>
          </w:tcPr>
          <w:p>
            <w:pPr>
              <w:jc w:val="center"/>
              <w:ind w:left="170"/>
              <w:spacing w:after="0" w:line="196" w:lineRule="exact"/>
              <w:rPr>
                <w:sz w:val="20"/>
                <w:szCs w:val="20"/>
                <w:color w:val="auto"/>
              </w:rPr>
            </w:pPr>
            <w:r>
              <w:rPr>
                <w:rFonts w:ascii="Arial" w:cs="Arial" w:eastAsia="Arial" w:hAnsi="Arial"/>
                <w:sz w:val="18"/>
                <w:szCs w:val="18"/>
                <w:color w:val="auto"/>
                <w:w w:val="92"/>
              </w:rPr>
              <w:t>&lt; 2.75:1.00</w:t>
            </w:r>
          </w:p>
        </w:tc>
        <w:tc>
          <w:tcPr>
            <w:tcW w:w="1160" w:type="dxa"/>
            <w:vAlign w:val="bottom"/>
            <w:tcBorders>
              <w:right w:val="single" w:sz="8" w:color="010101"/>
            </w:tcBorders>
          </w:tcPr>
          <w:p>
            <w:pPr>
              <w:spacing w:after="0"/>
              <w:rPr>
                <w:sz w:val="17"/>
                <w:szCs w:val="17"/>
                <w:color w:val="auto"/>
              </w:rPr>
            </w:pPr>
          </w:p>
        </w:tc>
        <w:tc>
          <w:tcPr>
            <w:tcW w:w="1220" w:type="dxa"/>
            <w:vAlign w:val="bottom"/>
            <w:tcBorders>
              <w:right w:val="single" w:sz="8" w:color="010101"/>
            </w:tcBorders>
          </w:tcPr>
          <w:p>
            <w:pPr>
              <w:spacing w:after="0"/>
              <w:rPr>
                <w:sz w:val="17"/>
                <w:szCs w:val="17"/>
                <w:color w:val="auto"/>
              </w:rPr>
            </w:pPr>
          </w:p>
        </w:tc>
        <w:tc>
          <w:tcPr>
            <w:tcW w:w="1240" w:type="dxa"/>
            <w:vAlign w:val="bottom"/>
            <w:tcBorders>
              <w:right w:val="single" w:sz="8" w:color="010101"/>
            </w:tcBorders>
          </w:tcPr>
          <w:p>
            <w:pPr>
              <w:spacing w:after="0"/>
              <w:rPr>
                <w:sz w:val="17"/>
                <w:szCs w:val="17"/>
                <w:color w:val="auto"/>
              </w:rPr>
            </w:pPr>
          </w:p>
        </w:tc>
        <w:tc>
          <w:tcPr>
            <w:tcW w:w="1460" w:type="dxa"/>
            <w:vAlign w:val="bottom"/>
            <w:tcBorders>
              <w:right w:val="single" w:sz="8" w:color="010101"/>
            </w:tcBorders>
          </w:tcPr>
          <w:p>
            <w:pPr>
              <w:spacing w:after="0"/>
              <w:rPr>
                <w:sz w:val="17"/>
                <w:szCs w:val="17"/>
                <w:color w:val="auto"/>
              </w:rPr>
            </w:pPr>
          </w:p>
        </w:tc>
      </w:tr>
      <w:tr>
        <w:trPr>
          <w:trHeight w:val="222"/>
        </w:trPr>
        <w:tc>
          <w:tcPr>
            <w:tcW w:w="1100" w:type="dxa"/>
            <w:vAlign w:val="bottom"/>
            <w:tcBorders>
              <w:left w:val="single" w:sz="8" w:color="010101"/>
              <w:right w:val="single" w:sz="8" w:color="010101"/>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20" w:type="dxa"/>
            <w:vAlign w:val="bottom"/>
            <w:tcBorders>
              <w:right w:val="single" w:sz="8" w:color="010101"/>
            </w:tcBorders>
          </w:tcPr>
          <w:p>
            <w:pPr>
              <w:jc w:val="center"/>
              <w:ind w:right="490"/>
              <w:spacing w:after="0"/>
              <w:rPr>
                <w:sz w:val="20"/>
                <w:szCs w:val="20"/>
                <w:color w:val="auto"/>
              </w:rPr>
            </w:pPr>
            <w:r>
              <w:rPr>
                <w:rFonts w:ascii="Arial" w:cs="Arial" w:eastAsia="Arial" w:hAnsi="Arial"/>
                <w:sz w:val="18"/>
                <w:szCs w:val="18"/>
                <w:color w:val="auto"/>
                <w:w w:val="95"/>
              </w:rPr>
              <w:t>but</w:t>
            </w:r>
          </w:p>
        </w:tc>
        <w:tc>
          <w:tcPr>
            <w:tcW w:w="1160" w:type="dxa"/>
            <w:vAlign w:val="bottom"/>
            <w:tcBorders>
              <w:right w:val="single" w:sz="8" w:color="010101"/>
            </w:tcBorders>
          </w:tcPr>
          <w:p>
            <w:pPr>
              <w:spacing w:after="0"/>
              <w:rPr>
                <w:sz w:val="19"/>
                <w:szCs w:val="19"/>
                <w:color w:val="auto"/>
              </w:rPr>
            </w:pPr>
          </w:p>
        </w:tc>
        <w:tc>
          <w:tcPr>
            <w:tcW w:w="1220" w:type="dxa"/>
            <w:vAlign w:val="bottom"/>
            <w:tcBorders>
              <w:right w:val="single" w:sz="8" w:color="010101"/>
            </w:tcBorders>
          </w:tcPr>
          <w:p>
            <w:pPr>
              <w:spacing w:after="0"/>
              <w:rPr>
                <w:sz w:val="19"/>
                <w:szCs w:val="19"/>
                <w:color w:val="auto"/>
              </w:rPr>
            </w:pPr>
          </w:p>
        </w:tc>
        <w:tc>
          <w:tcPr>
            <w:tcW w:w="1240" w:type="dxa"/>
            <w:vAlign w:val="bottom"/>
            <w:tcBorders>
              <w:right w:val="single" w:sz="8" w:color="010101"/>
            </w:tcBorders>
          </w:tcPr>
          <w:p>
            <w:pPr>
              <w:spacing w:after="0"/>
              <w:rPr>
                <w:sz w:val="19"/>
                <w:szCs w:val="19"/>
                <w:color w:val="auto"/>
              </w:rPr>
            </w:pPr>
          </w:p>
        </w:tc>
        <w:tc>
          <w:tcPr>
            <w:tcW w:w="1460" w:type="dxa"/>
            <w:vAlign w:val="bottom"/>
            <w:tcBorders>
              <w:right w:val="single" w:sz="8" w:color="010101"/>
            </w:tcBorders>
          </w:tcPr>
          <w:p>
            <w:pPr>
              <w:spacing w:after="0"/>
              <w:rPr>
                <w:sz w:val="19"/>
                <w:szCs w:val="19"/>
                <w:color w:val="auto"/>
              </w:rPr>
            </w:pPr>
          </w:p>
        </w:tc>
      </w:tr>
      <w:tr>
        <w:trPr>
          <w:trHeight w:val="230"/>
        </w:trPr>
        <w:tc>
          <w:tcPr>
            <w:tcW w:w="1100" w:type="dxa"/>
            <w:vAlign w:val="bottom"/>
            <w:tcBorders>
              <w:left w:val="single" w:sz="8" w:color="010101"/>
              <w:right w:val="single" w:sz="8" w:color="010101"/>
            </w:tcBorders>
          </w:tcPr>
          <w:p>
            <w:pPr>
              <w:jc w:val="center"/>
              <w:spacing w:after="0"/>
              <w:rPr>
                <w:sz w:val="20"/>
                <w:szCs w:val="20"/>
                <w:color w:val="auto"/>
              </w:rPr>
            </w:pPr>
            <w:r>
              <w:rPr>
                <w:rFonts w:ascii="Arial" w:cs="Arial" w:eastAsia="Arial" w:hAnsi="Arial"/>
                <w:sz w:val="18"/>
                <w:szCs w:val="18"/>
                <w:color w:val="auto"/>
              </w:rPr>
              <w:t>III</w:t>
            </w:r>
          </w:p>
        </w:tc>
        <w:tc>
          <w:tcPr>
            <w:tcW w:w="2060" w:type="dxa"/>
            <w:vAlign w:val="bottom"/>
            <w:tcBorders>
              <w:right w:val="single" w:sz="8" w:color="010101"/>
            </w:tcBorders>
            <w:gridSpan w:val="5"/>
          </w:tcPr>
          <w:p>
            <w:pPr>
              <w:jc w:val="center"/>
              <w:ind w:left="170"/>
              <w:spacing w:after="0"/>
              <w:rPr>
                <w:sz w:val="20"/>
                <w:szCs w:val="20"/>
                <w:color w:val="auto"/>
              </w:rPr>
            </w:pPr>
            <w:r>
              <w:rPr>
                <w:rFonts w:ascii="Arial" w:cs="Arial" w:eastAsia="Arial" w:hAnsi="Arial"/>
                <w:sz w:val="18"/>
                <w:szCs w:val="18"/>
                <w:color w:val="auto"/>
                <w:w w:val="92"/>
              </w:rPr>
              <w:t>&gt; 1.75:1.00</w:t>
            </w:r>
          </w:p>
        </w:tc>
        <w:tc>
          <w:tcPr>
            <w:tcW w:w="1160" w:type="dxa"/>
            <w:vAlign w:val="bottom"/>
            <w:tcBorders>
              <w:right w:val="single" w:sz="8" w:color="010101"/>
            </w:tcBorders>
          </w:tcPr>
          <w:p>
            <w:pPr>
              <w:jc w:val="center"/>
              <w:spacing w:after="0"/>
              <w:rPr>
                <w:sz w:val="20"/>
                <w:szCs w:val="20"/>
                <w:color w:val="auto"/>
              </w:rPr>
            </w:pPr>
            <w:r>
              <w:rPr>
                <w:rFonts w:ascii="Arial" w:cs="Arial" w:eastAsia="Arial" w:hAnsi="Arial"/>
                <w:sz w:val="18"/>
                <w:szCs w:val="18"/>
                <w:color w:val="auto"/>
                <w:w w:val="90"/>
              </w:rPr>
              <w:t>2.25%</w:t>
            </w:r>
          </w:p>
        </w:tc>
        <w:tc>
          <w:tcPr>
            <w:tcW w:w="1220" w:type="dxa"/>
            <w:vAlign w:val="bottom"/>
            <w:tcBorders>
              <w:right w:val="single" w:sz="8" w:color="010101"/>
            </w:tcBorders>
          </w:tcPr>
          <w:p>
            <w:pPr>
              <w:jc w:val="center"/>
              <w:spacing w:after="0"/>
              <w:rPr>
                <w:sz w:val="20"/>
                <w:szCs w:val="20"/>
                <w:color w:val="auto"/>
              </w:rPr>
            </w:pPr>
            <w:r>
              <w:rPr>
                <w:rFonts w:ascii="Arial" w:cs="Arial" w:eastAsia="Arial" w:hAnsi="Arial"/>
                <w:sz w:val="18"/>
                <w:szCs w:val="18"/>
                <w:color w:val="auto"/>
                <w:w w:val="90"/>
              </w:rPr>
              <w:t>1.25%</w:t>
            </w:r>
          </w:p>
        </w:tc>
        <w:tc>
          <w:tcPr>
            <w:tcW w:w="1240" w:type="dxa"/>
            <w:vAlign w:val="bottom"/>
            <w:tcBorders>
              <w:right w:val="single" w:sz="8" w:color="010101"/>
            </w:tcBorders>
          </w:tcPr>
          <w:p>
            <w:pPr>
              <w:jc w:val="center"/>
              <w:spacing w:after="0"/>
              <w:rPr>
                <w:sz w:val="20"/>
                <w:szCs w:val="20"/>
                <w:color w:val="auto"/>
              </w:rPr>
            </w:pPr>
            <w:r>
              <w:rPr>
                <w:rFonts w:ascii="Arial" w:cs="Arial" w:eastAsia="Arial" w:hAnsi="Arial"/>
                <w:sz w:val="18"/>
                <w:szCs w:val="18"/>
                <w:color w:val="auto"/>
                <w:w w:val="93"/>
              </w:rPr>
              <w:t>2.25%</w:t>
            </w:r>
          </w:p>
        </w:tc>
        <w:tc>
          <w:tcPr>
            <w:tcW w:w="1460" w:type="dxa"/>
            <w:vAlign w:val="bottom"/>
            <w:tcBorders>
              <w:right w:val="single" w:sz="8" w:color="010101"/>
            </w:tcBorders>
          </w:tcPr>
          <w:p>
            <w:pPr>
              <w:jc w:val="center"/>
              <w:spacing w:after="0"/>
              <w:rPr>
                <w:sz w:val="20"/>
                <w:szCs w:val="20"/>
                <w:color w:val="auto"/>
              </w:rPr>
            </w:pPr>
            <w:r>
              <w:rPr>
                <w:rFonts w:ascii="Arial" w:cs="Arial" w:eastAsia="Arial" w:hAnsi="Arial"/>
                <w:sz w:val="18"/>
                <w:szCs w:val="18"/>
                <w:color w:val="auto"/>
                <w:w w:val="92"/>
              </w:rPr>
              <w:t>0.4%</w:t>
            </w:r>
          </w:p>
        </w:tc>
      </w:tr>
      <w:tr>
        <w:trPr>
          <w:trHeight w:val="27"/>
        </w:trPr>
        <w:tc>
          <w:tcPr>
            <w:tcW w:w="1100" w:type="dxa"/>
            <w:vAlign w:val="bottom"/>
            <w:tcBorders>
              <w:left w:val="single" w:sz="8" w:color="010101"/>
              <w:bottom w:val="single" w:sz="8" w:color="010101"/>
              <w:right w:val="single" w:sz="8" w:color="010101"/>
            </w:tcBorders>
          </w:tcPr>
          <w:p>
            <w:pPr>
              <w:spacing w:after="0"/>
              <w:rPr>
                <w:sz w:val="2"/>
                <w:szCs w:val="2"/>
                <w:color w:val="auto"/>
              </w:rPr>
            </w:pPr>
          </w:p>
        </w:tc>
        <w:tc>
          <w:tcPr>
            <w:tcW w:w="320" w:type="dxa"/>
            <w:vAlign w:val="bottom"/>
            <w:tcBorders>
              <w:bottom w:val="single" w:sz="8" w:color="010101"/>
            </w:tcBorders>
          </w:tcPr>
          <w:p>
            <w:pPr>
              <w:spacing w:after="0"/>
              <w:rPr>
                <w:sz w:val="2"/>
                <w:szCs w:val="2"/>
                <w:color w:val="auto"/>
              </w:rPr>
            </w:pPr>
          </w:p>
        </w:tc>
        <w:tc>
          <w:tcPr>
            <w:tcW w:w="100" w:type="dxa"/>
            <w:vAlign w:val="bottom"/>
            <w:tcBorders>
              <w:bottom w:val="single" w:sz="8" w:color="010101"/>
            </w:tcBorders>
          </w:tcPr>
          <w:p>
            <w:pPr>
              <w:spacing w:after="0"/>
              <w:rPr>
                <w:sz w:val="2"/>
                <w:szCs w:val="2"/>
                <w:color w:val="auto"/>
              </w:rPr>
            </w:pPr>
          </w:p>
        </w:tc>
        <w:tc>
          <w:tcPr>
            <w:tcW w:w="320" w:type="dxa"/>
            <w:vAlign w:val="bottom"/>
            <w:tcBorders>
              <w:bottom w:val="single" w:sz="8" w:color="010101"/>
            </w:tcBorders>
          </w:tcPr>
          <w:p>
            <w:pPr>
              <w:spacing w:after="0"/>
              <w:rPr>
                <w:sz w:val="2"/>
                <w:szCs w:val="2"/>
                <w:color w:val="auto"/>
              </w:rPr>
            </w:pPr>
          </w:p>
        </w:tc>
        <w:tc>
          <w:tcPr>
            <w:tcW w:w="100" w:type="dxa"/>
            <w:vAlign w:val="bottom"/>
            <w:tcBorders>
              <w:bottom w:val="single" w:sz="8" w:color="010101"/>
            </w:tcBorders>
          </w:tcPr>
          <w:p>
            <w:pPr>
              <w:spacing w:after="0"/>
              <w:rPr>
                <w:sz w:val="2"/>
                <w:szCs w:val="2"/>
                <w:color w:val="auto"/>
              </w:rPr>
            </w:pPr>
          </w:p>
        </w:tc>
        <w:tc>
          <w:tcPr>
            <w:tcW w:w="1220" w:type="dxa"/>
            <w:vAlign w:val="bottom"/>
            <w:tcBorders>
              <w:bottom w:val="single" w:sz="8" w:color="010101"/>
              <w:right w:val="single" w:sz="8" w:color="010101"/>
            </w:tcBorders>
          </w:tcPr>
          <w:p>
            <w:pPr>
              <w:spacing w:after="0"/>
              <w:rPr>
                <w:sz w:val="2"/>
                <w:szCs w:val="2"/>
                <w:color w:val="auto"/>
              </w:rPr>
            </w:pPr>
          </w:p>
        </w:tc>
        <w:tc>
          <w:tcPr>
            <w:tcW w:w="1160" w:type="dxa"/>
            <w:vAlign w:val="bottom"/>
            <w:tcBorders>
              <w:bottom w:val="single" w:sz="8" w:color="010101"/>
              <w:right w:val="single" w:sz="8" w:color="010101"/>
            </w:tcBorders>
          </w:tcPr>
          <w:p>
            <w:pPr>
              <w:spacing w:after="0"/>
              <w:rPr>
                <w:sz w:val="2"/>
                <w:szCs w:val="2"/>
                <w:color w:val="auto"/>
              </w:rPr>
            </w:pPr>
          </w:p>
        </w:tc>
        <w:tc>
          <w:tcPr>
            <w:tcW w:w="1220" w:type="dxa"/>
            <w:vAlign w:val="bottom"/>
            <w:tcBorders>
              <w:bottom w:val="single" w:sz="8" w:color="010101"/>
              <w:right w:val="single" w:sz="8" w:color="010101"/>
            </w:tcBorders>
          </w:tcPr>
          <w:p>
            <w:pPr>
              <w:spacing w:after="0"/>
              <w:rPr>
                <w:sz w:val="2"/>
                <w:szCs w:val="2"/>
                <w:color w:val="auto"/>
              </w:rPr>
            </w:pPr>
          </w:p>
        </w:tc>
        <w:tc>
          <w:tcPr>
            <w:tcW w:w="1240" w:type="dxa"/>
            <w:vAlign w:val="bottom"/>
            <w:tcBorders>
              <w:bottom w:val="single" w:sz="8" w:color="010101"/>
              <w:right w:val="single" w:sz="8" w:color="010101"/>
            </w:tcBorders>
          </w:tcPr>
          <w:p>
            <w:pPr>
              <w:spacing w:after="0"/>
              <w:rPr>
                <w:sz w:val="2"/>
                <w:szCs w:val="2"/>
                <w:color w:val="auto"/>
              </w:rPr>
            </w:pPr>
          </w:p>
        </w:tc>
        <w:tc>
          <w:tcPr>
            <w:tcW w:w="1460" w:type="dxa"/>
            <w:vAlign w:val="bottom"/>
            <w:tcBorders>
              <w:bottom w:val="single" w:sz="8" w:color="010101"/>
              <w:right w:val="single" w:sz="8" w:color="010101"/>
            </w:tcBorders>
          </w:tcPr>
          <w:p>
            <w:pPr>
              <w:spacing w:after="0"/>
              <w:rPr>
                <w:sz w:val="2"/>
                <w:szCs w:val="2"/>
                <w:color w:val="auto"/>
              </w:rPr>
            </w:pPr>
          </w:p>
        </w:tc>
      </w:tr>
      <w:tr>
        <w:trPr>
          <w:trHeight w:val="196"/>
        </w:trPr>
        <w:tc>
          <w:tcPr>
            <w:tcW w:w="1100" w:type="dxa"/>
            <w:vAlign w:val="bottom"/>
            <w:tcBorders>
              <w:left w:val="single" w:sz="8" w:color="010101"/>
              <w:right w:val="single" w:sz="8" w:color="010101"/>
            </w:tcBorders>
          </w:tcPr>
          <w:p>
            <w:pPr>
              <w:spacing w:after="0"/>
              <w:rPr>
                <w:sz w:val="17"/>
                <w:szCs w:val="17"/>
                <w:color w:val="auto"/>
              </w:rPr>
            </w:pPr>
          </w:p>
        </w:tc>
        <w:tc>
          <w:tcPr>
            <w:tcW w:w="2060" w:type="dxa"/>
            <w:vAlign w:val="bottom"/>
            <w:tcBorders>
              <w:right w:val="single" w:sz="8" w:color="010101"/>
            </w:tcBorders>
            <w:gridSpan w:val="5"/>
          </w:tcPr>
          <w:p>
            <w:pPr>
              <w:jc w:val="center"/>
              <w:ind w:left="170"/>
              <w:spacing w:after="0" w:line="196" w:lineRule="exact"/>
              <w:rPr>
                <w:sz w:val="20"/>
                <w:szCs w:val="20"/>
                <w:color w:val="auto"/>
              </w:rPr>
            </w:pPr>
            <w:r>
              <w:rPr>
                <w:rFonts w:ascii="Arial" w:cs="Arial" w:eastAsia="Arial" w:hAnsi="Arial"/>
                <w:sz w:val="18"/>
                <w:szCs w:val="18"/>
                <w:color w:val="auto"/>
                <w:w w:val="92"/>
              </w:rPr>
              <w:t>&lt; 1.75:1.00</w:t>
            </w:r>
          </w:p>
        </w:tc>
        <w:tc>
          <w:tcPr>
            <w:tcW w:w="1160" w:type="dxa"/>
            <w:vAlign w:val="bottom"/>
            <w:tcBorders>
              <w:right w:val="single" w:sz="8" w:color="010101"/>
            </w:tcBorders>
          </w:tcPr>
          <w:p>
            <w:pPr>
              <w:spacing w:after="0"/>
              <w:rPr>
                <w:sz w:val="17"/>
                <w:szCs w:val="17"/>
                <w:color w:val="auto"/>
              </w:rPr>
            </w:pPr>
          </w:p>
        </w:tc>
        <w:tc>
          <w:tcPr>
            <w:tcW w:w="1220" w:type="dxa"/>
            <w:vAlign w:val="bottom"/>
            <w:tcBorders>
              <w:right w:val="single" w:sz="8" w:color="010101"/>
            </w:tcBorders>
          </w:tcPr>
          <w:p>
            <w:pPr>
              <w:spacing w:after="0"/>
              <w:rPr>
                <w:sz w:val="17"/>
                <w:szCs w:val="17"/>
                <w:color w:val="auto"/>
              </w:rPr>
            </w:pPr>
          </w:p>
        </w:tc>
        <w:tc>
          <w:tcPr>
            <w:tcW w:w="1240" w:type="dxa"/>
            <w:vAlign w:val="bottom"/>
            <w:tcBorders>
              <w:right w:val="single" w:sz="8" w:color="010101"/>
            </w:tcBorders>
          </w:tcPr>
          <w:p>
            <w:pPr>
              <w:spacing w:after="0"/>
              <w:rPr>
                <w:sz w:val="17"/>
                <w:szCs w:val="17"/>
                <w:color w:val="auto"/>
              </w:rPr>
            </w:pPr>
          </w:p>
        </w:tc>
        <w:tc>
          <w:tcPr>
            <w:tcW w:w="1460" w:type="dxa"/>
            <w:vAlign w:val="bottom"/>
            <w:tcBorders>
              <w:right w:val="single" w:sz="8" w:color="010101"/>
            </w:tcBorders>
          </w:tcPr>
          <w:p>
            <w:pPr>
              <w:spacing w:after="0"/>
              <w:rPr>
                <w:sz w:val="17"/>
                <w:szCs w:val="17"/>
                <w:color w:val="auto"/>
              </w:rPr>
            </w:pPr>
          </w:p>
        </w:tc>
      </w:tr>
      <w:tr>
        <w:trPr>
          <w:trHeight w:val="222"/>
        </w:trPr>
        <w:tc>
          <w:tcPr>
            <w:tcW w:w="1100" w:type="dxa"/>
            <w:vAlign w:val="bottom"/>
            <w:tcBorders>
              <w:left w:val="single" w:sz="8" w:color="010101"/>
              <w:right w:val="single" w:sz="8" w:color="010101"/>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20" w:type="dxa"/>
            <w:vAlign w:val="bottom"/>
            <w:tcBorders>
              <w:right w:val="single" w:sz="8" w:color="010101"/>
            </w:tcBorders>
          </w:tcPr>
          <w:p>
            <w:pPr>
              <w:jc w:val="center"/>
              <w:ind w:right="490"/>
              <w:spacing w:after="0"/>
              <w:rPr>
                <w:sz w:val="20"/>
                <w:szCs w:val="20"/>
                <w:color w:val="auto"/>
              </w:rPr>
            </w:pPr>
            <w:r>
              <w:rPr>
                <w:rFonts w:ascii="Arial" w:cs="Arial" w:eastAsia="Arial" w:hAnsi="Arial"/>
                <w:sz w:val="18"/>
                <w:szCs w:val="18"/>
                <w:color w:val="auto"/>
                <w:w w:val="95"/>
              </w:rPr>
              <w:t>but</w:t>
            </w:r>
          </w:p>
        </w:tc>
        <w:tc>
          <w:tcPr>
            <w:tcW w:w="1160" w:type="dxa"/>
            <w:vAlign w:val="bottom"/>
            <w:tcBorders>
              <w:right w:val="single" w:sz="8" w:color="010101"/>
            </w:tcBorders>
          </w:tcPr>
          <w:p>
            <w:pPr>
              <w:spacing w:after="0"/>
              <w:rPr>
                <w:sz w:val="19"/>
                <w:szCs w:val="19"/>
                <w:color w:val="auto"/>
              </w:rPr>
            </w:pPr>
          </w:p>
        </w:tc>
        <w:tc>
          <w:tcPr>
            <w:tcW w:w="1220" w:type="dxa"/>
            <w:vAlign w:val="bottom"/>
            <w:tcBorders>
              <w:right w:val="single" w:sz="8" w:color="010101"/>
            </w:tcBorders>
          </w:tcPr>
          <w:p>
            <w:pPr>
              <w:spacing w:after="0"/>
              <w:rPr>
                <w:sz w:val="19"/>
                <w:szCs w:val="19"/>
                <w:color w:val="auto"/>
              </w:rPr>
            </w:pPr>
          </w:p>
        </w:tc>
        <w:tc>
          <w:tcPr>
            <w:tcW w:w="1240" w:type="dxa"/>
            <w:vAlign w:val="bottom"/>
            <w:tcBorders>
              <w:right w:val="single" w:sz="8" w:color="010101"/>
            </w:tcBorders>
          </w:tcPr>
          <w:p>
            <w:pPr>
              <w:spacing w:after="0"/>
              <w:rPr>
                <w:sz w:val="19"/>
                <w:szCs w:val="19"/>
                <w:color w:val="auto"/>
              </w:rPr>
            </w:pPr>
          </w:p>
        </w:tc>
        <w:tc>
          <w:tcPr>
            <w:tcW w:w="1460" w:type="dxa"/>
            <w:vAlign w:val="bottom"/>
            <w:tcBorders>
              <w:right w:val="single" w:sz="8" w:color="010101"/>
            </w:tcBorders>
          </w:tcPr>
          <w:p>
            <w:pPr>
              <w:spacing w:after="0"/>
              <w:rPr>
                <w:sz w:val="19"/>
                <w:szCs w:val="19"/>
                <w:color w:val="auto"/>
              </w:rPr>
            </w:pPr>
          </w:p>
        </w:tc>
      </w:tr>
      <w:tr>
        <w:trPr>
          <w:trHeight w:val="230"/>
        </w:trPr>
        <w:tc>
          <w:tcPr>
            <w:tcW w:w="1100" w:type="dxa"/>
            <w:vAlign w:val="bottom"/>
            <w:tcBorders>
              <w:left w:val="single" w:sz="8" w:color="010101"/>
              <w:right w:val="single" w:sz="8" w:color="010101"/>
            </w:tcBorders>
          </w:tcPr>
          <w:p>
            <w:pPr>
              <w:jc w:val="center"/>
              <w:spacing w:after="0"/>
              <w:rPr>
                <w:sz w:val="20"/>
                <w:szCs w:val="20"/>
                <w:color w:val="auto"/>
              </w:rPr>
            </w:pPr>
            <w:r>
              <w:rPr>
                <w:rFonts w:ascii="Arial" w:cs="Arial" w:eastAsia="Arial" w:hAnsi="Arial"/>
                <w:sz w:val="18"/>
                <w:szCs w:val="18"/>
                <w:color w:val="auto"/>
              </w:rPr>
              <w:t>IV</w:t>
            </w:r>
          </w:p>
        </w:tc>
        <w:tc>
          <w:tcPr>
            <w:tcW w:w="2060" w:type="dxa"/>
            <w:vAlign w:val="bottom"/>
            <w:tcBorders>
              <w:right w:val="single" w:sz="8" w:color="010101"/>
            </w:tcBorders>
            <w:gridSpan w:val="5"/>
          </w:tcPr>
          <w:p>
            <w:pPr>
              <w:jc w:val="center"/>
              <w:ind w:left="170"/>
              <w:spacing w:after="0"/>
              <w:rPr>
                <w:sz w:val="20"/>
                <w:szCs w:val="20"/>
                <w:color w:val="auto"/>
              </w:rPr>
            </w:pPr>
            <w:r>
              <w:rPr>
                <w:rFonts w:ascii="Arial" w:cs="Arial" w:eastAsia="Arial" w:hAnsi="Arial"/>
                <w:sz w:val="18"/>
                <w:szCs w:val="18"/>
                <w:color w:val="auto"/>
                <w:w w:val="92"/>
              </w:rPr>
              <w:t>&gt; 0.75:1.00</w:t>
            </w:r>
          </w:p>
        </w:tc>
        <w:tc>
          <w:tcPr>
            <w:tcW w:w="1160" w:type="dxa"/>
            <w:vAlign w:val="bottom"/>
            <w:tcBorders>
              <w:right w:val="single" w:sz="8" w:color="010101"/>
            </w:tcBorders>
          </w:tcPr>
          <w:p>
            <w:pPr>
              <w:jc w:val="center"/>
              <w:spacing w:after="0"/>
              <w:rPr>
                <w:sz w:val="20"/>
                <w:szCs w:val="20"/>
                <w:color w:val="auto"/>
              </w:rPr>
            </w:pPr>
            <w:r>
              <w:rPr>
                <w:rFonts w:ascii="Arial" w:cs="Arial" w:eastAsia="Arial" w:hAnsi="Arial"/>
                <w:sz w:val="18"/>
                <w:szCs w:val="18"/>
                <w:color w:val="auto"/>
                <w:w w:val="92"/>
              </w:rPr>
              <w:t>2%</w:t>
            </w:r>
          </w:p>
        </w:tc>
        <w:tc>
          <w:tcPr>
            <w:tcW w:w="1220" w:type="dxa"/>
            <w:vAlign w:val="bottom"/>
            <w:tcBorders>
              <w:right w:val="single" w:sz="8" w:color="010101"/>
            </w:tcBorders>
          </w:tcPr>
          <w:p>
            <w:pPr>
              <w:jc w:val="center"/>
              <w:spacing w:after="0"/>
              <w:rPr>
                <w:sz w:val="20"/>
                <w:szCs w:val="20"/>
                <w:color w:val="auto"/>
              </w:rPr>
            </w:pPr>
            <w:r>
              <w:rPr>
                <w:rFonts w:ascii="Arial" w:cs="Arial" w:eastAsia="Arial" w:hAnsi="Arial"/>
                <w:sz w:val="18"/>
                <w:szCs w:val="18"/>
                <w:color w:val="auto"/>
                <w:w w:val="92"/>
              </w:rPr>
              <w:t>1%</w:t>
            </w:r>
          </w:p>
        </w:tc>
        <w:tc>
          <w:tcPr>
            <w:tcW w:w="1240" w:type="dxa"/>
            <w:vAlign w:val="bottom"/>
            <w:tcBorders>
              <w:right w:val="single" w:sz="8" w:color="010101"/>
            </w:tcBorders>
          </w:tcPr>
          <w:p>
            <w:pPr>
              <w:jc w:val="center"/>
              <w:spacing w:after="0"/>
              <w:rPr>
                <w:sz w:val="20"/>
                <w:szCs w:val="20"/>
                <w:color w:val="auto"/>
              </w:rPr>
            </w:pPr>
            <w:r>
              <w:rPr>
                <w:rFonts w:ascii="Arial" w:cs="Arial" w:eastAsia="Arial" w:hAnsi="Arial"/>
                <w:sz w:val="18"/>
                <w:szCs w:val="18"/>
                <w:color w:val="auto"/>
                <w:w w:val="92"/>
              </w:rPr>
              <w:t>2%</w:t>
            </w:r>
          </w:p>
        </w:tc>
        <w:tc>
          <w:tcPr>
            <w:tcW w:w="1460" w:type="dxa"/>
            <w:vAlign w:val="bottom"/>
            <w:tcBorders>
              <w:right w:val="single" w:sz="8" w:color="010101"/>
            </w:tcBorders>
          </w:tcPr>
          <w:p>
            <w:pPr>
              <w:jc w:val="center"/>
              <w:spacing w:after="0"/>
              <w:rPr>
                <w:sz w:val="20"/>
                <w:szCs w:val="20"/>
                <w:color w:val="auto"/>
              </w:rPr>
            </w:pPr>
            <w:r>
              <w:rPr>
                <w:rFonts w:ascii="Arial" w:cs="Arial" w:eastAsia="Arial" w:hAnsi="Arial"/>
                <w:sz w:val="18"/>
                <w:szCs w:val="18"/>
                <w:color w:val="auto"/>
                <w:w w:val="90"/>
              </w:rPr>
              <w:t>0.35%</w:t>
            </w:r>
          </w:p>
        </w:tc>
      </w:tr>
      <w:tr>
        <w:trPr>
          <w:trHeight w:val="27"/>
        </w:trPr>
        <w:tc>
          <w:tcPr>
            <w:tcW w:w="1100" w:type="dxa"/>
            <w:vAlign w:val="bottom"/>
            <w:tcBorders>
              <w:left w:val="single" w:sz="8" w:color="010101"/>
              <w:bottom w:val="single" w:sz="8" w:color="010101"/>
              <w:right w:val="single" w:sz="8" w:color="010101"/>
            </w:tcBorders>
          </w:tcPr>
          <w:p>
            <w:pPr>
              <w:spacing w:after="0"/>
              <w:rPr>
                <w:sz w:val="2"/>
                <w:szCs w:val="2"/>
                <w:color w:val="auto"/>
              </w:rPr>
            </w:pPr>
          </w:p>
        </w:tc>
        <w:tc>
          <w:tcPr>
            <w:tcW w:w="320" w:type="dxa"/>
            <w:vAlign w:val="bottom"/>
            <w:tcBorders>
              <w:bottom w:val="single" w:sz="8" w:color="010101"/>
            </w:tcBorders>
          </w:tcPr>
          <w:p>
            <w:pPr>
              <w:spacing w:after="0"/>
              <w:rPr>
                <w:sz w:val="2"/>
                <w:szCs w:val="2"/>
                <w:color w:val="auto"/>
              </w:rPr>
            </w:pPr>
          </w:p>
        </w:tc>
        <w:tc>
          <w:tcPr>
            <w:tcW w:w="100" w:type="dxa"/>
            <w:vAlign w:val="bottom"/>
            <w:tcBorders>
              <w:bottom w:val="single" w:sz="8" w:color="010101"/>
            </w:tcBorders>
          </w:tcPr>
          <w:p>
            <w:pPr>
              <w:spacing w:after="0"/>
              <w:rPr>
                <w:sz w:val="2"/>
                <w:szCs w:val="2"/>
                <w:color w:val="auto"/>
              </w:rPr>
            </w:pPr>
          </w:p>
        </w:tc>
        <w:tc>
          <w:tcPr>
            <w:tcW w:w="320" w:type="dxa"/>
            <w:vAlign w:val="bottom"/>
            <w:tcBorders>
              <w:bottom w:val="single" w:sz="8" w:color="010101"/>
            </w:tcBorders>
          </w:tcPr>
          <w:p>
            <w:pPr>
              <w:spacing w:after="0"/>
              <w:rPr>
                <w:sz w:val="2"/>
                <w:szCs w:val="2"/>
                <w:color w:val="auto"/>
              </w:rPr>
            </w:pPr>
          </w:p>
        </w:tc>
        <w:tc>
          <w:tcPr>
            <w:tcW w:w="100" w:type="dxa"/>
            <w:vAlign w:val="bottom"/>
            <w:tcBorders>
              <w:bottom w:val="single" w:sz="8" w:color="010101"/>
            </w:tcBorders>
          </w:tcPr>
          <w:p>
            <w:pPr>
              <w:spacing w:after="0"/>
              <w:rPr>
                <w:sz w:val="2"/>
                <w:szCs w:val="2"/>
                <w:color w:val="auto"/>
              </w:rPr>
            </w:pPr>
          </w:p>
        </w:tc>
        <w:tc>
          <w:tcPr>
            <w:tcW w:w="1220" w:type="dxa"/>
            <w:vAlign w:val="bottom"/>
            <w:tcBorders>
              <w:bottom w:val="single" w:sz="8" w:color="010101"/>
              <w:right w:val="single" w:sz="8" w:color="010101"/>
            </w:tcBorders>
          </w:tcPr>
          <w:p>
            <w:pPr>
              <w:spacing w:after="0"/>
              <w:rPr>
                <w:sz w:val="2"/>
                <w:szCs w:val="2"/>
                <w:color w:val="auto"/>
              </w:rPr>
            </w:pPr>
          </w:p>
        </w:tc>
        <w:tc>
          <w:tcPr>
            <w:tcW w:w="1160" w:type="dxa"/>
            <w:vAlign w:val="bottom"/>
            <w:tcBorders>
              <w:bottom w:val="single" w:sz="8" w:color="010101"/>
              <w:right w:val="single" w:sz="8" w:color="010101"/>
            </w:tcBorders>
          </w:tcPr>
          <w:p>
            <w:pPr>
              <w:spacing w:after="0"/>
              <w:rPr>
                <w:sz w:val="2"/>
                <w:szCs w:val="2"/>
                <w:color w:val="auto"/>
              </w:rPr>
            </w:pPr>
          </w:p>
        </w:tc>
        <w:tc>
          <w:tcPr>
            <w:tcW w:w="1220" w:type="dxa"/>
            <w:vAlign w:val="bottom"/>
            <w:tcBorders>
              <w:bottom w:val="single" w:sz="8" w:color="010101"/>
              <w:right w:val="single" w:sz="8" w:color="010101"/>
            </w:tcBorders>
          </w:tcPr>
          <w:p>
            <w:pPr>
              <w:spacing w:after="0"/>
              <w:rPr>
                <w:sz w:val="2"/>
                <w:szCs w:val="2"/>
                <w:color w:val="auto"/>
              </w:rPr>
            </w:pPr>
          </w:p>
        </w:tc>
        <w:tc>
          <w:tcPr>
            <w:tcW w:w="1240" w:type="dxa"/>
            <w:vAlign w:val="bottom"/>
            <w:tcBorders>
              <w:bottom w:val="single" w:sz="8" w:color="010101"/>
              <w:right w:val="single" w:sz="8" w:color="010101"/>
            </w:tcBorders>
          </w:tcPr>
          <w:p>
            <w:pPr>
              <w:spacing w:after="0"/>
              <w:rPr>
                <w:sz w:val="2"/>
                <w:szCs w:val="2"/>
                <w:color w:val="auto"/>
              </w:rPr>
            </w:pPr>
          </w:p>
        </w:tc>
        <w:tc>
          <w:tcPr>
            <w:tcW w:w="1460" w:type="dxa"/>
            <w:vAlign w:val="bottom"/>
            <w:tcBorders>
              <w:bottom w:val="single" w:sz="8" w:color="010101"/>
              <w:right w:val="single" w:sz="8" w:color="010101"/>
            </w:tcBorders>
          </w:tcPr>
          <w:p>
            <w:pPr>
              <w:spacing w:after="0"/>
              <w:rPr>
                <w:sz w:val="2"/>
                <w:szCs w:val="2"/>
                <w:color w:val="auto"/>
              </w:rPr>
            </w:pPr>
          </w:p>
        </w:tc>
      </w:tr>
      <w:tr>
        <w:trPr>
          <w:trHeight w:val="250"/>
        </w:trPr>
        <w:tc>
          <w:tcPr>
            <w:tcW w:w="1100" w:type="dxa"/>
            <w:vAlign w:val="bottom"/>
            <w:tcBorders>
              <w:left w:val="single" w:sz="8" w:color="010101"/>
              <w:right w:val="single" w:sz="8" w:color="010101"/>
            </w:tcBorders>
          </w:tcPr>
          <w:p>
            <w:pPr>
              <w:jc w:val="center"/>
              <w:spacing w:after="0"/>
              <w:rPr>
                <w:sz w:val="20"/>
                <w:szCs w:val="20"/>
                <w:color w:val="auto"/>
              </w:rPr>
            </w:pPr>
            <w:r>
              <w:rPr>
                <w:rFonts w:ascii="Arial" w:cs="Arial" w:eastAsia="Arial" w:hAnsi="Arial"/>
                <w:sz w:val="18"/>
                <w:szCs w:val="18"/>
                <w:color w:val="auto"/>
                <w:w w:val="99"/>
              </w:rPr>
              <w:t>V</w:t>
            </w:r>
          </w:p>
        </w:tc>
        <w:tc>
          <w:tcPr>
            <w:tcW w:w="2060" w:type="dxa"/>
            <w:vAlign w:val="bottom"/>
            <w:tcBorders>
              <w:right w:val="single" w:sz="8" w:color="010101"/>
            </w:tcBorders>
            <w:gridSpan w:val="5"/>
          </w:tcPr>
          <w:p>
            <w:pPr>
              <w:jc w:val="right"/>
              <w:ind w:right="830"/>
              <w:spacing w:after="0"/>
              <w:rPr>
                <w:sz w:val="20"/>
                <w:szCs w:val="20"/>
                <w:color w:val="auto"/>
              </w:rPr>
            </w:pPr>
            <w:r>
              <w:rPr>
                <w:rFonts w:ascii="Arial" w:cs="Arial" w:eastAsia="Arial" w:hAnsi="Arial"/>
                <w:sz w:val="18"/>
                <w:szCs w:val="18"/>
                <w:color w:val="auto"/>
              </w:rPr>
              <w:t>&lt; 0.75:1.00</w:t>
            </w:r>
          </w:p>
        </w:tc>
        <w:tc>
          <w:tcPr>
            <w:tcW w:w="1160" w:type="dxa"/>
            <w:vAlign w:val="bottom"/>
            <w:tcBorders>
              <w:right w:val="single" w:sz="8" w:color="010101"/>
            </w:tcBorders>
          </w:tcPr>
          <w:p>
            <w:pPr>
              <w:jc w:val="center"/>
              <w:spacing w:after="0"/>
              <w:rPr>
                <w:sz w:val="20"/>
                <w:szCs w:val="20"/>
                <w:color w:val="auto"/>
              </w:rPr>
            </w:pPr>
            <w:r>
              <w:rPr>
                <w:rFonts w:ascii="Arial" w:cs="Arial" w:eastAsia="Arial" w:hAnsi="Arial"/>
                <w:sz w:val="18"/>
                <w:szCs w:val="18"/>
                <w:color w:val="auto"/>
                <w:w w:val="90"/>
              </w:rPr>
              <w:t>1.75%</w:t>
            </w:r>
          </w:p>
        </w:tc>
        <w:tc>
          <w:tcPr>
            <w:tcW w:w="1220" w:type="dxa"/>
            <w:vAlign w:val="bottom"/>
            <w:tcBorders>
              <w:right w:val="single" w:sz="8" w:color="010101"/>
            </w:tcBorders>
          </w:tcPr>
          <w:p>
            <w:pPr>
              <w:jc w:val="center"/>
              <w:spacing w:after="0"/>
              <w:rPr>
                <w:sz w:val="20"/>
                <w:szCs w:val="20"/>
                <w:color w:val="auto"/>
              </w:rPr>
            </w:pPr>
            <w:r>
              <w:rPr>
                <w:rFonts w:ascii="Arial" w:cs="Arial" w:eastAsia="Arial" w:hAnsi="Arial"/>
                <w:sz w:val="18"/>
                <w:szCs w:val="18"/>
                <w:color w:val="auto"/>
                <w:w w:val="90"/>
              </w:rPr>
              <w:t>0.75%</w:t>
            </w:r>
          </w:p>
        </w:tc>
        <w:tc>
          <w:tcPr>
            <w:tcW w:w="1240" w:type="dxa"/>
            <w:vAlign w:val="bottom"/>
            <w:tcBorders>
              <w:right w:val="single" w:sz="8" w:color="010101"/>
            </w:tcBorders>
          </w:tcPr>
          <w:p>
            <w:pPr>
              <w:jc w:val="center"/>
              <w:spacing w:after="0"/>
              <w:rPr>
                <w:sz w:val="20"/>
                <w:szCs w:val="20"/>
                <w:color w:val="auto"/>
              </w:rPr>
            </w:pPr>
            <w:r>
              <w:rPr>
                <w:rFonts w:ascii="Arial" w:cs="Arial" w:eastAsia="Arial" w:hAnsi="Arial"/>
                <w:sz w:val="18"/>
                <w:szCs w:val="18"/>
                <w:color w:val="auto"/>
                <w:w w:val="93"/>
              </w:rPr>
              <w:t>1.75%</w:t>
            </w:r>
          </w:p>
        </w:tc>
        <w:tc>
          <w:tcPr>
            <w:tcW w:w="1460" w:type="dxa"/>
            <w:vAlign w:val="bottom"/>
            <w:tcBorders>
              <w:right w:val="single" w:sz="8" w:color="010101"/>
            </w:tcBorders>
          </w:tcPr>
          <w:p>
            <w:pPr>
              <w:jc w:val="center"/>
              <w:spacing w:after="0"/>
              <w:rPr>
                <w:sz w:val="20"/>
                <w:szCs w:val="20"/>
                <w:color w:val="auto"/>
              </w:rPr>
            </w:pPr>
            <w:r>
              <w:rPr>
                <w:rFonts w:ascii="Arial" w:cs="Arial" w:eastAsia="Arial" w:hAnsi="Arial"/>
                <w:sz w:val="18"/>
                <w:szCs w:val="18"/>
                <w:color w:val="auto"/>
                <w:w w:val="92"/>
              </w:rPr>
              <w:t>0.3%</w:t>
            </w:r>
          </w:p>
        </w:tc>
      </w:tr>
      <w:tr>
        <w:trPr>
          <w:trHeight w:val="47"/>
        </w:trPr>
        <w:tc>
          <w:tcPr>
            <w:tcW w:w="1100" w:type="dxa"/>
            <w:vAlign w:val="bottom"/>
            <w:tcBorders>
              <w:left w:val="single" w:sz="8" w:color="010101"/>
              <w:bottom w:val="single" w:sz="8" w:color="010101"/>
              <w:right w:val="single" w:sz="8" w:color="010101"/>
            </w:tcBorders>
          </w:tcPr>
          <w:p>
            <w:pPr>
              <w:spacing w:after="0"/>
              <w:rPr>
                <w:sz w:val="4"/>
                <w:szCs w:val="4"/>
                <w:color w:val="auto"/>
              </w:rPr>
            </w:pPr>
          </w:p>
        </w:tc>
        <w:tc>
          <w:tcPr>
            <w:tcW w:w="320" w:type="dxa"/>
            <w:vAlign w:val="bottom"/>
            <w:tcBorders>
              <w:bottom w:val="single" w:sz="8" w:color="010101"/>
            </w:tcBorders>
          </w:tcPr>
          <w:p>
            <w:pPr>
              <w:spacing w:after="0"/>
              <w:rPr>
                <w:sz w:val="4"/>
                <w:szCs w:val="4"/>
                <w:color w:val="auto"/>
              </w:rPr>
            </w:pPr>
          </w:p>
        </w:tc>
        <w:tc>
          <w:tcPr>
            <w:tcW w:w="100" w:type="dxa"/>
            <w:vAlign w:val="bottom"/>
            <w:tcBorders>
              <w:top w:val="single" w:sz="8" w:color="auto"/>
              <w:bottom w:val="single" w:sz="8" w:color="010101"/>
            </w:tcBorders>
          </w:tcPr>
          <w:p>
            <w:pPr>
              <w:spacing w:after="0"/>
              <w:rPr>
                <w:sz w:val="4"/>
                <w:szCs w:val="4"/>
                <w:color w:val="auto"/>
              </w:rPr>
            </w:pPr>
          </w:p>
        </w:tc>
        <w:tc>
          <w:tcPr>
            <w:tcW w:w="320" w:type="dxa"/>
            <w:vAlign w:val="bottom"/>
            <w:tcBorders>
              <w:bottom w:val="single" w:sz="8" w:color="010101"/>
            </w:tcBorders>
          </w:tcPr>
          <w:p>
            <w:pPr>
              <w:spacing w:after="0"/>
              <w:rPr>
                <w:sz w:val="4"/>
                <w:szCs w:val="4"/>
                <w:color w:val="auto"/>
              </w:rPr>
            </w:pPr>
          </w:p>
        </w:tc>
        <w:tc>
          <w:tcPr>
            <w:tcW w:w="100" w:type="dxa"/>
            <w:vAlign w:val="bottom"/>
            <w:tcBorders>
              <w:bottom w:val="single" w:sz="8" w:color="010101"/>
            </w:tcBorders>
          </w:tcPr>
          <w:p>
            <w:pPr>
              <w:spacing w:after="0"/>
              <w:rPr>
                <w:sz w:val="4"/>
                <w:szCs w:val="4"/>
                <w:color w:val="auto"/>
              </w:rPr>
            </w:pPr>
          </w:p>
        </w:tc>
        <w:tc>
          <w:tcPr>
            <w:tcW w:w="1220" w:type="dxa"/>
            <w:vAlign w:val="bottom"/>
            <w:tcBorders>
              <w:bottom w:val="single" w:sz="8" w:color="010101"/>
              <w:right w:val="single" w:sz="8" w:color="010101"/>
            </w:tcBorders>
          </w:tcPr>
          <w:p>
            <w:pPr>
              <w:spacing w:after="0"/>
              <w:rPr>
                <w:sz w:val="4"/>
                <w:szCs w:val="4"/>
                <w:color w:val="auto"/>
              </w:rPr>
            </w:pPr>
          </w:p>
        </w:tc>
        <w:tc>
          <w:tcPr>
            <w:tcW w:w="1160" w:type="dxa"/>
            <w:vAlign w:val="bottom"/>
            <w:tcBorders>
              <w:bottom w:val="single" w:sz="8" w:color="010101"/>
              <w:right w:val="single" w:sz="8" w:color="010101"/>
            </w:tcBorders>
          </w:tcPr>
          <w:p>
            <w:pPr>
              <w:spacing w:after="0"/>
              <w:rPr>
                <w:sz w:val="4"/>
                <w:szCs w:val="4"/>
                <w:color w:val="auto"/>
              </w:rPr>
            </w:pPr>
          </w:p>
        </w:tc>
        <w:tc>
          <w:tcPr>
            <w:tcW w:w="1220" w:type="dxa"/>
            <w:vAlign w:val="bottom"/>
            <w:tcBorders>
              <w:bottom w:val="single" w:sz="8" w:color="010101"/>
              <w:right w:val="single" w:sz="8" w:color="010101"/>
            </w:tcBorders>
          </w:tcPr>
          <w:p>
            <w:pPr>
              <w:spacing w:after="0"/>
              <w:rPr>
                <w:sz w:val="4"/>
                <w:szCs w:val="4"/>
                <w:color w:val="auto"/>
              </w:rPr>
            </w:pPr>
          </w:p>
        </w:tc>
        <w:tc>
          <w:tcPr>
            <w:tcW w:w="1240" w:type="dxa"/>
            <w:vAlign w:val="bottom"/>
            <w:tcBorders>
              <w:bottom w:val="single" w:sz="8" w:color="010101"/>
              <w:right w:val="single" w:sz="8" w:color="010101"/>
            </w:tcBorders>
          </w:tcPr>
          <w:p>
            <w:pPr>
              <w:spacing w:after="0"/>
              <w:rPr>
                <w:sz w:val="4"/>
                <w:szCs w:val="4"/>
                <w:color w:val="auto"/>
              </w:rPr>
            </w:pPr>
          </w:p>
        </w:tc>
        <w:tc>
          <w:tcPr>
            <w:tcW w:w="1460" w:type="dxa"/>
            <w:vAlign w:val="bottom"/>
            <w:tcBorders>
              <w:bottom w:val="single" w:sz="8" w:color="010101"/>
              <w:right w:val="single" w:sz="8" w:color="010101"/>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337" w:right="379" w:bottom="1440" w:gutter="0" w:footer="0" w:header="0"/>
        </w:sectPr>
      </w:pPr>
    </w:p>
    <w:bookmarkStart w:id="85" w:name="page86"/>
    <w:bookmarkEnd w:id="85"/>
    <w:p>
      <w:pPr>
        <w:ind w:right="60" w:firstLine="648"/>
        <w:spacing w:after="0" w:line="263" w:lineRule="auto"/>
        <w:rPr>
          <w:sz w:val="20"/>
          <w:szCs w:val="20"/>
          <w:color w:val="auto"/>
        </w:rPr>
      </w:pPr>
      <w:r>
        <w:rPr>
          <w:rFonts w:ascii="Arial" w:cs="Arial" w:eastAsia="Arial" w:hAnsi="Arial"/>
          <w:sz w:val="18"/>
          <w:szCs w:val="18"/>
          <w:color w:val="auto"/>
        </w:rPr>
        <w:t xml:space="preserve">Any increase or decrease in the Applicable Margin resulting from a change in the Consolidated First Lien Secured Debt to Consolidated EBITDA Ratio </w:t>
      </w:r>
      <w:r>
        <w:rPr>
          <w:rFonts w:ascii="Arial" w:cs="Arial" w:eastAsia="Arial" w:hAnsi="Arial"/>
          <w:sz w:val="18"/>
          <w:szCs w:val="18"/>
          <w:u w:val="single" w:color="auto"/>
          <w:color w:val="0000FF"/>
        </w:rPr>
        <w:t>or Consolidated EBITDA for the most recent Test Period</w:t>
      </w:r>
      <w:r>
        <w:rPr>
          <w:rFonts w:ascii="Arial" w:cs="Arial" w:eastAsia="Arial" w:hAnsi="Arial"/>
          <w:sz w:val="18"/>
          <w:szCs w:val="18"/>
          <w:color w:val="auto"/>
        </w:rPr>
        <w:t xml:space="preserve"> shall become effective as of the first Business Day immediately following the date a Compliance Certificate is delivered pursuant to </w:t>
      </w:r>
      <w:r>
        <w:rPr>
          <w:rFonts w:ascii="Arial" w:cs="Arial" w:eastAsia="Arial" w:hAnsi="Arial"/>
          <w:sz w:val="18"/>
          <w:szCs w:val="18"/>
          <w:u w:val="single" w:color="auto"/>
          <w:color w:val="auto"/>
        </w:rPr>
        <w:t>Section 9.1(d)</w:t>
      </w:r>
      <w:r>
        <w:rPr>
          <w:rFonts w:ascii="Arial" w:cs="Arial" w:eastAsia="Arial" w:hAnsi="Arial"/>
          <w:sz w:val="18"/>
          <w:szCs w:val="18"/>
          <w:color w:val="auto"/>
        </w:rPr>
        <w:t>.</w:t>
      </w:r>
    </w:p>
    <w:p>
      <w:pPr>
        <w:spacing w:after="0" w:line="13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Notwithstanding the foregoing, (a) the Applicable Margin in respect of any Class of Extended Revolving Credit Commitments or any Extended Term Loans or Revolving Credit Loans made pursuant to any Extended Revolving Credit Commitments shall be the applicable percentages per annum set forth in the relevant Extension Amendment, (b) the Applicable Margin in respect of any Class of Incremental Loans, shall be the applicable percentages per annum set forth in the relevant Joinder Agreement and (c) the Applicable Margin in respect of any Class of Replacement Term Loans shall be the applicable percentages per annum set forth in the relevant agreement.</w:t>
      </w:r>
    </w:p>
    <w:p>
      <w:pPr>
        <w:spacing w:after="0" w:line="134"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Notwithstanding anything to the contrary contained above in this definition or elsewhere in this Agreement, if it is subsequently determined that any Consolidated First Lien Secured Debt to Consolidated EBITDA Ratio </w:t>
      </w:r>
      <w:r>
        <w:rPr>
          <w:rFonts w:ascii="Arial" w:cs="Arial" w:eastAsia="Arial" w:hAnsi="Arial"/>
          <w:sz w:val="16"/>
          <w:szCs w:val="16"/>
          <w:u w:val="single" w:color="auto"/>
          <w:color w:val="0000FF"/>
        </w:rPr>
        <w:t>or calculation of Consolidated EBITDA</w:t>
      </w:r>
      <w:r>
        <w:rPr>
          <w:rFonts w:ascii="Arial" w:cs="Arial" w:eastAsia="Arial" w:hAnsi="Arial"/>
          <w:sz w:val="16"/>
          <w:szCs w:val="16"/>
          <w:color w:val="auto"/>
        </w:rPr>
        <w:t xml:space="preserve"> set forth in any Compliance Certificate delivered to the Administrative Agent is inaccurate for any reason and the result thereof is that the Lenders received interest or fees for any period based on an Applicable Margin that is less than that which would have been applicable had such Consolidated First Lien Secured Debt to Consolidated EBITDA Ratio </w:t>
      </w:r>
      <w:r>
        <w:rPr>
          <w:rFonts w:ascii="Arial" w:cs="Arial" w:eastAsia="Arial" w:hAnsi="Arial"/>
          <w:sz w:val="16"/>
          <w:szCs w:val="16"/>
          <w:u w:val="single" w:color="auto"/>
          <w:color w:val="0000FF"/>
        </w:rPr>
        <w:t>or Consolidated EBITDA</w:t>
      </w:r>
      <w:r>
        <w:rPr>
          <w:rFonts w:ascii="Arial" w:cs="Arial" w:eastAsia="Arial" w:hAnsi="Arial"/>
          <w:sz w:val="16"/>
          <w:szCs w:val="16"/>
          <w:color w:val="auto"/>
        </w:rPr>
        <w:t xml:space="preserve"> been accurately determined, then, for all purposes of this Agreement, the Applicable Margin for any day occurring within the period covered by such Compliance Certificate shall retroactively be deemed to be the relevant percentage as based upon the accurately determined Consolidated First Lien Secured Debt to Consolidated EBITDA Ratio </w:t>
      </w:r>
      <w:r>
        <w:rPr>
          <w:rFonts w:ascii="Arial" w:cs="Arial" w:eastAsia="Arial" w:hAnsi="Arial"/>
          <w:sz w:val="16"/>
          <w:szCs w:val="16"/>
          <w:u w:val="single" w:color="auto"/>
          <w:color w:val="0000FF"/>
        </w:rPr>
        <w:t>or Consolidated EBITDA</w:t>
      </w:r>
      <w:r>
        <w:rPr>
          <w:rFonts w:ascii="Arial" w:cs="Arial" w:eastAsia="Arial" w:hAnsi="Arial"/>
          <w:sz w:val="16"/>
          <w:szCs w:val="16"/>
          <w:color w:val="auto"/>
        </w:rPr>
        <w:t xml:space="preserve"> for such period, and any shortfall in the interest or fees theretofore paid by the Borrower for the relevant period as a result of the miscalculation of such Consolidated First Lien Secured Debt to Consolidated EBITDA Ratio </w:t>
      </w:r>
      <w:r>
        <w:rPr>
          <w:rFonts w:ascii="Arial" w:cs="Arial" w:eastAsia="Arial" w:hAnsi="Arial"/>
          <w:sz w:val="16"/>
          <w:szCs w:val="16"/>
          <w:u w:val="single" w:color="auto"/>
          <w:color w:val="0000FF"/>
        </w:rPr>
        <w:t>or Consolidated EBITDA</w:t>
      </w:r>
      <w:r>
        <w:rPr>
          <w:rFonts w:ascii="Arial" w:cs="Arial" w:eastAsia="Arial" w:hAnsi="Arial"/>
          <w:sz w:val="16"/>
          <w:szCs w:val="16"/>
          <w:color w:val="auto"/>
        </w:rPr>
        <w:t xml:space="preserve"> shall be deemed to be (and shall be) due and payable, at the time the interest or fees for such period were required to be 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so long as an Event of Default described in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has not occurred with respect to the Borrower, such shortfall shall be due and payable within five Business Days following the written demand thereof by the Administrative Agent and no Default shall be deemed to have occurred as a result of such non-payment until the expiration of such five Business Day period. In addition, at the option of the Required Lenders, at any time during which the Borrower shall have failed to deliver any of the Section 9.1 Financials by the applicable date required under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then the Consolidated First Lien Secured Debt to Consolidated EBITDA Ratio shall be deemed to be in pricing level I </w:t>
      </w:r>
      <w:r>
        <w:rPr>
          <w:rFonts w:ascii="Arial" w:cs="Arial" w:eastAsia="Arial" w:hAnsi="Arial"/>
          <w:sz w:val="16"/>
          <w:szCs w:val="16"/>
          <w:u w:val="single" w:color="auto"/>
          <w:color w:val="0000FF"/>
        </w:rPr>
        <w:t>and Consolidated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EBITDA for the most recent Test Period shall be deemed to be less than $0</w:t>
      </w:r>
      <w:r>
        <w:rPr>
          <w:rFonts w:ascii="Arial" w:cs="Arial" w:eastAsia="Arial" w:hAnsi="Arial"/>
          <w:sz w:val="16"/>
          <w:szCs w:val="16"/>
          <w:color w:val="0000FF"/>
        </w:rPr>
        <w:t xml:space="preserve"> </w:t>
      </w:r>
      <w:r>
        <w:rPr>
          <w:rFonts w:ascii="Arial" w:cs="Arial" w:eastAsia="Arial" w:hAnsi="Arial"/>
          <w:sz w:val="16"/>
          <w:szCs w:val="16"/>
          <w:color w:val="000000"/>
        </w:rPr>
        <w:t>for the purposes of determining the Applicable Margin (but only for so long as</w:t>
      </w:r>
      <w:r>
        <w:rPr>
          <w:rFonts w:ascii="Arial" w:cs="Arial" w:eastAsia="Arial" w:hAnsi="Arial"/>
          <w:sz w:val="16"/>
          <w:szCs w:val="16"/>
          <w:color w:val="0000FF"/>
        </w:rPr>
        <w:t xml:space="preserve"> </w:t>
      </w:r>
      <w:r>
        <w:rPr>
          <w:rFonts w:ascii="Arial" w:cs="Arial" w:eastAsia="Arial" w:hAnsi="Arial"/>
          <w:sz w:val="16"/>
          <w:szCs w:val="16"/>
          <w:color w:val="000000"/>
        </w:rPr>
        <w:t xml:space="preserve">such failure continues, after which such ratio and pricing level shall be determined based on the then existing Consolidated First Lien Secured Debt to Consolidated EBITDA Ratio </w:t>
      </w:r>
      <w:r>
        <w:rPr>
          <w:rFonts w:ascii="Arial" w:cs="Arial" w:eastAsia="Arial" w:hAnsi="Arial"/>
          <w:sz w:val="16"/>
          <w:szCs w:val="16"/>
          <w:u w:val="single" w:color="auto"/>
          <w:color w:val="0000FF"/>
        </w:rPr>
        <w:t>and Consolidated EBITDA for the most recent Test Period.</w:t>
      </w:r>
    </w:p>
    <w:p>
      <w:pPr>
        <w:spacing w:after="0" w:line="116" w:lineRule="exact"/>
        <w:rPr>
          <w:sz w:val="20"/>
          <w:szCs w:val="20"/>
          <w:color w:val="auto"/>
        </w:rPr>
      </w:pPr>
    </w:p>
    <w:p>
      <w:pPr>
        <w:ind w:right="5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Fund</w:t>
      </w:r>
      <w:r>
        <w:rPr>
          <w:rFonts w:ascii="Arial" w:cs="Arial" w:eastAsia="Arial" w:hAnsi="Arial"/>
          <w:sz w:val="18"/>
          <w:szCs w:val="18"/>
          <w:color w:val="auto"/>
        </w:rPr>
        <w:t>” shall mean any Fund that is administered or managed by (i) a Lender, (ii) an Affiliate of a Lender, or (iii) an entity or an Affiliate of an entity that administers, advises or manages a Lender.</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Sale</w:t>
      </w:r>
      <w:r>
        <w:rPr>
          <w:rFonts w:ascii="Arial" w:cs="Arial" w:eastAsia="Arial" w:hAnsi="Arial"/>
          <w:sz w:val="18"/>
          <w:szCs w:val="18"/>
          <w:color w:val="auto"/>
        </w:rPr>
        <w:t>” shall mean:</w:t>
      </w:r>
    </w:p>
    <w:p>
      <w:pPr>
        <w:spacing w:after="0" w:line="175" w:lineRule="exact"/>
        <w:rPr>
          <w:sz w:val="20"/>
          <w:szCs w:val="20"/>
          <w:color w:val="auto"/>
        </w:rPr>
      </w:pPr>
    </w:p>
    <w:p>
      <w:pPr>
        <w:ind w:left="660" w:right="140" w:firstLine="1535"/>
        <w:spacing w:after="0" w:line="342" w:lineRule="auto"/>
        <w:tabs>
          <w:tab w:leader="none" w:pos="2549"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the sale, conveyance, transfer, or other disposition, whether in a single transaction or a series of related transactions, of property or assets (including by way of a Sale Leaseback) (each a “</w:t>
      </w:r>
      <w:r>
        <w:rPr>
          <w:rFonts w:ascii="Arial" w:cs="Arial" w:eastAsia="Arial" w:hAnsi="Arial"/>
          <w:sz w:val="16"/>
          <w:szCs w:val="16"/>
          <w:b w:val="1"/>
          <w:bCs w:val="1"/>
          <w:color w:val="auto"/>
        </w:rPr>
        <w:t>disposition</w:t>
      </w:r>
      <w:r>
        <w:rPr>
          <w:rFonts w:ascii="Arial" w:cs="Arial" w:eastAsia="Arial" w:hAnsi="Arial"/>
          <w:sz w:val="16"/>
          <w:szCs w:val="16"/>
          <w:color w:val="auto"/>
        </w:rPr>
        <w:t>”) of Holdings or any Restricted Subsidiary, or</w:t>
      </w:r>
    </w:p>
    <w:p>
      <w:pPr>
        <w:spacing w:after="0" w:line="69" w:lineRule="exact"/>
        <w:rPr>
          <w:rFonts w:ascii="Arial" w:cs="Arial" w:eastAsia="Arial" w:hAnsi="Arial"/>
          <w:sz w:val="16"/>
          <w:szCs w:val="16"/>
          <w:color w:val="auto"/>
        </w:rPr>
      </w:pPr>
    </w:p>
    <w:p>
      <w:pPr>
        <w:ind w:left="660" w:right="240" w:firstLine="1535"/>
        <w:spacing w:after="0" w:line="342" w:lineRule="auto"/>
        <w:tabs>
          <w:tab w:leader="none" w:pos="2599" w:val="left"/>
        </w:tabs>
        <w:numPr>
          <w:ilvl w:val="1"/>
          <w:numId w:val="39"/>
        </w:numPr>
        <w:rPr>
          <w:rFonts w:ascii="Arial" w:cs="Arial" w:eastAsia="Arial" w:hAnsi="Arial"/>
          <w:sz w:val="16"/>
          <w:szCs w:val="16"/>
          <w:color w:val="auto"/>
        </w:rPr>
      </w:pPr>
      <w:r>
        <w:rPr>
          <w:rFonts w:ascii="Arial" w:cs="Arial" w:eastAsia="Arial" w:hAnsi="Arial"/>
          <w:sz w:val="16"/>
          <w:szCs w:val="16"/>
          <w:color w:val="auto"/>
        </w:rPr>
        <w:t xml:space="preserve">the issuance or sale of Equity Interests of any Restricted Subsidiary (other than preferred stock of Restricted Subsidiaries issued in compliance with </w:t>
      </w:r>
      <w:r>
        <w:rPr>
          <w:rFonts w:ascii="Arial" w:cs="Arial" w:eastAsia="Arial" w:hAnsi="Arial"/>
          <w:sz w:val="16"/>
          <w:szCs w:val="16"/>
          <w:u w:val="single" w:color="auto"/>
          <w:color w:val="auto"/>
        </w:rPr>
        <w:t>Section 10.1</w:t>
      </w:r>
      <w:r>
        <w:rPr>
          <w:rFonts w:ascii="Arial" w:cs="Arial" w:eastAsia="Arial" w:hAnsi="Arial"/>
          <w:sz w:val="16"/>
          <w:szCs w:val="16"/>
          <w:color w:val="auto"/>
        </w:rPr>
        <w:t>), whether in a single transaction or a series of related transactions, in each case, other than:</w:t>
      </w:r>
    </w:p>
    <w:p>
      <w:pPr>
        <w:spacing w:after="0" w:line="69" w:lineRule="exact"/>
        <w:rPr>
          <w:rFonts w:ascii="Arial" w:cs="Arial" w:eastAsia="Arial" w:hAnsi="Arial"/>
          <w:sz w:val="16"/>
          <w:szCs w:val="16"/>
          <w:color w:val="auto"/>
        </w:rPr>
      </w:pPr>
    </w:p>
    <w:p>
      <w:pPr>
        <w:jc w:val="both"/>
        <w:ind w:left="1300" w:right="180" w:firstLine="652"/>
        <w:spacing w:after="0" w:line="263" w:lineRule="auto"/>
        <w:tabs>
          <w:tab w:leader="none" w:pos="23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disposition of Cash Equivalents or Investment Grade Securities or obsolete, worn out or surplus property or property (including leasehold property interests) that is no longer economically practical in its business or commercially desirable to maintain or no longer used or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341" w:right="359" w:bottom="1440" w:gutter="0" w:footer="0" w:header="0"/>
        </w:sectPr>
      </w:pPr>
    </w:p>
    <w:bookmarkStart w:id="86" w:name="page87"/>
    <w:bookmarkEnd w:id="86"/>
    <w:p>
      <w:pPr>
        <w:ind w:left="180" w:right="260"/>
        <w:spacing w:after="0" w:line="277" w:lineRule="auto"/>
        <w:rPr>
          <w:sz w:val="20"/>
          <w:szCs w:val="20"/>
          <w:color w:val="auto"/>
        </w:rPr>
      </w:pPr>
      <w:r>
        <w:rPr>
          <w:rFonts w:ascii="Arial" w:cs="Arial" w:eastAsia="Arial" w:hAnsi="Arial"/>
          <w:sz w:val="18"/>
          <w:szCs w:val="18"/>
          <w:color w:val="auto"/>
        </w:rPr>
        <w:t>useful equipment in the ordinary course of business or any disposition of inventory, immaterial assets, or goods (or other assets) in the ordinary course of business (including the disposition of optical goods to FirstSight);</w:t>
      </w:r>
    </w:p>
    <w:p>
      <w:pPr>
        <w:spacing w:after="0" w:line="170" w:lineRule="exact"/>
        <w:rPr>
          <w:sz w:val="20"/>
          <w:szCs w:val="20"/>
          <w:color w:val="auto"/>
        </w:rPr>
      </w:pPr>
    </w:p>
    <w:p>
      <w:pPr>
        <w:ind w:left="1220" w:hanging="388"/>
        <w:spacing w:after="0"/>
        <w:tabs>
          <w:tab w:leader="none" w:pos="12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disposition of all or substantially all of the assets of Holdings or the Borrower in a manner permitted pursuant to</w:t>
      </w:r>
    </w:p>
    <w:p>
      <w:pPr>
        <w:spacing w:after="0" w:line="34" w:lineRule="exact"/>
        <w:rPr>
          <w:rFonts w:ascii="Arial" w:cs="Arial" w:eastAsia="Arial" w:hAnsi="Arial"/>
          <w:sz w:val="17"/>
          <w:szCs w:val="17"/>
          <w:color w:val="auto"/>
        </w:rPr>
      </w:pPr>
    </w:p>
    <w:p>
      <w:pPr>
        <w:ind w:left="180"/>
        <w:spacing w:after="0"/>
        <w:rPr>
          <w:rFonts w:ascii="Arial" w:cs="Arial" w:eastAsia="Arial" w:hAnsi="Arial"/>
          <w:sz w:val="17"/>
          <w:szCs w:val="17"/>
          <w:color w:val="auto"/>
        </w:rPr>
      </w:pP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210" w:lineRule="exact"/>
        <w:rPr>
          <w:rFonts w:ascii="Arial" w:cs="Arial" w:eastAsia="Arial" w:hAnsi="Arial"/>
          <w:sz w:val="17"/>
          <w:szCs w:val="17"/>
          <w:color w:val="auto"/>
        </w:rPr>
      </w:pPr>
    </w:p>
    <w:p>
      <w:pPr>
        <w:jc w:val="both"/>
        <w:ind w:left="180" w:right="80" w:firstLine="652"/>
        <w:spacing w:after="0" w:line="263" w:lineRule="auto"/>
        <w:tabs>
          <w:tab w:leader="none" w:pos="1208"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incurrence of Liens that are permitted to be incurred pursuant to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or the making of any Restricted Payment or Permitted Investment (other than pursuant to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the definition thereof) that is permitted to be made, and is made, pursuant to </w:t>
      </w:r>
      <w:r>
        <w:rPr>
          <w:rFonts w:ascii="Arial" w:cs="Arial" w:eastAsia="Arial" w:hAnsi="Arial"/>
          <w:sz w:val="18"/>
          <w:szCs w:val="18"/>
          <w:u w:val="single" w:color="auto"/>
          <w:color w:val="auto"/>
        </w:rPr>
        <w:t>Section 10.5</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80" w:right="120" w:firstLine="652"/>
        <w:spacing w:after="0" w:line="277" w:lineRule="auto"/>
        <w:tabs>
          <w:tab w:leader="none" w:pos="121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disposition of assets or issuance or sale of Equity Interests of any Restricted Subsidiary in any transaction or series of transactions with an aggregate Fair Market Value of less than $</w:t>
      </w:r>
      <w:r>
        <w:rPr>
          <w:rFonts w:ascii="Arial" w:cs="Arial" w:eastAsia="Arial" w:hAnsi="Arial"/>
          <w:sz w:val="18"/>
          <w:szCs w:val="18"/>
          <w:color w:val="FF0000"/>
          <w:strike w:val="1"/>
        </w:rPr>
        <w:t>10,000,000</w:t>
      </w:r>
      <w:r>
        <w:rPr>
          <w:rFonts w:ascii="Arial" w:cs="Arial" w:eastAsia="Arial" w:hAnsi="Arial"/>
          <w:sz w:val="18"/>
          <w:szCs w:val="18"/>
          <w:u w:val="single" w:color="auto"/>
          <w:color w:val="0000FF"/>
        </w:rPr>
        <w:t>1,000,000</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80" w:right="60" w:firstLine="652"/>
        <w:spacing w:after="0" w:line="286" w:lineRule="auto"/>
        <w:tabs>
          <w:tab w:leader="none" w:pos="1208"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disposition of property or assets or issuance of securities by (1) a Restricted Subsidiary to Holdings or (2) by Holdings or a Restricted Subsidiary to another Restricted Subsidiary</w:t>
      </w:r>
      <w:r>
        <w:rPr>
          <w:rFonts w:ascii="Arial" w:cs="Arial" w:eastAsia="Arial" w:hAnsi="Arial"/>
          <w:sz w:val="17"/>
          <w:szCs w:val="17"/>
          <w:u w:val="single" w:color="auto"/>
          <w:color w:val="0000FF"/>
        </w:rPr>
        <w:t>, provided that no dispositions from Credit Parties to Restricted Subsidiaries</w:t>
      </w:r>
      <w:r>
        <w:rPr>
          <w:rFonts w:ascii="Arial" w:cs="Arial" w:eastAsia="Arial" w:hAnsi="Arial"/>
          <w:sz w:val="17"/>
          <w:szCs w:val="17"/>
          <w:color w:val="auto"/>
        </w:rPr>
        <w:t xml:space="preserve"> </w:t>
      </w:r>
      <w:r>
        <w:rPr>
          <w:rFonts w:ascii="Arial" w:cs="Arial" w:eastAsia="Arial" w:hAnsi="Arial"/>
          <w:sz w:val="17"/>
          <w:szCs w:val="17"/>
          <w:u w:val="single" w:color="auto"/>
          <w:color w:val="0000FF"/>
        </w:rPr>
        <w:t>that are not Credit Parties shall be permitted pursuant to this clause (e) during the Additional Restrictions Period</w:t>
      </w:r>
      <w:r>
        <w:rPr>
          <w:rFonts w:ascii="Arial" w:cs="Arial" w:eastAsia="Arial" w:hAnsi="Arial"/>
          <w:sz w:val="17"/>
          <w:szCs w:val="17"/>
          <w:color w:val="000000"/>
        </w:rPr>
        <w:t>;</w:t>
      </w:r>
    </w:p>
    <w:p>
      <w:pPr>
        <w:spacing w:after="0" w:line="165" w:lineRule="exact"/>
        <w:rPr>
          <w:rFonts w:ascii="Arial" w:cs="Arial" w:eastAsia="Arial" w:hAnsi="Arial"/>
          <w:sz w:val="17"/>
          <w:szCs w:val="17"/>
          <w:color w:val="auto"/>
        </w:rPr>
      </w:pPr>
    </w:p>
    <w:p>
      <w:pPr>
        <w:ind w:left="180" w:right="280" w:firstLine="652"/>
        <w:spacing w:after="0" w:line="277" w:lineRule="auto"/>
        <w:tabs>
          <w:tab w:leader="none" w:pos="118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the extent allowable under Section 1031 of the Code, or any comparable or successor provision, any exchange of like property (excluding any boot thereon) for use in a Similar Business;</w:t>
      </w:r>
    </w:p>
    <w:p>
      <w:pPr>
        <w:spacing w:after="0" w:line="170" w:lineRule="exact"/>
        <w:rPr>
          <w:rFonts w:ascii="Arial" w:cs="Arial" w:eastAsia="Arial" w:hAnsi="Arial"/>
          <w:sz w:val="18"/>
          <w:szCs w:val="18"/>
          <w:color w:val="auto"/>
        </w:rPr>
      </w:pPr>
    </w:p>
    <w:p>
      <w:pPr>
        <w:ind w:left="180" w:right="280" w:firstLine="652"/>
        <w:spacing w:after="0" w:line="277" w:lineRule="auto"/>
        <w:tabs>
          <w:tab w:leader="none" w:pos="121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0000FF"/>
        </w:rPr>
        <w:t>except during the Additional Restrictions Period,</w:t>
      </w:r>
      <w:r>
        <w:rPr>
          <w:rFonts w:ascii="Arial" w:cs="Arial" w:eastAsia="Arial" w:hAnsi="Arial"/>
          <w:sz w:val="18"/>
          <w:szCs w:val="18"/>
          <w:color w:val="0000FF"/>
        </w:rPr>
        <w:t xml:space="preserve"> </w:t>
      </w:r>
      <w:r>
        <w:rPr>
          <w:rFonts w:ascii="Arial" w:cs="Arial" w:eastAsia="Arial" w:hAnsi="Arial"/>
          <w:sz w:val="18"/>
          <w:szCs w:val="18"/>
          <w:color w:val="000000"/>
        </w:rPr>
        <w:t>any issuance, sale or pledge of Equity Interests in, or Indebtedness, or</w:t>
      </w:r>
      <w:r>
        <w:rPr>
          <w:rFonts w:ascii="Arial" w:cs="Arial" w:eastAsia="Arial" w:hAnsi="Arial"/>
          <w:sz w:val="18"/>
          <w:szCs w:val="18"/>
          <w:color w:val="0000FF"/>
        </w:rPr>
        <w:t xml:space="preserve"> </w:t>
      </w:r>
      <w:r>
        <w:rPr>
          <w:rFonts w:ascii="Arial" w:cs="Arial" w:eastAsia="Arial" w:hAnsi="Arial"/>
          <w:sz w:val="18"/>
          <w:szCs w:val="18"/>
          <w:color w:val="000000"/>
        </w:rPr>
        <w:t>other securities of, an Unrestricted Subsidiary;</w:t>
      </w:r>
    </w:p>
    <w:p>
      <w:pPr>
        <w:spacing w:after="0" w:line="170" w:lineRule="exact"/>
        <w:rPr>
          <w:rFonts w:ascii="Arial" w:cs="Arial" w:eastAsia="Arial" w:hAnsi="Arial"/>
          <w:sz w:val="18"/>
          <w:szCs w:val="18"/>
          <w:color w:val="auto"/>
        </w:rPr>
      </w:pPr>
    </w:p>
    <w:p>
      <w:pPr>
        <w:ind w:left="1220" w:hanging="388"/>
        <w:spacing w:after="0"/>
        <w:tabs>
          <w:tab w:leader="none" w:pos="12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foreclosures, condemnation, casualty or any similar action on assets (including dispositions in connection therewith);</w:t>
      </w:r>
    </w:p>
    <w:p>
      <w:pPr>
        <w:spacing w:after="0" w:line="236" w:lineRule="exact"/>
        <w:rPr>
          <w:rFonts w:ascii="Arial" w:cs="Arial" w:eastAsia="Arial" w:hAnsi="Arial"/>
          <w:sz w:val="17"/>
          <w:szCs w:val="17"/>
          <w:color w:val="auto"/>
        </w:rPr>
      </w:pPr>
    </w:p>
    <w:p>
      <w:pPr>
        <w:ind w:left="180" w:firstLine="652"/>
        <w:spacing w:after="0" w:line="277" w:lineRule="auto"/>
        <w:tabs>
          <w:tab w:leader="none" w:pos="117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0000FF"/>
        </w:rPr>
        <w:t>except during the Additional Restrictions Period,</w:t>
      </w:r>
      <w:r>
        <w:rPr>
          <w:rFonts w:ascii="Arial" w:cs="Arial" w:eastAsia="Arial" w:hAnsi="Arial"/>
          <w:sz w:val="18"/>
          <w:szCs w:val="18"/>
          <w:color w:val="0000FF"/>
        </w:rPr>
        <w:t xml:space="preserve"> </w:t>
      </w:r>
      <w:r>
        <w:rPr>
          <w:rFonts w:ascii="Arial" w:cs="Arial" w:eastAsia="Arial" w:hAnsi="Arial"/>
          <w:sz w:val="18"/>
          <w:szCs w:val="18"/>
          <w:color w:val="000000"/>
        </w:rPr>
        <w:t>sales of accounts receivable, or participations therein, and related assets in</w:t>
      </w:r>
      <w:r>
        <w:rPr>
          <w:rFonts w:ascii="Arial" w:cs="Arial" w:eastAsia="Arial" w:hAnsi="Arial"/>
          <w:sz w:val="18"/>
          <w:szCs w:val="18"/>
          <w:color w:val="0000FF"/>
        </w:rPr>
        <w:t xml:space="preserve"> </w:t>
      </w:r>
      <w:r>
        <w:rPr>
          <w:rFonts w:ascii="Arial" w:cs="Arial" w:eastAsia="Arial" w:hAnsi="Arial"/>
          <w:sz w:val="18"/>
          <w:szCs w:val="18"/>
          <w:color w:val="000000"/>
        </w:rPr>
        <w:t>connection with any Receivables Facility;</w:t>
      </w:r>
    </w:p>
    <w:p>
      <w:pPr>
        <w:spacing w:after="0" w:line="170" w:lineRule="exact"/>
        <w:rPr>
          <w:rFonts w:ascii="Arial" w:cs="Arial" w:eastAsia="Arial" w:hAnsi="Arial"/>
          <w:sz w:val="18"/>
          <w:szCs w:val="18"/>
          <w:color w:val="auto"/>
        </w:rPr>
      </w:pPr>
    </w:p>
    <w:p>
      <w:pPr>
        <w:ind w:left="180" w:right="440" w:firstLine="652"/>
        <w:spacing w:after="0" w:line="308" w:lineRule="auto"/>
        <w:tabs>
          <w:tab w:leader="none" w:pos="1178"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any financing transaction with respect to property built or acquired by Holdings or any Restricted Subsidiary after the Restatement Effective Date, including Sale Leasebacks and asset securitizations permitted by this Agreement;</w:t>
      </w:r>
    </w:p>
    <w:p>
      <w:pPr>
        <w:spacing w:after="0" w:line="146" w:lineRule="exact"/>
        <w:rPr>
          <w:rFonts w:ascii="Arial" w:cs="Arial" w:eastAsia="Arial" w:hAnsi="Arial"/>
          <w:sz w:val="17"/>
          <w:szCs w:val="17"/>
          <w:color w:val="auto"/>
        </w:rPr>
      </w:pPr>
    </w:p>
    <w:p>
      <w:pPr>
        <w:ind w:left="180" w:right="280" w:firstLine="652"/>
        <w:spacing w:after="0" w:line="257" w:lineRule="auto"/>
        <w:tabs>
          <w:tab w:leader="none" w:pos="1218" w:val="left"/>
        </w:tabs>
        <w:numPr>
          <w:ilvl w:val="0"/>
          <w:numId w:val="41"/>
        </w:numPr>
        <w:rPr>
          <w:rFonts w:ascii="Arial" w:cs="Arial" w:eastAsia="Arial" w:hAnsi="Arial"/>
          <w:sz w:val="18"/>
          <w:szCs w:val="18"/>
          <w:color w:val="auto"/>
        </w:rPr>
      </w:pPr>
      <w:r>
        <w:rPr>
          <w:rFonts w:ascii="Arial" w:cs="Arial" w:eastAsia="Arial" w:hAnsi="Arial"/>
          <w:sz w:val="18"/>
          <w:szCs w:val="18"/>
          <w:color w:val="auto"/>
        </w:rPr>
        <w:t>(1) any surrender or waiver of contractual rights or the settlement, release, or surrender of contractual rights or other litigation claims, (2) the termination or collapse of cost sharing agreements with Holdings or any Subsidiary and the settlement of any crossing payments in connection therewith, or (3) the settlement, discount, write off, forgiveness, or cancellation of any Indebtedness owing by any present or former consultants, directors, officers, or employees of Holdings (or any direct or indirect parent company of Holdings) or any Subsidiary or any of their successors or assigns;</w:t>
      </w:r>
    </w:p>
    <w:p>
      <w:pPr>
        <w:spacing w:after="0" w:line="187" w:lineRule="exact"/>
        <w:rPr>
          <w:rFonts w:ascii="Arial" w:cs="Arial" w:eastAsia="Arial" w:hAnsi="Arial"/>
          <w:sz w:val="18"/>
          <w:szCs w:val="18"/>
          <w:color w:val="auto"/>
        </w:rPr>
      </w:pPr>
    </w:p>
    <w:p>
      <w:pPr>
        <w:ind w:left="180" w:right="220" w:firstLine="652"/>
        <w:spacing w:after="0" w:line="277" w:lineRule="auto"/>
        <w:tabs>
          <w:tab w:leader="none" w:pos="117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disposition or discount of inventory, accounts receivable, or notes receivable in the ordinary course of business or the conversion of accounts receivable to notes receivable;</w:t>
      </w:r>
    </w:p>
    <w:p>
      <w:pPr>
        <w:spacing w:after="0" w:line="170" w:lineRule="exact"/>
        <w:rPr>
          <w:rFonts w:ascii="Arial" w:cs="Arial" w:eastAsia="Arial" w:hAnsi="Arial"/>
          <w:sz w:val="18"/>
          <w:szCs w:val="18"/>
          <w:color w:val="auto"/>
        </w:rPr>
      </w:pPr>
    </w:p>
    <w:p>
      <w:pPr>
        <w:ind w:left="180" w:right="740" w:firstLine="652"/>
        <w:spacing w:after="0" w:line="277" w:lineRule="auto"/>
        <w:tabs>
          <w:tab w:leader="none" w:pos="126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licensing or sub-licensing of Intellectual Property or other general intangibles (whether pursuant to franchise agreements or otherwise)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100"/>
          </w:cols>
          <w:pgMar w:left="1440" w:top="341" w:right="359" w:bottom="1440" w:gutter="0" w:footer="0" w:header="0"/>
        </w:sectPr>
      </w:pPr>
    </w:p>
    <w:bookmarkStart w:id="87" w:name="page88"/>
    <w:bookmarkEnd w:id="87"/>
    <w:p>
      <w:pPr>
        <w:ind w:left="2340" w:hanging="388"/>
        <w:spacing w:after="0"/>
        <w:tabs>
          <w:tab w:leader="none" w:pos="2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unwinding of any Hedging Obligations or obligations in respect of Cash Management Services;</w:t>
      </w:r>
    </w:p>
    <w:p>
      <w:pPr>
        <w:spacing w:after="0" w:line="225" w:lineRule="exact"/>
        <w:rPr>
          <w:rFonts w:ascii="Arial" w:cs="Arial" w:eastAsia="Arial" w:hAnsi="Arial"/>
          <w:sz w:val="18"/>
          <w:szCs w:val="18"/>
          <w:color w:val="auto"/>
        </w:rPr>
      </w:pPr>
    </w:p>
    <w:p>
      <w:pPr>
        <w:ind w:left="1300" w:right="460" w:firstLine="652"/>
        <w:spacing w:after="0" w:line="263" w:lineRule="auto"/>
        <w:tabs>
          <w:tab w:leader="none" w:pos="2338"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sales, transfers, and other dispositions of Investments in joint ventures to the extent required by, or made pursuant to, customary buy/sell arrangements between the joint venture parties set forth in joint venture arrangements and similar binding arrangements;</w:t>
      </w:r>
    </w:p>
    <w:p>
      <w:pPr>
        <w:spacing w:after="0" w:line="183" w:lineRule="exact"/>
        <w:rPr>
          <w:rFonts w:ascii="Arial" w:cs="Arial" w:eastAsia="Arial" w:hAnsi="Arial"/>
          <w:sz w:val="18"/>
          <w:szCs w:val="18"/>
          <w:color w:val="auto"/>
        </w:rPr>
      </w:pPr>
    </w:p>
    <w:p>
      <w:pPr>
        <w:ind w:left="1300" w:right="120" w:firstLine="652"/>
        <w:spacing w:after="0" w:line="263" w:lineRule="auto"/>
        <w:tabs>
          <w:tab w:leader="none" w:pos="233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lapse or abandonment of Intellectual Property rights in the ordinary course of business, which in the reasonable business judgment of the Borrower are not material to the conduct of the business of Holdings and the Restricted Subsidiaries taken as a whole;</w:t>
      </w:r>
    </w:p>
    <w:p>
      <w:pPr>
        <w:spacing w:after="0" w:line="183" w:lineRule="exact"/>
        <w:rPr>
          <w:rFonts w:ascii="Arial" w:cs="Arial" w:eastAsia="Arial" w:hAnsi="Arial"/>
          <w:sz w:val="18"/>
          <w:szCs w:val="18"/>
          <w:color w:val="auto"/>
        </w:rPr>
      </w:pPr>
    </w:p>
    <w:p>
      <w:pPr>
        <w:ind w:left="2340" w:hanging="388"/>
        <w:spacing w:after="0"/>
        <w:tabs>
          <w:tab w:leader="none" w:pos="2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issuance of directors’ qualifying shares and shares issued to foreign nationals as required by applicable law;</w:t>
      </w:r>
    </w:p>
    <w:p>
      <w:pPr>
        <w:spacing w:after="0" w:line="236" w:lineRule="exact"/>
        <w:rPr>
          <w:rFonts w:ascii="Arial" w:cs="Arial" w:eastAsia="Arial" w:hAnsi="Arial"/>
          <w:sz w:val="17"/>
          <w:szCs w:val="17"/>
          <w:color w:val="auto"/>
        </w:rPr>
      </w:pPr>
    </w:p>
    <w:p>
      <w:pPr>
        <w:ind w:left="1300" w:firstLine="652"/>
        <w:spacing w:after="0" w:line="263" w:lineRule="auto"/>
        <w:tabs>
          <w:tab w:leader="none" w:pos="2308"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dispositions of property to the extent that (1) such property is exchanged for credit against the purchase price of similar replacement property that is promptly purchased or (2) the proceeds of such Asset Sale are promptly applied to the purchase price of such replacement property (which replacement property is actually promptly purchased);</w:t>
      </w:r>
    </w:p>
    <w:p>
      <w:pPr>
        <w:spacing w:after="0" w:line="183" w:lineRule="exact"/>
        <w:rPr>
          <w:rFonts w:ascii="Arial" w:cs="Arial" w:eastAsia="Arial" w:hAnsi="Arial"/>
          <w:sz w:val="18"/>
          <w:szCs w:val="18"/>
          <w:color w:val="auto"/>
        </w:rPr>
      </w:pPr>
    </w:p>
    <w:p>
      <w:pPr>
        <w:ind w:left="1300" w:right="240" w:firstLine="652"/>
        <w:spacing w:after="0" w:line="277" w:lineRule="auto"/>
        <w:tabs>
          <w:tab w:leader="none" w:pos="2318"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leases, assignments, subleases, licenses, or sublicenses, in each case in the ordinary course of business and which do not materially interfere with the business of Holdings and the Restricted Subsidiaries, taken as a whole;</w:t>
      </w:r>
    </w:p>
    <w:p>
      <w:pPr>
        <w:spacing w:after="0" w:line="170" w:lineRule="exact"/>
        <w:rPr>
          <w:rFonts w:ascii="Arial" w:cs="Arial" w:eastAsia="Arial" w:hAnsi="Arial"/>
          <w:sz w:val="18"/>
          <w:szCs w:val="18"/>
          <w:color w:val="auto"/>
        </w:rPr>
      </w:pPr>
    </w:p>
    <w:p>
      <w:pPr>
        <w:ind w:left="2340" w:hanging="388"/>
        <w:spacing w:after="0"/>
        <w:tabs>
          <w:tab w:leader="none" w:pos="2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dispositions of non-core assets acquired in connection with any Permitted Acquisition or Investment permitted hereunder;</w:t>
      </w:r>
    </w:p>
    <w:p>
      <w:pPr>
        <w:spacing w:after="0" w:line="248" w:lineRule="exact"/>
        <w:rPr>
          <w:rFonts w:ascii="Arial" w:cs="Arial" w:eastAsia="Arial" w:hAnsi="Arial"/>
          <w:sz w:val="16"/>
          <w:szCs w:val="16"/>
          <w:color w:val="auto"/>
        </w:rPr>
      </w:pPr>
    </w:p>
    <w:p>
      <w:pPr>
        <w:ind w:left="1300" w:right="280" w:firstLine="652"/>
        <w:spacing w:after="0" w:line="263" w:lineRule="auto"/>
        <w:tabs>
          <w:tab w:leader="none" w:pos="233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the extent necessary or reasonably considered advisable by the Borrower to comply with requirements of law at such time, dispositions of (A) any retail location or any eye facility located in California and/or (B) FirstSight or any other Managed Care Subsidiary;</w:t>
      </w:r>
    </w:p>
    <w:p>
      <w:pPr>
        <w:spacing w:after="0" w:line="183" w:lineRule="exact"/>
        <w:rPr>
          <w:rFonts w:ascii="Arial" w:cs="Arial" w:eastAsia="Arial" w:hAnsi="Arial"/>
          <w:sz w:val="18"/>
          <w:szCs w:val="18"/>
          <w:color w:val="auto"/>
        </w:rPr>
      </w:pPr>
    </w:p>
    <w:p>
      <w:pPr>
        <w:ind w:left="2340" w:hanging="388"/>
        <w:spacing w:after="0"/>
        <w:tabs>
          <w:tab w:leader="none" w:pos="2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dispositions pursuant to the Wal-Mart Agreements; and</w:t>
      </w:r>
    </w:p>
    <w:p>
      <w:pPr>
        <w:spacing w:after="0" w:line="225" w:lineRule="exact"/>
        <w:rPr>
          <w:rFonts w:ascii="Arial" w:cs="Arial" w:eastAsia="Arial" w:hAnsi="Arial"/>
          <w:sz w:val="18"/>
          <w:szCs w:val="18"/>
          <w:color w:val="auto"/>
        </w:rPr>
      </w:pPr>
    </w:p>
    <w:p>
      <w:pPr>
        <w:ind w:left="1300" w:right="180" w:firstLine="652"/>
        <w:spacing w:after="0" w:line="277" w:lineRule="auto"/>
        <w:tabs>
          <w:tab w:leader="none" w:pos="2378"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lease or sublease of real property and related office equipment and personal property to health care professionals (or their Affiliates) or a Managed Care Subsidiary in the ordinary course of business.</w:t>
      </w:r>
    </w:p>
    <w:p>
      <w:pPr>
        <w:spacing w:after="0" w:line="166" w:lineRule="exact"/>
        <w:rPr>
          <w:sz w:val="20"/>
          <w:szCs w:val="20"/>
          <w:color w:val="auto"/>
        </w:rPr>
      </w:pPr>
    </w:p>
    <w:p>
      <w:pPr>
        <w:jc w:val="both"/>
        <w:ind w:right="2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 Sale Prepayment Event</w:t>
      </w:r>
      <w:r>
        <w:rPr>
          <w:rFonts w:ascii="Arial" w:cs="Arial" w:eastAsia="Arial" w:hAnsi="Arial"/>
          <w:sz w:val="18"/>
          <w:szCs w:val="18"/>
          <w:color w:val="auto"/>
        </w:rPr>
        <w:t xml:space="preserve">” shall mean any Asset Sale subject to the Reinvestment Period allowed in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with respect to any Asset Sale Prepayment Event, the Borrower shall not be obligated to make any prepayment otherwise required by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unless and until the aggregate amount of Net Cash Proceeds from all such Asset Sale Prepayment Events, after giving effect to the reinvestment rights set forth herein, exceeds $</w:t>
      </w:r>
      <w:r>
        <w:rPr>
          <w:rFonts w:ascii="Arial" w:cs="Arial" w:eastAsia="Arial" w:hAnsi="Arial"/>
          <w:sz w:val="18"/>
          <w:szCs w:val="18"/>
          <w:color w:val="FF0000"/>
          <w:strike w:val="1"/>
        </w:rPr>
        <w:t>10,000,000</w:t>
      </w:r>
      <w:r>
        <w:rPr>
          <w:rFonts w:ascii="Arial" w:cs="Arial" w:eastAsia="Arial" w:hAnsi="Arial"/>
          <w:sz w:val="18"/>
          <w:szCs w:val="18"/>
          <w:u w:val="single" w:color="auto"/>
          <w:color w:val="0000FF"/>
        </w:rPr>
        <w:t>1,000,000</w:t>
      </w:r>
      <w:r>
        <w:rPr>
          <w:rFonts w:ascii="Arial" w:cs="Arial" w:eastAsia="Arial" w:hAnsi="Arial"/>
          <w:sz w:val="18"/>
          <w:szCs w:val="18"/>
          <w:color w:val="auto"/>
        </w:rPr>
        <w:t xml:space="preserve"> (the “</w:t>
      </w:r>
      <w:r>
        <w:rPr>
          <w:rFonts w:ascii="Arial" w:cs="Arial" w:eastAsia="Arial" w:hAnsi="Arial"/>
          <w:sz w:val="18"/>
          <w:szCs w:val="18"/>
          <w:b w:val="1"/>
          <w:bCs w:val="1"/>
          <w:color w:val="auto"/>
        </w:rPr>
        <w:t>Prepayment Trigger</w:t>
      </w:r>
      <w:r>
        <w:rPr>
          <w:rFonts w:ascii="Arial" w:cs="Arial" w:eastAsia="Arial" w:hAnsi="Arial"/>
          <w:sz w:val="18"/>
          <w:szCs w:val="18"/>
          <w:color w:val="auto"/>
        </w:rPr>
        <w:t>”) in any fiscal year of Holdings, but then from all such Net Cash Proceeds (excluding amounts below the Prepayment Trigger).</w:t>
      </w:r>
    </w:p>
    <w:p>
      <w:pPr>
        <w:spacing w:after="0" w:line="183"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and Acceptance</w:t>
      </w:r>
      <w:r>
        <w:rPr>
          <w:rFonts w:ascii="Arial" w:cs="Arial" w:eastAsia="Arial" w:hAnsi="Arial"/>
          <w:sz w:val="18"/>
          <w:szCs w:val="18"/>
          <w:color w:val="auto"/>
        </w:rPr>
        <w:t xml:space="preserve">” shall mean an assignment and acceptance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or such other form as may be approved by the Administrative Agent.</w:t>
      </w:r>
    </w:p>
    <w:p>
      <w:pPr>
        <w:spacing w:after="0" w:line="162"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Officer</w:t>
      </w:r>
      <w:r>
        <w:rPr>
          <w:rFonts w:ascii="Arial" w:cs="Arial" w:eastAsia="Arial" w:hAnsi="Arial"/>
          <w:sz w:val="18"/>
          <w:szCs w:val="18"/>
          <w:color w:val="auto"/>
        </w:rPr>
        <w:t>” shall mean, with respect to any Person, any individual holding the position of chairman of the board (if an officer), the Chief Executive Officer, President, the Chief Financial Officer, the Treasurer, the Controller, the Vice President-Finance, a Senior Vice President, a Director, a Manager, or any other senior officer or agent with express authority to act on behalf of such Person designated as such by the board of directors or other managing authority of such Person.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Auto-Extension Letter of Credit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3.2(d)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341" w:right="359" w:bottom="1440" w:gutter="0" w:footer="0" w:header="0"/>
        </w:sectPr>
      </w:pPr>
    </w:p>
    <w:bookmarkStart w:id="88" w:name="page89"/>
    <w:bookmarkEnd w:id="88"/>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Commitment</w:t>
      </w:r>
      <w:r>
        <w:rPr>
          <w:rFonts w:ascii="Arial" w:cs="Arial" w:eastAsia="Arial" w:hAnsi="Arial"/>
          <w:sz w:val="18"/>
          <w:szCs w:val="18"/>
          <w:color w:val="auto"/>
        </w:rPr>
        <w:t>” shall mean an amount equal to the excess, if any, of (i) the amount of the Total Revolving Credit Commitment over (ii) the sum of the aggregate principal amount of (a) all Revolving Credit Loans (but not Swingline Loans) then outstanding and (b) the aggregate Letters of Credit Outstanding at such time.</w:t>
      </w:r>
    </w:p>
    <w:p>
      <w:pPr>
        <w:spacing w:after="0" w:line="176" w:lineRule="exact"/>
        <w:rPr>
          <w:sz w:val="20"/>
          <w:szCs w:val="20"/>
          <w:color w:val="auto"/>
        </w:rPr>
      </w:pPr>
    </w:p>
    <w:p>
      <w:pPr>
        <w:ind w:right="240" w:firstLine="648"/>
        <w:spacing w:after="0" w:line="22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Average New Store Consolidated EBITDA</w:t>
      </w:r>
      <w:r>
        <w:rPr>
          <w:rFonts w:ascii="Arial" w:cs="Arial" w:eastAsia="Arial" w:hAnsi="Arial"/>
          <w:sz w:val="18"/>
          <w:szCs w:val="18"/>
          <w:color w:val="auto"/>
        </w:rPr>
        <w:t>” shall mean, with respect to any Test Period, the numeric average of the amount of Consolidated EBITDA of Stores (excluding New Stores) in their 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through 10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fiscal quarters after opening of such Stores (e.g., the sum of each such Store’s Consolidated EBITDA for such four quarter period, divided by the number of applicable Stores).</w:t>
      </w:r>
    </w:p>
    <w:p>
      <w:pPr>
        <w:spacing w:after="0" w:line="201"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Action</w:t>
      </w:r>
      <w:r>
        <w:rPr>
          <w:rFonts w:ascii="Arial" w:cs="Arial" w:eastAsia="Arial" w:hAnsi="Arial"/>
          <w:sz w:val="18"/>
          <w:szCs w:val="18"/>
          <w:color w:val="auto"/>
        </w:rPr>
        <w:t xml:space="preserve">” shall mean the exercise of any Write-Down and Conversion Powers by the applicable </w:t>
      </w:r>
      <w:r>
        <w:rPr>
          <w:rFonts w:ascii="Arial" w:cs="Arial" w:eastAsia="Arial" w:hAnsi="Arial"/>
          <w:sz w:val="18"/>
          <w:szCs w:val="18"/>
          <w:color w:val="FF0000"/>
          <w:strike w:val="1"/>
        </w:rPr>
        <w:t>EEA</w:t>
      </w:r>
      <w:r>
        <w:rPr>
          <w:rFonts w:ascii="Arial" w:cs="Arial" w:eastAsia="Arial" w:hAnsi="Arial"/>
          <w:sz w:val="18"/>
          <w:szCs w:val="18"/>
          <w:color w:val="auto"/>
        </w:rPr>
        <w:t xml:space="preserve"> Resolution Authority in respect of any liability of an </w:t>
      </w:r>
      <w:r>
        <w:rPr>
          <w:rFonts w:ascii="Arial" w:cs="Arial" w:eastAsia="Arial" w:hAnsi="Arial"/>
          <w:sz w:val="18"/>
          <w:szCs w:val="18"/>
          <w:color w:val="FF0000"/>
          <w:strike w:val="1"/>
        </w:rPr>
        <w:t>EEA</w:t>
      </w:r>
      <w:r>
        <w:rPr>
          <w:rFonts w:ascii="Arial" w:cs="Arial" w:eastAsia="Arial" w:hAnsi="Arial"/>
          <w:sz w:val="18"/>
          <w:szCs w:val="18"/>
          <w:u w:val="single" w:color="auto"/>
          <w:color w:val="0000FF"/>
        </w:rPr>
        <w:t>Affected</w:t>
      </w:r>
      <w:r>
        <w:rPr>
          <w:rFonts w:ascii="Arial" w:cs="Arial" w:eastAsia="Arial" w:hAnsi="Arial"/>
          <w:sz w:val="18"/>
          <w:szCs w:val="18"/>
          <w:color w:val="auto"/>
        </w:rPr>
        <w:t xml:space="preserve"> Financial Institution.</w:t>
      </w:r>
    </w:p>
    <w:p>
      <w:pPr>
        <w:spacing w:after="0" w:line="162" w:lineRule="exact"/>
        <w:rPr>
          <w:sz w:val="20"/>
          <w:szCs w:val="20"/>
          <w:color w:val="auto"/>
        </w:rPr>
      </w:pPr>
    </w:p>
    <w:p>
      <w:pPr>
        <w:ind w:right="28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Legislation</w:t>
      </w:r>
      <w:r>
        <w:rPr>
          <w:rFonts w:ascii="Arial" w:cs="Arial" w:eastAsia="Arial" w:hAnsi="Arial"/>
          <w:sz w:val="18"/>
          <w:szCs w:val="18"/>
          <w:color w:val="auto"/>
        </w:rPr>
        <w:t xml:space="preserve">” shall mean, </w:t>
      </w:r>
      <w:r>
        <w:rPr>
          <w:rFonts w:ascii="Arial" w:cs="Arial" w:eastAsia="Arial" w:hAnsi="Arial"/>
          <w:sz w:val="18"/>
          <w:szCs w:val="18"/>
          <w:u w:val="single" w:color="auto"/>
          <w:color w:val="0000FF"/>
        </w:rPr>
        <w:t>(a)</w:t>
      </w:r>
      <w:r>
        <w:rPr>
          <w:rFonts w:ascii="Arial" w:cs="Arial" w:eastAsia="Arial" w:hAnsi="Arial"/>
          <w:sz w:val="18"/>
          <w:szCs w:val="18"/>
          <w:color w:val="auto"/>
        </w:rPr>
        <w:t xml:space="preserve"> with respect to any EEA Member Country implementing Article 55 of Directive 2014/59/EU of the European Parliament and of the Council of the European Union, the implementing law</w:t>
      </w:r>
      <w:r>
        <w:rPr>
          <w:rFonts w:ascii="Arial" w:cs="Arial" w:eastAsia="Arial" w:hAnsi="Arial"/>
          <w:sz w:val="18"/>
          <w:szCs w:val="18"/>
          <w:u w:val="single" w:color="auto"/>
          <w:color w:val="0000FF"/>
        </w:rPr>
        <w:t>, rule, regulation or requirement</w:t>
      </w:r>
      <w:r>
        <w:rPr>
          <w:rFonts w:ascii="Arial" w:cs="Arial" w:eastAsia="Arial" w:hAnsi="Arial"/>
          <w:sz w:val="18"/>
          <w:szCs w:val="18"/>
          <w:color w:val="auto"/>
        </w:rPr>
        <w:t xml:space="preserve"> for such EEA Member Country from time to time which is described in the EU Bail-In Legislation Schedule</w:t>
      </w:r>
      <w:r>
        <w:rPr>
          <w:rFonts w:ascii="Arial" w:cs="Arial" w:eastAsia="Arial" w:hAnsi="Arial"/>
          <w:sz w:val="18"/>
          <w:szCs w:val="18"/>
          <w:u w:val="single" w:color="auto"/>
          <w:color w:val="0000FF"/>
        </w:rPr>
        <w:t>, and (b) with respect to the United Kingdom, Part I of the United Kingdom</w:t>
      </w:r>
      <w:r>
        <w:rPr>
          <w:rFonts w:ascii="Arial" w:cs="Arial" w:eastAsia="Arial" w:hAnsi="Arial"/>
          <w:sz w:val="18"/>
          <w:szCs w:val="18"/>
          <w:color w:val="auto"/>
        </w:rPr>
        <w:t xml:space="preserve"> </w:t>
      </w:r>
      <w:r>
        <w:rPr>
          <w:rFonts w:ascii="Arial" w:cs="Arial" w:eastAsia="Arial" w:hAnsi="Arial"/>
          <w:sz w:val="18"/>
          <w:szCs w:val="18"/>
          <w:u w:val="single" w:color="auto"/>
          <w:color w:val="0000FF"/>
        </w:rPr>
        <w:t>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r>
        <w:rPr>
          <w:rFonts w:ascii="Arial" w:cs="Arial" w:eastAsia="Arial" w:hAnsi="Arial"/>
          <w:sz w:val="18"/>
          <w:szCs w:val="18"/>
          <w:color w:val="000000"/>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Code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11.5</w:t>
      </w:r>
      <w:r>
        <w:rPr>
          <w:rFonts w:ascii="Arial" w:cs="Arial" w:eastAsia="Arial" w:hAnsi="Arial"/>
          <w:sz w:val="18"/>
          <w:szCs w:val="18"/>
          <w:color w:val="auto"/>
        </w:rPr>
        <w:t>.</w:t>
      </w:r>
    </w:p>
    <w:p>
      <w:pPr>
        <w:spacing w:after="0" w:line="225"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Ownership Certification</w:t>
      </w:r>
      <w:r>
        <w:rPr>
          <w:rFonts w:ascii="Arial" w:cs="Arial" w:eastAsia="Arial" w:hAnsi="Arial"/>
          <w:sz w:val="18"/>
          <w:szCs w:val="18"/>
          <w:color w:val="auto"/>
        </w:rPr>
        <w:t>” shall mean a certification regarding beneficial ownership as required by the Beneficial Ownership Regulation.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Ownership Regulation</w:t>
      </w:r>
      <w:r>
        <w:rPr>
          <w:rFonts w:ascii="Arial" w:cs="Arial" w:eastAsia="Arial" w:hAnsi="Arial"/>
          <w:sz w:val="18"/>
          <w:szCs w:val="18"/>
          <w:color w:val="auto"/>
        </w:rPr>
        <w:t>” shall mean 31 C.F.R. § 1010.230.</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Benefit Plan</w:t>
      </w:r>
      <w:r>
        <w:rPr>
          <w:rFonts w:ascii="Arial" w:cs="Arial" w:eastAsia="Arial" w:hAnsi="Arial"/>
          <w:sz w:val="18"/>
          <w:szCs w:val="18"/>
          <w:color w:val="auto"/>
        </w:rPr>
        <w:t>” shall mean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Benefited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shall mean the Board of Governors of the Federal Reserve System of the United States (or any successor).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shall have the meaning provided in the preamble to this Agreement.</w:t>
      </w:r>
    </w:p>
    <w:p>
      <w:pPr>
        <w:spacing w:after="0" w:line="225"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w:t>
      </w:r>
      <w:r>
        <w:rPr>
          <w:rFonts w:ascii="Arial" w:cs="Arial" w:eastAsia="Arial" w:hAnsi="Arial"/>
          <w:sz w:val="18"/>
          <w:szCs w:val="18"/>
          <w:color w:val="auto"/>
        </w:rPr>
        <w:t>” shall mean (i) Loans of the same Class and Type, made, converted, or continued on the same date and, in the case of LIBOR Loans, as to which a single Interest Period is in effect, or (ii) a Swingline Loan.</w:t>
      </w:r>
    </w:p>
    <w:p>
      <w:pPr>
        <w:spacing w:after="0" w:line="162"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shall mean any day excluding Saturday, Sunday, and any other day on which banking institutions in New York City are authorized by law or other governmental actions to close, and, if such day relates to any interest rate settings as to a LIBOR Loan, any fundings, disbursements, settlements, and payments in respect of any such LIBOR Loan, or any other dealings in Dollars to be carried out pursuant to this Agreement in respect of any such LIBOR Loan, such day shall be a day on which dealings in deposits in Dollars are conducted by and between banks in the applicable London interbank market.</w:t>
      </w:r>
    </w:p>
    <w:p>
      <w:pPr>
        <w:spacing w:after="0" w:line="183"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 Lease</w:t>
      </w:r>
      <w:r>
        <w:rPr>
          <w:rFonts w:ascii="Arial" w:cs="Arial" w:eastAsia="Arial" w:hAnsi="Arial"/>
          <w:sz w:val="17"/>
          <w:szCs w:val="17"/>
          <w:color w:val="auto"/>
        </w:rPr>
        <w:t xml:space="preserve">” shall mean, as applied to any Person, any lease of any property (whether real, personal, or mixed) by that Person as lessee that, in conformity with GAAP, is, or is required to be, accounted for as a capital lease on the balance sheet of that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all leases of any Person that are or would be characterized as operating leases in accordance with GAAP immediately prior to December 31, 2013 (whether or not such operating leases were in effect on such date) shall continue to be accounted for as operating leases (and not as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337" w:right="359" w:bottom="1440" w:gutter="0" w:footer="0" w:header="0"/>
        </w:sectPr>
      </w:pPr>
    </w:p>
    <w:bookmarkStart w:id="89" w:name="page90"/>
    <w:bookmarkEnd w:id="89"/>
    <w:p>
      <w:pPr>
        <w:ind w:right="540"/>
        <w:spacing w:after="0" w:line="342" w:lineRule="auto"/>
        <w:rPr>
          <w:sz w:val="20"/>
          <w:szCs w:val="20"/>
          <w:color w:val="auto"/>
        </w:rPr>
      </w:pPr>
      <w:r>
        <w:rPr>
          <w:rFonts w:ascii="Arial" w:cs="Arial" w:eastAsia="Arial" w:hAnsi="Arial"/>
          <w:sz w:val="16"/>
          <w:szCs w:val="16"/>
          <w:color w:val="auto"/>
        </w:rPr>
        <w:t>Capital Leases) for purposes of this Agreement regardless of any change in GAAP following the date that would otherwise require such leases to be recharacterized as Capital Leases and (ii) all leases for Stores shall be accounted for as operating leases for purposes of this Agreement.</w:t>
      </w:r>
    </w:p>
    <w:p>
      <w:pPr>
        <w:spacing w:after="0" w:line="120"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Capital Markets Prepayment Event</w:t>
      </w:r>
      <w:r>
        <w:rPr>
          <w:rFonts w:ascii="Arial" w:cs="Arial" w:eastAsia="Arial" w:hAnsi="Arial"/>
          <w:sz w:val="18"/>
          <w:szCs w:val="18"/>
          <w:u w:val="single" w:color="auto"/>
          <w:color w:val="0000FF"/>
        </w:rPr>
        <w:t>” means any of the following during the Additional Restrictions Period (i) issuance of Equity Interests of the Parent Entity or Holdings or (ii) any issuance of Permitted Convertible Indebtedness or other Indebtedness of the Parent Entity or any issuance of Permitted Other Indebtedness by Holdings or any of its Restricted Subsidiaries (other than, for the avoidance of doubt, Indebtedness issued pursuant to Section 2.14).</w:t>
      </w:r>
    </w:p>
    <w:p>
      <w:pPr>
        <w:spacing w:after="0" w:line="180"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shall mean (i) in the case of a corporation, corporate stock, (ii) in the case of an association or business entity, any and all shares, interests, participations, rights, or other equivalents (however designated) of corporate stock, (iii) in the case of a partnership or limited liability company, partnership or membership interests (whether general or limited), and (iv) any other interest or participation that confers on a Person the right to receive a share of the profits and losses of, or distributions of assets of, the issuing Person (it being understood and agreed, for the avoidance of doubt, that “cash-settled phantom appreciation programs” in connection with employee benefits that do not require a dividend or distribution shall not constitute Capital Stock).</w:t>
      </w:r>
    </w:p>
    <w:p>
      <w:pPr>
        <w:spacing w:after="0" w:line="187"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Capitalized Lease Obligation</w:t>
      </w:r>
      <w:r>
        <w:rPr>
          <w:rFonts w:ascii="Arial" w:cs="Arial" w:eastAsia="Arial" w:hAnsi="Arial"/>
          <w:sz w:val="17"/>
          <w:szCs w:val="17"/>
          <w:color w:val="auto"/>
        </w:rPr>
        <w:t xml:space="preserve">” shall mean, at the time any determination thereof is to be made, the amount of the liability in respect of a Capital Lease that would at such time be required to be capitalized and reflected as a liability on a balance sheet (excluding the footnotes thereto) prepared in accordance with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obligations of any Person that are or would be characterized as operating lease obligations in accordance with GAAP immediately prior to December 31, 2013 (whether or not such operating lease obligations were in effect on such date) shall continue to be accounted for as operating lease obligations (and not as Capitalized Lease Obligations) for purposes of this Agreement regardless of any change in GAAP following the date that would otherwise require such obligations to be recharacterized as Capitalized Lease Obligations.</w:t>
      </w:r>
    </w:p>
    <w:p>
      <w:pPr>
        <w:spacing w:after="0" w:line="173" w:lineRule="exact"/>
        <w:rPr>
          <w:sz w:val="20"/>
          <w:szCs w:val="20"/>
          <w:color w:val="auto"/>
        </w:rPr>
      </w:pPr>
    </w:p>
    <w:p>
      <w:pPr>
        <w:ind w:right="6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Collateralize</w:t>
      </w:r>
      <w:r>
        <w:rPr>
          <w:rFonts w:ascii="Arial" w:cs="Arial" w:eastAsia="Arial" w:hAnsi="Arial"/>
          <w:sz w:val="16"/>
          <w:szCs w:val="16"/>
          <w:color w:val="auto"/>
        </w:rPr>
        <w:t>” shall mean to pledge and deposit with or deliver to the Administrative Agent, for the benefit of one or more of the Letter of Credit Issuer or the Lenders, as collateral for L/C Obligations or obligations of the Lenders to fund participations in respect of L/C Obligations, cash or deposit account balances or, if the Administrative Agent and the Letter of Credit Issuer shall agree in their sole discretion, other credit support. “</w:t>
      </w:r>
      <w:r>
        <w:rPr>
          <w:rFonts w:ascii="Arial" w:cs="Arial" w:eastAsia="Arial" w:hAnsi="Arial"/>
          <w:sz w:val="16"/>
          <w:szCs w:val="16"/>
          <w:b w:val="1"/>
          <w:bCs w:val="1"/>
          <w:color w:val="auto"/>
        </w:rPr>
        <w:t>Cash</w:t>
      </w:r>
      <w:r>
        <w:rPr>
          <w:rFonts w:ascii="Arial" w:cs="Arial" w:eastAsia="Arial" w:hAnsi="Arial"/>
          <w:sz w:val="16"/>
          <w:szCs w:val="16"/>
          <w:color w:val="auto"/>
        </w:rPr>
        <w:t xml:space="preserve"> </w:t>
      </w:r>
      <w:r>
        <w:rPr>
          <w:rFonts w:ascii="Arial" w:cs="Arial" w:eastAsia="Arial" w:hAnsi="Arial"/>
          <w:sz w:val="16"/>
          <w:szCs w:val="16"/>
          <w:b w:val="1"/>
          <w:bCs w:val="1"/>
          <w:color w:val="auto"/>
        </w:rPr>
        <w:t>Collateral</w:t>
      </w:r>
      <w:r>
        <w:rPr>
          <w:rFonts w:ascii="Arial" w:cs="Arial" w:eastAsia="Arial" w:hAnsi="Arial"/>
          <w:sz w:val="16"/>
          <w:szCs w:val="16"/>
          <w:color w:val="auto"/>
        </w:rPr>
        <w:t>” shall have a meaning correlative to the foregoing and shall include the proceeds of such cash collateral and other credit support.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shall mean:</w:t>
      </w:r>
    </w:p>
    <w:p>
      <w:pPr>
        <w:spacing w:after="0" w:line="229" w:lineRule="exact"/>
        <w:rPr>
          <w:sz w:val="20"/>
          <w:szCs w:val="20"/>
          <w:color w:val="auto"/>
        </w:rPr>
      </w:pPr>
    </w:p>
    <w:p>
      <w:pPr>
        <w:ind w:left="2540" w:hanging="345"/>
        <w:spacing w:after="0"/>
        <w:tabs>
          <w:tab w:leader="none" w:pos="2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Dollars,</w:t>
      </w:r>
    </w:p>
    <w:p>
      <w:pPr>
        <w:spacing w:after="0" w:line="225" w:lineRule="exact"/>
        <w:rPr>
          <w:rFonts w:ascii="Arial" w:cs="Arial" w:eastAsia="Arial" w:hAnsi="Arial"/>
          <w:sz w:val="18"/>
          <w:szCs w:val="18"/>
          <w:color w:val="auto"/>
        </w:rPr>
      </w:pPr>
    </w:p>
    <w:p>
      <w:pPr>
        <w:ind w:left="660" w:right="620" w:firstLine="1535"/>
        <w:spacing w:after="0" w:line="277" w:lineRule="auto"/>
        <w:tabs>
          <w:tab w:leader="none" w:pos="2599"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Euro, Pounds Sterling, Canadian Dollars, or any national currency of any Participating Member State in the European Union or (b) local currencies held from time to time in the ordinary course of business,</w:t>
      </w:r>
    </w:p>
    <w:p>
      <w:pPr>
        <w:spacing w:after="0" w:line="170" w:lineRule="exact"/>
        <w:rPr>
          <w:rFonts w:ascii="Arial" w:cs="Arial" w:eastAsia="Arial" w:hAnsi="Arial"/>
          <w:sz w:val="18"/>
          <w:szCs w:val="18"/>
          <w:color w:val="auto"/>
        </w:rPr>
      </w:pPr>
    </w:p>
    <w:p>
      <w:pPr>
        <w:ind w:left="660" w:right="220" w:firstLine="1535"/>
        <w:spacing w:after="0" w:line="311" w:lineRule="auto"/>
        <w:tabs>
          <w:tab w:leader="none" w:pos="2649" w:val="left"/>
        </w:tabs>
        <w:numPr>
          <w:ilvl w:val="0"/>
          <w:numId w:val="43"/>
        </w:numPr>
        <w:rPr>
          <w:rFonts w:ascii="Arial" w:cs="Arial" w:eastAsia="Arial" w:hAnsi="Arial"/>
          <w:sz w:val="16"/>
          <w:szCs w:val="16"/>
          <w:color w:val="auto"/>
        </w:rPr>
      </w:pPr>
      <w:r>
        <w:rPr>
          <w:rFonts w:ascii="Arial" w:cs="Arial" w:eastAsia="Arial" w:hAnsi="Arial"/>
          <w:sz w:val="16"/>
          <w:szCs w:val="16"/>
          <w:color w:val="auto"/>
        </w:rPr>
        <w:t>securities issued or directly and fully and unconditionally guaranteed or insured by the United States government or any country that is a member state of the European Union or any agency or instrumentality thereof the securities of which are unconditionally guaranteed as a full faith and credit obligation of such government with maturities of 24 months or less from the date of acquisition,</w:t>
      </w:r>
    </w:p>
    <w:p>
      <w:pPr>
        <w:spacing w:after="0" w:line="148" w:lineRule="exact"/>
        <w:rPr>
          <w:rFonts w:ascii="Arial" w:cs="Arial" w:eastAsia="Arial" w:hAnsi="Arial"/>
          <w:sz w:val="16"/>
          <w:szCs w:val="16"/>
          <w:color w:val="auto"/>
        </w:rPr>
      </w:pPr>
    </w:p>
    <w:p>
      <w:pPr>
        <w:ind w:left="660" w:right="140" w:firstLine="1535"/>
        <w:spacing w:after="0" w:line="259" w:lineRule="auto"/>
        <w:tabs>
          <w:tab w:leader="none" w:pos="2639" w:val="left"/>
        </w:tabs>
        <w:numPr>
          <w:ilvl w:val="0"/>
          <w:numId w:val="43"/>
        </w:numPr>
        <w:rPr>
          <w:rFonts w:ascii="Arial" w:cs="Arial" w:eastAsia="Arial" w:hAnsi="Arial"/>
          <w:sz w:val="18"/>
          <w:szCs w:val="18"/>
          <w:color w:val="auto"/>
        </w:rPr>
      </w:pPr>
      <w:r>
        <w:rPr>
          <w:rFonts w:ascii="Arial" w:cs="Arial" w:eastAsia="Arial" w:hAnsi="Arial"/>
          <w:sz w:val="18"/>
          <w:szCs w:val="18"/>
          <w:color w:val="auto"/>
        </w:rPr>
        <w:t>certificates of deposit, time deposits, and eurodollar time deposits with maturities of one year or less from the date of acquisition, bankers’ acceptances with maturities not exceeding one year, and overnight bank deposits, in each case with any commercial bank having capital and surplus of not less than $250,000,000 in the case of U.S. banks and $100,000,000 (or the Dollar Equivalent as of the date of determination) in the case of foreign banks,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320" w:top="341" w:right="379" w:bottom="1440" w:gutter="0" w:footer="0" w:header="0"/>
        </w:sectPr>
      </w:pPr>
    </w:p>
    <w:bookmarkStart w:id="90" w:name="page91"/>
    <w:bookmarkEnd w:id="90"/>
    <w:p>
      <w:pPr>
        <w:ind w:left="660" w:right="260" w:firstLine="1535"/>
        <w:spacing w:after="0" w:line="277" w:lineRule="auto"/>
        <w:tabs>
          <w:tab w:leader="none" w:pos="2589"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repurchase obligations for underlying securities of the types described in </w:t>
      </w:r>
      <w:r>
        <w:rPr>
          <w:rFonts w:ascii="Arial" w:cs="Arial" w:eastAsia="Arial" w:hAnsi="Arial"/>
          <w:sz w:val="18"/>
          <w:szCs w:val="18"/>
          <w:u w:val="single" w:color="auto"/>
          <w:color w:val="auto"/>
        </w:rPr>
        <w:t>clauses (iii)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entered into with any financial institution meeting the qualifications specified in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above,</w:t>
      </w:r>
    </w:p>
    <w:p>
      <w:pPr>
        <w:spacing w:after="0" w:line="170" w:lineRule="exact"/>
        <w:rPr>
          <w:rFonts w:ascii="Arial" w:cs="Arial" w:eastAsia="Arial" w:hAnsi="Arial"/>
          <w:sz w:val="18"/>
          <w:szCs w:val="18"/>
          <w:color w:val="auto"/>
        </w:rPr>
      </w:pPr>
    </w:p>
    <w:p>
      <w:pPr>
        <w:ind w:left="660" w:right="240" w:firstLine="1535"/>
        <w:spacing w:after="0" w:line="277" w:lineRule="auto"/>
        <w:tabs>
          <w:tab w:leader="none" w:pos="2639"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commercial paper rated at least P-2 by Moody’s or at least A-2 by S&amp;P and in each case maturing within 24 months after the date of creation thereof,</w:t>
      </w:r>
    </w:p>
    <w:p>
      <w:pPr>
        <w:spacing w:after="0" w:line="170" w:lineRule="exact"/>
        <w:rPr>
          <w:rFonts w:ascii="Arial" w:cs="Arial" w:eastAsia="Arial" w:hAnsi="Arial"/>
          <w:sz w:val="18"/>
          <w:szCs w:val="18"/>
          <w:color w:val="auto"/>
        </w:rPr>
      </w:pPr>
    </w:p>
    <w:p>
      <w:pPr>
        <w:ind w:left="660" w:right="80" w:firstLine="1535"/>
        <w:spacing w:after="0" w:line="286" w:lineRule="auto"/>
        <w:tabs>
          <w:tab w:leader="none" w:pos="2689" w:val="left"/>
        </w:tabs>
        <w:numPr>
          <w:ilvl w:val="0"/>
          <w:numId w:val="44"/>
        </w:numPr>
        <w:rPr>
          <w:rFonts w:ascii="Arial" w:cs="Arial" w:eastAsia="Arial" w:hAnsi="Arial"/>
          <w:sz w:val="17"/>
          <w:szCs w:val="17"/>
          <w:color w:val="auto"/>
        </w:rPr>
      </w:pPr>
      <w:r>
        <w:rPr>
          <w:rFonts w:ascii="Arial" w:cs="Arial" w:eastAsia="Arial" w:hAnsi="Arial"/>
          <w:sz w:val="17"/>
          <w:szCs w:val="17"/>
          <w:color w:val="auto"/>
        </w:rPr>
        <w:t>marketable short-term money market and similar securities having a rating of at least P-2 or A-2 from either Moody’s or S&amp;P, respectively (or, if at any time neither Moody’s nor S&amp;P shall be rating such obligations, an equivalent rating from another nationally recognized ratings agency) and in each case maturing within 24 months after the date of creation or acquisition thereof,</w:t>
      </w:r>
    </w:p>
    <w:p>
      <w:pPr>
        <w:spacing w:after="0" w:line="165" w:lineRule="exact"/>
        <w:rPr>
          <w:rFonts w:ascii="Arial" w:cs="Arial" w:eastAsia="Arial" w:hAnsi="Arial"/>
          <w:sz w:val="17"/>
          <w:szCs w:val="17"/>
          <w:color w:val="auto"/>
        </w:rPr>
      </w:pPr>
    </w:p>
    <w:p>
      <w:pPr>
        <w:ind w:left="660" w:right="400" w:firstLine="1535"/>
        <w:spacing w:after="0" w:line="263" w:lineRule="auto"/>
        <w:tabs>
          <w:tab w:leader="none" w:pos="2739"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readily marketable direct obligations issued by any state, commonwealth, or territory of the United States or any political subdivision or taxing authority thereof having one of the two highest rating categories obtainable from either Moody’s or S&amp;P with maturities of 24 months or less from the date of acquisition,</w:t>
      </w:r>
    </w:p>
    <w:p>
      <w:pPr>
        <w:spacing w:after="0" w:line="183" w:lineRule="exact"/>
        <w:rPr>
          <w:rFonts w:ascii="Arial" w:cs="Arial" w:eastAsia="Arial" w:hAnsi="Arial"/>
          <w:sz w:val="18"/>
          <w:szCs w:val="18"/>
          <w:color w:val="auto"/>
        </w:rPr>
      </w:pPr>
    </w:p>
    <w:p>
      <w:pPr>
        <w:ind w:left="660" w:right="320" w:firstLine="1535"/>
        <w:spacing w:after="0" w:line="277" w:lineRule="auto"/>
        <w:tabs>
          <w:tab w:leader="none" w:pos="2639"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Indebtedness or preferred stock issued by Persons with a rating of “A” or higher from S&amp;P or “A2” or higher from Moody’s with maturities of 24 months or less from the date of acquisition,</w:t>
      </w:r>
    </w:p>
    <w:p>
      <w:pPr>
        <w:spacing w:after="0" w:line="170" w:lineRule="exact"/>
        <w:rPr>
          <w:rFonts w:ascii="Arial" w:cs="Arial" w:eastAsia="Arial" w:hAnsi="Arial"/>
          <w:sz w:val="18"/>
          <w:szCs w:val="18"/>
          <w:color w:val="auto"/>
        </w:rPr>
      </w:pPr>
    </w:p>
    <w:p>
      <w:pPr>
        <w:ind w:left="660" w:right="40" w:firstLine="1535"/>
        <w:spacing w:after="0" w:line="288" w:lineRule="auto"/>
        <w:tabs>
          <w:tab w:leader="none" w:pos="2634"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solely with respect to any Foreign Subsidiary: (a) obligations of the national government of the country in which such Foreign Subsidiary maintains its chief executive office and principal place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country is a member of the Organization for Economic Cooperation and Development, in each case maturing within one year after the date of investment therein, (b) certificates of deposit of, bankers acceptances of, or time deposits with, any commercial bank which is organized and existing under the laws of the country in which such Foreign Subsidiary maintains its chief executive office and principal place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country is a member of the Organization for Economic Cooperation and Development, and whose short-term commercial paper rating from S&amp;P is at least “A-2” or the equivalent thereof or from Moody’s is at least “P-2” or the equivalent thereof (any such bank being an “</w:t>
      </w:r>
      <w:r>
        <w:rPr>
          <w:rFonts w:ascii="Arial" w:cs="Arial" w:eastAsia="Arial" w:hAnsi="Arial"/>
          <w:sz w:val="16"/>
          <w:szCs w:val="16"/>
          <w:b w:val="1"/>
          <w:bCs w:val="1"/>
          <w:color w:val="auto"/>
        </w:rPr>
        <w:t>Approved Foreign Bank</w:t>
      </w:r>
      <w:r>
        <w:rPr>
          <w:rFonts w:ascii="Arial" w:cs="Arial" w:eastAsia="Arial" w:hAnsi="Arial"/>
          <w:sz w:val="16"/>
          <w:szCs w:val="16"/>
          <w:color w:val="auto"/>
        </w:rPr>
        <w:t>”), and in each case with maturities of not more than 24 months from the date of acquisition, and (c) the equivalent of demand deposit accounts which are maintained with an Approved Foreign Bank, in each case, customarily used by corporations for cash management purposes in any jurisdiction outside the United States to the extent reasonably required in connection with any business conducted by such Foreign Subsidiary organized in such jurisdiction,</w:t>
      </w:r>
    </w:p>
    <w:p>
      <w:pPr>
        <w:spacing w:after="0" w:line="168" w:lineRule="exact"/>
        <w:rPr>
          <w:rFonts w:ascii="Arial" w:cs="Arial" w:eastAsia="Arial" w:hAnsi="Arial"/>
          <w:sz w:val="16"/>
          <w:szCs w:val="16"/>
          <w:color w:val="auto"/>
        </w:rPr>
      </w:pPr>
    </w:p>
    <w:p>
      <w:pPr>
        <w:ind w:left="660" w:firstLine="1535"/>
        <w:spacing w:after="0" w:line="286" w:lineRule="auto"/>
        <w:tabs>
          <w:tab w:leader="none" w:pos="2684"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in the case of investments by any Foreign Subsidiary or investments made in a country outside the United States, Cash Equivalents shall also include investments of the type and maturity described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(ix)</w:t>
      </w:r>
      <w:r>
        <w:rPr>
          <w:rFonts w:ascii="Arial" w:cs="Arial" w:eastAsia="Arial" w:hAnsi="Arial"/>
          <w:sz w:val="17"/>
          <w:szCs w:val="17"/>
          <w:color w:val="auto"/>
        </w:rPr>
        <w:t xml:space="preserve"> above of foreign obligors, which investments have ratings, described in such clauses or equivalent ratings from comparable foreign rating agencies, and</w:t>
      </w:r>
    </w:p>
    <w:p>
      <w:pPr>
        <w:spacing w:after="0" w:line="165" w:lineRule="exact"/>
        <w:rPr>
          <w:rFonts w:ascii="Arial" w:cs="Arial" w:eastAsia="Arial" w:hAnsi="Arial"/>
          <w:sz w:val="17"/>
          <w:szCs w:val="17"/>
          <w:color w:val="auto"/>
        </w:rPr>
      </w:pPr>
    </w:p>
    <w:p>
      <w:pPr>
        <w:ind w:left="2680" w:hanging="485"/>
        <w:spacing w:after="0"/>
        <w:tabs>
          <w:tab w:leader="none" w:pos="26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investment funds investing 90% of their assets in securities of the types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(ix)</w:t>
      </w:r>
      <w:r>
        <w:rPr>
          <w:rFonts w:ascii="Arial" w:cs="Arial" w:eastAsia="Arial" w:hAnsi="Arial"/>
          <w:sz w:val="16"/>
          <w:szCs w:val="16"/>
          <w:color w:val="auto"/>
        </w:rPr>
        <w:t xml:space="preserve"> above.</w:t>
      </w:r>
    </w:p>
    <w:p>
      <w:pPr>
        <w:spacing w:after="0" w:line="248"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 xml:space="preserve">Notwithstanding the foregoing, Cash Equivalents shall include amounts denominated in currencies other than those set forth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amounts are converted into any currency listed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as promptly as practicable and in any event within ten Business Days following the receipt of such amounts.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Management Agreement</w:t>
      </w:r>
      <w:r>
        <w:rPr>
          <w:rFonts w:ascii="Arial" w:cs="Arial" w:eastAsia="Arial" w:hAnsi="Arial"/>
          <w:sz w:val="18"/>
          <w:szCs w:val="18"/>
          <w:color w:val="auto"/>
        </w:rPr>
        <w:t>” shall mean any agreement or arrangement to provide Cash Management Services.</w:t>
      </w:r>
    </w:p>
    <w:p>
      <w:pPr>
        <w:spacing w:after="0" w:line="225"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Management Bank</w:t>
      </w:r>
      <w:r>
        <w:rPr>
          <w:rFonts w:ascii="Arial" w:cs="Arial" w:eastAsia="Arial" w:hAnsi="Arial"/>
          <w:sz w:val="18"/>
          <w:szCs w:val="18"/>
          <w:color w:val="auto"/>
        </w:rPr>
        <w:t>” shall mean (i) any Person that, at the time it enters into a Cash Management Agreement, is an Agent or a Lender or an Affiliate of an Agent or a Lender or (ii) with respect to any Cash</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341" w:right="359" w:bottom="1440" w:gutter="0" w:footer="0" w:header="0"/>
        </w:sectPr>
      </w:pPr>
    </w:p>
    <w:bookmarkStart w:id="91" w:name="page92"/>
    <w:bookmarkEnd w:id="91"/>
    <w:p>
      <w:pPr>
        <w:ind w:right="260"/>
        <w:spacing w:after="0" w:line="277" w:lineRule="auto"/>
        <w:rPr>
          <w:sz w:val="20"/>
          <w:szCs w:val="20"/>
          <w:color w:val="auto"/>
        </w:rPr>
      </w:pPr>
      <w:r>
        <w:rPr>
          <w:rFonts w:ascii="Arial" w:cs="Arial" w:eastAsia="Arial" w:hAnsi="Arial"/>
          <w:sz w:val="18"/>
          <w:szCs w:val="18"/>
          <w:color w:val="auto"/>
        </w:rPr>
        <w:t>Management Agreement entered into prior to the Restatement Effective Date, any Person that is a Lender or an Affiliate of a Lender on the Restatement Effective Date.</w:t>
      </w:r>
    </w:p>
    <w:p>
      <w:pPr>
        <w:spacing w:after="0" w:line="166"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Management Services</w:t>
      </w:r>
      <w:r>
        <w:rPr>
          <w:rFonts w:ascii="Arial" w:cs="Arial" w:eastAsia="Arial" w:hAnsi="Arial"/>
          <w:sz w:val="16"/>
          <w:szCs w:val="16"/>
          <w:color w:val="auto"/>
        </w:rPr>
        <w:t>” shall mean any one or more of the following types of services or facilities: (i) commercial credit cards, merchant card services, purchase or debit cards, including non-card e-payables services, or electronic funds transfer services, (ii) treasury management services (including controlled disbursement, overdraft automatic clearing house fund transfer services, return items, and interstate depository network services) and</w:t>
      </w:r>
    </w:p>
    <w:p>
      <w:pPr>
        <w:spacing w:after="0" w:line="2" w:lineRule="exact"/>
        <w:rPr>
          <w:sz w:val="20"/>
          <w:szCs w:val="20"/>
          <w:color w:val="auto"/>
        </w:rPr>
      </w:pPr>
    </w:p>
    <w:p>
      <w:pPr>
        <w:ind w:right="680" w:firstLine="8"/>
        <w:spacing w:after="0" w:line="260" w:lineRule="auto"/>
        <w:tabs>
          <w:tab w:leader="none" w:pos="3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other demand deposit or operating account relationships or other cash management services, including pursuant to any Cash Management Agreements.</w:t>
      </w:r>
    </w:p>
    <w:p>
      <w:pPr>
        <w:spacing w:after="0" w:line="18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Casualty Event</w:t>
      </w:r>
      <w:r>
        <w:rPr>
          <w:rFonts w:ascii="Arial" w:cs="Arial" w:eastAsia="Arial" w:hAnsi="Arial"/>
          <w:sz w:val="17"/>
          <w:szCs w:val="17"/>
          <w:color w:val="auto"/>
        </w:rPr>
        <w:t xml:space="preserve">” shall mean, with respect to any property of any Person, any loss of or damage to, or any condemnation or other taking by a Governmental Authority of, such property for which such Person or any of its Restricted Subsidiaries receives insurance proceeds or proceeds of a condemnation award in respect of any equipment, fixed assets, or real property (including any improvements thereon) to replace or repair such equipment, fixed assets, or real property;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with respect to any Casualty Event, the Borrower shall not be obligated to make any prepayment otherwise required by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unless and until the aggregate amount of Net Cash Proceeds from all such Casualty Events, after giving effect to the reinvestment rights set forth herein, exceeds $</w:t>
      </w:r>
      <w:r>
        <w:rPr>
          <w:rFonts w:ascii="Arial" w:cs="Arial" w:eastAsia="Arial" w:hAnsi="Arial"/>
          <w:sz w:val="17"/>
          <w:szCs w:val="17"/>
          <w:color w:val="FF0000"/>
          <w:strike w:val="1"/>
        </w:rPr>
        <w:t>10,000,000</w:t>
      </w:r>
      <w:r>
        <w:rPr>
          <w:rFonts w:ascii="Arial" w:cs="Arial" w:eastAsia="Arial" w:hAnsi="Arial"/>
          <w:sz w:val="17"/>
          <w:szCs w:val="17"/>
          <w:u w:val="single" w:color="auto"/>
          <w:color w:val="0000FF"/>
        </w:rPr>
        <w:t>1,000,000</w:t>
      </w:r>
      <w:r>
        <w:rPr>
          <w:rFonts w:ascii="Arial" w:cs="Arial" w:eastAsia="Arial" w:hAnsi="Arial"/>
          <w:sz w:val="17"/>
          <w:szCs w:val="17"/>
          <w:color w:val="auto"/>
        </w:rPr>
        <w:t xml:space="preserve"> (the “</w:t>
      </w:r>
      <w:r>
        <w:rPr>
          <w:rFonts w:ascii="Arial" w:cs="Arial" w:eastAsia="Arial" w:hAnsi="Arial"/>
          <w:sz w:val="17"/>
          <w:szCs w:val="17"/>
          <w:b w:val="1"/>
          <w:bCs w:val="1"/>
          <w:color w:val="auto"/>
        </w:rPr>
        <w:t>Casualty Prepayment Trigger</w:t>
      </w:r>
      <w:r>
        <w:rPr>
          <w:rFonts w:ascii="Arial" w:cs="Arial" w:eastAsia="Arial" w:hAnsi="Arial"/>
          <w:sz w:val="17"/>
          <w:szCs w:val="17"/>
          <w:color w:val="auto"/>
        </w:rPr>
        <w:t>”) in any fiscal year of Holdings, but then from all such Net Cash Proceeds (excluding amounts below the Casualty Prepayment Trigger).</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CFC</w:t>
      </w:r>
      <w:r>
        <w:rPr>
          <w:rFonts w:ascii="Arial" w:cs="Arial" w:eastAsia="Arial" w:hAnsi="Arial"/>
          <w:sz w:val="17"/>
          <w:szCs w:val="17"/>
          <w:color w:val="auto"/>
        </w:rPr>
        <w:t>” shall mean a Subsidiary of the Borrower that is a “controlled foreign corporation” within the meaning of Section 957 of the Code.</w:t>
      </w:r>
    </w:p>
    <w:p>
      <w:pPr>
        <w:spacing w:after="0" w:line="237"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 Holding Company</w:t>
      </w:r>
      <w:r>
        <w:rPr>
          <w:rFonts w:ascii="Arial" w:cs="Arial" w:eastAsia="Arial" w:hAnsi="Arial"/>
          <w:sz w:val="18"/>
          <w:szCs w:val="18"/>
          <w:color w:val="auto"/>
        </w:rPr>
        <w:t>” shall mean a Domestic Subsidiary of the Borrower substantially all of the assets of which consist of equity or debt of one or more Foreign Subsidiaries that are CFCs.</w:t>
      </w:r>
    </w:p>
    <w:p>
      <w:pPr>
        <w:spacing w:after="0" w:line="162"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in Law</w:t>
      </w:r>
      <w:r>
        <w:rPr>
          <w:rFonts w:ascii="Arial" w:cs="Arial" w:eastAsia="Arial" w:hAnsi="Arial"/>
          <w:sz w:val="17"/>
          <w:szCs w:val="17"/>
          <w:color w:val="auto"/>
        </w:rPr>
        <w:t>” shall mean (i) the adoption of any law, treaty, order, policy, rule, or regulation after the Restatement Effective Date, (ii) any change in any law, treaty, order, policy, rule, or regulation or in the administration, implementation, interpretation or application thereof by any Governmental Authority after the Restatement Effective Date or (iii) compliance by any Lender with any guideline, request, directive, or order issued or made after the Restatement Effective Date by any central bank or other governmental or quasi-governmental authority (whether or not having the force of law), including, for avoidance of doubt any such adoption, change or compliance in respect of (a) the Dodd-Frank Wall Street Reform and Consumer Protection Act and all requests, rules, regulations, guidelines, or directives thereunder or issued in connection therewith and (b) all requests, rules, guidelines, requirements, or directives promulgated by the Bank for International Settlements, the Basel Committee on Banking Supervision (or any successor or similar authority), or the United States or foreign regulatory authorities pursuant to Basel III.</w:t>
      </w:r>
    </w:p>
    <w:p>
      <w:pPr>
        <w:spacing w:after="0" w:line="172"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shall mean and be deemed to have occurred if any Person, entity, or “group” (within the meaning of Section 13(d) or 14(d) of the Securities Exchange Act of 1934, as amended), other than the Permitted Holders, shall at any time have acquired direct or indirect beneficial ownership of a percentage of the voting power of the outstanding Voting Stock of Holdings that exceeds 35% thereof, unless the Permitted Holders have, at such time, the right or the ability by voting power, contract, or otherwise to elect or designate for election at least a majority of the board of directors of Holdings.</w:t>
      </w:r>
    </w:p>
    <w:p>
      <w:pPr>
        <w:spacing w:after="0" w:line="183"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w:t>
      </w:r>
      <w:r>
        <w:rPr>
          <w:rFonts w:ascii="Arial" w:cs="Arial" w:eastAsia="Arial" w:hAnsi="Arial"/>
          <w:sz w:val="18"/>
          <w:szCs w:val="18"/>
          <w:color w:val="auto"/>
        </w:rPr>
        <w:t>” (i) when used in reference to any Loan or Borrowing, shall refer to whether such Loan, or the Loans comprising such Borrowing, are Revolving Credit Loans, Term A Loans, New Term Loans (of each Series), Extended Term Loans (of the same Extension Series), Replacement Term Loans (of the same Series), Extended Revolving Credit Loans (of the same Extension Series), or Swingline Loans and (ii) when used in reference to any Commitment, refers to whether such Commitment is a Revolving Credit Commitment, an Extended Revolving Credit Commitment (of the same Extension Series), a Term A Loan Commitment or a New Term Loan Commitment.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shall mean March 13, 2014.</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341" w:right="359" w:bottom="1440" w:gutter="0" w:footer="0" w:header="0"/>
        </w:sectPr>
      </w:pPr>
    </w:p>
    <w:bookmarkStart w:id="92" w:name="page93"/>
    <w:bookmarkEnd w:id="9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shall mean the Internal Revenue Code of 1986, as amended from time to time.</w:t>
      </w:r>
    </w:p>
    <w:p>
      <w:pPr>
        <w:spacing w:after="0" w:line="225" w:lineRule="exact"/>
        <w:rPr>
          <w:sz w:val="20"/>
          <w:szCs w:val="20"/>
          <w:color w:val="auto"/>
        </w:rPr>
      </w:pPr>
    </w:p>
    <w:p>
      <w:pPr>
        <w:ind w:right="6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shall mean all property pledged or mortgaged or purported to be pledged or mortgaged pursuant to the Security Documents, excluding in all events Excluded Property.</w:t>
      </w:r>
    </w:p>
    <w:p>
      <w:pPr>
        <w:spacing w:after="0" w:line="162" w:lineRule="exact"/>
        <w:rPr>
          <w:sz w:val="20"/>
          <w:szCs w:val="20"/>
          <w:color w:val="auto"/>
        </w:rPr>
      </w:pPr>
    </w:p>
    <w:p>
      <w:pPr>
        <w:ind w:right="2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Agent</w:t>
      </w:r>
      <w:r>
        <w:rPr>
          <w:rFonts w:ascii="Arial" w:cs="Arial" w:eastAsia="Arial" w:hAnsi="Arial"/>
          <w:sz w:val="18"/>
          <w:szCs w:val="18"/>
          <w:color w:val="auto"/>
        </w:rPr>
        <w:t xml:space="preserve">” shall mean Bank of America, N.A., as collateral agent under the Security Documents, or any successor collateral agent pursuant to </w:t>
      </w:r>
      <w:r>
        <w:rPr>
          <w:rFonts w:ascii="Arial" w:cs="Arial" w:eastAsia="Arial" w:hAnsi="Arial"/>
          <w:sz w:val="18"/>
          <w:szCs w:val="18"/>
          <w:u w:val="single" w:color="auto"/>
          <w:color w:val="auto"/>
        </w:rPr>
        <w:t>Section 12.9</w:t>
      </w:r>
      <w:r>
        <w:rPr>
          <w:rFonts w:ascii="Arial" w:cs="Arial" w:eastAsia="Arial" w:hAnsi="Arial"/>
          <w:sz w:val="18"/>
          <w:szCs w:val="18"/>
          <w:color w:val="auto"/>
        </w:rPr>
        <w:t xml:space="preserve">, and any Affiliate or designee of Bank of America, N.A. may act as the Collateral Agent under any Credit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matters relating to the Original Credit Agreement or periods prior to the Restatement Effective Date, such term shall refer to the Former Agent.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Fee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4.1(a)</w:t>
      </w:r>
      <w:r>
        <w:rPr>
          <w:rFonts w:ascii="Arial" w:cs="Arial" w:eastAsia="Arial" w:hAnsi="Arial"/>
          <w:sz w:val="18"/>
          <w:szCs w:val="18"/>
          <w:color w:val="auto"/>
        </w:rPr>
        <w:t>.</w:t>
      </w:r>
    </w:p>
    <w:p>
      <w:pPr>
        <w:spacing w:after="0" w:line="225"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Fee Rate</w:t>
      </w:r>
      <w:r>
        <w:rPr>
          <w:rFonts w:ascii="Arial" w:cs="Arial" w:eastAsia="Arial" w:hAnsi="Arial"/>
          <w:sz w:val="18"/>
          <w:szCs w:val="18"/>
          <w:color w:val="auto"/>
        </w:rPr>
        <w:t>” shall mean the rate per annum for Commitment Fees determined in accordance with the definition of “Applicable Margin”.</w:t>
      </w:r>
    </w:p>
    <w:p>
      <w:pPr>
        <w:spacing w:after="0" w:line="162" w:lineRule="exact"/>
        <w:rPr>
          <w:sz w:val="20"/>
          <w:szCs w:val="20"/>
          <w:color w:val="auto"/>
        </w:rPr>
      </w:pPr>
    </w:p>
    <w:p>
      <w:pPr>
        <w:ind w:right="40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Commitments</w:t>
      </w:r>
      <w:r>
        <w:rPr>
          <w:rFonts w:ascii="Arial" w:cs="Arial" w:eastAsia="Arial" w:hAnsi="Arial"/>
          <w:sz w:val="17"/>
          <w:szCs w:val="17"/>
          <w:color w:val="auto"/>
        </w:rPr>
        <w:t>” shall mean, with respect to each Lender (to the extent applicable), such Lender’s Revolving Credit Commitment, Extended Revolving Credit Commitment, New Revolving Credit Commitment, Term A Loan Commitment or New Term Loan Commitment.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Commodity Exchange Act</w:t>
      </w:r>
      <w:r>
        <w:rPr>
          <w:rFonts w:ascii="Arial" w:cs="Arial" w:eastAsia="Arial" w:hAnsi="Arial"/>
          <w:sz w:val="16"/>
          <w:szCs w:val="16"/>
          <w:color w:val="auto"/>
        </w:rPr>
        <w:t>” shall mean the Commodity Exchange Act (7 U.S.C. § 1 et seq.), as amended from time to time, and any successor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statute.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Communications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13.17</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shall mean a certificate of a responsible financial or accounting officer of Holdings or the Borrower delivered pursuant to </w:t>
      </w:r>
      <w:r>
        <w:rPr>
          <w:rFonts w:ascii="Arial" w:cs="Arial" w:eastAsia="Arial" w:hAnsi="Arial"/>
          <w:sz w:val="18"/>
          <w:szCs w:val="18"/>
          <w:u w:val="single" w:color="auto"/>
          <w:color w:val="auto"/>
        </w:rPr>
        <w:t>Section 9.1(d)</w:t>
      </w:r>
      <w:r>
        <w:rPr>
          <w:rFonts w:ascii="Arial" w:cs="Arial" w:eastAsia="Arial" w:hAnsi="Arial"/>
          <w:sz w:val="18"/>
          <w:szCs w:val="18"/>
          <w:color w:val="auto"/>
        </w:rPr>
        <w:t xml:space="preserve"> for the applicable Test Period.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13.16</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Depreciation and Amortization Expense</w:t>
      </w:r>
      <w:r>
        <w:rPr>
          <w:rFonts w:ascii="Arial" w:cs="Arial" w:eastAsia="Arial" w:hAnsi="Arial"/>
          <w:sz w:val="18"/>
          <w:szCs w:val="18"/>
          <w:color w:val="auto"/>
        </w:rPr>
        <w:t>” shall mean with respect to any Person for any period, the total amount of depreciation and amortization expense, including the amortization of deferred financing fees or costs, debt issuance costs, commissions, fees, and expenses, capitalized expenditures, customer acquisition costs, the amortization of original issue discount resulting from the issuance of Indebtedness at less than par and incentive payments, conversion costs, and contract acquisition costs of such Person and its Restricted Subsidiaries for such period on a consolidated basis and otherwise determined in accordance with GAAP.</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EBITDA</w:t>
      </w:r>
      <w:r>
        <w:rPr>
          <w:rFonts w:ascii="Arial" w:cs="Arial" w:eastAsia="Arial" w:hAnsi="Arial"/>
          <w:sz w:val="16"/>
          <w:szCs w:val="16"/>
          <w:color w:val="auto"/>
        </w:rPr>
        <w:t>” shall mean, with respect to any Person for any period, the Consolidated Net Income of such Person for such period:</w:t>
      </w:r>
    </w:p>
    <w:p>
      <w:pPr>
        <w:spacing w:after="0" w:line="252" w:lineRule="exact"/>
        <w:rPr>
          <w:sz w:val="20"/>
          <w:szCs w:val="20"/>
          <w:color w:val="auto"/>
        </w:rPr>
      </w:pPr>
    </w:p>
    <w:p>
      <w:pPr>
        <w:ind w:left="2540" w:hanging="345"/>
        <w:spacing w:after="0"/>
        <w:tabs>
          <w:tab w:leader="none" w:pos="25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increased (without duplication) by:</w:t>
      </w:r>
    </w:p>
    <w:p>
      <w:pPr>
        <w:spacing w:after="0" w:line="225" w:lineRule="exact"/>
        <w:rPr>
          <w:rFonts w:ascii="Arial" w:cs="Arial" w:eastAsia="Arial" w:hAnsi="Arial"/>
          <w:sz w:val="18"/>
          <w:szCs w:val="18"/>
          <w:color w:val="auto"/>
        </w:rPr>
      </w:pPr>
    </w:p>
    <w:p>
      <w:pPr>
        <w:jc w:val="both"/>
        <w:ind w:left="1300" w:right="520" w:firstLine="652"/>
        <w:spacing w:after="0" w:line="259" w:lineRule="auto"/>
        <w:tabs>
          <w:tab w:leader="none" w:pos="2328"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provision for taxes based on income or profits or capital, including, without limitation, U.S. federal, state, non-U.S., franchise, excise, value added, and similar taxes and foreign withholding taxes of such Person paid or accrued during such period deducted, including any penalties and interest related to such taxes or arising from any tax examinations (and not added back) in computing Consolidated Net Income, </w:t>
      </w:r>
      <w:r>
        <w:rPr>
          <w:rFonts w:ascii="Arial" w:cs="Arial" w:eastAsia="Arial" w:hAnsi="Arial"/>
          <w:sz w:val="18"/>
          <w:szCs w:val="18"/>
          <w:i w:val="1"/>
          <w:iCs w:val="1"/>
          <w:color w:val="auto"/>
        </w:rPr>
        <w:t>plus</w:t>
      </w:r>
    </w:p>
    <w:p>
      <w:pPr>
        <w:spacing w:after="0" w:line="105" w:lineRule="exact"/>
        <w:rPr>
          <w:rFonts w:ascii="Arial" w:cs="Arial" w:eastAsia="Arial" w:hAnsi="Arial"/>
          <w:sz w:val="18"/>
          <w:szCs w:val="18"/>
          <w:color w:val="auto"/>
        </w:rPr>
      </w:pPr>
    </w:p>
    <w:p>
      <w:pPr>
        <w:ind w:left="1300" w:firstLine="652"/>
        <w:spacing w:after="0" w:line="257" w:lineRule="auto"/>
        <w:tabs>
          <w:tab w:leader="none" w:pos="2338"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Fixed Charges of such Person for such period (including (1) net losses on Hedging Obligations or other derivative instruments entered into for the purpose of hedging interest rate risk and (2) costs of surety bonds in connection with financing activities, in each case, to the extent included in Fixed Charges), together with items excluded from the definition of “Consolidated Interest Expense” and any non-cash interest expense, to the extent the same were deducted (and not added back) in calculating such Consolidated Net Income, </w:t>
      </w:r>
      <w:r>
        <w:rPr>
          <w:rFonts w:ascii="Arial" w:cs="Arial" w:eastAsia="Arial" w:hAnsi="Arial"/>
          <w:sz w:val="18"/>
          <w:szCs w:val="18"/>
          <w:i w:val="1"/>
          <w:iCs w:val="1"/>
          <w:color w:val="auto"/>
        </w:rPr>
        <w:t>plus</w:t>
      </w: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320" w:top="337" w:right="379" w:bottom="1440" w:gutter="0" w:footer="0" w:header="0"/>
        </w:sectPr>
      </w:pPr>
    </w:p>
    <w:bookmarkStart w:id="93" w:name="page94"/>
    <w:bookmarkEnd w:id="93"/>
    <w:p>
      <w:pPr>
        <w:ind w:left="180" w:right="60" w:firstLine="652"/>
        <w:spacing w:after="0" w:line="277" w:lineRule="auto"/>
        <w:tabs>
          <w:tab w:leader="none" w:pos="1208"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Consolidated Depreciation and Amortization Expense of such Person for such period to the extent the same were deducted in computing Consolidated Net Income, </w:t>
      </w:r>
      <w:r>
        <w:rPr>
          <w:rFonts w:ascii="Arial" w:cs="Arial" w:eastAsia="Arial" w:hAnsi="Arial"/>
          <w:sz w:val="18"/>
          <w:szCs w:val="18"/>
          <w:i w:val="1"/>
          <w:iCs w:val="1"/>
          <w:color w:val="auto"/>
        </w:rPr>
        <w:t>plus</w:t>
      </w:r>
    </w:p>
    <w:p>
      <w:pPr>
        <w:spacing w:after="0" w:line="89" w:lineRule="exact"/>
        <w:rPr>
          <w:rFonts w:ascii="Arial" w:cs="Arial" w:eastAsia="Arial" w:hAnsi="Arial"/>
          <w:sz w:val="18"/>
          <w:szCs w:val="18"/>
          <w:color w:val="auto"/>
        </w:rPr>
      </w:pPr>
    </w:p>
    <w:p>
      <w:pPr>
        <w:ind w:left="180" w:right="20" w:firstLine="652"/>
        <w:spacing w:after="0" w:line="272" w:lineRule="auto"/>
        <w:tabs>
          <w:tab w:leader="none" w:pos="1218"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any expenses, fees, charges, or losses (other than depreciation or amortization expense) related to any Equity Offering, Permitted Investment, Restricted Payment, acquisition, disposition, recapitalization, or the incurrence of Indebtedness permitted to be incurred by this Agreement (including a refinancing thereof) (whether or not successful and including any such transaction consummated prior to the Restatement Effective Date), including (1) such fees, expenses, or charges related to the incurrence of the Loans hereunder and all Transaction Expenses, (2) such fees, expenses, or charges related to the offering of the Credit Documents and any other credit facilities, and (3) any amendment or other modification of Loans hereunder, or other Indebtedness, and, in each case, deducted (and not added back) in computing Consolidated Net Income, </w:t>
      </w:r>
      <w:r>
        <w:rPr>
          <w:rFonts w:ascii="Arial" w:cs="Arial" w:eastAsia="Arial" w:hAnsi="Arial"/>
          <w:sz w:val="17"/>
          <w:szCs w:val="17"/>
          <w:i w:val="1"/>
          <w:iCs w:val="1"/>
          <w:color w:val="auto"/>
        </w:rPr>
        <w:t>plus</w:t>
      </w:r>
    </w:p>
    <w:p>
      <w:pPr>
        <w:spacing w:after="0" w:line="96" w:lineRule="exact"/>
        <w:rPr>
          <w:rFonts w:ascii="Arial" w:cs="Arial" w:eastAsia="Arial" w:hAnsi="Arial"/>
          <w:sz w:val="17"/>
          <w:szCs w:val="17"/>
          <w:color w:val="auto"/>
        </w:rPr>
      </w:pPr>
    </w:p>
    <w:p>
      <w:pPr>
        <w:jc w:val="both"/>
        <w:ind w:left="180" w:right="140" w:firstLine="652"/>
        <w:spacing w:after="0" w:line="301" w:lineRule="auto"/>
        <w:tabs>
          <w:tab w:leader="none" w:pos="1208" w:val="left"/>
        </w:tabs>
        <w:numPr>
          <w:ilvl w:val="0"/>
          <w:numId w:val="48"/>
        </w:numPr>
        <w:rPr>
          <w:rFonts w:ascii="Arial" w:cs="Arial" w:eastAsia="Arial" w:hAnsi="Arial"/>
          <w:sz w:val="16"/>
          <w:szCs w:val="16"/>
          <w:color w:val="auto"/>
        </w:rPr>
      </w:pPr>
      <w:r>
        <w:rPr>
          <w:rFonts w:ascii="Arial" w:cs="Arial" w:eastAsia="Arial" w:hAnsi="Arial"/>
          <w:sz w:val="16"/>
          <w:szCs w:val="16"/>
          <w:color w:val="auto"/>
        </w:rPr>
        <w:t>any other non-cash charges, including any write offs, write downs, expenses, losses, or items to the extent the same were deducted (and not added back) in computing Consolidated Net Income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such non-cash charges represent an accrual or reserve for potential cash items in any future period, the cash payment in respect thereof in such future period shall be deducted from Consolidated EBITDA to such extent, and excluding amortization of a prepaid cash item that was paid in a prior period), </w:t>
      </w:r>
      <w:r>
        <w:rPr>
          <w:rFonts w:ascii="Arial" w:cs="Arial" w:eastAsia="Arial" w:hAnsi="Arial"/>
          <w:sz w:val="16"/>
          <w:szCs w:val="16"/>
          <w:i w:val="1"/>
          <w:iCs w:val="1"/>
          <w:color w:val="auto"/>
        </w:rPr>
        <w:t>plus</w:t>
      </w:r>
    </w:p>
    <w:p>
      <w:pPr>
        <w:spacing w:after="0" w:line="76" w:lineRule="exact"/>
        <w:rPr>
          <w:rFonts w:ascii="Arial" w:cs="Arial" w:eastAsia="Arial" w:hAnsi="Arial"/>
          <w:sz w:val="16"/>
          <w:szCs w:val="16"/>
          <w:color w:val="auto"/>
        </w:rPr>
      </w:pPr>
    </w:p>
    <w:p>
      <w:pPr>
        <w:ind w:left="180" w:firstLine="652"/>
        <w:spacing w:after="0" w:line="263" w:lineRule="auto"/>
        <w:tabs>
          <w:tab w:leader="none" w:pos="1188"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the amount of any minority interest expense consisting of Subsidiary income attributable to minority equity interests of third parties in any non-Wholly Owned Subsidiary deducted (and not added back) in such period in calculating Consolidated Net Income, </w:t>
      </w:r>
      <w:r>
        <w:rPr>
          <w:rFonts w:ascii="Arial" w:cs="Arial" w:eastAsia="Arial" w:hAnsi="Arial"/>
          <w:sz w:val="18"/>
          <w:szCs w:val="18"/>
          <w:i w:val="1"/>
          <w:iCs w:val="1"/>
          <w:color w:val="auto"/>
        </w:rPr>
        <w:t>plus</w:t>
      </w:r>
    </w:p>
    <w:p>
      <w:pPr>
        <w:spacing w:after="0" w:line="102" w:lineRule="exact"/>
        <w:rPr>
          <w:rFonts w:ascii="Arial" w:cs="Arial" w:eastAsia="Arial" w:hAnsi="Arial"/>
          <w:sz w:val="18"/>
          <w:szCs w:val="18"/>
          <w:color w:val="auto"/>
        </w:rPr>
      </w:pPr>
    </w:p>
    <w:p>
      <w:pPr>
        <w:ind w:left="180" w:right="60" w:firstLine="652"/>
        <w:spacing w:after="0" w:line="277" w:lineRule="auto"/>
        <w:tabs>
          <w:tab w:leader="none" w:pos="1218"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the amount of management, monitoring, consulting, and advisory fees (including termination fees) and related indemnities and expenses paid or accrued in such period to the Initial Investors or any of their respective Affiliates, </w:t>
      </w:r>
      <w:r>
        <w:rPr>
          <w:rFonts w:ascii="Arial" w:cs="Arial" w:eastAsia="Arial" w:hAnsi="Arial"/>
          <w:sz w:val="18"/>
          <w:szCs w:val="18"/>
          <w:i w:val="1"/>
          <w:iCs w:val="1"/>
          <w:color w:val="auto"/>
        </w:rPr>
        <w:t>plus</w:t>
      </w:r>
    </w:p>
    <w:p>
      <w:pPr>
        <w:spacing w:after="0" w:line="89" w:lineRule="exact"/>
        <w:rPr>
          <w:rFonts w:ascii="Arial" w:cs="Arial" w:eastAsia="Arial" w:hAnsi="Arial"/>
          <w:sz w:val="18"/>
          <w:szCs w:val="18"/>
          <w:color w:val="auto"/>
        </w:rPr>
      </w:pPr>
    </w:p>
    <w:p>
      <w:pPr>
        <w:ind w:left="1220" w:hanging="388"/>
        <w:spacing w:after="0"/>
        <w:tabs>
          <w:tab w:leader="none" w:pos="1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costs of surety bonds incurred in such period in connection with financing activities, </w:t>
      </w:r>
      <w:r>
        <w:rPr>
          <w:rFonts w:ascii="Arial" w:cs="Arial" w:eastAsia="Arial" w:hAnsi="Arial"/>
          <w:sz w:val="18"/>
          <w:szCs w:val="18"/>
          <w:i w:val="1"/>
          <w:iCs w:val="1"/>
          <w:color w:val="auto"/>
        </w:rPr>
        <w:t>plus</w:t>
      </w:r>
    </w:p>
    <w:p>
      <w:pPr>
        <w:spacing w:after="0" w:line="144" w:lineRule="exact"/>
        <w:rPr>
          <w:rFonts w:ascii="Arial" w:cs="Arial" w:eastAsia="Arial" w:hAnsi="Arial"/>
          <w:sz w:val="18"/>
          <w:szCs w:val="18"/>
          <w:color w:val="auto"/>
        </w:rPr>
      </w:pPr>
    </w:p>
    <w:p>
      <w:pPr>
        <w:ind w:left="180" w:firstLine="652"/>
        <w:spacing w:after="0" w:line="271" w:lineRule="auto"/>
        <w:tabs>
          <w:tab w:leader="none" w:pos="1178"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the amount of reasonably identifiable and factually supportable “run-rate” cost savings, operating expense reductions, and synergies that are projected by the Borrower in good faith to result from actions either taken or expected to be taken within 24 months of the determination to take such action, net of the amount of actual benefits realized prior to or during such period from such actions (which cost savings, operating expense reductions, and synergies shall be calculated on a Pro Forma Basis as though such cost savings, operating expense reductions, or synergies had been realized on the first day of such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increase to Consolidated EBITDA for any period pursuant to this clause (i), clause (q) below, clause (r) below and the definition of “Pro Forma Adjustment” shall not exceed 25% of Consolidated EBITDA for such period (after giving effect to any increase in Consolidated EBITDA pursuant to the definition of “Acquired EBITDA”), </w:t>
      </w:r>
      <w:r>
        <w:rPr>
          <w:rFonts w:ascii="Arial" w:cs="Arial" w:eastAsia="Arial" w:hAnsi="Arial"/>
          <w:sz w:val="17"/>
          <w:szCs w:val="17"/>
          <w:i w:val="1"/>
          <w:iCs w:val="1"/>
          <w:color w:val="auto"/>
        </w:rPr>
        <w:t>plus</w:t>
      </w:r>
    </w:p>
    <w:p>
      <w:pPr>
        <w:spacing w:after="0" w:line="97" w:lineRule="exact"/>
        <w:rPr>
          <w:rFonts w:ascii="Arial" w:cs="Arial" w:eastAsia="Arial" w:hAnsi="Arial"/>
          <w:sz w:val="17"/>
          <w:szCs w:val="17"/>
          <w:color w:val="auto"/>
        </w:rPr>
      </w:pPr>
    </w:p>
    <w:p>
      <w:pPr>
        <w:ind w:left="180" w:right="160" w:firstLine="652"/>
        <w:spacing w:after="0" w:line="277" w:lineRule="auto"/>
        <w:tabs>
          <w:tab w:leader="none" w:pos="1178"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the amount of loss or discount on sale of receivables and related assets to the Receivables Subsidiary in connection with a Receivables Facility, </w:t>
      </w:r>
      <w:r>
        <w:rPr>
          <w:rFonts w:ascii="Arial" w:cs="Arial" w:eastAsia="Arial" w:hAnsi="Arial"/>
          <w:sz w:val="18"/>
          <w:szCs w:val="18"/>
          <w:i w:val="1"/>
          <w:iCs w:val="1"/>
          <w:color w:val="auto"/>
        </w:rPr>
        <w:t>plus</w:t>
      </w:r>
    </w:p>
    <w:p>
      <w:pPr>
        <w:spacing w:after="0" w:line="89" w:lineRule="exact"/>
        <w:rPr>
          <w:rFonts w:ascii="Arial" w:cs="Arial" w:eastAsia="Arial" w:hAnsi="Arial"/>
          <w:sz w:val="18"/>
          <w:szCs w:val="18"/>
          <w:color w:val="auto"/>
        </w:rPr>
      </w:pPr>
    </w:p>
    <w:p>
      <w:pPr>
        <w:ind w:left="180" w:right="20" w:firstLine="652"/>
        <w:spacing w:after="0" w:line="255" w:lineRule="auto"/>
        <w:tabs>
          <w:tab w:leader="none" w:pos="1218"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any costs or expense incurred by Holdings or a Restricted Subsidiary pursuant to any management equity plan or stock option plan or any other management or employee benefit plan or agreement or any stock subscription or shareholder agreement, to the extent that such cost or expenses are funded with cash proceeds contributed to the capital of Holdings or net cash proceeds of an issuance of Equity Interests of Holdings (other than Disqualified Stock) solely to the extent that such net cash proceeds are excluded from the calculation set forth in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10.5(a)</w:t>
      </w:r>
      <w:r>
        <w:rPr>
          <w:rFonts w:ascii="Arial" w:cs="Arial" w:eastAsia="Arial" w:hAnsi="Arial"/>
          <w:sz w:val="18"/>
          <w:szCs w:val="18"/>
          <w:color w:val="auto"/>
        </w:rPr>
        <w:t xml:space="preserve"> and have not been relied on for purposes of any incurrence of Indebtedness pursuant to </w:t>
      </w:r>
      <w:r>
        <w:rPr>
          <w:rFonts w:ascii="Arial" w:cs="Arial" w:eastAsia="Arial" w:hAnsi="Arial"/>
          <w:sz w:val="18"/>
          <w:szCs w:val="18"/>
          <w:u w:val="single" w:color="auto"/>
          <w:color w:val="auto"/>
        </w:rPr>
        <w:t>clause (l)(i)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w:t>
      </w:r>
      <w:r>
        <w:rPr>
          <w:rFonts w:ascii="Arial" w:cs="Arial" w:eastAsia="Arial" w:hAnsi="Arial"/>
          <w:sz w:val="18"/>
          <w:szCs w:val="18"/>
          <w:i w:val="1"/>
          <w:iCs w:val="1"/>
          <w:color w:val="auto"/>
        </w:rPr>
        <w:t>plus</w:t>
      </w:r>
    </w:p>
    <w:p>
      <w:pPr>
        <w:spacing w:after="0" w:line="200" w:lineRule="exact"/>
        <w:rPr>
          <w:sz w:val="20"/>
          <w:szCs w:val="20"/>
          <w:color w:val="auto"/>
        </w:rPr>
      </w:pPr>
    </w:p>
    <w:p>
      <w:pPr>
        <w:spacing w:after="0" w:line="34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100"/>
          </w:cols>
          <w:pgMar w:left="1440" w:top="341" w:right="359" w:bottom="1440" w:gutter="0" w:footer="0" w:header="0"/>
        </w:sectPr>
      </w:pPr>
    </w:p>
    <w:bookmarkStart w:id="94" w:name="page95"/>
    <w:bookmarkEnd w:id="94"/>
    <w:p>
      <w:pPr>
        <w:ind w:left="180" w:right="60" w:firstLine="652"/>
        <w:spacing w:after="0" w:line="301" w:lineRule="auto"/>
        <w:tabs>
          <w:tab w:leader="none" w:pos="1178"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the amount of expenses relating to payments made to option holders of any direct or indirect parent company of Holdings or any of its direct or indirect parent companies in connection with, or as a result of, any distribution being made to shareholders of such Person or its direct or indirect parent companies, which payments are being made to compensate such option holders as though they were shareholders at the time of, and entitled to share in, such distribution, in each case to the extent permitted under this Agreement, </w:t>
      </w:r>
      <w:r>
        <w:rPr>
          <w:rFonts w:ascii="Arial" w:cs="Arial" w:eastAsia="Arial" w:hAnsi="Arial"/>
          <w:sz w:val="16"/>
          <w:szCs w:val="16"/>
          <w:i w:val="1"/>
          <w:iCs w:val="1"/>
          <w:color w:val="auto"/>
        </w:rPr>
        <w:t>plus</w:t>
      </w:r>
    </w:p>
    <w:p>
      <w:pPr>
        <w:spacing w:after="0" w:line="76" w:lineRule="exact"/>
        <w:rPr>
          <w:rFonts w:ascii="Arial" w:cs="Arial" w:eastAsia="Arial" w:hAnsi="Arial"/>
          <w:sz w:val="16"/>
          <w:szCs w:val="16"/>
          <w:color w:val="auto"/>
        </w:rPr>
      </w:pPr>
    </w:p>
    <w:p>
      <w:pPr>
        <w:ind w:left="180" w:right="200" w:firstLine="652"/>
        <w:spacing w:after="0" w:line="259" w:lineRule="auto"/>
        <w:tabs>
          <w:tab w:leader="none" w:pos="1268"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with respect to any joint venture that is not a Restricted Subsidiary, an amount equal to the proportion of those items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above relating to such joint venture corresponding to Holdings’ and the Restricted Subsidiaries’ proportionate share of such joint venture’s Consolidated Net Income (determined as if such joint venture were a Restricted Subsidiary), </w:t>
      </w:r>
      <w:r>
        <w:rPr>
          <w:rFonts w:ascii="Arial" w:cs="Arial" w:eastAsia="Arial" w:hAnsi="Arial"/>
          <w:sz w:val="18"/>
          <w:szCs w:val="18"/>
          <w:i w:val="1"/>
          <w:iCs w:val="1"/>
          <w:color w:val="auto"/>
        </w:rPr>
        <w:t>plus</w:t>
      </w:r>
    </w:p>
    <w:p>
      <w:pPr>
        <w:spacing w:after="0" w:line="105" w:lineRule="exact"/>
        <w:rPr>
          <w:rFonts w:ascii="Arial" w:cs="Arial" w:eastAsia="Arial" w:hAnsi="Arial"/>
          <w:sz w:val="18"/>
          <w:szCs w:val="18"/>
          <w:color w:val="auto"/>
        </w:rPr>
      </w:pPr>
    </w:p>
    <w:p>
      <w:pPr>
        <w:ind w:left="180" w:right="40" w:firstLine="652"/>
        <w:spacing w:after="0" w:line="308" w:lineRule="auto"/>
        <w:tabs>
          <w:tab w:leader="none" w:pos="1218"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costs associated with, or in anticipation of, or preparation for, compliance with the requirements of the Sarbanes-Oxley Act of 2002 and the rules and regulations promulgated in connection therewith and Public Company Costs, </w:t>
      </w:r>
      <w:r>
        <w:rPr>
          <w:rFonts w:ascii="Arial" w:cs="Arial" w:eastAsia="Arial" w:hAnsi="Arial"/>
          <w:sz w:val="17"/>
          <w:szCs w:val="17"/>
          <w:i w:val="1"/>
          <w:iCs w:val="1"/>
          <w:color w:val="auto"/>
        </w:rPr>
        <w:t>plus</w:t>
      </w:r>
    </w:p>
    <w:p>
      <w:pPr>
        <w:spacing w:after="0" w:line="65" w:lineRule="exact"/>
        <w:rPr>
          <w:rFonts w:ascii="Arial" w:cs="Arial" w:eastAsia="Arial" w:hAnsi="Arial"/>
          <w:sz w:val="17"/>
          <w:szCs w:val="17"/>
          <w:color w:val="auto"/>
        </w:rPr>
      </w:pPr>
    </w:p>
    <w:p>
      <w:pPr>
        <w:ind w:left="180" w:right="260" w:firstLine="652"/>
        <w:spacing w:after="0" w:line="286" w:lineRule="auto"/>
        <w:tabs>
          <w:tab w:leader="none" w:pos="1218"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cash receipts (or any netting arrangements resulting in reduced cash expenses) not included in Consolidated EBITDA in any period solely to the extent that the corresponding non-cash gains relating to such receipts were deducted in the calculation of Consolidated EBITDA pursuant to paragraph (2) below for any previous period and not added back, </w:t>
      </w:r>
      <w:r>
        <w:rPr>
          <w:rFonts w:ascii="Arial" w:cs="Arial" w:eastAsia="Arial" w:hAnsi="Arial"/>
          <w:sz w:val="17"/>
          <w:szCs w:val="17"/>
          <w:i w:val="1"/>
          <w:iCs w:val="1"/>
          <w:color w:val="auto"/>
        </w:rPr>
        <w:t>plus</w:t>
      </w:r>
    </w:p>
    <w:p>
      <w:pPr>
        <w:spacing w:after="0" w:line="84" w:lineRule="exact"/>
        <w:rPr>
          <w:rFonts w:ascii="Arial" w:cs="Arial" w:eastAsia="Arial" w:hAnsi="Arial"/>
          <w:sz w:val="17"/>
          <w:szCs w:val="17"/>
          <w:color w:val="auto"/>
        </w:rPr>
      </w:pPr>
    </w:p>
    <w:p>
      <w:pPr>
        <w:ind w:left="180" w:right="80" w:firstLine="652"/>
        <w:spacing w:after="0" w:line="291" w:lineRule="auto"/>
        <w:tabs>
          <w:tab w:leader="none" w:pos="1218"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to the extent not already included in the Consolidated Net Income, (1) any expenses and charges that are reimbursed by indemnification or other similar provisions in connection with any investment or any sale, conveyance, transfer, or other Asset Sale of assets permitted hereunder and (2) to the extent covered by insurance and actually reimbursed, or, so long as the Borrower has made a determination that there exists reasonable evidence that such amount will in fact be reimbursed by the insurer and only to the extent that such amount is (A) not denied by the applicable carrier in writing within 180 days and (B) in fact reimbursed within 365 days of the date of the determination by Borrower that there exists such evidence (with a deduction for any amount so added back to the extent not so reimbursed within such 365 days), expenses with respect to liability or casualty events or business interruption, </w:t>
      </w:r>
      <w:r>
        <w:rPr>
          <w:rFonts w:ascii="Arial" w:cs="Arial" w:eastAsia="Arial" w:hAnsi="Arial"/>
          <w:sz w:val="16"/>
          <w:szCs w:val="16"/>
          <w:i w:val="1"/>
          <w:iCs w:val="1"/>
          <w:color w:val="auto"/>
        </w:rPr>
        <w:t>plus</w:t>
      </w:r>
    </w:p>
    <w:p>
      <w:pPr>
        <w:spacing w:after="0" w:line="85" w:lineRule="exact"/>
        <w:rPr>
          <w:rFonts w:ascii="Arial" w:cs="Arial" w:eastAsia="Arial" w:hAnsi="Arial"/>
          <w:sz w:val="16"/>
          <w:szCs w:val="16"/>
          <w:color w:val="auto"/>
        </w:rPr>
      </w:pPr>
    </w:p>
    <w:p>
      <w:pPr>
        <w:ind w:left="180" w:firstLine="652"/>
        <w:spacing w:after="0" w:line="271" w:lineRule="auto"/>
        <w:tabs>
          <w:tab w:leader="none" w:pos="1218"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for any Test Period, the aggregate amount of “run-rate” Consolidated Net Income projected by the Borrower in good faith to be attributable to New Contracts entered into during such Test Period (or following such Test Period but prior to the date for the delivery of the financial statements for such Test Period pursuant to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(which amount shall be calculated on a Pro Forma Basis as though the full annual amount of such Consolidated Net Income attributable to such New Contracts had been realized during such Test Period (without duplication of any amounts attributable to such New Contracts already received in such Test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increase to Consolidated EBITDA for any period pursuant to this clause (q), clause (i) above, clause (r) below and the definition of “Pro Forma Adjustment” shall not exceed 25% of Consolidated EBITDA for such period (after giving effect to any increase in Consolidated EBITDA pursuant to such provision), </w:t>
      </w:r>
      <w:r>
        <w:rPr>
          <w:rFonts w:ascii="Arial" w:cs="Arial" w:eastAsia="Arial" w:hAnsi="Arial"/>
          <w:sz w:val="17"/>
          <w:szCs w:val="17"/>
          <w:i w:val="1"/>
          <w:iCs w:val="1"/>
          <w:color w:val="auto"/>
        </w:rPr>
        <w:t>plus</w:t>
      </w:r>
    </w:p>
    <w:p>
      <w:pPr>
        <w:spacing w:after="0" w:line="97" w:lineRule="exact"/>
        <w:rPr>
          <w:rFonts w:ascii="Arial" w:cs="Arial" w:eastAsia="Arial" w:hAnsi="Arial"/>
          <w:sz w:val="17"/>
          <w:szCs w:val="17"/>
          <w:color w:val="auto"/>
        </w:rPr>
      </w:pPr>
    </w:p>
    <w:p>
      <w:pPr>
        <w:ind w:left="180" w:right="160" w:firstLine="652"/>
        <w:spacing w:after="0" w:line="259" w:lineRule="auto"/>
        <w:tabs>
          <w:tab w:leader="none" w:pos="1188"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New Store Consolidated EBITDA Adjustments;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increase to Consolidated EBITDA for any period pursuant to this clause (r), clause (i) above, clause (q) above and the definition of “Pro Forma Adjustment” shall not exceed 25% of Consolidated EBITDA for such period (after giving effect to any increase in Consolidated EBITDA pursuant to any such provision), </w:t>
      </w:r>
      <w:r>
        <w:rPr>
          <w:rFonts w:ascii="Arial" w:cs="Arial" w:eastAsia="Arial" w:hAnsi="Arial"/>
          <w:sz w:val="18"/>
          <w:szCs w:val="18"/>
          <w:i w:val="1"/>
          <w:iCs w:val="1"/>
          <w:color w:val="auto"/>
        </w:rPr>
        <w:t>plus</w:t>
      </w:r>
    </w:p>
    <w:p>
      <w:pPr>
        <w:spacing w:after="0" w:line="105" w:lineRule="exact"/>
        <w:rPr>
          <w:rFonts w:ascii="Arial" w:cs="Arial" w:eastAsia="Arial" w:hAnsi="Arial"/>
          <w:sz w:val="18"/>
          <w:szCs w:val="18"/>
          <w:color w:val="auto"/>
        </w:rPr>
      </w:pPr>
    </w:p>
    <w:p>
      <w:pPr>
        <w:ind w:left="1200" w:hanging="368"/>
        <w:spacing w:after="0"/>
        <w:tabs>
          <w:tab w:leader="none" w:pos="12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pre-opening costs and expenses incurred during the Test Period for Stores or facilities opened during or after the Test</w:t>
      </w:r>
    </w:p>
    <w:p>
      <w:pPr>
        <w:spacing w:after="0" w:line="34" w:lineRule="exact"/>
        <w:rPr>
          <w:rFonts w:ascii="Arial" w:cs="Arial" w:eastAsia="Arial" w:hAnsi="Arial"/>
          <w:sz w:val="17"/>
          <w:szCs w:val="17"/>
          <w:color w:val="auto"/>
        </w:rPr>
      </w:pPr>
    </w:p>
    <w:p>
      <w:pPr>
        <w:ind w:left="180"/>
        <w:spacing w:after="0"/>
        <w:rPr>
          <w:rFonts w:ascii="Arial" w:cs="Arial" w:eastAsia="Arial" w:hAnsi="Arial"/>
          <w:sz w:val="17"/>
          <w:szCs w:val="17"/>
          <w:color w:val="auto"/>
        </w:rPr>
      </w:pPr>
      <w:r>
        <w:rPr>
          <w:rFonts w:ascii="Arial" w:cs="Arial" w:eastAsia="Arial" w:hAnsi="Arial"/>
          <w:sz w:val="18"/>
          <w:szCs w:val="18"/>
          <w:color w:val="auto"/>
        </w:rPr>
        <w:t xml:space="preserve">Period, </w:t>
      </w:r>
      <w:r>
        <w:rPr>
          <w:rFonts w:ascii="Arial" w:cs="Arial" w:eastAsia="Arial" w:hAnsi="Arial"/>
          <w:sz w:val="18"/>
          <w:szCs w:val="18"/>
          <w:i w:val="1"/>
          <w:iCs w:val="1"/>
          <w:color w:val="auto"/>
        </w:rPr>
        <w:t>plus</w:t>
      </w:r>
    </w:p>
    <w:p>
      <w:pPr>
        <w:spacing w:after="0" w:line="129" w:lineRule="exact"/>
        <w:rPr>
          <w:rFonts w:ascii="Arial" w:cs="Arial" w:eastAsia="Arial" w:hAnsi="Arial"/>
          <w:sz w:val="17"/>
          <w:szCs w:val="17"/>
          <w:color w:val="auto"/>
        </w:rPr>
      </w:pPr>
    </w:p>
    <w:p>
      <w:pPr>
        <w:ind w:left="1180" w:hanging="348"/>
        <w:spacing w:after="0"/>
        <w:tabs>
          <w:tab w:leader="none" w:pos="1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charges, expenses, and other items described in the Lender Presentation,</w:t>
      </w:r>
    </w:p>
    <w:p>
      <w:pPr>
        <w:spacing w:after="0" w:line="200" w:lineRule="exact"/>
        <w:rPr>
          <w:sz w:val="20"/>
          <w:szCs w:val="20"/>
          <w:color w:val="auto"/>
        </w:rPr>
      </w:pPr>
    </w:p>
    <w:p>
      <w:pPr>
        <w:spacing w:after="0" w:line="37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120"/>
          </w:cols>
          <w:pgMar w:left="1440" w:top="341" w:right="339" w:bottom="1440" w:gutter="0" w:footer="0" w:header="0"/>
        </w:sectPr>
      </w:pPr>
    </w:p>
    <w:bookmarkStart w:id="95" w:name="page96"/>
    <w:bookmarkEnd w:id="95"/>
    <w:p>
      <w:pPr>
        <w:ind w:left="1940" w:hanging="405"/>
        <w:spacing w:after="0"/>
        <w:tabs>
          <w:tab w:leader="none" w:pos="19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decreased by (without duplication):</w:t>
      </w:r>
    </w:p>
    <w:p>
      <w:pPr>
        <w:spacing w:after="0" w:line="225" w:lineRule="exact"/>
        <w:rPr>
          <w:rFonts w:ascii="Arial" w:cs="Arial" w:eastAsia="Arial" w:hAnsi="Arial"/>
          <w:sz w:val="18"/>
          <w:szCs w:val="18"/>
          <w:color w:val="auto"/>
        </w:rPr>
      </w:pPr>
    </w:p>
    <w:p>
      <w:pPr>
        <w:ind w:left="640" w:right="20" w:firstLine="652"/>
        <w:spacing w:after="0" w:line="272" w:lineRule="auto"/>
        <w:tabs>
          <w:tab w:leader="none" w:pos="1668"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non-cash gains increasing Consolidated Net Income of such Person for such period, excluding any non-cash gains which represent the reversal of any accrual of, or cash reserve for, anticipated cash charges that reduced Consolidated EBITDA in any prior period other than non-cash gains relating to the application of Financial Accounting Standards Codification Topic 840— </w:t>
      </w:r>
      <w:r>
        <w:rPr>
          <w:rFonts w:ascii="Arial" w:cs="Arial" w:eastAsia="Arial" w:hAnsi="Arial"/>
          <w:sz w:val="17"/>
          <w:szCs w:val="17"/>
          <w:i w:val="1"/>
          <w:iCs w:val="1"/>
          <w:color w:val="auto"/>
        </w:rPr>
        <w:t>Leases</w:t>
      </w:r>
      <w:r>
        <w:rPr>
          <w:rFonts w:ascii="Arial" w:cs="Arial" w:eastAsia="Arial" w:hAnsi="Arial"/>
          <w:sz w:val="17"/>
          <w:szCs w:val="17"/>
          <w:color w:val="auto"/>
        </w:rPr>
        <w:t xml:space="preserve"> (formerly Financial Accounting Standards Board Statement No. 13);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non cash gains are deducted pursuant to this </w:t>
      </w:r>
      <w:r>
        <w:rPr>
          <w:rFonts w:ascii="Arial" w:cs="Arial" w:eastAsia="Arial" w:hAnsi="Arial"/>
          <w:sz w:val="17"/>
          <w:szCs w:val="17"/>
          <w:u w:val="single" w:color="auto"/>
          <w:color w:val="auto"/>
        </w:rPr>
        <w:t>clause (ii)(a)</w:t>
      </w:r>
      <w:r>
        <w:rPr>
          <w:rFonts w:ascii="Arial" w:cs="Arial" w:eastAsia="Arial" w:hAnsi="Arial"/>
          <w:sz w:val="17"/>
          <w:szCs w:val="17"/>
          <w:color w:val="auto"/>
        </w:rPr>
        <w:t xml:space="preserve"> for any previous period and not otherwise added back to Consolidated EBITDA, Consolidated EBITDA shall be increased by the amount of any cash receipts (or any netting arrangements resulting in reduced cash expenses) in respect of such non cash gains received in subsequent periods to the extent not already included therein, </w:t>
      </w:r>
      <w:r>
        <w:rPr>
          <w:rFonts w:ascii="Arial" w:cs="Arial" w:eastAsia="Arial" w:hAnsi="Arial"/>
          <w:sz w:val="17"/>
          <w:szCs w:val="17"/>
          <w:i w:val="1"/>
          <w:iCs w:val="1"/>
          <w:color w:val="auto"/>
        </w:rPr>
        <w:t>plus</w:t>
      </w:r>
    </w:p>
    <w:p>
      <w:pPr>
        <w:spacing w:after="0" w:line="177" w:lineRule="exact"/>
        <w:rPr>
          <w:rFonts w:ascii="Arial" w:cs="Arial" w:eastAsia="Arial" w:hAnsi="Arial"/>
          <w:sz w:val="17"/>
          <w:szCs w:val="17"/>
          <w:color w:val="auto"/>
        </w:rPr>
      </w:pPr>
    </w:p>
    <w:p>
      <w:pPr>
        <w:ind w:left="640" w:right="80" w:firstLine="652"/>
        <w:spacing w:after="0" w:line="257" w:lineRule="auto"/>
        <w:tabs>
          <w:tab w:leader="none" w:pos="1678"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for any Test Period, the aggregate amount of “run-rate” Consolidated Net Income attributable to Terminated Contracts that have terminated or expired during such Test Period (or following such Test Period but prior to the date for delivery of the financial statements for such Test Period pursuant to </w:t>
      </w:r>
      <w:r>
        <w:rPr>
          <w:rFonts w:ascii="Arial" w:cs="Arial" w:eastAsia="Arial" w:hAnsi="Arial"/>
          <w:sz w:val="18"/>
          <w:szCs w:val="18"/>
          <w:u w:val="single" w:color="auto"/>
          <w:color w:val="auto"/>
        </w:rPr>
        <w:t>Section 9.1(a)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(which amount shall be calculated on a Pro Forma Basis so as to eliminate the full annual amount of such Consolidated Net Income attributable to such Terminated Contracts during such Test Period), </w:t>
      </w:r>
      <w:r>
        <w:rPr>
          <w:rFonts w:ascii="Arial" w:cs="Arial" w:eastAsia="Arial" w:hAnsi="Arial"/>
          <w:sz w:val="18"/>
          <w:szCs w:val="18"/>
          <w:i w:val="1"/>
          <w:iCs w:val="1"/>
          <w:color w:val="auto"/>
        </w:rPr>
        <w:t>plus</w:t>
      </w:r>
    </w:p>
    <w:p>
      <w:pPr>
        <w:spacing w:after="0" w:line="187" w:lineRule="exact"/>
        <w:rPr>
          <w:rFonts w:ascii="Arial" w:cs="Arial" w:eastAsia="Arial" w:hAnsi="Arial"/>
          <w:sz w:val="18"/>
          <w:szCs w:val="18"/>
          <w:color w:val="auto"/>
        </w:rPr>
      </w:pPr>
    </w:p>
    <w:p>
      <w:pPr>
        <w:ind w:left="1980" w:hanging="445"/>
        <w:spacing w:after="0"/>
        <w:tabs>
          <w:tab w:leader="none" w:pos="19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increased or decreased by (without duplication):</w:t>
      </w:r>
    </w:p>
    <w:p>
      <w:pPr>
        <w:spacing w:after="0" w:line="225" w:lineRule="exact"/>
        <w:rPr>
          <w:sz w:val="20"/>
          <w:szCs w:val="20"/>
          <w:color w:val="auto"/>
        </w:rPr>
      </w:pPr>
    </w:p>
    <w:p>
      <w:pPr>
        <w:ind w:left="640" w:right="120" w:firstLine="652"/>
        <w:spacing w:after="0" w:line="277" w:lineRule="auto"/>
        <w:tabs>
          <w:tab w:leader="none" w:pos="1668"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net gain or loss resulting in such period from currency gains or losses related to Indebtedness, intercompany balances, and other balance sheet items, plus or minus, as the case may be, and</w:t>
      </w:r>
    </w:p>
    <w:p>
      <w:pPr>
        <w:spacing w:after="0" w:line="170" w:lineRule="exact"/>
        <w:rPr>
          <w:rFonts w:ascii="Arial" w:cs="Arial" w:eastAsia="Arial" w:hAnsi="Arial"/>
          <w:sz w:val="18"/>
          <w:szCs w:val="18"/>
          <w:color w:val="auto"/>
        </w:rPr>
      </w:pPr>
    </w:p>
    <w:p>
      <w:pPr>
        <w:ind w:left="640" w:firstLine="652"/>
        <w:spacing w:after="0" w:line="259" w:lineRule="auto"/>
        <w:tabs>
          <w:tab w:leader="none" w:pos="1678"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net gain or loss resulting in such period from Hedging Obligations, and the application of Financial Accounting Standards Codification Topic 815—Derivatives and Hedging (ASC 815) (formerly Financing Accounting Standards Board Statement No. 133), and its related pronouncements and interpretations, or the equivalent accounting standard under GAAP or an alternative basis of accounting applied in lieu of GAAP.</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the avoidance of doubt:</w:t>
      </w:r>
    </w:p>
    <w:p>
      <w:pPr>
        <w:spacing w:after="0" w:line="225" w:lineRule="exact"/>
        <w:rPr>
          <w:sz w:val="20"/>
          <w:szCs w:val="20"/>
          <w:color w:val="auto"/>
        </w:rPr>
      </w:pPr>
    </w:p>
    <w:p>
      <w:pPr>
        <w:ind w:right="280" w:firstLine="1535"/>
        <w:spacing w:after="0" w:line="263" w:lineRule="auto"/>
        <w:tabs>
          <w:tab w:leader="none" w:pos="1889"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the extent included in Consolidated Net Income, there shall be excluded in determining Consolidated EBITDA for any period any adjustments resulting from the application of ASC 815 and its related pronouncements and interpretations, or the equivalent accounting standard under GAAP or an alternative basis of accounting applied in lieu of GAAP,</w:t>
      </w:r>
    </w:p>
    <w:p>
      <w:pPr>
        <w:spacing w:after="0" w:line="183" w:lineRule="exact"/>
        <w:rPr>
          <w:rFonts w:ascii="Arial" w:cs="Arial" w:eastAsia="Arial" w:hAnsi="Arial"/>
          <w:sz w:val="18"/>
          <w:szCs w:val="18"/>
          <w:color w:val="auto"/>
        </w:rPr>
      </w:pPr>
    </w:p>
    <w:p>
      <w:pPr>
        <w:ind w:right="60" w:firstLine="1535"/>
        <w:spacing w:after="0" w:line="269" w:lineRule="auto"/>
        <w:tabs>
          <w:tab w:leader="none" w:pos="1939"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there shall be included in determining Consolidated EBITDA for any period, without duplication, (1) the Acquired EBITDA of any Person or business, or attributable to any property or asset acquired by Holdings or any Restricted Subsidiary during such period (but not the Acquired EBITDA of any related Person or business or any Acquired EBITDA attributable to any assets or property, in each case to the extent not so acquired) to the extent not subsequently sold, transferred, abandoned, or otherwise disposed by Holdings or such Restricted Subsidiary during such period (each such Person, business, property, or asset acquired and not subsequently so disposed of, an “</w:t>
      </w:r>
      <w:r>
        <w:rPr>
          <w:rFonts w:ascii="Arial" w:cs="Arial" w:eastAsia="Arial" w:hAnsi="Arial"/>
          <w:sz w:val="17"/>
          <w:szCs w:val="17"/>
          <w:b w:val="1"/>
          <w:bCs w:val="1"/>
          <w:color w:val="auto"/>
        </w:rPr>
        <w:t>Acquired Entity</w:t>
      </w:r>
      <w:r>
        <w:rPr>
          <w:rFonts w:ascii="Arial" w:cs="Arial" w:eastAsia="Arial" w:hAnsi="Arial"/>
          <w:sz w:val="17"/>
          <w:szCs w:val="17"/>
          <w:color w:val="auto"/>
        </w:rPr>
        <w:t xml:space="preserve"> </w:t>
      </w:r>
      <w:r>
        <w:rPr>
          <w:rFonts w:ascii="Arial" w:cs="Arial" w:eastAsia="Arial" w:hAnsi="Arial"/>
          <w:sz w:val="17"/>
          <w:szCs w:val="17"/>
          <w:b w:val="1"/>
          <w:bCs w:val="1"/>
          <w:color w:val="auto"/>
        </w:rPr>
        <w:t>or Business</w:t>
      </w:r>
      <w:r>
        <w:rPr>
          <w:rFonts w:ascii="Arial" w:cs="Arial" w:eastAsia="Arial" w:hAnsi="Arial"/>
          <w:sz w:val="17"/>
          <w:szCs w:val="17"/>
          <w:color w:val="auto"/>
        </w:rPr>
        <w:t>”) and the Acquired EBITDA of any Unrestricted Subsidiary that is converted into a Restricted Subsidiary during such period (each, a</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Converted Restricted Subsidiary</w:t>
      </w:r>
      <w:r>
        <w:rPr>
          <w:rFonts w:ascii="Arial" w:cs="Arial" w:eastAsia="Arial" w:hAnsi="Arial"/>
          <w:sz w:val="17"/>
          <w:szCs w:val="17"/>
          <w:color w:val="auto"/>
        </w:rPr>
        <w:t>”), based on the actual Acquired EBITDA of such Acquired Entity or Business or Converted Restricted Subsidiary for such period (including the portion thereof occurring prior to such acquisition or conversion) and (2) an adjustment in respect of each Acquired Entity or Business equal to the amount of the Pro Forma Adjustment with respect to such Acquired Entity or Business for such period (including the portion thereof occurring prior to such acquisition); 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80"/>
          </w:cols>
          <w:pgMar w:left="980" w:top="341" w:right="339" w:bottom="1440" w:gutter="0" w:footer="0" w:header="0"/>
        </w:sectPr>
      </w:pPr>
    </w:p>
    <w:bookmarkStart w:id="96" w:name="page97"/>
    <w:bookmarkEnd w:id="96"/>
    <w:p>
      <w:pPr>
        <w:ind w:left="660" w:right="20" w:firstLine="1535"/>
        <w:spacing w:after="0" w:line="289" w:lineRule="auto"/>
        <w:tabs>
          <w:tab w:leader="none" w:pos="2649" w:val="left"/>
        </w:tabs>
        <w:numPr>
          <w:ilvl w:val="0"/>
          <w:numId w:val="54"/>
        </w:numPr>
        <w:rPr>
          <w:rFonts w:ascii="Arial" w:cs="Arial" w:eastAsia="Arial" w:hAnsi="Arial"/>
          <w:sz w:val="16"/>
          <w:szCs w:val="16"/>
          <w:color w:val="auto"/>
        </w:rPr>
      </w:pPr>
      <w:r>
        <w:rPr>
          <w:rFonts w:ascii="Arial" w:cs="Arial" w:eastAsia="Arial" w:hAnsi="Arial"/>
          <w:sz w:val="16"/>
          <w:szCs w:val="16"/>
          <w:color w:val="auto"/>
        </w:rPr>
        <w:t>to the extent included in Consolidated Net Income, there shall be excluded in determining Consolidated EBITDA for any period the Disposed EBITDA of any Person, property, business, or asset sold, transferred, abandoned, or otherwise disposed of, closed or classified as discontinued operations by Holdings or any Restricted Subsidiary during such period (each such Person, property, business, or asset so sold or disposed of, a “</w:t>
      </w:r>
      <w:r>
        <w:rPr>
          <w:rFonts w:ascii="Arial" w:cs="Arial" w:eastAsia="Arial" w:hAnsi="Arial"/>
          <w:sz w:val="16"/>
          <w:szCs w:val="16"/>
          <w:b w:val="1"/>
          <w:bCs w:val="1"/>
          <w:color w:val="auto"/>
        </w:rPr>
        <w:t>Sold Entity or Business</w:t>
      </w:r>
      <w:r>
        <w:rPr>
          <w:rFonts w:ascii="Arial" w:cs="Arial" w:eastAsia="Arial" w:hAnsi="Arial"/>
          <w:sz w:val="16"/>
          <w:szCs w:val="16"/>
          <w:color w:val="auto"/>
        </w:rPr>
        <w:t>”), and the Disposed EBITDA of any Restricted Subsidiary that is converted into an Unrestricted Subsidiary during such period (each, a “</w:t>
      </w:r>
      <w:r>
        <w:rPr>
          <w:rFonts w:ascii="Arial" w:cs="Arial" w:eastAsia="Arial" w:hAnsi="Arial"/>
          <w:sz w:val="16"/>
          <w:szCs w:val="16"/>
          <w:b w:val="1"/>
          <w:bCs w:val="1"/>
          <w:color w:val="auto"/>
        </w:rPr>
        <w:t>Converted Unrestricted Subsidiary</w:t>
      </w:r>
      <w:r>
        <w:rPr>
          <w:rFonts w:ascii="Arial" w:cs="Arial" w:eastAsia="Arial" w:hAnsi="Arial"/>
          <w:sz w:val="16"/>
          <w:szCs w:val="16"/>
          <w:color w:val="auto"/>
        </w:rPr>
        <w:t xml:space="preserve">”) based on the actual Disposed EBITDA of such Sold Entity or Business or Converted Unrestricted Subsidiary for such period (including the portion thereof occurring prior to such sale, transfer, or disposition or conversion);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notwithstanding any classification under GAAP of any Person or business in respect of which a definitive agreement for the disposition thereof has been entered into as discontinued operations, the Disposed EBITDA of such Person or business shall not be excluded pursuant to this paragraph until such disposition shall have been consummated.</w:t>
      </w:r>
    </w:p>
    <w:p>
      <w:pPr>
        <w:spacing w:after="0" w:line="162"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First Lien Secured Debt</w:t>
      </w:r>
      <w:r>
        <w:rPr>
          <w:rFonts w:ascii="Arial" w:cs="Arial" w:eastAsia="Arial" w:hAnsi="Arial"/>
          <w:sz w:val="18"/>
          <w:szCs w:val="18"/>
          <w:color w:val="auto"/>
        </w:rPr>
        <w:t>” shall mean Consolidated Total Debt as of such date consisting of the Obligations and Indebtedness secured by a Lien on the Collateral on an equal priority basis (but without regard to the control of remedies) with liens on any of the Collateral securing the Obligations, pursuant to a First Lien Intercreditor Agreement.</w:t>
      </w:r>
    </w:p>
    <w:p>
      <w:pPr>
        <w:spacing w:after="0" w:line="12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First Lien Secured Debt to Consolidated EBITDA Ratio</w:t>
      </w:r>
      <w:r>
        <w:rPr>
          <w:rFonts w:ascii="Arial" w:cs="Arial" w:eastAsia="Arial" w:hAnsi="Arial"/>
          <w:sz w:val="17"/>
          <w:szCs w:val="17"/>
          <w:color w:val="auto"/>
        </w:rPr>
        <w:t xml:space="preserve">” shall mean, as of any date of determination, the ratio of (i) Consolidated First Lien Secured Debt as of such date of determination, </w:t>
      </w:r>
      <w:r>
        <w:rPr>
          <w:rFonts w:ascii="Arial" w:cs="Arial" w:eastAsia="Arial" w:hAnsi="Arial"/>
          <w:sz w:val="17"/>
          <w:szCs w:val="17"/>
          <w:i w:val="1"/>
          <w:iCs w:val="1"/>
          <w:color w:val="auto"/>
        </w:rPr>
        <w:t>minus</w:t>
      </w:r>
      <w:r>
        <w:rPr>
          <w:rFonts w:ascii="Arial" w:cs="Arial" w:eastAsia="Arial" w:hAnsi="Arial"/>
          <w:sz w:val="17"/>
          <w:szCs w:val="17"/>
          <w:color w:val="auto"/>
        </w:rPr>
        <w:t xml:space="preserve"> cash and cash equivalents (in each case, free and clear of all Liens other than Permitted Liens and with “cash and cash equivalents” determined in accordance with GAAP) of Holdings and the Restricted Subsidiaries (other than the proceeds of any Indebtedness being incurred and giving rise to the need to calculate the Consolidated First Lien Secured Debt to Consolidated EBITDA Ratio) to (ii) Consolidated EBITDA of Holdings for the Test Period then last ended</w:t>
      </w:r>
      <w:r>
        <w:rPr>
          <w:rFonts w:ascii="Arial" w:cs="Arial" w:eastAsia="Arial" w:hAnsi="Arial"/>
          <w:sz w:val="17"/>
          <w:szCs w:val="17"/>
          <w:color w:val="FF0000"/>
          <w:strike w:val="1"/>
        </w:rPr>
        <w:t>, in each case with such pro forma adjustments to</w:t>
      </w:r>
      <w:r>
        <w:rPr>
          <w:rFonts w:ascii="Arial" w:cs="Arial" w:eastAsia="Arial" w:hAnsi="Arial"/>
          <w:sz w:val="17"/>
          <w:szCs w:val="17"/>
          <w:u w:val="single" w:color="auto"/>
          <w:color w:val="0000FF"/>
        </w:rPr>
        <w:t>. In the event that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 xml:space="preserve">Holdings or any Restricted Subsidiary incurs, assumes, guarantees, redeems, retires, or extinguishes any Indebtedness or issues or redeems Disqualified Stock or preferred stock subsequent to the commencement of the Test Period but prior to or simultaneously with the date of determination, then the </w:t>
      </w:r>
      <w:r>
        <w:rPr>
          <w:rFonts w:ascii="Arial" w:cs="Arial" w:eastAsia="Arial" w:hAnsi="Arial"/>
          <w:sz w:val="17"/>
          <w:szCs w:val="17"/>
          <w:color w:val="000000"/>
        </w:rPr>
        <w:t xml:space="preserve">Consolidated First Lien Secured Debt </w:t>
      </w:r>
      <w:r>
        <w:rPr>
          <w:rFonts w:ascii="Arial" w:cs="Arial" w:eastAsia="Arial" w:hAnsi="Arial"/>
          <w:sz w:val="17"/>
          <w:szCs w:val="17"/>
          <w:color w:val="FF0000"/>
          <w:strike w:val="1"/>
        </w:rPr>
        <w:t>and Consolidated EBITDA as are appropriate and consistent with the pro forma adjustment provisions set forth in the</w:t>
      </w:r>
      <w:r>
        <w:rPr>
          <w:rFonts w:ascii="Arial" w:cs="Arial" w:eastAsia="Arial" w:hAnsi="Arial"/>
          <w:sz w:val="17"/>
          <w:szCs w:val="17"/>
          <w:color w:val="000000"/>
        </w:rPr>
        <w:t xml:space="preserve"> </w:t>
      </w:r>
      <w:r>
        <w:rPr>
          <w:rFonts w:ascii="Arial" w:cs="Arial" w:eastAsia="Arial" w:hAnsi="Arial"/>
          <w:sz w:val="17"/>
          <w:szCs w:val="17"/>
          <w:color w:val="FF0000"/>
          <w:strike w:val="1"/>
        </w:rPr>
        <w:t>definition of “Fixed Charge Coverage Ratio”</w:t>
      </w:r>
      <w:r>
        <w:rPr>
          <w:rFonts w:ascii="Arial" w:cs="Arial" w:eastAsia="Arial" w:hAnsi="Arial"/>
          <w:sz w:val="17"/>
          <w:szCs w:val="17"/>
          <w:u w:val="single" w:color="auto"/>
          <w:color w:val="0000FF"/>
          <w:strike w:val="1"/>
        </w:rPr>
        <w:t>to Consolidated EBITDA Ratio shall be calculated giving Pro Forma Effect to such incurrence, assumption,</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guarantee, redemption, retirement, or extinguishment of Indebtedness, or such issuance or redemption of Disqualified Stock or preferred stock (in each case, including a pro forma application of the net proceeds therefrom), as if the same had occurred at the beginning of the Test Period; provided, however, that Pro Forma Effect shall not give effect to any Indebtedness incurred on the date of such determination (except pursuant to the first paragraph of Section 10.1 and Section 10.1(n))</w:t>
      </w:r>
      <w:r>
        <w:rPr>
          <w:rFonts w:ascii="Arial" w:cs="Arial" w:eastAsia="Arial" w:hAnsi="Arial"/>
          <w:sz w:val="17"/>
          <w:szCs w:val="17"/>
          <w:color w:val="000000"/>
          <w:strike w:val="1"/>
        </w:rPr>
        <w:t>.</w:t>
      </w:r>
    </w:p>
    <w:p>
      <w:pPr>
        <w:spacing w:after="0" w:line="122"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Interest Coverage Ratio</w:t>
      </w:r>
      <w:r>
        <w:rPr>
          <w:rFonts w:ascii="Arial" w:cs="Arial" w:eastAsia="Arial" w:hAnsi="Arial"/>
          <w:sz w:val="18"/>
          <w:szCs w:val="18"/>
          <w:color w:val="auto"/>
        </w:rPr>
        <w:t>” shall mean, as of any date of determination, the ratio of (i) Consolidated EBITDA of Holdings for the Test Period then last ended to (ii) Consolidated Interest Expense of Holdings for such Test Period</w:t>
      </w:r>
      <w:r>
        <w:rPr>
          <w:rFonts w:ascii="Arial" w:cs="Arial" w:eastAsia="Arial" w:hAnsi="Arial"/>
          <w:sz w:val="18"/>
          <w:szCs w:val="18"/>
          <w:color w:val="FF0000"/>
          <w:strike w:val="1"/>
        </w:rPr>
        <w:t>, in each case with such pro forma adjustments to</w:t>
      </w:r>
      <w:r>
        <w:rPr>
          <w:rFonts w:ascii="Arial" w:cs="Arial" w:eastAsia="Arial" w:hAnsi="Arial"/>
          <w:sz w:val="18"/>
          <w:szCs w:val="18"/>
          <w:color w:val="auto"/>
        </w:rPr>
        <w:t xml:space="preserve"> </w:t>
      </w:r>
      <w:r>
        <w:rPr>
          <w:rFonts w:ascii="Arial" w:cs="Arial" w:eastAsia="Arial" w:hAnsi="Arial"/>
          <w:sz w:val="18"/>
          <w:szCs w:val="18"/>
          <w:color w:val="FF0000"/>
          <w:strike w:val="1"/>
        </w:rPr>
        <w:t>Consolidated EBITDA and Consolidated Interest Expense as are appropriate and consistent with the pro forma adjustment provisions set forth in the definition of “Fixed Charge Coverage Ratio”</w:t>
      </w:r>
      <w:r>
        <w:rPr>
          <w:rFonts w:ascii="Arial" w:cs="Arial" w:eastAsia="Arial" w:hAnsi="Arial"/>
          <w:sz w:val="18"/>
          <w:szCs w:val="18"/>
          <w:color w:val="000000"/>
          <w:strike w:val="1"/>
        </w:rPr>
        <w: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Interest Expense</w:t>
      </w:r>
      <w:r>
        <w:rPr>
          <w:rFonts w:ascii="Arial" w:cs="Arial" w:eastAsia="Arial" w:hAnsi="Arial"/>
          <w:sz w:val="18"/>
          <w:szCs w:val="18"/>
          <w:color w:val="auto"/>
        </w:rPr>
        <w:t>” shall mean, with respect to any Person for any period, the sum, without duplication, of:</w:t>
      </w:r>
    </w:p>
    <w:p>
      <w:pPr>
        <w:spacing w:after="0" w:line="175" w:lineRule="exact"/>
        <w:rPr>
          <w:sz w:val="20"/>
          <w:szCs w:val="20"/>
          <w:color w:val="auto"/>
        </w:rPr>
      </w:pPr>
    </w:p>
    <w:p>
      <w:pPr>
        <w:ind w:left="660" w:right="140" w:firstLine="1535"/>
        <w:spacing w:after="0" w:line="271" w:lineRule="auto"/>
        <w:tabs>
          <w:tab w:leader="none" w:pos="2549" w:val="left"/>
        </w:tabs>
        <w:numPr>
          <w:ilvl w:val="0"/>
          <w:numId w:val="55"/>
        </w:numPr>
        <w:rPr>
          <w:rFonts w:ascii="Arial" w:cs="Arial" w:eastAsia="Arial" w:hAnsi="Arial"/>
          <w:sz w:val="17"/>
          <w:szCs w:val="17"/>
          <w:color w:val="auto"/>
        </w:rPr>
      </w:pPr>
      <w:r>
        <w:rPr>
          <w:rFonts w:ascii="Arial" w:cs="Arial" w:eastAsia="Arial" w:hAnsi="Arial"/>
          <w:sz w:val="17"/>
          <w:szCs w:val="17"/>
          <w:color w:val="auto"/>
        </w:rPr>
        <w:t>consolidated cash interest expense of such Person and its Restricted Subsidiaries for such period, to the extent such expense was deducted (and not added back) in computing Consolidated Net Income (including (a) all commissions, discounts, and other fees and charges owed with respect to letters of credit or bankers acceptances, (b) capitalized interest to the extent paid in cash, and (c) net payments, if any, pursuant to interest rate Hedging Obligations with respect to Indebtedness, and excluding (1) any one-time cash costs associated with breakage in respect of hedging agreements for interest rates, (2) all non-recurring cash interest expense consisting of liquidated damages for failure to timely comply with registration rights obligations, all as calculated on a consolidated basis in accordance with GAAP, (3) any “additional interest” owing pursuant to a registration rights agreement, (4) non-cash interest expense attributable to a parent entity resulting from push-down accounting, but solely to the extent not reducing</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341" w:right="339" w:bottom="1440" w:gutter="0" w:footer="0" w:header="0"/>
        </w:sectPr>
      </w:pPr>
    </w:p>
    <w:bookmarkStart w:id="97" w:name="page98"/>
    <w:bookmarkEnd w:id="97"/>
    <w:p>
      <w:pPr>
        <w:ind w:left="660" w:right="40"/>
        <w:spacing w:after="0" w:line="286" w:lineRule="auto"/>
        <w:rPr>
          <w:sz w:val="20"/>
          <w:szCs w:val="20"/>
          <w:color w:val="auto"/>
        </w:rPr>
      </w:pPr>
      <w:r>
        <w:rPr>
          <w:rFonts w:ascii="Arial" w:cs="Arial" w:eastAsia="Arial" w:hAnsi="Arial"/>
          <w:sz w:val="17"/>
          <w:szCs w:val="17"/>
          <w:color w:val="auto"/>
        </w:rPr>
        <w:t>consolidated cash interest expense in any prior period, (5) any non-cash expensing of bridge, commitment, and other financing fees that have been previously paid in cash, but solely to the extent not reducing consolidated cash interest expense in any prior period, and (6) commissions, discounts, yield, and other fees and charges (including any interest expense) related to any Receivables Facility); less</w:t>
      </w:r>
    </w:p>
    <w:p>
      <w:pPr>
        <w:spacing w:after="0" w:line="165" w:lineRule="exact"/>
        <w:rPr>
          <w:sz w:val="20"/>
          <w:szCs w:val="20"/>
          <w:color w:val="auto"/>
        </w:rPr>
      </w:pPr>
    </w:p>
    <w:p>
      <w:pPr>
        <w:ind w:left="2600" w:hanging="405"/>
        <w:spacing w:after="0"/>
        <w:tabs>
          <w:tab w:leader="none" w:pos="26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cash interest income for such period.</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For purposes of this definition, interest on a Capitalized Lease Obligation shall be deemed to accrue at an interest rate reasonably determined by such Person to be the rate of interest implicit in such Capitalized Lease Obligation in accordance with GAAP.</w:t>
      </w:r>
    </w:p>
    <w:p>
      <w:pPr>
        <w:spacing w:after="0" w:line="166" w:lineRule="exact"/>
        <w:rPr>
          <w:sz w:val="20"/>
          <w:szCs w:val="20"/>
          <w:color w:val="auto"/>
        </w:rPr>
      </w:pPr>
    </w:p>
    <w:p>
      <w:pPr>
        <w:ind w:right="2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Net Income</w:t>
      </w:r>
      <w:r>
        <w:rPr>
          <w:rFonts w:ascii="Arial" w:cs="Arial" w:eastAsia="Arial" w:hAnsi="Arial"/>
          <w:sz w:val="16"/>
          <w:szCs w:val="16"/>
          <w:color w:val="auto"/>
        </w:rPr>
        <w:t xml:space="preserve">” shall mean, with respect to any Person for any period, the aggregate of the Net Income, of such Person and its Restricted Subsidiaries for such period, on a consolidated basis, and otherwise determined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without duplication,</w:t>
      </w:r>
    </w:p>
    <w:p>
      <w:pPr>
        <w:spacing w:after="0" w:line="120" w:lineRule="exact"/>
        <w:rPr>
          <w:sz w:val="20"/>
          <w:szCs w:val="20"/>
          <w:color w:val="auto"/>
        </w:rPr>
      </w:pPr>
    </w:p>
    <w:p>
      <w:pPr>
        <w:ind w:left="660" w:right="40" w:firstLine="1535"/>
        <w:spacing w:after="0" w:line="275" w:lineRule="auto"/>
        <w:tabs>
          <w:tab w:leader="none" w:pos="2549"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any after-tax effect of extraordinary, non-recurring, or unusual gains or losses (less all fees and expenses relating thereto) or expenses (including relating to the Transactions), severance, relocation costs, curtailments, or modifications to pension and post-retirement employee benefits plans, start-up, transition, integration, and other restructuring and business optimization costs, charges, reserves, or expenses (including related to acquisitions after the Restatement Effective Date and to the start-up, closure, and/or consolidation of facilities), new product introductions, and one-time compensation charges shall be excluded,</w:t>
      </w:r>
    </w:p>
    <w:p>
      <w:pPr>
        <w:spacing w:after="0" w:line="176" w:lineRule="exact"/>
        <w:rPr>
          <w:rFonts w:ascii="Arial" w:cs="Arial" w:eastAsia="Arial" w:hAnsi="Arial"/>
          <w:sz w:val="17"/>
          <w:szCs w:val="17"/>
          <w:color w:val="auto"/>
        </w:rPr>
      </w:pPr>
    </w:p>
    <w:p>
      <w:pPr>
        <w:ind w:left="660" w:right="20" w:firstLine="1535"/>
        <w:spacing w:after="0" w:line="277" w:lineRule="auto"/>
        <w:tabs>
          <w:tab w:leader="none" w:pos="2599"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Net Income for such period shall not include the cumulative effect of a change in accounting principles and changes as a result of the adoption or modification of accounting policies during such period,</w:t>
      </w:r>
    </w:p>
    <w:p>
      <w:pPr>
        <w:spacing w:after="0" w:line="170" w:lineRule="exact"/>
        <w:rPr>
          <w:rFonts w:ascii="Arial" w:cs="Arial" w:eastAsia="Arial" w:hAnsi="Arial"/>
          <w:sz w:val="18"/>
          <w:szCs w:val="18"/>
          <w:color w:val="auto"/>
        </w:rPr>
      </w:pPr>
    </w:p>
    <w:p>
      <w:pPr>
        <w:ind w:left="2640" w:hanging="445"/>
        <w:spacing w:after="0"/>
        <w:tabs>
          <w:tab w:leader="none" w:pos="264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any net after-tax gains or losses on disposal of disposed, abandoned, transferred, closed, or discontinued operations or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Stores shall be excluded,</w:t>
      </w:r>
    </w:p>
    <w:p>
      <w:pPr>
        <w:spacing w:after="0" w:line="210" w:lineRule="exact"/>
        <w:rPr>
          <w:rFonts w:ascii="Arial" w:cs="Arial" w:eastAsia="Arial" w:hAnsi="Arial"/>
          <w:sz w:val="16"/>
          <w:szCs w:val="16"/>
          <w:color w:val="auto"/>
        </w:rPr>
      </w:pPr>
    </w:p>
    <w:p>
      <w:pPr>
        <w:ind w:left="660" w:right="160" w:firstLine="1535"/>
        <w:spacing w:after="0" w:line="342" w:lineRule="auto"/>
        <w:tabs>
          <w:tab w:leader="none" w:pos="2639" w:val="left"/>
        </w:tabs>
        <w:numPr>
          <w:ilvl w:val="0"/>
          <w:numId w:val="57"/>
        </w:numPr>
        <w:rPr>
          <w:rFonts w:ascii="Arial" w:cs="Arial" w:eastAsia="Arial" w:hAnsi="Arial"/>
          <w:sz w:val="16"/>
          <w:szCs w:val="16"/>
          <w:color w:val="auto"/>
        </w:rPr>
      </w:pPr>
      <w:r>
        <w:rPr>
          <w:rFonts w:ascii="Arial" w:cs="Arial" w:eastAsia="Arial" w:hAnsi="Arial"/>
          <w:sz w:val="16"/>
          <w:szCs w:val="16"/>
          <w:color w:val="auto"/>
        </w:rPr>
        <w:t>any after-tax effect of gains or losses (less all fees and expenses relating thereto) attributable to asset dispositions or abandonments other than in the ordinary course of business, as determined in good faith by the board of directors of Holdings, shall be excluded,</w:t>
      </w:r>
    </w:p>
    <w:p>
      <w:pPr>
        <w:spacing w:after="0" w:line="123" w:lineRule="exact"/>
        <w:rPr>
          <w:rFonts w:ascii="Arial" w:cs="Arial" w:eastAsia="Arial" w:hAnsi="Arial"/>
          <w:sz w:val="16"/>
          <w:szCs w:val="16"/>
          <w:color w:val="auto"/>
        </w:rPr>
      </w:pPr>
    </w:p>
    <w:p>
      <w:pPr>
        <w:ind w:left="660" w:right="20" w:firstLine="1535"/>
        <w:spacing w:after="0" w:line="259" w:lineRule="auto"/>
        <w:tabs>
          <w:tab w:leader="none" w:pos="2589"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the Net Income for such period of any Person that is not a Subsidiary, or is an Unrestricted Subsidiary, or that is accounted for by the equity method of accounting, shall be excluded;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Consolidated Net Income of Holdings shall be increased by the amount of dividends or distributions or other payments that are actually paid in cash (or to the extent converted into cash or Cash Equivalents) to the referent Person or a Restricted Subsidiary thereof in respect of such period,</w:t>
      </w:r>
    </w:p>
    <w:p>
      <w:pPr>
        <w:spacing w:after="0" w:line="186" w:lineRule="exact"/>
        <w:rPr>
          <w:rFonts w:ascii="Arial" w:cs="Arial" w:eastAsia="Arial" w:hAnsi="Arial"/>
          <w:sz w:val="18"/>
          <w:szCs w:val="18"/>
          <w:color w:val="auto"/>
        </w:rPr>
      </w:pPr>
    </w:p>
    <w:p>
      <w:pPr>
        <w:ind w:left="2640" w:hanging="445"/>
        <w:spacing w:after="0"/>
        <w:tabs>
          <w:tab w:leader="none" w:pos="26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 xml:space="preserve">solely for the purpose of determining the amount available for Restricted Payments under </w:t>
      </w:r>
      <w:r>
        <w:rPr>
          <w:rFonts w:ascii="Arial" w:cs="Arial" w:eastAsia="Arial" w:hAnsi="Arial"/>
          <w:sz w:val="17"/>
          <w:szCs w:val="17"/>
          <w:u w:val="single" w:color="auto"/>
          <w:color w:val="auto"/>
        </w:rPr>
        <w:t>clause (iii)(A)</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w:t>
      </w:r>
    </w:p>
    <w:p>
      <w:pPr>
        <w:spacing w:after="0" w:line="35" w:lineRule="exact"/>
        <w:rPr>
          <w:sz w:val="20"/>
          <w:szCs w:val="20"/>
          <w:color w:val="auto"/>
        </w:rPr>
      </w:pPr>
    </w:p>
    <w:p>
      <w:pPr>
        <w:ind w:left="660"/>
        <w:spacing w:after="0" w:line="268" w:lineRule="auto"/>
        <w:rPr>
          <w:sz w:val="20"/>
          <w:szCs w:val="20"/>
          <w:color w:val="auto"/>
        </w:rPr>
      </w:pPr>
      <w:r>
        <w:rPr>
          <w:rFonts w:ascii="Arial" w:cs="Arial" w:eastAsia="Arial" w:hAnsi="Arial"/>
          <w:sz w:val="17"/>
          <w:szCs w:val="17"/>
          <w:u w:val="single" w:color="auto"/>
          <w:color w:val="auto"/>
        </w:rPr>
        <w:t>10.5</w:t>
      </w:r>
      <w:r>
        <w:rPr>
          <w:rFonts w:ascii="Arial" w:cs="Arial" w:eastAsia="Arial" w:hAnsi="Arial"/>
          <w:sz w:val="17"/>
          <w:szCs w:val="17"/>
          <w:color w:val="auto"/>
        </w:rPr>
        <w:t xml:space="preserve"> the Net Income for such period of any Restricted Subsidiary (other than any Guarantor) shall be excluded to the extent the declaration or payment of dividends or similar distributions by that Restricted Subsidiary of its Net Income is not at the date of determination permitted without any prior governmental approval (which has not been obtained) or, directly or indirectly, by the operation of the terms of its charter or any agreement, instrument, judgment, decree, order, statute, rule, or governmental regulation applicable to that Restricted Subsidiary or its stockholders, unless such restriction with respect to the payment of dividends or similar distributions (a) has been legally waived, or otherwise released, (b) is imposed pursuant to this Agreement and other Credit Documents, Incremental Loans, or Permitted Other Indebtedness, or (c) arises pursuant to an agreement or instrument if the encumbrances and restrictions contained in any such agreement or instrument taken as a whole are not materially less favorable to the Secured Parties than the encumbrances and restrictions contained in the Credit Documents (as determined by the Borrower in good faith);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Consolidated Net Income of the referent Person will be increased by the amount of dividends or other distributions or other payments actually paid in cash (or to</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341" w:right="339" w:bottom="1440" w:gutter="0" w:footer="0" w:header="0"/>
        </w:sectPr>
      </w:pPr>
    </w:p>
    <w:bookmarkStart w:id="98" w:name="page99"/>
    <w:bookmarkEnd w:id="98"/>
    <w:p>
      <w:pPr>
        <w:ind w:right="240"/>
        <w:spacing w:after="0" w:line="277" w:lineRule="auto"/>
        <w:rPr>
          <w:sz w:val="20"/>
          <w:szCs w:val="20"/>
          <w:color w:val="auto"/>
        </w:rPr>
      </w:pPr>
      <w:r>
        <w:rPr>
          <w:rFonts w:ascii="Arial" w:cs="Arial" w:eastAsia="Arial" w:hAnsi="Arial"/>
          <w:sz w:val="18"/>
          <w:szCs w:val="18"/>
          <w:color w:val="auto"/>
        </w:rPr>
        <w:t>the extent converted into cash) or Cash Equivalents to such Person or a Restricted Subsidiary in respect of such period, to the extent not already included therein,</w:t>
      </w:r>
    </w:p>
    <w:p>
      <w:pPr>
        <w:spacing w:after="0" w:line="170" w:lineRule="exact"/>
        <w:rPr>
          <w:sz w:val="20"/>
          <w:szCs w:val="20"/>
          <w:color w:val="auto"/>
        </w:rPr>
      </w:pPr>
    </w:p>
    <w:p>
      <w:pPr>
        <w:ind w:right="200" w:firstLine="1535"/>
        <w:spacing w:after="0" w:line="255" w:lineRule="auto"/>
        <w:tabs>
          <w:tab w:leader="none" w:pos="2029" w:val="left"/>
        </w:tabs>
        <w:numPr>
          <w:ilvl w:val="0"/>
          <w:numId w:val="58"/>
        </w:numPr>
        <w:rPr>
          <w:rFonts w:ascii="Arial" w:cs="Arial" w:eastAsia="Arial" w:hAnsi="Arial"/>
          <w:sz w:val="18"/>
          <w:szCs w:val="18"/>
          <w:color w:val="auto"/>
        </w:rPr>
      </w:pPr>
      <w:r>
        <w:rPr>
          <w:rFonts w:ascii="Arial" w:cs="Arial" w:eastAsia="Arial" w:hAnsi="Arial"/>
          <w:sz w:val="18"/>
          <w:szCs w:val="18"/>
          <w:color w:val="auto"/>
        </w:rPr>
        <w:t>effects of adjustments (including the effects of such adjustments pushed down to Holdings and the Restricted Subsidiaries) in any line item in such Person’s consolidated financial statements required or permitted by Financial Accounting Standards Codification Topic 805 – Business Combinations and Topic 350 – Intangibles-Goodwill and Other (ASC 805 and ASC 350) (formerly Financial Accounting Standards Board Statement Nos. 141 and 142, respectively) resulting from the application of purchase accounting, including in relation to the Original Transactions and any acquisition that is consummated after the Closing Date or the amortization or write-off of any amounts thereof, net of taxes, shall be excluded,</w:t>
      </w:r>
    </w:p>
    <w:p>
      <w:pPr>
        <w:spacing w:after="0" w:line="192" w:lineRule="exact"/>
        <w:rPr>
          <w:rFonts w:ascii="Arial" w:cs="Arial" w:eastAsia="Arial" w:hAnsi="Arial"/>
          <w:sz w:val="18"/>
          <w:szCs w:val="18"/>
          <w:color w:val="auto"/>
        </w:rPr>
      </w:pPr>
    </w:p>
    <w:p>
      <w:pPr>
        <w:ind w:right="20" w:firstLine="1535"/>
        <w:spacing w:after="0" w:line="275" w:lineRule="auto"/>
        <w:tabs>
          <w:tab w:leader="none" w:pos="2079" w:val="left"/>
        </w:tabs>
        <w:numPr>
          <w:ilvl w:val="0"/>
          <w:numId w:val="58"/>
        </w:numPr>
        <w:rPr>
          <w:rFonts w:ascii="Arial" w:cs="Arial" w:eastAsia="Arial" w:hAnsi="Arial"/>
          <w:sz w:val="17"/>
          <w:szCs w:val="17"/>
          <w:color w:val="auto"/>
        </w:rPr>
      </w:pPr>
      <w:r>
        <w:rPr>
          <w:rFonts w:ascii="Arial" w:cs="Arial" w:eastAsia="Arial" w:hAnsi="Arial"/>
          <w:sz w:val="17"/>
          <w:szCs w:val="17"/>
          <w:color w:val="auto"/>
        </w:rPr>
        <w:t>(a) any after-tax effect of income (loss) from the early extinguishment of Indebtedness or Hedging Obligations or other derivative instruments (including deferred financing costs written off and premiums paid), (b) any non-cash income (or loss) related to currency gains or losses related to Indebtedness, intercompany balances, and other balance sheet items and to Hedging Obligations pursuant to ASC 815 (or such successor provision), and (c) any non-cash expense, income, or loss attributable to the movement in mark to market valuation of foreign currencies, Indebtedness, or derivative instruments pursuant to GAAP, shall be excluded,</w:t>
      </w:r>
    </w:p>
    <w:p>
      <w:pPr>
        <w:spacing w:after="0" w:line="176" w:lineRule="exact"/>
        <w:rPr>
          <w:rFonts w:ascii="Arial" w:cs="Arial" w:eastAsia="Arial" w:hAnsi="Arial"/>
          <w:sz w:val="17"/>
          <w:szCs w:val="17"/>
          <w:color w:val="auto"/>
        </w:rPr>
      </w:pPr>
    </w:p>
    <w:p>
      <w:pPr>
        <w:ind w:right="140" w:firstLine="1535"/>
        <w:spacing w:after="0" w:line="286" w:lineRule="auto"/>
        <w:tabs>
          <w:tab w:leader="none" w:pos="1979"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any impairment charge, asset write-off, or write-down pursuant to ASC 350 and Financial Accounting Standards Codification Topic 360 – Impairment and Disposal of Long-Lived Assets (ASC 360) (formerly Financial Accounting Standards Board Statement Nos. 142 and 144, respectively) and the amortization of intangibles arising pursuant to ASC 805 shall be excluded,</w:t>
      </w:r>
    </w:p>
    <w:p>
      <w:pPr>
        <w:spacing w:after="0" w:line="165" w:lineRule="exact"/>
        <w:rPr>
          <w:rFonts w:ascii="Arial" w:cs="Arial" w:eastAsia="Arial" w:hAnsi="Arial"/>
          <w:sz w:val="17"/>
          <w:szCs w:val="17"/>
          <w:color w:val="auto"/>
        </w:rPr>
      </w:pPr>
    </w:p>
    <w:p>
      <w:pPr>
        <w:jc w:val="both"/>
        <w:ind w:right="240" w:firstLine="1535"/>
        <w:spacing w:after="0" w:line="263" w:lineRule="auto"/>
        <w:tabs>
          <w:tab w:leader="none" w:pos="1929"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any non-cash compensation expense recorded from grants of stock appreciation or similar rights, phantom equity, stock options units, restricted stock, or other rights to officers, directors, managers, or employees and (b) non-cash income (loss) attributable to deferred compensation plans or trusts, shall be excluded,</w:t>
      </w:r>
    </w:p>
    <w:p>
      <w:pPr>
        <w:spacing w:after="0" w:line="183" w:lineRule="exact"/>
        <w:rPr>
          <w:rFonts w:ascii="Arial" w:cs="Arial" w:eastAsia="Arial" w:hAnsi="Arial"/>
          <w:sz w:val="18"/>
          <w:szCs w:val="18"/>
          <w:color w:val="auto"/>
        </w:rPr>
      </w:pPr>
    </w:p>
    <w:p>
      <w:pPr>
        <w:ind w:right="60" w:firstLine="1535"/>
        <w:spacing w:after="0" w:line="257" w:lineRule="auto"/>
        <w:tabs>
          <w:tab w:leader="none" w:pos="1979"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fees and expenses incurred during such period, or any amortization thereof for such period, in connection with any acquisition, Investment, recapitalization, Asset Sale, issuance, or repayment of Indebtedness, issuance of Equity Interests, refinancing transaction or amendment or modification of any debt instrument (in each case, including any such transaction consummated prior to the Restatement Effective Date and any such transaction undertaken but not completed) and any charges or non-recurring merger costs incurred during such period as a result of any such transaction shall be excluded,</w:t>
      </w:r>
    </w:p>
    <w:p>
      <w:pPr>
        <w:spacing w:after="0" w:line="187" w:lineRule="exact"/>
        <w:rPr>
          <w:rFonts w:ascii="Arial" w:cs="Arial" w:eastAsia="Arial" w:hAnsi="Arial"/>
          <w:sz w:val="18"/>
          <w:szCs w:val="18"/>
          <w:color w:val="auto"/>
        </w:rPr>
      </w:pPr>
    </w:p>
    <w:p>
      <w:pPr>
        <w:ind w:right="20" w:firstLine="1535"/>
        <w:spacing w:after="0" w:line="263" w:lineRule="auto"/>
        <w:tabs>
          <w:tab w:leader="none" w:pos="2029" w:val="left"/>
        </w:tabs>
        <w:numPr>
          <w:ilvl w:val="0"/>
          <w:numId w:val="58"/>
        </w:numPr>
        <w:rPr>
          <w:rFonts w:ascii="Arial" w:cs="Arial" w:eastAsia="Arial" w:hAnsi="Arial"/>
          <w:sz w:val="18"/>
          <w:szCs w:val="18"/>
          <w:color w:val="auto"/>
        </w:rPr>
      </w:pPr>
      <w:r>
        <w:rPr>
          <w:rFonts w:ascii="Arial" w:cs="Arial" w:eastAsia="Arial" w:hAnsi="Arial"/>
          <w:sz w:val="18"/>
          <w:szCs w:val="18"/>
          <w:color w:val="auto"/>
        </w:rPr>
        <w:t>accruals and reserves (including contingent liabilities) that were established or adjusted within twelve months after the Closing Date that were so required to be established as a result of the Original Transactions in accordance with GAAP, or changes as a result of adoption or modification of accounting policies, shall be excluded,</w:t>
      </w:r>
    </w:p>
    <w:p>
      <w:pPr>
        <w:spacing w:after="0" w:line="183" w:lineRule="exact"/>
        <w:rPr>
          <w:rFonts w:ascii="Arial" w:cs="Arial" w:eastAsia="Arial" w:hAnsi="Arial"/>
          <w:sz w:val="18"/>
          <w:szCs w:val="18"/>
          <w:color w:val="auto"/>
        </w:rPr>
      </w:pPr>
    </w:p>
    <w:p>
      <w:pPr>
        <w:ind w:firstLine="1535"/>
        <w:spacing w:after="0" w:line="255" w:lineRule="auto"/>
        <w:tabs>
          <w:tab w:leader="none" w:pos="2079"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the extent covered by insurance or indemnification and actually reimbursed, or, so long as the Borrower has made a determination that there exists reasonable evidence that such amount will in fact be reimbursed by the insurer or indemnifying party and only to the extent that such amount is (a) not denied by the applicable carrier or indemnifying party in writing within 180 days and (b) in fact reimbursed within 365 days of the date of the determination by Borrower that there exists such evidence (with a deduction for any amount so added back to the extent not so reimbursed within 365 days), losses and expenses with respect to liability or casualty events or business interruption shall be excluded,</w:t>
      </w:r>
    </w:p>
    <w:p>
      <w:pPr>
        <w:spacing w:after="0" w:line="192" w:lineRule="exact"/>
        <w:rPr>
          <w:rFonts w:ascii="Arial" w:cs="Arial" w:eastAsia="Arial" w:hAnsi="Arial"/>
          <w:sz w:val="18"/>
          <w:szCs w:val="18"/>
          <w:color w:val="auto"/>
        </w:rPr>
      </w:pPr>
    </w:p>
    <w:p>
      <w:pPr>
        <w:ind w:right="60" w:firstLine="1535"/>
        <w:spacing w:after="0" w:line="277" w:lineRule="auto"/>
        <w:tabs>
          <w:tab w:leader="none" w:pos="2069"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deferred tax expense associated with tax deductions or net operating losses arising as a result of the Transactions, or the release of any valuation allowance related to such items, shall be excluded,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80"/>
          </w:cols>
          <w:pgMar w:left="980" w:top="341" w:right="339" w:bottom="1440" w:gutter="0" w:footer="0" w:header="0"/>
        </w:sectPr>
      </w:pPr>
    </w:p>
    <w:bookmarkStart w:id="99" w:name="page100"/>
    <w:bookmarkEnd w:id="99"/>
    <w:p>
      <w:pPr>
        <w:ind w:left="660" w:right="180" w:firstLine="1535"/>
        <w:spacing w:after="0" w:line="277" w:lineRule="auto"/>
        <w:tabs>
          <w:tab w:leader="none" w:pos="2679"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costs or expenses incurred during such period relating to environmental remediation, litigation, or other disputes in respect of events and exposures that occurred prior to the Closing Date shall be excluded, and</w:t>
      </w:r>
    </w:p>
    <w:p>
      <w:pPr>
        <w:spacing w:after="0" w:line="170" w:lineRule="exact"/>
        <w:rPr>
          <w:sz w:val="20"/>
          <w:szCs w:val="20"/>
          <w:color w:val="auto"/>
        </w:rPr>
      </w:pPr>
    </w:p>
    <w:p>
      <w:pPr>
        <w:ind w:left="660" w:right="340" w:firstLine="1535"/>
        <w:spacing w:after="0" w:line="277" w:lineRule="auto"/>
        <w:tabs>
          <w:tab w:leader="none" w:pos="2824"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net increase or decrease in deferred revenue from the sale of Eye Care Club memberships, product warranty programs and other programs providing deferred revenue shall be excluded.</w:t>
      </w:r>
    </w:p>
    <w:p>
      <w:pPr>
        <w:spacing w:after="0" w:line="166" w:lineRule="exact"/>
        <w:rPr>
          <w:sz w:val="20"/>
          <w:szCs w:val="20"/>
          <w:color w:val="auto"/>
        </w:rPr>
      </w:pPr>
    </w:p>
    <w:p>
      <w:pPr>
        <w:ind w:right="10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Total Assets</w:t>
      </w:r>
      <w:r>
        <w:rPr>
          <w:rFonts w:ascii="Arial" w:cs="Arial" w:eastAsia="Arial" w:hAnsi="Arial"/>
          <w:sz w:val="16"/>
          <w:szCs w:val="16"/>
          <w:color w:val="auto"/>
        </w:rPr>
        <w:t>” shall mean, as of any date of determination, the amount that would, in conformity with GAAP, be set forth opposite the caption “total assets” (or any like caption) on the most recent consolidated balance sheet of Holdings and the Restricted Subsidiaries at such date.</w:t>
      </w:r>
    </w:p>
    <w:p>
      <w:pPr>
        <w:spacing w:after="0" w:line="116" w:lineRule="exact"/>
        <w:rPr>
          <w:sz w:val="20"/>
          <w:szCs w:val="20"/>
          <w:color w:val="auto"/>
        </w:rPr>
      </w:pPr>
    </w:p>
    <w:p>
      <w:pPr>
        <w:ind w:right="22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Total Debt</w:t>
      </w:r>
      <w:r>
        <w:rPr>
          <w:rFonts w:ascii="Arial" w:cs="Arial" w:eastAsia="Arial" w:hAnsi="Arial"/>
          <w:sz w:val="16"/>
          <w:szCs w:val="16"/>
          <w:color w:val="auto"/>
        </w:rPr>
        <w:t xml:space="preserve">” shall mean, as at any date of determination, an amount equal to the sum of the aggregate amount of all outstanding Indebtedness of Holdings and the Restricted Subsidiaries on a consolidated basis consisting of third-party Indebtedness for borrowed money, Capitalized Lease Obligations and debt obligations evidenced by promissory notes and similar instruments (and excluding, for the avoidance of doubt, Hedging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Consolidated Total Debt shall not include Letters of Credit, except to the extent of Unpaid Drawings thereunder.</w:t>
      </w:r>
    </w:p>
    <w:p>
      <w:pPr>
        <w:spacing w:after="0" w:line="151"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Total Debt to Consolidated EBITDA Ratio</w:t>
      </w:r>
      <w:r>
        <w:rPr>
          <w:rFonts w:ascii="Arial" w:cs="Arial" w:eastAsia="Arial" w:hAnsi="Arial"/>
          <w:sz w:val="16"/>
          <w:szCs w:val="16"/>
          <w:color w:val="auto"/>
        </w:rPr>
        <w:t xml:space="preserve">” shall mean, as of any date of determination, the ratio of (i) Consolidated Total Debt as of such date of determination,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cash and cash equivalents (in each case, free and clear of all Liens other than Permitted Liens and with “cash and cash equivalents” determined in accordance with GAAP) of Holdings and the Restricted Subsidiaries (other than the proceeds of any Indebtedness being incurred and giving rise to the need to calculate the Consolidated Total Debt to Consolidated EBITDA Ratio) to (ii) Consolidated EBITDA of Holdings for the Test Period then last ended</w:t>
      </w:r>
      <w:r>
        <w:rPr>
          <w:rFonts w:ascii="Arial" w:cs="Arial" w:eastAsia="Arial" w:hAnsi="Arial"/>
          <w:sz w:val="16"/>
          <w:szCs w:val="16"/>
          <w:color w:val="FF0000"/>
          <w:strike w:val="1"/>
        </w:rPr>
        <w:t>, in each case with such pro forma adjustments to</w:t>
      </w:r>
      <w:r>
        <w:rPr>
          <w:rFonts w:ascii="Arial" w:cs="Arial" w:eastAsia="Arial" w:hAnsi="Arial"/>
          <w:sz w:val="16"/>
          <w:szCs w:val="16"/>
          <w:u w:val="single" w:color="auto"/>
          <w:color w:val="0000FF"/>
        </w:rPr>
        <w:t>. In the event that Holdings or any Restricted Subsidiary incurs, assumes,</w:t>
      </w:r>
      <w:r>
        <w:rPr>
          <w:rFonts w:ascii="Arial" w:cs="Arial" w:eastAsia="Arial" w:hAnsi="Arial"/>
          <w:sz w:val="16"/>
          <w:szCs w:val="16"/>
          <w:color w:val="auto"/>
        </w:rPr>
        <w:t xml:space="preserve"> </w:t>
      </w:r>
      <w:r>
        <w:rPr>
          <w:rFonts w:ascii="Arial" w:cs="Arial" w:eastAsia="Arial" w:hAnsi="Arial"/>
          <w:sz w:val="16"/>
          <w:szCs w:val="16"/>
          <w:u w:val="single" w:color="auto"/>
          <w:color w:val="0000FF"/>
        </w:rPr>
        <w:t>guarantees, redeems, retires, or extinguishes any Indebtedness or issues or redeems Disqualified Stock or preferred stock subsequent to the commencement of the Test Period but prior to or simultaneously with the date of determination, then the</w:t>
      </w:r>
      <w:r>
        <w:rPr>
          <w:rFonts w:ascii="Arial" w:cs="Arial" w:eastAsia="Arial" w:hAnsi="Arial"/>
          <w:sz w:val="16"/>
          <w:szCs w:val="16"/>
          <w:color w:val="0000FF"/>
        </w:rPr>
        <w:t xml:space="preserve"> </w:t>
      </w:r>
      <w:r>
        <w:rPr>
          <w:rFonts w:ascii="Arial" w:cs="Arial" w:eastAsia="Arial" w:hAnsi="Arial"/>
          <w:sz w:val="16"/>
          <w:szCs w:val="16"/>
          <w:color w:val="000000"/>
        </w:rPr>
        <w:t>Consolidated Total Debt</w:t>
      </w:r>
      <w:r>
        <w:rPr>
          <w:rFonts w:ascii="Arial" w:cs="Arial" w:eastAsia="Arial" w:hAnsi="Arial"/>
          <w:sz w:val="16"/>
          <w:szCs w:val="16"/>
          <w:color w:val="0000FF"/>
        </w:rPr>
        <w:t xml:space="preserve"> </w:t>
      </w:r>
      <w:r>
        <w:rPr>
          <w:rFonts w:ascii="Arial" w:cs="Arial" w:eastAsia="Arial" w:hAnsi="Arial"/>
          <w:sz w:val="16"/>
          <w:szCs w:val="16"/>
          <w:color w:val="FF0000"/>
          <w:strike w:val="1"/>
        </w:rPr>
        <w:t>and Consolidated EBITDA as are</w:t>
      </w:r>
      <w:r>
        <w:rPr>
          <w:rFonts w:ascii="Arial" w:cs="Arial" w:eastAsia="Arial" w:hAnsi="Arial"/>
          <w:sz w:val="16"/>
          <w:szCs w:val="16"/>
          <w:color w:val="0000FF"/>
        </w:rPr>
        <w:t xml:space="preserve"> </w:t>
      </w:r>
      <w:r>
        <w:rPr>
          <w:rFonts w:ascii="Arial" w:cs="Arial" w:eastAsia="Arial" w:hAnsi="Arial"/>
          <w:sz w:val="16"/>
          <w:szCs w:val="16"/>
          <w:color w:val="FF0000"/>
          <w:strike w:val="1"/>
        </w:rPr>
        <w:t>appropriate and consistent with the pro forma adjustment provisions set forth in the definition of “Fixed Charge Coverage Ratio”</w:t>
      </w:r>
      <w:r>
        <w:rPr>
          <w:rFonts w:ascii="Arial" w:cs="Arial" w:eastAsia="Arial" w:hAnsi="Arial"/>
          <w:sz w:val="16"/>
          <w:szCs w:val="16"/>
          <w:u w:val="single" w:color="auto"/>
          <w:color w:val="0000FF"/>
          <w:strike w:val="1"/>
        </w:rPr>
        <w:t>to Consolidated EBITDA</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Ratio shall be calculated giving Pro Forma Effect to such incurrence, assumption, guarantee, redemption, retirement, or extinguishment of Indebtedness, or such issuance or redemption of Disqualified Stock or preferred stock (in each case, including a pro forma application of the net proceeds therefrom), as if the same had occurred at the beginning of the Test Period; provided, however, that Pro Forma Effect shall not give effect to any Indebtedness incurred on the date of such determination (except pursuant to the first paragraph of Section 10.1 and Section 10.1(n))</w:t>
      </w:r>
      <w:r>
        <w:rPr>
          <w:rFonts w:ascii="Arial" w:cs="Arial" w:eastAsia="Arial" w:hAnsi="Arial"/>
          <w:sz w:val="16"/>
          <w:szCs w:val="16"/>
          <w:color w:val="000000"/>
          <w:strike w:val="1"/>
        </w:rPr>
        <w:t>.</w:t>
      </w:r>
    </w:p>
    <w:p>
      <w:pPr>
        <w:spacing w:after="0" w:line="168" w:lineRule="exact"/>
        <w:rPr>
          <w:sz w:val="20"/>
          <w:szCs w:val="20"/>
          <w:color w:val="auto"/>
        </w:rPr>
      </w:pPr>
    </w:p>
    <w:p>
      <w:pPr>
        <w:ind w:right="20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Obligations</w:t>
      </w:r>
      <w:r>
        <w:rPr>
          <w:rFonts w:ascii="Arial" w:cs="Arial" w:eastAsia="Arial" w:hAnsi="Arial"/>
          <w:sz w:val="16"/>
          <w:szCs w:val="16"/>
          <w:color w:val="auto"/>
        </w:rPr>
        <w:t>” shall mean, with respect to any Person, any obligation of such Person guaranteeing any leases, dividends, or other obligations that do not constitute Indebtedness (“</w:t>
      </w:r>
      <w:r>
        <w:rPr>
          <w:rFonts w:ascii="Arial" w:cs="Arial" w:eastAsia="Arial" w:hAnsi="Arial"/>
          <w:sz w:val="16"/>
          <w:szCs w:val="16"/>
          <w:b w:val="1"/>
          <w:bCs w:val="1"/>
          <w:color w:val="auto"/>
        </w:rPr>
        <w:t>primary obligations</w:t>
      </w:r>
      <w:r>
        <w:rPr>
          <w:rFonts w:ascii="Arial" w:cs="Arial" w:eastAsia="Arial" w:hAnsi="Arial"/>
          <w:sz w:val="16"/>
          <w:szCs w:val="16"/>
          <w:color w:val="auto"/>
        </w:rPr>
        <w:t>”) of any other Person (the “</w:t>
      </w:r>
      <w:r>
        <w:rPr>
          <w:rFonts w:ascii="Arial" w:cs="Arial" w:eastAsia="Arial" w:hAnsi="Arial"/>
          <w:sz w:val="16"/>
          <w:szCs w:val="16"/>
          <w:b w:val="1"/>
          <w:bCs w:val="1"/>
          <w:color w:val="auto"/>
        </w:rPr>
        <w:t>primary obligor</w:t>
      </w:r>
      <w:r>
        <w:rPr>
          <w:rFonts w:ascii="Arial" w:cs="Arial" w:eastAsia="Arial" w:hAnsi="Arial"/>
          <w:sz w:val="16"/>
          <w:szCs w:val="16"/>
          <w:color w:val="auto"/>
        </w:rPr>
        <w:t>”) in any manner, whether directly or indirectly, including, without limitation, any obligation of such Person, whether or not contingent, (i) to purchase any such primary obligation or any property constituting direct or indirect security therefor, (ii) to advance or supply funds (a) for the purchase or payment of any such primary obligation or</w:t>
      </w:r>
    </w:p>
    <w:p>
      <w:pPr>
        <w:spacing w:after="0" w:line="2" w:lineRule="exact"/>
        <w:rPr>
          <w:sz w:val="20"/>
          <w:szCs w:val="20"/>
          <w:color w:val="auto"/>
        </w:rPr>
      </w:pPr>
    </w:p>
    <w:p>
      <w:pPr>
        <w:ind w:firstLine="8"/>
        <w:spacing w:after="0" w:line="255" w:lineRule="auto"/>
        <w:tabs>
          <w:tab w:leader="none" w:pos="2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maintain working capital or equity capital of the primary obligor or otherwise to maintain the net worth or solvency of the primary obligor, or (iii) to purchase property, securities, or services primarily for the purpose of assuring the owner of any such primary obligation of the ability of the primary obligor to make payment of such primary obligation against loss in respect thereof.</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Contractual Requirement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8.3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Converted Restricted Subsidiary</w:t>
      </w:r>
      <w:r>
        <w:rPr>
          <w:rFonts w:ascii="Arial" w:cs="Arial" w:eastAsia="Arial" w:hAnsi="Arial"/>
          <w:sz w:val="18"/>
          <w:szCs w:val="18"/>
          <w:color w:val="auto"/>
        </w:rPr>
        <w:t>” shall have the meaning provided in the definition of the term “Consolidated EBITDA”.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Converted Unrestricted Subsidiary</w:t>
      </w:r>
      <w:r>
        <w:rPr>
          <w:rFonts w:ascii="Arial" w:cs="Arial" w:eastAsia="Arial" w:hAnsi="Arial"/>
          <w:sz w:val="18"/>
          <w:szCs w:val="18"/>
          <w:color w:val="auto"/>
        </w:rPr>
        <w:t>” shall have the meaning provided in the definition of the term “Consolidated EBITDA”.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341" w:right="339" w:bottom="1440" w:gutter="0" w:footer="0" w:header="0"/>
        </w:sectPr>
      </w:pPr>
    </w:p>
    <w:bookmarkStart w:id="100" w:name="page101"/>
    <w:bookmarkEnd w:id="10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Counterparty</w:t>
      </w:r>
      <w:r>
        <w:rPr>
          <w:rFonts w:ascii="Arial" w:cs="Arial" w:eastAsia="Arial" w:hAnsi="Arial"/>
          <w:sz w:val="18"/>
          <w:szCs w:val="18"/>
          <w:color w:val="auto"/>
        </w:rPr>
        <w:t>” shall mean a Person other than a retail customer.</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Documents</w:t>
      </w:r>
      <w:r>
        <w:rPr>
          <w:rFonts w:ascii="Arial" w:cs="Arial" w:eastAsia="Arial" w:hAnsi="Arial"/>
          <w:sz w:val="18"/>
          <w:szCs w:val="18"/>
          <w:color w:val="auto"/>
        </w:rPr>
        <w:t>” shall mean this Agreement, the Restatement Agreement, each Joinder Agreement, the Guarantees, the Security Documents, and any promissory notes issued by the Borrower pursuant 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Credit Event</w:t>
      </w:r>
      <w:r>
        <w:rPr>
          <w:rFonts w:ascii="Arial" w:cs="Arial" w:eastAsia="Arial" w:hAnsi="Arial"/>
          <w:sz w:val="17"/>
          <w:szCs w:val="17"/>
          <w:color w:val="auto"/>
        </w:rPr>
        <w:t>” shall mean and include the making (but not the conversion or continuation) of a Loan and the issuance of a Letter of Credit.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Facilities</w:t>
      </w:r>
      <w:r>
        <w:rPr>
          <w:rFonts w:ascii="Arial" w:cs="Arial" w:eastAsia="Arial" w:hAnsi="Arial"/>
          <w:sz w:val="18"/>
          <w:szCs w:val="18"/>
          <w:color w:val="auto"/>
        </w:rPr>
        <w:t>” shall mean, collectively, each category of Commitments and each extension of credit 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Facility</w:t>
      </w:r>
      <w:r>
        <w:rPr>
          <w:rFonts w:ascii="Arial" w:cs="Arial" w:eastAsia="Arial" w:hAnsi="Arial"/>
          <w:sz w:val="18"/>
          <w:szCs w:val="18"/>
          <w:color w:val="auto"/>
        </w:rPr>
        <w:t>” shall mean a category of Commitments and extensions of credit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Party</w:t>
      </w:r>
      <w:r>
        <w:rPr>
          <w:rFonts w:ascii="Arial" w:cs="Arial" w:eastAsia="Arial" w:hAnsi="Arial"/>
          <w:sz w:val="18"/>
          <w:szCs w:val="18"/>
          <w:color w:val="auto"/>
        </w:rPr>
        <w:t>” shall mean Holdings, the Borrower, and the other Guarantors.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Cure Amount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11.14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Cure Right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11.14</w:t>
      </w:r>
      <w:r>
        <w:rPr>
          <w:rFonts w:ascii="Arial" w:cs="Arial" w:eastAsia="Arial" w:hAnsi="Arial"/>
          <w:sz w:val="18"/>
          <w:szCs w:val="18"/>
          <w:color w:val="auto"/>
        </w:rPr>
        <w:t>.</w:t>
      </w:r>
    </w:p>
    <w:p>
      <w:pPr>
        <w:spacing w:after="0" w:line="225" w:lineRule="exact"/>
        <w:rPr>
          <w:sz w:val="20"/>
          <w:szCs w:val="20"/>
          <w:color w:val="auto"/>
        </w:rPr>
      </w:pPr>
    </w:p>
    <w:p>
      <w:pPr>
        <w:ind w:right="74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Debt Incurrence Prepayment Event</w:t>
      </w:r>
      <w:r>
        <w:rPr>
          <w:rFonts w:ascii="Arial" w:cs="Arial" w:eastAsia="Arial" w:hAnsi="Arial"/>
          <w:sz w:val="17"/>
          <w:szCs w:val="17"/>
          <w:color w:val="auto"/>
        </w:rPr>
        <w:t xml:space="preserve">” shall mean any issuance or incurrence by Holdings or any of the Restricted Subsidiaries of any Indebtedness (excluding any Indebtedness permitted to be issued or incurred under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10.1(w)(i))</w:t>
      </w:r>
      <w:r>
        <w:rPr>
          <w:rFonts w:ascii="Arial" w:cs="Arial" w:eastAsia="Arial" w:hAnsi="Arial"/>
          <w:sz w:val="17"/>
          <w:szCs w:val="17"/>
          <w:color w:val="auto"/>
        </w:rPr>
        <w: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Declined Proceeds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5.2(f)</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shall mean any event, act, or condition that with notice or lapse of time, or both, would constitute an Event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2.8(c)</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Defaulting Lender</w:t>
      </w:r>
      <w:r>
        <w:rPr>
          <w:rFonts w:ascii="Arial" w:cs="Arial" w:eastAsia="Arial" w:hAnsi="Arial"/>
          <w:sz w:val="18"/>
          <w:szCs w:val="18"/>
          <w:color w:val="auto"/>
        </w:rPr>
        <w:t>” shall mean any Lender whose acts or failure to act, whether directly or indirectly, cause it to meet any part of the definition of “Lender Default”.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Deferred Net Cash Proceeds</w:t>
      </w:r>
      <w:r>
        <w:rPr>
          <w:rFonts w:ascii="Arial" w:cs="Arial" w:eastAsia="Arial" w:hAnsi="Arial"/>
          <w:sz w:val="18"/>
          <w:szCs w:val="18"/>
          <w:color w:val="auto"/>
        </w:rPr>
        <w:t>” shall have the meaning provided such term in the definition of “Net Cash Proceeds”.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Deferred Net Cash Proceeds Payment Date</w:t>
      </w:r>
      <w:r>
        <w:rPr>
          <w:rFonts w:ascii="Arial" w:cs="Arial" w:eastAsia="Arial" w:hAnsi="Arial"/>
          <w:sz w:val="17"/>
          <w:szCs w:val="17"/>
          <w:color w:val="auto"/>
        </w:rPr>
        <w:t>” shall have the meaning provided such term in the definition of “Net Cash Proceeds”.</w:t>
      </w:r>
    </w:p>
    <w:p>
      <w:pPr>
        <w:spacing w:after="0" w:line="237"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Jurisdiction</w:t>
      </w:r>
      <w:r>
        <w:rPr>
          <w:rFonts w:ascii="Arial" w:cs="Arial" w:eastAsia="Arial" w:hAnsi="Arial"/>
          <w:sz w:val="18"/>
          <w:szCs w:val="18"/>
          <w:color w:val="auto"/>
        </w:rPr>
        <w:t>” shall mean any country, region or territory to the extent that such country or territory itself is the subject of any Sanction.</w:t>
      </w:r>
    </w:p>
    <w:p>
      <w:pPr>
        <w:spacing w:after="0" w:line="162" w:lineRule="exact"/>
        <w:rPr>
          <w:sz w:val="20"/>
          <w:szCs w:val="20"/>
          <w:color w:val="auto"/>
        </w:rPr>
      </w:pPr>
    </w:p>
    <w:p>
      <w:pPr>
        <w:ind w:right="40" w:firstLine="64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Designated Non-Cash Consideration</w:t>
      </w:r>
      <w:r>
        <w:rPr>
          <w:rFonts w:ascii="Arial" w:cs="Arial" w:eastAsia="Arial" w:hAnsi="Arial"/>
          <w:sz w:val="16"/>
          <w:szCs w:val="16"/>
          <w:color w:val="auto"/>
        </w:rPr>
        <w:t xml:space="preserve">” shall mean the Fair Market Value of non-cash consideration received by Holdings or a Restricted Subsidiary in connection with an Asset Sale that is so designated as Designated Non-Cash Consideration pursuant to a certificate of an Authorized Officer of Holdings or the Borrower, setting forth the basis of such valuation, executed by either a senior vice president or the principal financial officer of Holdings or the Borrower, less the amount of cash or Cash Equivalents received in connection with a subsequent sale of or collection on or other disposition of such Designated Non-Cash Consideration. A particular item of Designated Non-Cash Consideration will no longer be considered to be outstanding when and to the extent it has been paid, redeemed or otherwise retired or sold or otherwise disposed of in compliance with </w:t>
      </w:r>
      <w:r>
        <w:rPr>
          <w:rFonts w:ascii="Arial" w:cs="Arial" w:eastAsia="Arial" w:hAnsi="Arial"/>
          <w:sz w:val="16"/>
          <w:szCs w:val="16"/>
          <w:u w:val="single" w:color="auto"/>
          <w:color w:val="auto"/>
        </w:rPr>
        <w:t>Section 10.4</w:t>
      </w:r>
      <w:r>
        <w:rPr>
          <w:rFonts w:ascii="Arial" w:cs="Arial" w:eastAsia="Arial" w:hAnsi="Arial"/>
          <w:sz w:val="16"/>
          <w:szCs w:val="16"/>
          <w:color w:val="auto"/>
        </w:rPr>
        <w:t>.</w:t>
      </w:r>
    </w:p>
    <w:p>
      <w:pPr>
        <w:spacing w:after="0" w:line="160"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Preferred Stock</w:t>
      </w:r>
      <w:r>
        <w:rPr>
          <w:rFonts w:ascii="Arial" w:cs="Arial" w:eastAsia="Arial" w:hAnsi="Arial"/>
          <w:sz w:val="18"/>
          <w:szCs w:val="18"/>
          <w:color w:val="auto"/>
        </w:rPr>
        <w:t>” shall mean preferred stock of Holdings or any direct or indirect parent company of Holdings (in each case other than Disqualified Stock) that is issued for cash (other than to a Restricted Subsidiary or an employee stock ownership plan or trust established by Holdings or any of its Subsidiaries) and is so</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60"/>
          </w:cols>
          <w:pgMar w:left="320" w:top="337" w:right="419" w:bottom="1440" w:gutter="0" w:footer="0" w:header="0"/>
        </w:sectPr>
      </w:pPr>
    </w:p>
    <w:bookmarkStart w:id="101" w:name="page102"/>
    <w:bookmarkEnd w:id="101"/>
    <w:p>
      <w:pPr>
        <w:ind w:right="80"/>
        <w:spacing w:after="0" w:line="263" w:lineRule="auto"/>
        <w:rPr>
          <w:sz w:val="20"/>
          <w:szCs w:val="20"/>
          <w:color w:val="auto"/>
        </w:rPr>
      </w:pPr>
      <w:r>
        <w:rPr>
          <w:rFonts w:ascii="Arial" w:cs="Arial" w:eastAsia="Arial" w:hAnsi="Arial"/>
          <w:sz w:val="18"/>
          <w:szCs w:val="18"/>
          <w:color w:val="auto"/>
        </w:rPr>
        <w:t xml:space="preserve">designated as Designated Preferred Stock, pursuant to an officer’s certificate executed by the principal financial officer of Holdings or the parent company thereof, as the case may be, on the issuance date thereof, the cash proceeds of which are excluded from the calculation set forth in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10.5(a)</w:t>
      </w:r>
      <w:r>
        <w:rPr>
          <w:rFonts w:ascii="Arial" w:cs="Arial" w:eastAsia="Arial" w:hAnsi="Arial"/>
          <w:sz w:val="18"/>
          <w:szCs w:val="18"/>
          <w:color w:val="auto"/>
        </w:rPr>
        <w:t>.</w:t>
      </w:r>
    </w:p>
    <w:p>
      <w:pPr>
        <w:spacing w:after="0" w:line="180" w:lineRule="exact"/>
        <w:rPr>
          <w:sz w:val="20"/>
          <w:szCs w:val="20"/>
          <w:color w:val="auto"/>
        </w:rPr>
      </w:pPr>
    </w:p>
    <w:p>
      <w:pPr>
        <w:ind w:right="34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Disposed EBITDA</w:t>
      </w:r>
      <w:r>
        <w:rPr>
          <w:rFonts w:ascii="Arial" w:cs="Arial" w:eastAsia="Arial" w:hAnsi="Arial"/>
          <w:sz w:val="18"/>
          <w:szCs w:val="18"/>
          <w:color w:val="auto"/>
        </w:rPr>
        <w:t>” shall mean, with respect to any Sold Entity or Business or any Converted Unrestricted Subsidiary for any period, the amount for such period of Consolidated EBITDA of such Sold Entity or Business or Converted Unrestricted Subsidiary (determined as if references to Holdings and the Restricted Subsidiaries in the definition of “Consolidated EBITDA” were references to such Sold Entity or Business or Converted Unrestricted Subsidiary and its respective Subsidiaries), all as determined on a consolidated basis for such Sold Entity or Business or Converted Unrestricted Subsidiary, as the case may be.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disposition</w:t>
      </w:r>
      <w:r>
        <w:rPr>
          <w:rFonts w:ascii="Arial" w:cs="Arial" w:eastAsia="Arial" w:hAnsi="Arial"/>
          <w:sz w:val="18"/>
          <w:szCs w:val="18"/>
          <w:color w:val="auto"/>
        </w:rPr>
        <w:t xml:space="preserve">” shall have the meaning assigned such term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of the definition of “Asset Sale”.</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Disqualified Lenders</w:t>
      </w:r>
      <w:r>
        <w:rPr>
          <w:rFonts w:ascii="Arial" w:cs="Arial" w:eastAsia="Arial" w:hAnsi="Arial"/>
          <w:sz w:val="16"/>
          <w:szCs w:val="16"/>
          <w:color w:val="auto"/>
        </w:rPr>
        <w:t xml:space="preserve">” shall mean such Persons (i) that have been specified in writing to the Administrative Agent and the Joint Lead Arrangers and Bookrunners prior to the commencement of “primary syndication” as being Disqualified Lenders, (ii) who are competitors of Holdings and its Subsidiaries that are separately identified in writing by the Borrower to the Administrative Agent from time to time, and (iii) in the case of each of </w:t>
      </w:r>
      <w:r>
        <w:rPr>
          <w:rFonts w:ascii="Arial" w:cs="Arial" w:eastAsia="Arial" w:hAnsi="Arial"/>
          <w:sz w:val="16"/>
          <w:szCs w:val="16"/>
          <w:u w:val="single" w:color="auto"/>
          <w:color w:val="auto"/>
        </w:rPr>
        <w:t>clauses</w:t>
      </w:r>
    </w:p>
    <w:p>
      <w:pPr>
        <w:spacing w:after="0" w:line="2" w:lineRule="exact"/>
        <w:rPr>
          <w:sz w:val="20"/>
          <w:szCs w:val="20"/>
          <w:color w:val="auto"/>
        </w:rPr>
      </w:pPr>
    </w:p>
    <w:p>
      <w:pPr>
        <w:ind w:right="80" w:firstLine="8"/>
        <w:spacing w:after="0" w:line="269" w:lineRule="auto"/>
        <w:tabs>
          <w:tab w:leader="none" w:pos="215" w:val="left"/>
        </w:tabs>
        <w:numPr>
          <w:ilvl w:val="0"/>
          <w:numId w:val="62"/>
        </w:numPr>
        <w:rPr>
          <w:rFonts w:ascii="Arial" w:cs="Arial" w:eastAsia="Arial" w:hAnsi="Arial"/>
          <w:sz w:val="17"/>
          <w:szCs w:val="17"/>
          <w:u w:val="single" w:color="auto"/>
          <w:color w:val="auto"/>
        </w:rPr>
      </w:pPr>
      <w:r>
        <w:rPr>
          <w:rFonts w:ascii="Arial" w:cs="Arial" w:eastAsia="Arial" w:hAnsi="Arial"/>
          <w:sz w:val="17"/>
          <w:szCs w:val="17"/>
          <w:color w:val="auto"/>
        </w:rPr>
        <w:t xml:space="preserve">and </w:t>
      </w:r>
      <w:r>
        <w:rPr>
          <w:rFonts w:ascii="Arial" w:cs="Arial" w:eastAsia="Arial" w:hAnsi="Arial"/>
          <w:sz w:val="17"/>
          <w:szCs w:val="17"/>
          <w:u w:val="single" w:color="auto"/>
          <w:color w:val="auto"/>
        </w:rPr>
        <w:t>(ii)</w:t>
      </w:r>
      <w:r>
        <w:rPr>
          <w:rFonts w:ascii="Arial" w:cs="Arial" w:eastAsia="Arial" w:hAnsi="Arial"/>
          <w:sz w:val="17"/>
          <w:szCs w:val="17"/>
          <w:color w:val="auto"/>
        </w:rPr>
        <w:t>, any of their Affiliates (other than any such Affiliate that is affiliated with a financial investor in such Person and that is not itself an operating company or otherwise an Affiliate of an operating company so long as such Affiliate is a bona fide Fund) that are either (a) identified in writing by the Borrower to the Administrative Agent from time to time or (b) clearly identifiable on the basis of such Affiliate’s name. The Administrative Agent shall have the right, and the Borrower hereby expressly authorizes the Administrative Agent, to (A) post the list of Disqualified Lenders provided by the Borrower and any updates thereto from time to time (collectively, the “</w:t>
      </w:r>
      <w:r>
        <w:rPr>
          <w:rFonts w:ascii="Arial" w:cs="Arial" w:eastAsia="Arial" w:hAnsi="Arial"/>
          <w:sz w:val="17"/>
          <w:szCs w:val="17"/>
          <w:b w:val="1"/>
          <w:bCs w:val="1"/>
          <w:color w:val="auto"/>
        </w:rPr>
        <w:t>DQ List</w:t>
      </w:r>
      <w:r>
        <w:rPr>
          <w:rFonts w:ascii="Arial" w:cs="Arial" w:eastAsia="Arial" w:hAnsi="Arial"/>
          <w:sz w:val="17"/>
          <w:szCs w:val="17"/>
          <w:color w:val="auto"/>
        </w:rPr>
        <w:t xml:space="preserve">”) on the Platform, including that portion of the Platform that is designated for “public side” Lenders or (B) provide the DQ List to each Lender requesting the same, it being understood that the DQ List may be disclosed to any assignee or Participant or prospective assignee or Participant, subject to Section </w:t>
      </w:r>
      <w:r>
        <w:rPr>
          <w:rFonts w:ascii="Arial" w:cs="Arial" w:eastAsia="Arial" w:hAnsi="Arial"/>
          <w:sz w:val="17"/>
          <w:szCs w:val="17"/>
          <w:u w:val="single" w:color="auto"/>
          <w:color w:val="auto"/>
        </w:rPr>
        <w:t>13.16</w:t>
      </w:r>
      <w:r>
        <w:rPr>
          <w:rFonts w:ascii="Arial" w:cs="Arial" w:eastAsia="Arial" w:hAnsi="Arial"/>
          <w:sz w:val="17"/>
          <w:szCs w:val="17"/>
          <w:color w:val="auto"/>
        </w:rPr>
        <w:t>.</w:t>
      </w:r>
    </w:p>
    <w:p>
      <w:pPr>
        <w:spacing w:after="0" w:line="17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Disqualified Stock</w:t>
      </w:r>
      <w:r>
        <w:rPr>
          <w:rFonts w:ascii="Arial" w:cs="Arial" w:eastAsia="Arial" w:hAnsi="Arial"/>
          <w:sz w:val="17"/>
          <w:szCs w:val="17"/>
          <w:color w:val="auto"/>
        </w:rPr>
        <w:t xml:space="preserve">” shall mean, with respect to any Person, any Capital Stock of such Person which, by its terms, or by the terms of any security into which it is convertible or for which it is putable or exchangeable, or upon the happening of any event, matures or is mandatorily redeemable (other than solely for Qualified Stock), other than as a result of a change of control, asset sale, or similar event, pursuant to a sinking fund obligation or otherwise, or is redeemable at the option of the holder thereof (other than solely for Qualified Stock), other than as a result of a change of control, asset sale, or similar event, in whole or in part, in each case, prior to the date that is 91 days after the Latest Term Loan Maturity Date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Capital Stock is issued to any plan for the benefit of employees of Holdings or its Subsidiaries or by any such plan to such employees, such Capital Stock shall not constitute Disqualified Stock solely because it may be required to be repurchased by Holdings or its Subsidiaries in order to satisfy applicable statutory or regulatory obligations or as a result of such employee’s termination, death, or disability.</w:t>
      </w:r>
    </w:p>
    <w:p>
      <w:pPr>
        <w:spacing w:after="0" w:line="172"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Documentation Agents</w:t>
      </w:r>
      <w:r>
        <w:rPr>
          <w:rFonts w:ascii="Arial" w:cs="Arial" w:eastAsia="Arial" w:hAnsi="Arial"/>
          <w:sz w:val="18"/>
          <w:szCs w:val="18"/>
          <w:color w:val="auto"/>
        </w:rPr>
        <w:t>” shall mean Fifth Third Bank and SunTrust Bank, as documentation agents for the Lenders under this Agreement and the other Credit Documents.</w:t>
      </w:r>
    </w:p>
    <w:p>
      <w:pPr>
        <w:spacing w:after="0" w:line="162" w:lineRule="exact"/>
        <w:rPr>
          <w:sz w:val="20"/>
          <w:szCs w:val="20"/>
          <w:color w:val="auto"/>
        </w:rPr>
      </w:pPr>
    </w:p>
    <w:p>
      <w:pPr>
        <w:ind w:right="8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 Equivalent</w:t>
      </w:r>
      <w:r>
        <w:rPr>
          <w:rFonts w:ascii="Arial" w:cs="Arial" w:eastAsia="Arial" w:hAnsi="Arial"/>
          <w:sz w:val="17"/>
          <w:szCs w:val="17"/>
          <w:color w:val="auto"/>
        </w:rPr>
        <w:t>” shall mean, at any time, (i) with respect to any amount denominated in Dollars, such amount, and (ii) with respect to any amount denominated in any currency other than Dollars, the equivalent amount thereof in Dollars, as determined by the Administrative Agent on the basis of the Spot Rate (determined on the most recent date of determination) for the purchase of Dollars with such currency.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shall mean dollars in lawful currency of the United States.</w:t>
      </w:r>
    </w:p>
    <w:p>
      <w:pPr>
        <w:spacing w:after="0" w:line="225"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shall mean each Subsidiary of Holdings that is organized under the laws of the United States, any state thereof, or the District of Columbia.</w:t>
      </w:r>
    </w:p>
    <w:p>
      <w:pPr>
        <w:spacing w:after="0" w:line="162"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“EEA Financial Institution</w:t>
      </w:r>
      <w:r>
        <w:rPr>
          <w:rFonts w:ascii="Arial" w:cs="Arial" w:eastAsia="Arial" w:hAnsi="Arial"/>
          <w:sz w:val="18"/>
          <w:szCs w:val="18"/>
          <w:color w:val="auto"/>
        </w:rPr>
        <w:t>” means (a) any credit institution or investment firm established in any EEA Member Country which is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supervision of an EEA Resolution Authority, (b) any entity established in</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320" w:top="341" w:right="379" w:bottom="1440" w:gutter="0" w:footer="0" w:header="0"/>
        </w:sectPr>
      </w:pPr>
    </w:p>
    <w:bookmarkStart w:id="102" w:name="page103"/>
    <w:bookmarkEnd w:id="102"/>
    <w:p>
      <w:pPr>
        <w:jc w:val="both"/>
        <w:ind w:right="80"/>
        <w:spacing w:after="0" w:line="263" w:lineRule="auto"/>
        <w:rPr>
          <w:sz w:val="20"/>
          <w:szCs w:val="20"/>
          <w:color w:val="auto"/>
        </w:rPr>
      </w:pPr>
      <w:r>
        <w:rPr>
          <w:rFonts w:ascii="Arial" w:cs="Arial" w:eastAsia="Arial" w:hAnsi="Arial"/>
          <w:sz w:val="18"/>
          <w:szCs w:val="18"/>
          <w:color w:val="auto"/>
        </w:rPr>
        <w:t>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Claims</w:t>
      </w:r>
      <w:r>
        <w:rPr>
          <w:rFonts w:ascii="Arial" w:cs="Arial" w:eastAsia="Arial" w:hAnsi="Arial"/>
          <w:sz w:val="18"/>
          <w:szCs w:val="18"/>
          <w:color w:val="auto"/>
        </w:rPr>
        <w:t>” shall mean any and all actions, suits, orders, decrees, demand letters, claims, notices of noncompliance or potential responsibility or violation, or proceedings pursuant to any Environmental Law or any permit issued, or any approval given, under any such Environmental Law (hereinafter, “</w:t>
      </w:r>
      <w:r>
        <w:rPr>
          <w:rFonts w:ascii="Arial" w:cs="Arial" w:eastAsia="Arial" w:hAnsi="Arial"/>
          <w:sz w:val="18"/>
          <w:szCs w:val="18"/>
          <w:b w:val="1"/>
          <w:bCs w:val="1"/>
          <w:color w:val="auto"/>
        </w:rPr>
        <w:t>Claims</w:t>
      </w:r>
      <w:r>
        <w:rPr>
          <w:rFonts w:ascii="Arial" w:cs="Arial" w:eastAsia="Arial" w:hAnsi="Arial"/>
          <w:sz w:val="18"/>
          <w:szCs w:val="18"/>
          <w:color w:val="auto"/>
        </w:rPr>
        <w:t>”), including, without limitation, (i) any and all Claims by governmental or regulatory authorities for enforcement, cleanup, removal, response, remedial, or other actions or damages pursuant to any Environmental Law and (ii) any and all Claims by any third party seeking damages, contribution, indemnification, cost recovery, compensation, or injunctive relief relating to the presence Release or threatened Release of Hazardous Materials or arising from alleged injury or threat of injury to health or safety (to the extent relating to human exposure to Hazardous Materials), or the environment including, without limitation, ambient air, indoor air, surface water, groundwater, soil, land surface and subsurface strata, and natural resources such as wetlands.</w:t>
      </w:r>
    </w:p>
    <w:p>
      <w:pPr>
        <w:spacing w:after="0" w:line="192" w:lineRule="exact"/>
        <w:rPr>
          <w:sz w:val="20"/>
          <w:szCs w:val="20"/>
          <w:color w:val="auto"/>
        </w:rPr>
      </w:pPr>
    </w:p>
    <w:p>
      <w:pPr>
        <w:ind w:right="140"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Law</w:t>
      </w:r>
      <w:r>
        <w:rPr>
          <w:rFonts w:ascii="Arial" w:cs="Arial" w:eastAsia="Arial" w:hAnsi="Arial"/>
          <w:sz w:val="17"/>
          <w:szCs w:val="17"/>
          <w:color w:val="auto"/>
        </w:rPr>
        <w:t>” shall mean any applicable federal, state, foreign, or local statute, law, rule, regulation, ordinance, code, and rule of common law now or hereafter in effect and in each case as amended, and any binding judicial or administrative interpretation thereof, including any binding judicial or administrative order, consent decree, or judgment, relating to pollution or protection of the environment, including, without limitation, ambient air, indoor air, surface water, groundwater, soil, land surface and subsurface strata and natural resources such as flora, fauna, or wetlands, or protection of human health or safety (to the extent relating to human exposure to Hazardous Materials) and including those relating to the generation, storage, treatment, transport, Release, or threat of Release of Hazardous Materials.</w:t>
      </w:r>
    </w:p>
    <w:p>
      <w:pPr>
        <w:spacing w:after="0" w:line="173"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Interest</w:t>
      </w:r>
      <w:r>
        <w:rPr>
          <w:rFonts w:ascii="Arial" w:cs="Arial" w:eastAsia="Arial" w:hAnsi="Arial"/>
          <w:sz w:val="18"/>
          <w:szCs w:val="18"/>
          <w:color w:val="auto"/>
        </w:rPr>
        <w:t>” shall mean Capital Stock and all warrants, options, or other rights to acquire Capital Stock, but excluding any debt security that is convertible into, or exchangeable for, Capital Stock.</w:t>
      </w:r>
    </w:p>
    <w:p>
      <w:pPr>
        <w:spacing w:after="0" w:line="162"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Offering</w:t>
      </w:r>
      <w:r>
        <w:rPr>
          <w:rFonts w:ascii="Arial" w:cs="Arial" w:eastAsia="Arial" w:hAnsi="Arial"/>
          <w:sz w:val="18"/>
          <w:szCs w:val="18"/>
          <w:color w:val="auto"/>
        </w:rPr>
        <w:t>” shall mean any public or private sale of common stock or preferred stock of Holdings or any direct or indirect parent company of Holdings (excluding Disqualified Stock), other than: (i) public offerings with respect to the Borrower or any of its direct or indirect parent company’s (including Holdings’) common stock registered on Form S-8, (ii) issuances to any Subsidiary of Holdings, (iii) any such public or private sale that constitutes an Excluded Contribution, and (iv) any Cure Amount.</w:t>
      </w:r>
    </w:p>
    <w:p>
      <w:pPr>
        <w:spacing w:after="0" w:line="180" w:lineRule="exact"/>
        <w:rPr>
          <w:sz w:val="20"/>
          <w:szCs w:val="20"/>
          <w:color w:val="auto"/>
        </w:rPr>
      </w:pPr>
    </w:p>
    <w:p>
      <w:pPr>
        <w:ind w:right="5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shall mean the Employee Retirement Income Security Act of 1974, as amended from time to time, and the rules and regulations promulgated thereunder.</w:t>
      </w:r>
    </w:p>
    <w:p>
      <w:pPr>
        <w:spacing w:after="0" w:line="162" w:lineRule="exact"/>
        <w:rPr>
          <w:sz w:val="20"/>
          <w:szCs w:val="20"/>
          <w:color w:val="auto"/>
        </w:rPr>
      </w:pPr>
    </w:p>
    <w:p>
      <w:pPr>
        <w:jc w:val="both"/>
        <w:ind w:right="4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shall mean any trade or business (whether or not incorporated) that, together with any Credit Party, is treated as a single employer under Section 414 (b) or (c) of the Code (and Sections 414(m) and (o) of the Code for purposes of provisions relating to Section 412 of the Code).</w:t>
      </w:r>
    </w:p>
    <w:p>
      <w:pPr>
        <w:spacing w:after="0" w:line="176"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Event</w:t>
      </w:r>
      <w:r>
        <w:rPr>
          <w:rFonts w:ascii="Arial" w:cs="Arial" w:eastAsia="Arial" w:hAnsi="Arial"/>
          <w:sz w:val="18"/>
          <w:szCs w:val="18"/>
          <w:color w:val="auto"/>
        </w:rPr>
        <w:t>” shall mean (i) the failure of any Plan to comply with any provisions of ERISA and/or the Code (and applicable regulations under either) or with the terms of such Plan; (ii) the existence with respect to any Plan of a non-exempt Prohibited Transaction; (iii) any Reportable Event; (iv) the failure of any Credit Party or ERISA Affiliate to make by its due date a required installment under Section 430(j) of the Code with respect to any Pension Plan or any failure by any Pension Plan to satisfy the minimum funding standards (within the meaning of Section 412 of the Code or Section 302 of ERISA) applicable to such Pension Plan, whether or not waived; (v) a determination that any Pension Plan is in “at risk” status (within the meaning of Section 430 of the Code or Section</w:t>
      </w: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320" w:top="341" w:right="399" w:bottom="1440" w:gutter="0" w:footer="0" w:header="0"/>
        </w:sectPr>
      </w:pPr>
    </w:p>
    <w:bookmarkStart w:id="103" w:name="page104"/>
    <w:bookmarkEnd w:id="103"/>
    <w:p>
      <w:pPr>
        <w:spacing w:after="0" w:line="287" w:lineRule="auto"/>
        <w:rPr>
          <w:sz w:val="20"/>
          <w:szCs w:val="20"/>
          <w:color w:val="auto"/>
        </w:rPr>
      </w:pPr>
      <w:r>
        <w:rPr>
          <w:rFonts w:ascii="Arial" w:cs="Arial" w:eastAsia="Arial" w:hAnsi="Arial"/>
          <w:sz w:val="16"/>
          <w:szCs w:val="16"/>
          <w:color w:val="auto"/>
        </w:rPr>
        <w:t>303 of ERISA); (vi) the filing pursuant to Section 412(c) of the Code or Section 302(c) of ERISA of an application for a waiver of the minimum funding standard with respect to any Pension Plan; (vii) the termination of, or the appointment of a trustee to administer, any Pension Plan or the incurrence by any Credit Party or any of its ERISA Affiliates of any liability under Title IV of ERISA with respect to the termination of any Pension Plan, including but not limited to the imposition of any Lien in favor of the PBGC or any Pension Plan; (viii) the receipt by any Credit Party or any of its ERISA Affiliates from the PBGC or a plan administrator of any notice to terminate any Pension Plan or to appoint a trustee to administer any Pension Plan under Section 4042 of ERISA; (ix) the failure by any Credit Party or any of its ERISA Affiliates to make any required contribution to a Multiemployer Plan; (x) the incurrence by any Credit Party or any of its ERISA Affiliates of any liability with respect to the withdrawal or partial withdrawal from any Pension Plan (or a cessation of operations that is treated as such a withdrawal under Section 4062(e) of ERISA) or Multiemployer Plan; (xi) the receipt by any Credit Party or any of its ERISA Affiliates of any notice concerning the imposition of Withdrawal Liability or a determination that a Multiemployer Plan is, or is expected to be, Insolvent, in “endangered” or “critical” status (within the meaning of Section 432 of the Code or Section 305 of ERISA), or terminated (within the meaning of Section 4041A of ERISA); or (xii) the failure by any Credit Party or any of its ERISA Affiliates to pay when due (after expiration of any applicable grace period) any installment payment with respect to Withdrawal Liability under Section 4201 of ERISA.</w:t>
      </w:r>
    </w:p>
    <w:p>
      <w:pPr>
        <w:spacing w:after="0" w:line="110"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0000FF"/>
        </w:rPr>
        <w:t>EU Bail-In Legislation Schedule</w:t>
      </w:r>
      <w:r>
        <w:rPr>
          <w:rFonts w:ascii="Arial" w:cs="Arial" w:eastAsia="Arial" w:hAnsi="Arial"/>
          <w:sz w:val="18"/>
          <w:szCs w:val="18"/>
          <w:u w:val="single" w:color="auto"/>
          <w:color w:val="0000FF"/>
        </w:rPr>
        <w:t>” means the EU Bail-In Legislation Schedule published by the Loan Market Association (or any successor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person), as in effect from time to time.</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color w:val="000000"/>
        </w:rPr>
        <w:t>Event of Default</w:t>
      </w:r>
      <w:r>
        <w:rPr>
          <w:rFonts w:ascii="Arial" w:cs="Arial" w:eastAsia="Arial" w:hAnsi="Arial"/>
          <w:sz w:val="18"/>
          <w:szCs w:val="18"/>
          <w:color w:val="000000"/>
        </w:rPr>
        <w:t>” shall have the meaning provided in</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Section 11</w:t>
      </w:r>
      <w:r>
        <w:rPr>
          <w:rFonts w:ascii="Arial" w:cs="Arial" w:eastAsia="Arial" w:hAnsi="Arial"/>
          <w:sz w:val="18"/>
          <w:szCs w:val="18"/>
          <w:color w:val="000000"/>
        </w:rPr>
        <w:t>.</w:t>
      </w:r>
    </w:p>
    <w:p>
      <w:pPr>
        <w:spacing w:after="0" w:line="171"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Contribution</w:t>
      </w:r>
      <w:r>
        <w:rPr>
          <w:rFonts w:ascii="Arial" w:cs="Arial" w:eastAsia="Arial" w:hAnsi="Arial"/>
          <w:sz w:val="17"/>
          <w:szCs w:val="17"/>
          <w:color w:val="auto"/>
        </w:rPr>
        <w:t xml:space="preserve">” shall mean net cash proceeds, the Fair Market Value of marketable securities, or the Fair Market Value of Qualified Proceeds received by Holdings from (i) contributions to its common equity capital, and (ii) the sale (other than to a Subsidiary of Holdings or to any management equity plan or stock option plan or any other management or employee benefit plan or agreement of Holdings) of Capital Stock (other than Disqualified Stock and Designated Preferred Stock) of Holdings, in each case designated as Excluded Contributions pursuant to an officer’s certificate executed by either a senior vice president or the principal financial officer of the Borrower on the date such capital contributions are made or the date such Equity Interests are sold, as the case may be, which are excluded from the calculation set forth in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10.5(a)</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non-cash assets shall qualify only if acquired by a parent of Holdings in an arm’s-length transaction within the six months prior to such contribution and (ii) no Cure Amount shall constitute an Excluded Contribution.</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Property</w:t>
      </w:r>
      <w:r>
        <w:rPr>
          <w:rFonts w:ascii="Arial" w:cs="Arial" w:eastAsia="Arial" w:hAnsi="Arial"/>
          <w:sz w:val="18"/>
          <w:szCs w:val="18"/>
          <w:color w:val="auto"/>
        </w:rPr>
        <w:t>” shall have the meaning set forth in the Security Agreement.</w:t>
      </w:r>
    </w:p>
    <w:p>
      <w:pPr>
        <w:spacing w:after="0" w:line="171"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Stock and Stock Equivalents</w:t>
      </w:r>
      <w:r>
        <w:rPr>
          <w:rFonts w:ascii="Arial" w:cs="Arial" w:eastAsia="Arial" w:hAnsi="Arial"/>
          <w:sz w:val="17"/>
          <w:szCs w:val="17"/>
          <w:color w:val="auto"/>
        </w:rPr>
        <w:t xml:space="preserve">” shall mean (i) any Capital Stock or Stock Equivalents with respect to which, in the reasonable judgment of the Administrative Agent and the Borrower (as agreed to in writing), the cost or other consequences of pledging such Capital Stock or Stock Equivalents in favor of the Secured Parties under the Security Documents shall be excessive in view of the benefits to be obtained by the Lenders therefrom, (ii) solely in the case of any pledge of Capital Stock and Stock Equivalents of any Foreign Subsidiary or any CFC Holding Company, any Voting Stock or Stock Equivalents of any such Foreign Subsidiary or such CFC Holding Company in excess of 66% of the total voting power of all outstanding Voting Stock or Stock Equivalents of such Foreign Subsidiary or CFC Holding Company, (iii) any Capital Stock or Stock Equivalents to the extent the pledge thereof would violate any applicable Requirement of Law (including any legally effective requirement to obtain the consent of any Governmental Authority unless such consent has been obtained), (iv) in the case of (A) any Capital Stock or Stock Equivalents of any Subsidiary to the extent such Capital Stock or Stock Equivalents are subject to a Lien permitted by </w:t>
      </w:r>
      <w:r>
        <w:rPr>
          <w:rFonts w:ascii="Arial" w:cs="Arial" w:eastAsia="Arial" w:hAnsi="Arial"/>
          <w:sz w:val="17"/>
          <w:szCs w:val="17"/>
          <w:u w:val="single" w:color="auto"/>
          <w:color w:val="auto"/>
        </w:rPr>
        <w:t>clause (ix)</w:t>
      </w:r>
      <w:r>
        <w:rPr>
          <w:rFonts w:ascii="Arial" w:cs="Arial" w:eastAsia="Arial" w:hAnsi="Arial"/>
          <w:sz w:val="17"/>
          <w:szCs w:val="17"/>
          <w:color w:val="auto"/>
        </w:rPr>
        <w:t xml:space="preserve"> of the definition of “Permitted Lien” or (B) any Capital Stock or Stock Equivalents of any Subsidiary that is not Wholly-Owned by Holdings and its Subsidiaries at the time such Subsidiary becomes a Subsidiary, any Capital Stock or Stock Equivalents of each such Subsidiary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to the extent (I) that a pledge thereof to secure the Obligations is prohibited by any applicable Contractual Requirement (other than customary non-assignment provisions which are ineffective under the Uniform Commercial Code or other applicable law and other than proceeds thereof the assignment of which is expressly deemed effective under the Uniform Commercial Code or other applicable law notwithstanding such prohibition or restriction), (II) any Contractual Requirement prohibits such a pledge without the consent of any other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shall not apply if (x) such other party is a Credit Party or Wholly-Owned Subsidiary or (y) consent has been</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341" w:right="339" w:bottom="1440" w:gutter="0" w:footer="0" w:header="0"/>
        </w:sectPr>
      </w:pPr>
    </w:p>
    <w:bookmarkStart w:id="104" w:name="page105"/>
    <w:bookmarkEnd w:id="104"/>
    <w:p>
      <w:pPr>
        <w:ind w:right="80"/>
        <w:spacing w:after="0" w:line="288" w:lineRule="auto"/>
        <w:rPr>
          <w:sz w:val="20"/>
          <w:szCs w:val="20"/>
          <w:color w:val="auto"/>
        </w:rPr>
      </w:pPr>
      <w:r>
        <w:rPr>
          <w:rFonts w:ascii="Arial" w:cs="Arial" w:eastAsia="Arial" w:hAnsi="Arial"/>
          <w:sz w:val="16"/>
          <w:szCs w:val="16"/>
          <w:color w:val="auto"/>
        </w:rPr>
        <w:t>obtained to consummate such pledge (it being understood that the foregoing shall not be deemed to obligate Holdings or any Subsidiary to obtain any such consent) and for so long as such Contractual Requirement or replacement or renewal thereof is in effect, or (III) a pledge thereof to secure the Obligations would give any other party (other than a Credit Party or Wholly-Owned Subsidiary) to any contract, agreement, instrument, or indenture governing such Capital Stock or Stock Equivalents the right to terminate its obligations thereunder (other than customary non-assignment provisions which are ineffective under the Uniform Commercial Code or other applicable law and other than proceeds thereof the assignment of which is expressly deemed effective under the Uniform Commercial Code or other applicable law notwithstanding such prohibition or restriction), (v) any Capital Stock or Stock Equivalents of any Subsidiary to the extent that the pledge of such Capital Stock or Stock Equivalents would result in materially adverse tax consequences to Holdings or any Subsidiary as reasonably determined by the Borrower in consultation with the Administrative Agent, (vi) any Capital Stock or Stock Equivalents that are margin stock, and (vii) any Capital Stock and Stock Equivalents of any Subsidiary that is not a Material Subsidiary or is an Unrestricted Subsidiary, a captive insurance Subsidiary, an SPV, any special purpose entity or a Managed Care Subsidiary.</w:t>
      </w:r>
    </w:p>
    <w:p>
      <w:pPr>
        <w:spacing w:after="0" w:line="11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Subsidiary</w:t>
      </w:r>
      <w:r>
        <w:rPr>
          <w:rFonts w:ascii="Arial" w:cs="Arial" w:eastAsia="Arial" w:hAnsi="Arial"/>
          <w:sz w:val="16"/>
          <w:szCs w:val="16"/>
          <w:color w:val="auto"/>
        </w:rPr>
        <w:t xml:space="preserve">” shall mean (i) each Subsidiary, in each case, for so long as any such Subsidiary does not (on a consolidated basis with its Restricted Subsidiaries) constitute a Material Subsidiary, (ii) each Subsidiary that is not a Wholly-Owned Subsidiary on any date such Subsidiary would otherwise be required to become a Guarantor pursuant to the requirements of </w:t>
      </w:r>
      <w:r>
        <w:rPr>
          <w:rFonts w:ascii="Arial" w:cs="Arial" w:eastAsia="Arial" w:hAnsi="Arial"/>
          <w:sz w:val="16"/>
          <w:szCs w:val="16"/>
          <w:u w:val="single" w:color="auto"/>
          <w:color w:val="auto"/>
        </w:rPr>
        <w:t>Section 9.11</w:t>
      </w:r>
      <w:r>
        <w:rPr>
          <w:rFonts w:ascii="Arial" w:cs="Arial" w:eastAsia="Arial" w:hAnsi="Arial"/>
          <w:sz w:val="16"/>
          <w:szCs w:val="16"/>
          <w:color w:val="auto"/>
        </w:rPr>
        <w:t xml:space="preserve"> (for so long as such Subsidiary remains a non Wholly-Owned Restricted Subsidiary), (iii) any CFC Holding Company, (iv) any Domestic Subsidiary that is a Subsidiary of a Foreign Subsidiary that is a CFC, (v) any Foreign Subsidiary, (vi) each Subsidiary that is prohibited by any applicable Contractual Requirement or Requirement of Law from guaranteeing or granting Liens to secure the Obligations at the time such Subsidiary becomes a Restricted Subsidiary (and for so long as such restriction or any replacement or renewal thereof is in effect), (vii) each Subsidiary with respect to which, as reasonably determined by Holdings, the consequence of providing a Guarantee of the Obligations would adversely affect the ability of Holdings and its Subsidiaries to satisfy applicable Requirements of Law, (viii) any other Subsidiary with respect to which, (a) in the reasonable judgment of the Administrative Agent and Borrower, as agreed in writing, the cost or other consequences of providing a Guarantee of the Obligations shall be excessive in view of the benefits to be obtained by the Lenders therefrom or (b) providing such a Guarantee would result in material adverse tax consequences as reasonably determined by the Borrower in consultation with the Administrative Agent, (ix) each Unrestricted Subsidiary, (x) any Receivables Subsidiary, (xi) each other Subsidiary acquired pursuant to a Permitted Acquisition or other Investment permitted hereunder and financed with assumed secured Indebtedness permitted hereunder, and each Restricted Subsidiary acquired in such Permitted Acquisition or other Investment permitted hereunder that guarantees such Indebtedness, in each case to the extent that, and for so long as, the documentation relating to such Indebtedness to which such Subsidiary is a party prohibits such Subsidiary from guaranteeing the Obligations and such prohibition was not created in contemplation of such Permitted Acquisition or other Investment permitted hereunder, (xii) each SPV or not-for-profit Subsidiary and (xiii) any Managed Care Subsidiary.</w:t>
      </w:r>
    </w:p>
    <w:p>
      <w:pPr>
        <w:spacing w:after="0" w:line="38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Swap Obligation</w:t>
      </w:r>
      <w:r>
        <w:rPr>
          <w:rFonts w:ascii="Arial" w:cs="Arial" w:eastAsia="Arial" w:hAnsi="Arial"/>
          <w:sz w:val="17"/>
          <w:szCs w:val="17"/>
          <w:color w:val="auto"/>
        </w:rPr>
        <w:t>” shall mean, with respect to any Credit Party, (a) any Swap Obligation if, and to the extent that, all or a portion of the Obligations of such Credit Party of, or the grant by such Credit Party of a security interest to secure, such Swap Obligation (or any Obligations thereof) is or becomes illegal or unlawful under the Commodity Exchange Act or any rule, regulation, or order of the Commodity Futures Trading Commission (or the application or official interpretation of any thereof) or (b) any other Swap Obligation designated as an “Excluded Swap Obligation” of such Guarantor as specified in any agreement between the relevant Credit Parties and Hedge Bank applicable to such Swap Obligation. If a Swap Obligation arises under a master agreement governing more than one swap, such exclusion shall apply only to the portion of such Swap Obligation that is attributable to swaps for which such Obligation or security interest is or becomes illegal or unlawful.</w:t>
      </w:r>
    </w:p>
    <w:p>
      <w:pPr>
        <w:spacing w:after="0" w:line="172" w:lineRule="exact"/>
        <w:rPr>
          <w:sz w:val="20"/>
          <w:szCs w:val="20"/>
          <w:color w:val="auto"/>
        </w:rPr>
      </w:pPr>
    </w:p>
    <w:p>
      <w:pPr>
        <w:ind w:right="16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Taxes</w:t>
      </w:r>
      <w:r>
        <w:rPr>
          <w:rFonts w:ascii="Arial" w:cs="Arial" w:eastAsia="Arial" w:hAnsi="Arial"/>
          <w:sz w:val="18"/>
          <w:szCs w:val="18"/>
          <w:color w:val="auto"/>
        </w:rPr>
        <w:t>” shall mean, with respect to the Administrative Agent, any Lender, or any other recipient of any payment to be made by or on account of any obligation of any Credit Party hereunder or under any other Credit Document, (i) Taxes imposed on or measured by its overall net income, net profits, or branch profits (however denominated, and including (for the avoidance of doubt) any backup withholding in respect thereof under Section 3406 of the Code or any similar provision of state, local, or foreign law), and franchise (and similar) Taxes imposed on it (in lieu of net income Taxes), in each case by a jurisdiction (including any political subdivision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341" w:right="339" w:bottom="1440" w:gutter="0" w:footer="0" w:header="0"/>
        </w:sectPr>
      </w:pPr>
    </w:p>
    <w:bookmarkStart w:id="105" w:name="page106"/>
    <w:bookmarkEnd w:id="105"/>
    <w:p>
      <w:pPr>
        <w:spacing w:after="0" w:line="253" w:lineRule="auto"/>
        <w:rPr>
          <w:sz w:val="20"/>
          <w:szCs w:val="20"/>
          <w:color w:val="auto"/>
        </w:rPr>
      </w:pPr>
      <w:r>
        <w:rPr>
          <w:rFonts w:ascii="Arial" w:cs="Arial" w:eastAsia="Arial" w:hAnsi="Arial"/>
          <w:sz w:val="18"/>
          <w:szCs w:val="18"/>
          <w:color w:val="auto"/>
        </w:rPr>
        <w:t xml:space="preserve">thereof) as a result of such recipient being organized in, having its principal office in, or in the case of any Lender, having its applicable lending office in, such jurisdiction, or as a result of any other present or former connection with such jurisdiction (other than any such connection arising solely from this Agreement or any other Credit Documents or any transactions contemplated thereunder), (ii) any United States federal withholding Tax imposed on any payment by or on account of any obligation of any Credit Party hereunder or under any other Credit Document that is required to be imposed on amounts payable to or for the account of a Lender pursuant to laws in force at the time such Lender acquires an interest in any Credit Document (or designates a new lending office), other than in the case of a Lender that is an assignee pursuant to a request by the Borrower under </w:t>
      </w:r>
      <w:r>
        <w:rPr>
          <w:rFonts w:ascii="Arial" w:cs="Arial" w:eastAsia="Arial" w:hAnsi="Arial"/>
          <w:sz w:val="18"/>
          <w:szCs w:val="18"/>
          <w:u w:val="single" w:color="auto"/>
          <w:color w:val="auto"/>
        </w:rPr>
        <w:t>Section 13.7</w:t>
      </w:r>
      <w:r>
        <w:rPr>
          <w:rFonts w:ascii="Arial" w:cs="Arial" w:eastAsia="Arial" w:hAnsi="Arial"/>
          <w:sz w:val="18"/>
          <w:szCs w:val="18"/>
          <w:color w:val="auto"/>
        </w:rPr>
        <w:t xml:space="preserve"> (or that designates a new lending office pursuant to a request by the Borrower), except to the extent that such Lender (or its assignor, if any) was entitled, immediately prior to the designation of a new lending office (or assignment), to receive additional amounts from the Credit Parties with respect to such withholding Tax pursuant to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(iii) any withholding Taxes attributable to a recipient’s failure to comply with </w:t>
      </w:r>
      <w:r>
        <w:rPr>
          <w:rFonts w:ascii="Arial" w:cs="Arial" w:eastAsia="Arial" w:hAnsi="Arial"/>
          <w:sz w:val="18"/>
          <w:szCs w:val="18"/>
          <w:u w:val="single" w:color="auto"/>
          <w:color w:val="auto"/>
        </w:rPr>
        <w:t>Section 5.4(e)</w:t>
      </w:r>
      <w:r>
        <w:rPr>
          <w:rFonts w:ascii="Arial" w:cs="Arial" w:eastAsia="Arial" w:hAnsi="Arial"/>
          <w:sz w:val="18"/>
          <w:szCs w:val="18"/>
          <w:color w:val="auto"/>
        </w:rPr>
        <w:t>, or (iv) any withholding Tax imposed under FATCA.</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Class</w:t>
      </w:r>
      <w:r>
        <w:rPr>
          <w:rFonts w:ascii="Arial" w:cs="Arial" w:eastAsia="Arial" w:hAnsi="Arial"/>
          <w:sz w:val="18"/>
          <w:szCs w:val="18"/>
          <w:color w:val="auto"/>
        </w:rPr>
        <w:t>” shall mean any Existing Term Loan Class and any Existing Revolving Credit Class.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Letters of Credit</w:t>
      </w:r>
      <w:r>
        <w:rPr>
          <w:rFonts w:ascii="Arial" w:cs="Arial" w:eastAsia="Arial" w:hAnsi="Arial"/>
          <w:sz w:val="18"/>
          <w:szCs w:val="18"/>
          <w:color w:val="auto"/>
        </w:rPr>
        <w:t xml:space="preserve">” shall mean those certain letters of credit listed on </w:t>
      </w:r>
      <w:r>
        <w:rPr>
          <w:rFonts w:ascii="Arial" w:cs="Arial" w:eastAsia="Arial" w:hAnsi="Arial"/>
          <w:sz w:val="18"/>
          <w:szCs w:val="18"/>
          <w:u w:val="single" w:color="auto"/>
          <w:color w:val="auto"/>
        </w:rPr>
        <w:t>Schedule 1.1(c)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Revolving Credit Class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Revolving Credit Commitment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Revolving Credit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Term Loan Class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Expiring Credit Commitment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Repayment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Revolving Credit Commitments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Revolving Credit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Term Loan Repayment Amount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Term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Extending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Amendment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2.14(g)(iv)</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2.14(g)(v)</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Election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Request</w:t>
      </w:r>
      <w:r>
        <w:rPr>
          <w:rFonts w:ascii="Arial" w:cs="Arial" w:eastAsia="Arial" w:hAnsi="Arial"/>
          <w:sz w:val="18"/>
          <w:szCs w:val="18"/>
          <w:color w:val="auto"/>
        </w:rPr>
        <w:t>” shall mean a Term Loan Extension Request.</w:t>
      </w:r>
    </w:p>
    <w:p>
      <w:pPr>
        <w:spacing w:after="0" w:line="225" w:lineRule="exact"/>
        <w:rPr>
          <w:sz w:val="20"/>
          <w:szCs w:val="20"/>
          <w:color w:val="auto"/>
        </w:rPr>
      </w:pPr>
    </w:p>
    <w:p>
      <w:pPr>
        <w:ind w:right="14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Extension Series</w:t>
      </w:r>
      <w:r>
        <w:rPr>
          <w:rFonts w:ascii="Arial" w:cs="Arial" w:eastAsia="Arial" w:hAnsi="Arial"/>
          <w:sz w:val="17"/>
          <w:szCs w:val="17"/>
          <w:color w:val="auto"/>
        </w:rPr>
        <w:t>” shall mean all Extended Term Loans and Extended Revolving Credit Commitments that are established pursuant to the same Extension Amendment (or any subsequent Extension Amendment to the extent such Extension Amendment expressly provides that the Extended Term Loans or Extended Revolving Credit Commitments, as applicable, provided for therein are intended to be a part of any previously established Extension Series) and that provide for the same interest margins, extension fees, and amortization schedule.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341" w:right="339" w:bottom="1440" w:gutter="0" w:footer="0" w:header="0"/>
        </w:sectPr>
      </w:pPr>
    </w:p>
    <w:bookmarkStart w:id="106" w:name="page107"/>
    <w:bookmarkEnd w:id="106"/>
    <w:p>
      <w:pPr>
        <w:ind w:right="56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Eye Care Club</w:t>
      </w:r>
      <w:r>
        <w:rPr>
          <w:rFonts w:ascii="Arial" w:cs="Arial" w:eastAsia="Arial" w:hAnsi="Arial"/>
          <w:sz w:val="17"/>
          <w:szCs w:val="17"/>
          <w:color w:val="auto"/>
        </w:rPr>
        <w:t>” shall mean the multi-year programs offered from locations operated by Holdings or its Subsidiaries pursuant to which a purchaser/customer obtains the right to obtain multiple eye examinations and discounts on eyewear during the program period.</w:t>
      </w:r>
    </w:p>
    <w:p>
      <w:pPr>
        <w:spacing w:after="0" w:line="14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shall mean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as determined in good faith by the Borrower.</w:t>
      </w:r>
    </w:p>
    <w:p>
      <w:pPr>
        <w:spacing w:after="0" w:line="180" w:lineRule="exact"/>
        <w:rPr>
          <w:sz w:val="20"/>
          <w:szCs w:val="20"/>
          <w:color w:val="auto"/>
        </w:rPr>
      </w:pPr>
    </w:p>
    <w:p>
      <w:pPr>
        <w:ind w:right="36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FATCA</w:t>
      </w:r>
      <w:r>
        <w:rPr>
          <w:rFonts w:ascii="Arial" w:cs="Arial" w:eastAsia="Arial" w:hAnsi="Arial"/>
          <w:sz w:val="16"/>
          <w:szCs w:val="16"/>
          <w:color w:val="auto"/>
        </w:rPr>
        <w:t>” 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as of the date of this Agreement (or any amended or successor version described above), and any intergovernmental agreements (or related legislation or official administrative rules or practices) implementing the foregoing.</w:t>
      </w:r>
    </w:p>
    <w:p>
      <w:pPr>
        <w:spacing w:after="0" w:line="151" w:lineRule="exact"/>
        <w:rPr>
          <w:sz w:val="20"/>
          <w:szCs w:val="20"/>
          <w:color w:val="auto"/>
        </w:rPr>
      </w:pPr>
    </w:p>
    <w:p>
      <w:pPr>
        <w:ind w:right="20"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Federal Funds Effective Rate</w:t>
      </w:r>
      <w:r>
        <w:rPr>
          <w:rFonts w:ascii="Arial" w:cs="Arial" w:eastAsia="Arial" w:hAnsi="Arial"/>
          <w:sz w:val="17"/>
          <w:szCs w:val="17"/>
          <w:color w:val="auto"/>
        </w:rPr>
        <w:t xml:space="preserve">” shall mean, for any day, the weighted average of the per annum rates on overnight federal funds transactions with members of the Federal Reserve System on such day, as published on the next succeeding Business Day by the Federal Reserve Bank of New York;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such day is not a Business Day, the Federal Funds Effective Rate for such day shall be such rate on such transactions on the next preceding Business Day as so published on the next succeeding Business Day, and (ii) if no such rate is so published on such next succeeding Business Day, the Federal Funds Effective Rate for such day shall be the average rate (rounded upward, if necessary, to a whole multiple of 1/100 of 1%) charged to the Administrative Agent on such day on such transactions as determined by the Administrative Agent.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Fees</w:t>
      </w:r>
      <w:r>
        <w:rPr>
          <w:rFonts w:ascii="Arial" w:cs="Arial" w:eastAsia="Arial" w:hAnsi="Arial"/>
          <w:sz w:val="18"/>
          <w:szCs w:val="18"/>
          <w:color w:val="auto"/>
        </w:rPr>
        <w:t xml:space="preserve">” shall mean all amounts payable pursuant to, or referred to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First Lien Intercreditor Agreement</w:t>
      </w:r>
      <w:r>
        <w:rPr>
          <w:rFonts w:ascii="Arial" w:cs="Arial" w:eastAsia="Arial" w:hAnsi="Arial"/>
          <w:sz w:val="17"/>
          <w:szCs w:val="17"/>
          <w:color w:val="auto"/>
        </w:rPr>
        <w:t xml:space="preserve">” shall mean an Intercreditor Agreement substantially in the form of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(with such changes to such form as may be reasonably acceptable to the Administrative Agent and the Borrower) among the Administrative Agent, the Collateral Agent, and the representatives for purposes thereof for holders of one or more classes of First Lien Obligations (other than the Obligations).</w:t>
      </w:r>
    </w:p>
    <w:p>
      <w:pPr>
        <w:spacing w:after="0" w:line="158"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Lien Obligations</w:t>
      </w:r>
      <w:r>
        <w:rPr>
          <w:rFonts w:ascii="Arial" w:cs="Arial" w:eastAsia="Arial" w:hAnsi="Arial"/>
          <w:sz w:val="18"/>
          <w:szCs w:val="18"/>
          <w:color w:val="auto"/>
        </w:rPr>
        <w:t>” shall mean the Obligations and the Permitted Other Indebtedness Obligations that are secured by the Collateral on an equal priority basis (but without regard to the control of remedies) with liens on the Collateral securing the Obligations.</w:t>
      </w:r>
    </w:p>
    <w:p>
      <w:pPr>
        <w:spacing w:after="0" w:line="162" w:lineRule="exact"/>
        <w:rPr>
          <w:sz w:val="20"/>
          <w:szCs w:val="20"/>
          <w:color w:val="auto"/>
        </w:rPr>
      </w:pPr>
    </w:p>
    <w:p>
      <w:pPr>
        <w:ind w:right="36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First Lien Secured Leverage Test</w:t>
      </w:r>
      <w:r>
        <w:rPr>
          <w:rFonts w:ascii="Arial" w:cs="Arial" w:eastAsia="Arial" w:hAnsi="Arial"/>
          <w:sz w:val="17"/>
          <w:szCs w:val="17"/>
          <w:color w:val="auto"/>
        </w:rPr>
        <w:t>” shall mean, as of any date of determination, with respect to the last day of the most recently ended Test Period, the Consolidated First Lien Secured Debt to Consolidated EBITDA Ratio shall be no greater than 3.25 to 1.00.</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FirstSight</w:t>
      </w:r>
      <w:r>
        <w:rPr>
          <w:rFonts w:ascii="Arial" w:cs="Arial" w:eastAsia="Arial" w:hAnsi="Arial"/>
          <w:sz w:val="18"/>
          <w:szCs w:val="18"/>
          <w:color w:val="auto"/>
        </w:rPr>
        <w:t>” shall mean FirstSight Vision Services, Inc., a California corporation.</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FF0000"/>
          <w:strike w:val="1"/>
        </w:rPr>
        <w:t>“</w:t>
      </w:r>
      <w:r>
        <w:rPr>
          <w:rFonts w:ascii="Arial" w:cs="Arial" w:eastAsia="Arial" w:hAnsi="Arial"/>
          <w:sz w:val="17"/>
          <w:szCs w:val="17"/>
          <w:b w:val="1"/>
          <w:bCs w:val="1"/>
          <w:color w:val="FF0000"/>
          <w:strike w:val="1"/>
        </w:rPr>
        <w:t>Fixed Charge Coverage Ratio</w:t>
      </w:r>
      <w:r>
        <w:rPr>
          <w:rFonts w:ascii="Arial" w:cs="Arial" w:eastAsia="Arial" w:hAnsi="Arial"/>
          <w:sz w:val="17"/>
          <w:szCs w:val="17"/>
          <w:color w:val="FF0000"/>
          <w:strike w:val="1"/>
        </w:rPr>
        <w:t xml:space="preserve">” shall mean, as of any date of determination, the ratio of (i) Consolidated EBITDA for the Test Period then last ended to (ii) the Fixed Charges for such Test Period. In the event that Holdings or any Restricted Subsidiary incurs, assumes, guarantees, redeems, retires, or extinguishes any Indebtedness or issues or redeems Disqualified Stock or preferred stock subsequent to the commencement of the Test Period but prior to or simultaneously with the date of determination, then the Fixed Charge Coverage Ratio shall be calculated giving Pro Forma Effect to such incurrence, assumption, guarantee, redemption, retirement, or extinguishment of Indebtedness, or such issuance or redemption of Disqualified Stock or preferred stock (in each case, including a pro forma application of the net proceeds therefrom), as if the same had occurred at the beginning of the Test Period; </w:t>
      </w:r>
      <w:r>
        <w:rPr>
          <w:rFonts w:ascii="Arial" w:cs="Arial" w:eastAsia="Arial" w:hAnsi="Arial"/>
          <w:sz w:val="17"/>
          <w:szCs w:val="17"/>
          <w:u w:val="single" w:color="auto"/>
          <w:color w:val="FF0000"/>
          <w:strike w:val="1"/>
        </w:rPr>
        <w:t>provided</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FF0000"/>
          <w:strike w:val="1"/>
        </w:rPr>
        <w:t>however</w:t>
      </w:r>
      <w:r>
        <w:rPr>
          <w:rFonts w:ascii="Arial" w:cs="Arial" w:eastAsia="Arial" w:hAnsi="Arial"/>
          <w:sz w:val="17"/>
          <w:szCs w:val="17"/>
          <w:color w:val="FF0000"/>
          <w:strike w:val="1"/>
        </w:rPr>
        <w:t xml:space="preserve">, that Pro Forma Effect shall not give effect to any Indebtedness incurred on the date of such determination (except pursuant to the first paragraph of </w:t>
      </w:r>
      <w:r>
        <w:rPr>
          <w:rFonts w:ascii="Arial" w:cs="Arial" w:eastAsia="Arial" w:hAnsi="Arial"/>
          <w:sz w:val="17"/>
          <w:szCs w:val="17"/>
          <w:u w:val="single" w:color="auto"/>
          <w:color w:val="FF0000"/>
          <w:strike w:val="1"/>
        </w:rPr>
        <w:t>Section 10.1</w:t>
      </w:r>
      <w:r>
        <w:rPr>
          <w:rFonts w:ascii="Arial" w:cs="Arial" w:eastAsia="Arial" w:hAnsi="Arial"/>
          <w:sz w:val="17"/>
          <w:szCs w:val="17"/>
          <w:color w:val="FF0000"/>
          <w:strike w:val="1"/>
        </w:rPr>
        <w:t xml:space="preserve"> and </w:t>
      </w:r>
      <w:r>
        <w:rPr>
          <w:rFonts w:ascii="Arial" w:cs="Arial" w:eastAsia="Arial" w:hAnsi="Arial"/>
          <w:sz w:val="17"/>
          <w:szCs w:val="17"/>
          <w:u w:val="single" w:color="auto"/>
          <w:color w:val="FF0000"/>
          <w:strike w:val="1"/>
        </w:rPr>
        <w:t>Section 10.1(n)</w:t>
      </w:r>
      <w:r>
        <w:rPr>
          <w:rFonts w:ascii="Arial" w:cs="Arial" w:eastAsia="Arial" w:hAnsi="Arial"/>
          <w:sz w:val="17"/>
          <w:szCs w:val="17"/>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0421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042150" cy="8255"/>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60"/>
          </w:cols>
          <w:pgMar w:left="320" w:top="337" w:right="419" w:bottom="1440" w:gutter="0" w:footer="0" w:header="0"/>
        </w:sectPr>
      </w:pPr>
    </w:p>
    <w:bookmarkStart w:id="107" w:name="page108"/>
    <w:bookmarkEnd w:id="10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Charges</w:t>
      </w:r>
      <w:r>
        <w:rPr>
          <w:rFonts w:ascii="Arial" w:cs="Arial" w:eastAsia="Arial" w:hAnsi="Arial"/>
          <w:sz w:val="18"/>
          <w:szCs w:val="18"/>
          <w:color w:val="auto"/>
        </w:rPr>
        <w:t>” shall mean, with respect to any Person for any period, the sum of:</w:t>
      </w:r>
    </w:p>
    <w:p>
      <w:pPr>
        <w:spacing w:after="0" w:line="229" w:lineRule="exact"/>
        <w:rPr>
          <w:sz w:val="20"/>
          <w:szCs w:val="20"/>
          <w:color w:val="auto"/>
        </w:rPr>
      </w:pPr>
    </w:p>
    <w:p>
      <w:pPr>
        <w:ind w:left="2540" w:hanging="345"/>
        <w:spacing w:after="0"/>
        <w:tabs>
          <w:tab w:leader="none" w:pos="2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Consolidated Interest Expense of such Person for such period,</w:t>
      </w:r>
    </w:p>
    <w:p>
      <w:pPr>
        <w:spacing w:after="0" w:line="225" w:lineRule="exact"/>
        <w:rPr>
          <w:rFonts w:ascii="Arial" w:cs="Arial" w:eastAsia="Arial" w:hAnsi="Arial"/>
          <w:sz w:val="18"/>
          <w:szCs w:val="18"/>
          <w:color w:val="auto"/>
        </w:rPr>
      </w:pPr>
    </w:p>
    <w:p>
      <w:pPr>
        <w:ind w:left="660" w:right="260" w:firstLine="1535"/>
        <w:spacing w:after="0" w:line="277" w:lineRule="auto"/>
        <w:tabs>
          <w:tab w:leader="none" w:pos="2599"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cash dividend payments (excluding items eliminated in consolidation) on any series of preferred stock (including any Designated Preferred Stock) or any Refunding Capital Stock of such Person made during such period, and</w:t>
      </w:r>
    </w:p>
    <w:p>
      <w:pPr>
        <w:spacing w:after="0" w:line="170" w:lineRule="exact"/>
        <w:rPr>
          <w:rFonts w:ascii="Arial" w:cs="Arial" w:eastAsia="Arial" w:hAnsi="Arial"/>
          <w:sz w:val="18"/>
          <w:szCs w:val="18"/>
          <w:color w:val="auto"/>
        </w:rPr>
      </w:pPr>
    </w:p>
    <w:p>
      <w:pPr>
        <w:ind w:left="2640" w:hanging="445"/>
        <w:spacing w:after="0"/>
        <w:tabs>
          <w:tab w:leader="none" w:pos="26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all cash dividend payments (excluding items eliminated in consolidation) on any series of Disqualified Stock made</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during such period.</w:t>
      </w:r>
    </w:p>
    <w:p>
      <w:pPr>
        <w:spacing w:after="0" w:line="20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Benefit Arrangement</w:t>
      </w:r>
      <w:r>
        <w:rPr>
          <w:rFonts w:ascii="Arial" w:cs="Arial" w:eastAsia="Arial" w:hAnsi="Arial"/>
          <w:sz w:val="18"/>
          <w:szCs w:val="18"/>
          <w:color w:val="auto"/>
        </w:rPr>
        <w:t>” shall mean any employee benefit arrangement mandated by non-U.S. law that is maintained or contributed to by any Credit Party or any of its Subsidiaries.</w:t>
      </w:r>
    </w:p>
    <w:p>
      <w:pPr>
        <w:spacing w:after="0" w:line="162"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Plan</w:t>
      </w:r>
      <w:r>
        <w:rPr>
          <w:rFonts w:ascii="Arial" w:cs="Arial" w:eastAsia="Arial" w:hAnsi="Arial"/>
          <w:sz w:val="18"/>
          <w:szCs w:val="18"/>
          <w:color w:val="auto"/>
        </w:rPr>
        <w:t>” shall mean each employee benefit plan (within the meaning of Section 3(3) of ERISA, whether or not subject to ERISA) that is not subject to U.S. law and is maintained or contributed to by any Credit Party or any of its Subsidiaries.</w:t>
      </w:r>
    </w:p>
    <w:p>
      <w:pPr>
        <w:spacing w:after="0" w:line="162"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Foreign Plan Event</w:t>
      </w:r>
      <w:r>
        <w:rPr>
          <w:rFonts w:ascii="Arial" w:cs="Arial" w:eastAsia="Arial" w:hAnsi="Arial"/>
          <w:sz w:val="17"/>
          <w:szCs w:val="17"/>
          <w:color w:val="auto"/>
        </w:rPr>
        <w:t>” shall mean, with respect to any Foreign Plan or Foreign Benefit Arrangement, (i) the failure to make or, if applicable, accrue in accordance with normal accounting practices, any employer or employee contributions required by applicable law or by the terms of such Foreign Plan or Foreign Benefit Arrangement; (ii) the failure to register or loss of good standing (if applicable) with applicable regulatory authorities of any such Foreign Plan or Foreign Benefit Arrangement required to be registered; or (iii) the failure of any Foreign Plan or Foreign Benefit Arrangement to comply with any provisions of applicable law or regulations or with the terms of such Foreign Plan or Foreign Benefit Arrangement.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shall mean each Subsidiary of Holdings that is not a Domestic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Former Agent</w:t>
      </w:r>
      <w:r>
        <w:rPr>
          <w:rFonts w:ascii="Arial" w:cs="Arial" w:eastAsia="Arial" w:hAnsi="Arial"/>
          <w:sz w:val="18"/>
          <w:szCs w:val="18"/>
          <w:color w:val="auto"/>
        </w:rPr>
        <w:t>” shall have the meaning provided in the recitals to this Agreement.</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Fronting Exposure</w:t>
      </w:r>
      <w:r>
        <w:rPr>
          <w:rFonts w:ascii="Arial" w:cs="Arial" w:eastAsia="Arial" w:hAnsi="Arial"/>
          <w:sz w:val="17"/>
          <w:szCs w:val="17"/>
          <w:color w:val="auto"/>
        </w:rPr>
        <w:t>” shall mean, at any time there is a Defaulting Lender, (i) with respect to a Letter of Credit Issuer, such Defaulting Lender’s Revolving Credit Commitment Percentage of the outstanding L/C Obligations other than L/C Obligations as to which such Defaulting Lender’s participation obligation has been reallocated to other Lenders or Cash Collateralized in accordance with the terms hereof, and (ii) with respect to the Swingline Lender, such Defaulting Lender’s Revolving Credit Commitment Percentage of Swingline Loans other than Swingline Loans as to which such Defaulting Lender’s participation obligation has been reallocated to other Lenders in accordance with the terms hereof.</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Fronting Fee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4.1(d)</w:t>
      </w:r>
      <w:r>
        <w:rPr>
          <w:rFonts w:ascii="Arial" w:cs="Arial" w:eastAsia="Arial" w:hAnsi="Arial"/>
          <w:sz w:val="18"/>
          <w:szCs w:val="18"/>
          <w:color w:val="auto"/>
        </w:rPr>
        <w:t>.</w:t>
      </w:r>
    </w:p>
    <w:p>
      <w:pPr>
        <w:spacing w:after="0" w:line="225"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w:t>
      </w:r>
      <w:r>
        <w:rPr>
          <w:rFonts w:ascii="Arial" w:cs="Arial" w:eastAsia="Arial" w:hAnsi="Arial"/>
          <w:sz w:val="18"/>
          <w:szCs w:val="18"/>
          <w:color w:val="auto"/>
        </w:rPr>
        <w:t>” shall mean any Person (other than a natural Person) that is engaged or advises funds or other investment vehicles that are engaged in making, purchasing, holding, or investing in commercial loans and similar extensions of credit in the ordinary course.</w:t>
      </w:r>
    </w:p>
    <w:p>
      <w:pPr>
        <w:spacing w:after="0" w:line="162" w:lineRule="exact"/>
        <w:rPr>
          <w:sz w:val="20"/>
          <w:szCs w:val="20"/>
          <w:color w:val="auto"/>
        </w:rPr>
      </w:pPr>
    </w:p>
    <w:p>
      <w:pPr>
        <w:ind w:right="260"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Funded Debt</w:t>
      </w:r>
      <w:r>
        <w:rPr>
          <w:rFonts w:ascii="Arial" w:cs="Arial" w:eastAsia="Arial" w:hAnsi="Arial"/>
          <w:sz w:val="16"/>
          <w:szCs w:val="16"/>
          <w:color w:val="auto"/>
        </w:rPr>
        <w:t>” shall mean all Indebtedness of Holdings and the Restricted Subsidiaries for borrowed money that matures more than one year from the date of its creation or matures within one year from such date that is renewable or extendable, at the option of Holdings or any Restricted Subsidiary, to a date more than one year from the date of its creation or arises under a revolving credit or similar agreement that obligates the lender or lenders to extend credit during a period of more than one year from such date (including all amounts of such Funded Debt required to be paid or prepaid within one year from the date of its creation), and, in the case of the Credit Parties, Indebtedness in respect of the Loans.</w:t>
      </w:r>
    </w:p>
    <w:p>
      <w:pPr>
        <w:spacing w:after="0" w:line="154"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xml:space="preserve">” shall mean generally accepted accounting principles in the United States, as in effect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Borrower notifies the Administrative Agent that the Borrower requests an</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320" w:top="337" w:right="359" w:bottom="1440" w:gutter="0" w:footer="0" w:header="0"/>
        </w:sectPr>
      </w:pPr>
    </w:p>
    <w:bookmarkStart w:id="108" w:name="page109"/>
    <w:bookmarkEnd w:id="108"/>
    <w:p>
      <w:pPr>
        <w:ind w:right="20"/>
        <w:spacing w:after="0" w:line="287" w:lineRule="auto"/>
        <w:rPr>
          <w:sz w:val="20"/>
          <w:szCs w:val="20"/>
          <w:color w:val="auto"/>
        </w:rPr>
      </w:pPr>
      <w:r>
        <w:rPr>
          <w:rFonts w:ascii="Arial" w:cs="Arial" w:eastAsia="Arial" w:hAnsi="Arial"/>
          <w:sz w:val="16"/>
          <w:szCs w:val="16"/>
          <w:color w:val="auto"/>
        </w:rPr>
        <w:t>amendment to any provision hereof to eliminate the effect of any change occurring after the Restatement Effective Date in GAAP or in the application thereof on the operation of such provision,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Furthermore, at any time after the Restatement Effective Date, Holdings may elect to apply International Financial Reporting Standards (“</w:t>
      </w:r>
      <w:r>
        <w:rPr>
          <w:rFonts w:ascii="Arial" w:cs="Arial" w:eastAsia="Arial" w:hAnsi="Arial"/>
          <w:sz w:val="16"/>
          <w:szCs w:val="16"/>
          <w:b w:val="1"/>
          <w:bCs w:val="1"/>
          <w:color w:val="auto"/>
        </w:rPr>
        <w:t>IFRS</w:t>
      </w:r>
      <w:r>
        <w:rPr>
          <w:rFonts w:ascii="Arial" w:cs="Arial" w:eastAsia="Arial" w:hAnsi="Arial"/>
          <w:sz w:val="16"/>
          <w:szCs w:val="16"/>
          <w:color w:val="auto"/>
        </w:rPr>
        <w:t xml:space="preserve">”) accounting principles in lieu of GAAP and, upon any such election, references herein to GAAP and GAAP concepts shall thereafter be construed to refer to IFRS and corresponding IFRS concepts (except as otherwise provided in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any such election, once made, shall be irrevocable;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calculation or determination in this Agreement that requires the application of GAAP for periods that include fiscal quarters ended prior to Holdings’ election to apply IFRS shall remain as previously calculated or determined in accordance with GAAP. The Borrower shall give written notice of any such election made in accordance with this definition to the Administrative Agent. For the avoidance of doubt, solely making an election (without any other action) referred to in this definition will not be treated as an incurrence of Indebtedness. Notwithstanding any other provision contained herein, the amount of any Indebtedness under GAAP with respect to Capitalized Lease Obligations shall be determined in accordance with the definition of “Capitalized Lease Obligations”.</w:t>
      </w:r>
    </w:p>
    <w:p>
      <w:pPr>
        <w:spacing w:after="0" w:line="110"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shall mean any nation, sovereign, or government, any state, province, territory, or other political subdivision thereof, and any entity or authority exercising executive, legislative, judicial, taxing, regulatory, or administrative functions of or pertaining to government, including a central bank or stock exchange.</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Granting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13.6(g)</w:t>
      </w:r>
      <w:r>
        <w:rPr>
          <w:rFonts w:ascii="Arial" w:cs="Arial" w:eastAsia="Arial" w:hAnsi="Arial"/>
          <w:sz w:val="18"/>
          <w:szCs w:val="18"/>
          <w:color w:val="auto"/>
        </w:rPr>
        <w:t>.</w:t>
      </w:r>
    </w:p>
    <w:p>
      <w:pPr>
        <w:spacing w:after="0" w:line="171" w:lineRule="exact"/>
        <w:rPr>
          <w:sz w:val="20"/>
          <w:szCs w:val="20"/>
          <w:color w:val="auto"/>
        </w:rPr>
      </w:pPr>
    </w:p>
    <w:p>
      <w:pPr>
        <w:ind w:right="4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shall mean (i) the Guarantee made by Holdings and each other Guarantor in favor of the Collateral Agent for the benefit of the Secured Parties, dated as of the Closing Date, and (ii) any other guarantee of the Obligations made by a Restricted Subsidiary in form and substance reasonably acceptable to the Administrative Agent.</w:t>
      </w:r>
    </w:p>
    <w:p>
      <w:pPr>
        <w:spacing w:after="0" w:line="122"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 obligations</w:t>
      </w:r>
      <w:r>
        <w:rPr>
          <w:rFonts w:ascii="Arial" w:cs="Arial" w:eastAsia="Arial" w:hAnsi="Arial"/>
          <w:sz w:val="16"/>
          <w:szCs w:val="16"/>
          <w:color w:val="auto"/>
        </w:rPr>
        <w:t xml:space="preserve">” shall mean, as to any Person, any obligation of such Person guaranteeing or intended to guarantee any Indebtedness of any primary obligor in any manner, whether directly or indirectly, including any obligation of such Person, whether or not contingent, (i) to purchase any such Indebtedness or any property constituting direct or indirect security therefor, (ii) to advance or supply funds (a) for the purchase or payment of any such Indebtedness or (b) to maintain working capital or equity capital of the primary obligor or otherwise to maintain the net worth or solvency of the primary obligor, (iii) to purchase property, securities, or services primarily for the purpose of assuring the owner of any such Indebtedness of the ability of the primary obligor to make payment of such Indebtedness, or (iv) otherwise to assure or hold harmless the owner of such Indebtedness against loss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guarantee obligations shall not include endorsements of instruments for deposit or collection in the ordinary course of business or customary and reasonable indemnity obligations or product warranties in effect on the Restatement Effective Date or entered into in connection with any acquisition or disposition of assets permitted under this Agreement (other than such obligations with respect to Indebtedness). The amount of any guarantee obligation shall be deemed to be an amount equal to the stated or determinable amount of the Indebtedness in respect of which such guarantee obligation is made or, if not stated or determinable, the maximum reasonably anticipated liability in respect thereof (assuming such Person is required to perform thereunder) as determined by such Person in good faith.</w:t>
      </w:r>
    </w:p>
    <w:p>
      <w:pPr>
        <w:spacing w:after="0" w:line="114"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xml:space="preserve">” shall mean (i) each Subsidiary of Holdings that is party to the Guarantee on the Restatement Effective Date, (ii) each Subsidiary of Holdings that becomes a party to the Guarantee after the Restatement Effective Date pursuant to </w:t>
      </w:r>
      <w:r>
        <w:rPr>
          <w:rFonts w:ascii="Arial" w:cs="Arial" w:eastAsia="Arial" w:hAnsi="Arial"/>
          <w:sz w:val="16"/>
          <w:szCs w:val="16"/>
          <w:u w:val="single" w:color="auto"/>
          <w:color w:val="auto"/>
        </w:rPr>
        <w:t>Section 9.11</w:t>
      </w:r>
      <w:r>
        <w:rPr>
          <w:rFonts w:ascii="Arial" w:cs="Arial" w:eastAsia="Arial" w:hAnsi="Arial"/>
          <w:sz w:val="16"/>
          <w:szCs w:val="16"/>
          <w:color w:val="auto"/>
        </w:rPr>
        <w:t xml:space="preserve"> or otherwise, and (iii) Holdings;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any Excluded Subsidiary be required to be a Guarantor (unless such Subsidiary is no longer an Excluded Subsidiary).</w:t>
      </w:r>
    </w:p>
    <w:p>
      <w:pPr>
        <w:spacing w:after="0" w:line="88" w:lineRule="exact"/>
        <w:rPr>
          <w:sz w:val="20"/>
          <w:szCs w:val="20"/>
          <w:color w:val="auto"/>
        </w:rPr>
      </w:pPr>
    </w:p>
    <w:p>
      <w:pPr>
        <w:ind w:right="24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Hazardous Materials</w:t>
      </w:r>
      <w:r>
        <w:rPr>
          <w:rFonts w:ascii="Arial" w:cs="Arial" w:eastAsia="Arial" w:hAnsi="Arial"/>
          <w:sz w:val="16"/>
          <w:szCs w:val="16"/>
          <w:color w:val="auto"/>
        </w:rPr>
        <w:t>” shall mean (i) any petroleum or petroleum products, radioactive materials, friable asbestos, polychlorinated biphenyls, and radon gas; (ii) any chemicals, materials, or substances defined as or included in the definition of “hazardous substances,” “hazardous waste,” “hazardous materials,” “extremely hazardous waste,” “restricted hazardous waste,” “toxic substances,” “toxic pollutants,” “contaminants,” or</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341" w:right="339" w:bottom="1440" w:gutter="0" w:footer="0" w:header="0"/>
        </w:sectPr>
      </w:pPr>
    </w:p>
    <w:bookmarkStart w:id="109" w:name="page110"/>
    <w:bookmarkEnd w:id="109"/>
    <w:p>
      <w:pPr>
        <w:ind w:right="20"/>
        <w:spacing w:after="0" w:line="277" w:lineRule="auto"/>
        <w:rPr>
          <w:sz w:val="20"/>
          <w:szCs w:val="20"/>
          <w:color w:val="auto"/>
        </w:rPr>
      </w:pPr>
      <w:r>
        <w:rPr>
          <w:rFonts w:ascii="Arial" w:cs="Arial" w:eastAsia="Arial" w:hAnsi="Arial"/>
          <w:sz w:val="18"/>
          <w:szCs w:val="18"/>
          <w:color w:val="auto"/>
        </w:rPr>
        <w:t>“pollutants,” or words of similar import, under any Environmental Law; and (iii) any other chemical, material, or substance, which is prohibited, limited, or regulated due to its dangerous or deleterious properties or characteristics by, any Environmental Law.</w:t>
      </w:r>
    </w:p>
    <w:p>
      <w:pPr>
        <w:spacing w:after="0" w:line="85"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Hedge Agreements</w:t>
      </w:r>
      <w:r>
        <w:rPr>
          <w:rFonts w:ascii="Arial" w:cs="Arial" w:eastAsia="Arial" w:hAnsi="Arial"/>
          <w:sz w:val="16"/>
          <w:szCs w:val="16"/>
          <w:color w:val="auto"/>
        </w:rPr>
        <w:t>” shall mean (i)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(ii)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6"/>
          <w:szCs w:val="16"/>
          <w:b w:val="1"/>
          <w:bCs w:val="1"/>
          <w:color w:val="auto"/>
        </w:rPr>
        <w:t>Master Agreement</w:t>
      </w:r>
      <w:r>
        <w:rPr>
          <w:rFonts w:ascii="Arial" w:cs="Arial" w:eastAsia="Arial" w:hAnsi="Arial"/>
          <w:sz w:val="16"/>
          <w:szCs w:val="16"/>
          <w:color w:val="auto"/>
        </w:rPr>
        <w:t>”), including any such obligations or liabilities under any Master Agreement.</w:t>
      </w:r>
    </w:p>
    <w:p>
      <w:pPr>
        <w:spacing w:after="0" w:line="85" w:lineRule="exact"/>
        <w:rPr>
          <w:sz w:val="20"/>
          <w:szCs w:val="20"/>
          <w:color w:val="auto"/>
        </w:rPr>
      </w:pPr>
    </w:p>
    <w:p>
      <w:pPr>
        <w:ind w:right="20"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Hedge Bank</w:t>
      </w:r>
      <w:r>
        <w:rPr>
          <w:rFonts w:ascii="Arial" w:cs="Arial" w:eastAsia="Arial" w:hAnsi="Arial"/>
          <w:sz w:val="16"/>
          <w:szCs w:val="16"/>
          <w:color w:val="auto"/>
        </w:rPr>
        <w:t xml:space="preserve">” shall mean (i) (a) any Person that, at the time it enters into a Hedge Agreement, is a Lender, an Agent or an Affiliate of a Lender or an Agent and (b) with respect to any Hedge Agreement entered into prior to the Restatement Effective Date, any Person that is a Lender or an Agent or an Affiliate of a Lender or an Agent on the Restatement Effective Date and (ii) any other Person that is designated by the Borrower as a “Hedge Bank” by written notice to the Administrative Agent substantially in the form of </w:t>
      </w:r>
      <w:r>
        <w:rPr>
          <w:rFonts w:ascii="Arial" w:cs="Arial" w:eastAsia="Arial" w:hAnsi="Arial"/>
          <w:sz w:val="16"/>
          <w:szCs w:val="16"/>
          <w:u w:val="single" w:color="auto"/>
          <w:color w:val="auto"/>
        </w:rPr>
        <w:t>Exhibit M</w:t>
      </w:r>
      <w:r>
        <w:rPr>
          <w:rFonts w:ascii="Arial" w:cs="Arial" w:eastAsia="Arial" w:hAnsi="Arial"/>
          <w:sz w:val="16"/>
          <w:szCs w:val="16"/>
          <w:color w:val="auto"/>
        </w:rPr>
        <w:t xml:space="preserve"> or such other form reasonably acceptable to the Administrative Agent.</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Hedging Obligations</w:t>
      </w:r>
      <w:r>
        <w:rPr>
          <w:rFonts w:ascii="Arial" w:cs="Arial" w:eastAsia="Arial" w:hAnsi="Arial"/>
          <w:sz w:val="18"/>
          <w:szCs w:val="18"/>
          <w:color w:val="auto"/>
        </w:rPr>
        <w:t>” shall mean, with respect to any Person, the obligations of such Person under any Hedge Agreements.</w:t>
      </w:r>
    </w:p>
    <w:p>
      <w:pPr>
        <w:spacing w:after="0" w:line="144"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Historical Financial Statements</w:t>
      </w:r>
      <w:r>
        <w:rPr>
          <w:rFonts w:ascii="Arial" w:cs="Arial" w:eastAsia="Arial" w:hAnsi="Arial"/>
          <w:sz w:val="17"/>
          <w:szCs w:val="17"/>
          <w:color w:val="auto"/>
        </w:rPr>
        <w:t>” shall mean (i) the audited consolidated balance sheets of Holdings and its Subsidiaries as at December 31, 2017 and December 31, 2018, and the related audited consolidated statements of income and cash flow of Holdings and its Subsidiaries for the years ended December 31, 2017 and December 31, 2018 and (ii) the unaudited interim consolidated balance sheets of Holdings and its Subsidiaries for the fiscal quarters ending September 30, 2018, December 31, 2018 and March 31, 2019 and the related unaudited consolidated statements of income and cash flow of Holdings and its Subsidiaries for fiscal quarters ending September 30, 2018, December 31, 2018 and March 31, 2019.</w:t>
      </w:r>
    </w:p>
    <w:p>
      <w:pPr>
        <w:spacing w:after="0" w:line="87"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Holdings</w:t>
      </w:r>
      <w:r>
        <w:rPr>
          <w:rFonts w:ascii="Arial" w:cs="Arial" w:eastAsia="Arial" w:hAnsi="Arial"/>
          <w:sz w:val="16"/>
          <w:szCs w:val="16"/>
          <w:color w:val="auto"/>
        </w:rPr>
        <w:t>” shall mean (i) Holdings (as defined in the preamble to this Agreement) or (ii) after the Restatement Effective Date any other Person or Persons (“</w:t>
      </w:r>
      <w:r>
        <w:rPr>
          <w:rFonts w:ascii="Arial" w:cs="Arial" w:eastAsia="Arial" w:hAnsi="Arial"/>
          <w:sz w:val="16"/>
          <w:szCs w:val="16"/>
          <w:b w:val="1"/>
          <w:bCs w:val="1"/>
          <w:color w:val="auto"/>
        </w:rPr>
        <w:t>New Holdings</w:t>
      </w:r>
      <w:r>
        <w:rPr>
          <w:rFonts w:ascii="Arial" w:cs="Arial" w:eastAsia="Arial" w:hAnsi="Arial"/>
          <w:sz w:val="16"/>
          <w:szCs w:val="16"/>
          <w:color w:val="auto"/>
        </w:rPr>
        <w:t>”) that is a Subsidiary of (or are Subsidiaries of) Holdings or of any Parent Entity of Holdings (or the previous New Holdings, as the case may be) but not the Borrower (“</w:t>
      </w:r>
      <w:r>
        <w:rPr>
          <w:rFonts w:ascii="Arial" w:cs="Arial" w:eastAsia="Arial" w:hAnsi="Arial"/>
          <w:sz w:val="16"/>
          <w:szCs w:val="16"/>
          <w:b w:val="1"/>
          <w:bCs w:val="1"/>
          <w:color w:val="auto"/>
        </w:rPr>
        <w:t>Previous Holdings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New Holdings directly owns (i) 100% of the Equity Interests of the Borrower and (ii) 100% of the Equity Interests of each other direct Subsidiary of Previous Holdings which were owned by Previous Holdings immediately prior thereto, (b) New Holdings shall expressly assume all the obligations of Previous Holdings under this Agreement and the other Credit Documents pursuant to a supplement hereto or thereto in form and substance reasonably satisfactory to the Administrative Agent, (c) if reasonably requested by the Administrative Agent, an opinion of counsel shall be delivered by the Borrower to the Administrative Agent to the effect that, without limitation, such substitution does not violate this Agreement or any other Credit Document, (d) all Capital Stock of the Borrower and each other direct Subsidiary of Previous Holdings and substantially all of the other assets of Previous Holdings are contributed or otherwise transferred, directly or indirectly, to such New Holdings and pledged to secure the Obligations, (f) (i) no Event of Default has occurred and is continuing at the time of such substitution and such substitution does not result in any Event of Default, (ii) such substitution does not result in any material adverse tax consequences to any Credit Party and</w:t>
      </w:r>
    </w:p>
    <w:p>
      <w:pPr>
        <w:spacing w:after="0" w:line="8" w:lineRule="exact"/>
        <w:rPr>
          <w:sz w:val="20"/>
          <w:szCs w:val="20"/>
          <w:color w:val="auto"/>
        </w:rPr>
      </w:pPr>
    </w:p>
    <w:p>
      <w:pPr>
        <w:ind w:right="140" w:firstLine="8"/>
        <w:spacing w:after="0" w:line="273" w:lineRule="auto"/>
        <w:tabs>
          <w:tab w:leader="none" w:pos="315"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such substitution does not result in any adverse tax consequences to any Lender (unless reimbursed hereunder) or to the Administrative Agent (unless reimbursed hereunder), (g) no Change of Control shall occur;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each of the foregoing is satisfied, Previous Holdings shall be automatically released of all its obligations under the Credit Documents and any reference to Holdings in the Credit Documents shall be meant to refer to New Holdings and (h) New Holdings shall be organized in the United States, any state thereof or the District of Columbia.</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341" w:right="339" w:bottom="1440" w:gutter="0" w:footer="0" w:header="0"/>
        </w:sectPr>
      </w:pPr>
    </w:p>
    <w:bookmarkStart w:id="110" w:name="page111"/>
    <w:bookmarkEnd w:id="11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IFRS</w:t>
      </w:r>
      <w:r>
        <w:rPr>
          <w:rFonts w:ascii="Arial" w:cs="Arial" w:eastAsia="Arial" w:hAnsi="Arial"/>
          <w:sz w:val="18"/>
          <w:szCs w:val="18"/>
          <w:color w:val="auto"/>
        </w:rPr>
        <w:t>” shall have the meaning given such term in the definition of “GAAP”.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Impacted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2.10(a)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Increased Amount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incur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xml:space="preserve">” shall mean, with respect to any Person, (i) any indebtedness (including principal and premium) of such Person, whether or not contingent (a) in respect of borrowed money, (b) evidenced by bonds, notes, debentures, or similar instruments or letters of credit or bankers’ acceptances (or, without double counting, reimbursement agreements in respect thereof), (c) representing the balance deferred and unpaid of the purchase price of any property (including Capitalized Lease Obligations), or (d) representing any Hedging Obligations, if and to the extent that any of the foregoing Indebtedness (other than letters of credit and Hedging Obligations) would appear as a net liability upon a balance sheet (excluding the footnotes thereto) of such Person prepared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Indebtedness of any direct or indirect parent company appearing upon the balance sheet of Holdings solely by reason of push down accounting under GAAP shall be excluded, (ii) to the extent not otherwise included, any obligation by such Person to be liable for, or to pay, as obligor, guarantor or otherwise, on the obligations of the type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another Person (whether or not such items would appear upon the balance sheet of such obligor or guarantor), other than by endorsement of negotiable instruments for collection in the ordinary course of business, and (iii) to the extent not otherwise included, the obligations of the type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another Person secured by a Lien on any asset owned by such Person, whether or not such Indebtedness is assumed by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Indebtedness shall be deemed not to include (1) Contingent Obligations incurred in the ordinary course of business, (2) obligations under or in respect of Receivables Facilities, (3) prepaid or deferred revenue arising in the ordinary course of business, (4) purchase price holdbacks arising in the ordinary course of business in respect of a portion of the purchase price of an asset to satisfy warrants or other unperformed obligations of the seller of such asset, (5) any balance that constitutes a trade payable or similar obligation to a trade creditor, accrued in the ordinary course of business, or (6) any earn-out obligation until such obligation, within 60 days of becoming due and payable, has not been paid and such obligation is reflected as a liability on the balance sheet of such Person in accordance with GAAP. The amount of Indebtedness of any Person for purposes of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above shall (unless such Indebtedness has been assumed by such Person) be deemed to be equal to the lesser of (x) the aggregate unpaid amount of such Indebtedness and (y) the Fair Market Value of the property encumbered thereby as determined by such Person in good faith.</w:t>
      </w:r>
    </w:p>
    <w:p>
      <w:pPr>
        <w:spacing w:after="0" w:line="173" w:lineRule="exact"/>
        <w:rPr>
          <w:sz w:val="20"/>
          <w:szCs w:val="20"/>
          <w:color w:val="auto"/>
        </w:rPr>
      </w:pPr>
    </w:p>
    <w:p>
      <w:pPr>
        <w:jc w:val="both"/>
        <w:ind w:right="660" w:firstLine="648"/>
        <w:spacing w:after="0" w:line="263" w:lineRule="auto"/>
        <w:rPr>
          <w:sz w:val="20"/>
          <w:szCs w:val="20"/>
          <w:color w:val="auto"/>
        </w:rPr>
      </w:pPr>
      <w:r>
        <w:rPr>
          <w:rFonts w:ascii="Arial" w:cs="Arial" w:eastAsia="Arial" w:hAnsi="Arial"/>
          <w:sz w:val="18"/>
          <w:szCs w:val="18"/>
          <w:color w:val="auto"/>
        </w:rPr>
        <w:t>For all purposes hereof, the Indebtedness of Holdings, the Borrower and the other Restricted Subsidiaries, shall exclude all intercompany Indebtedness having a term not exceeding 365 days (inclusive of any roll-over or extensions of terms) and made in the ordinary course of business consistent with past practice.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Liabilities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“Indemnified Person</w:t>
      </w:r>
      <w:r>
        <w:rPr>
          <w:rFonts w:ascii="Arial" w:cs="Arial" w:eastAsia="Arial" w:hAnsi="Arial"/>
          <w:sz w:val="18"/>
          <w:szCs w:val="18"/>
          <w:color w:val="auto"/>
        </w:rPr>
        <w:t>” shall have the meaning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13.5</w:t>
      </w:r>
      <w:r>
        <w:rPr>
          <w:rFonts w:ascii="Arial" w:cs="Arial" w:eastAsia="Arial" w:hAnsi="Arial"/>
          <w:sz w:val="18"/>
          <w:szCs w:val="18"/>
          <w:color w:val="auto"/>
        </w:rPr>
        <w:t>.</w:t>
      </w:r>
    </w:p>
    <w:p>
      <w:pPr>
        <w:spacing w:after="0" w:line="225"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Taxes</w:t>
      </w:r>
      <w:r>
        <w:rPr>
          <w:rFonts w:ascii="Arial" w:cs="Arial" w:eastAsia="Arial" w:hAnsi="Arial"/>
          <w:sz w:val="18"/>
          <w:szCs w:val="18"/>
          <w:color w:val="auto"/>
        </w:rPr>
        <w:t>” shall mean all Taxes imposed on or with respect to any payment by or on account of any obligation of any Credit Party hereunder or under any other Credit Document, other than Excluded Taxes or Other Taxes.</w:t>
      </w:r>
    </w:p>
    <w:p>
      <w:pPr>
        <w:spacing w:after="0" w:line="162"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Investors</w:t>
      </w:r>
      <w:r>
        <w:rPr>
          <w:rFonts w:ascii="Arial" w:cs="Arial" w:eastAsia="Arial" w:hAnsi="Arial"/>
          <w:sz w:val="18"/>
          <w:szCs w:val="18"/>
          <w:color w:val="auto"/>
        </w:rPr>
        <w:t>” shall mean Kohlberg Kravis Roberts &amp; Co. L.P., KKR North America Fund XI L.P., KKR North America Fund XI ESC L.P., KKR North America Fund XI SBS L.P., KKR Partners III, L.P. KKR CIS Global Investor L.P., CPS Managers Fund L.P., KKR Principal Opportunities Partnership (Domestic) L.P., KKR Principal Opportunities Partnership (Domestic) L.P., Berkshire Fund VI, Limited Partnership, Berkshire Investors LLC and Berkshire Investors III LLC, and each of their respective Affiliates and successors.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337" w:right="359" w:bottom="1440" w:gutter="0" w:footer="0" w:header="0"/>
        </w:sectPr>
      </w:pPr>
    </w:p>
    <w:bookmarkStart w:id="111" w:name="page112"/>
    <w:bookmarkEnd w:id="111"/>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Insolvent</w:t>
      </w:r>
      <w:r>
        <w:rPr>
          <w:rFonts w:ascii="Arial" w:cs="Arial" w:eastAsia="Arial" w:hAnsi="Arial"/>
          <w:sz w:val="18"/>
          <w:szCs w:val="18"/>
          <w:color w:val="auto"/>
        </w:rPr>
        <w:t>” shall mean, with respect to any Multiemployer Plan, the condition that such Multiemployer Plan is insolvent within the meaning of Section 4245 of ERISA.</w:t>
      </w:r>
    </w:p>
    <w:p>
      <w:pPr>
        <w:spacing w:after="0" w:line="162"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shall mean U.S. and foreign intellectual property, including all (i) (a) patents, inventions, processes, developments, technology, and know-how; (b) copyrights and works of authorship in any media, including graphics, advertising materials, labels, package designs, and photographs; (c) trademarks, service marks, trade names, brand names, corporate names, domain names, logos, trade dress, and other source indicators, and the goodwill of any business symbolized thereby; and (d) trade secrets, confidential, proprietary, or non-public information and (ii) all registrations, issuances, applications, renewals, extensions, substitutions, continuations, continuations-in-part, divisions, re-issues, re-examinations, foreign counterparts, or similar legal protections related to the foregoing.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xml:space="preserve">” shall mean, with respect to any Loan, the interest period applicable thereto, as determined pursuant to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225"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Investment</w:t>
      </w:r>
      <w:r>
        <w:rPr>
          <w:rFonts w:ascii="Arial" w:cs="Arial" w:eastAsia="Arial" w:hAnsi="Arial"/>
          <w:sz w:val="16"/>
          <w:szCs w:val="16"/>
          <w:color w:val="auto"/>
        </w:rPr>
        <w:t xml:space="preserve">” shall mean, with respect to any Person, all investments by such Person in other Persons (including Affiliates) in the form of loans (including guarantees), advances, or capital contributions (excluding accounts receivable, trade credit, advances to customers, commission, travel, and similar advances to officers and employees, in each case made in the ordinary course of business), purchases or other acquisitions for consideration of Indebtedness, Equity Interests, or other securities issued by any other Person and investments that are required by GAAP to be classified on the balance sheet (excluding the footnotes) of Holdings in the same manner as the other investments included in this definition to the extent such transactions involve the transfer of cash or other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Investments shall not include, in the case of Holdings, the Borrower, and the other Restricted Subsidiaries, intercompany loans, advances, or Indebtedness either (i) having a term not exceeding 364 days (inclusive of any roll-over or extensions of terms) and made in the ordinary course of business or (ii) arising from cash management, tax and/or accounting operations.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For purposes of the definition of “Unrestricted Subsidiary” and </w:t>
      </w:r>
      <w:r>
        <w:rPr>
          <w:rFonts w:ascii="Arial" w:cs="Arial" w:eastAsia="Arial" w:hAnsi="Arial"/>
          <w:sz w:val="18"/>
          <w:szCs w:val="18"/>
          <w:u w:val="single" w:color="auto"/>
          <w:color w:val="auto"/>
        </w:rPr>
        <w:t>Section 10.5</w:t>
      </w:r>
      <w:r>
        <w:rPr>
          <w:rFonts w:ascii="Arial" w:cs="Arial" w:eastAsia="Arial" w:hAnsi="Arial"/>
          <w:sz w:val="18"/>
          <w:szCs w:val="18"/>
          <w:color w:val="auto"/>
        </w:rPr>
        <w:t>,</w:t>
      </w:r>
    </w:p>
    <w:p>
      <w:pPr>
        <w:spacing w:after="0" w:line="225" w:lineRule="exact"/>
        <w:rPr>
          <w:sz w:val="20"/>
          <w:szCs w:val="20"/>
          <w:color w:val="auto"/>
        </w:rPr>
      </w:pPr>
    </w:p>
    <w:p>
      <w:pPr>
        <w:ind w:left="660" w:right="60" w:firstLine="1535"/>
        <w:spacing w:after="0" w:line="255" w:lineRule="auto"/>
        <w:tabs>
          <w:tab w:leader="none" w:pos="2549"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Investments shall include the portion (proportionate to Holdings’ equity interest in such Subsidiary) of the Fair Market Value of the net assets of a Subsidiary of Holdings at the time that such Subsidiary is designated an Unrestricted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a redesignation of such Subsidiary as a Restricted Subsidiary, Holdings shall be deemed to continue to have a permanent Investment in an Unrestricted Subsidiary in an amount (if positive) equal to (a) Holdings’ Investment in such Subsidiary at the time of such redesignation </w:t>
      </w:r>
      <w:r>
        <w:rPr>
          <w:rFonts w:ascii="Arial" w:cs="Arial" w:eastAsia="Arial" w:hAnsi="Arial"/>
          <w:sz w:val="18"/>
          <w:szCs w:val="18"/>
          <w:i w:val="1"/>
          <w:iCs w:val="1"/>
          <w:color w:val="auto"/>
        </w:rPr>
        <w:t>less</w:t>
      </w:r>
      <w:r>
        <w:rPr>
          <w:rFonts w:ascii="Arial" w:cs="Arial" w:eastAsia="Arial" w:hAnsi="Arial"/>
          <w:sz w:val="18"/>
          <w:szCs w:val="18"/>
          <w:color w:val="auto"/>
        </w:rPr>
        <w:t xml:space="preserve"> (b) the portion (proportionate to Holdings’ equity interest in such Subsidiary) of the Fair Market Value of the net assets of such Subsidiary at the time of such redesignation; and</w:t>
      </w:r>
    </w:p>
    <w:p>
      <w:pPr>
        <w:spacing w:after="0" w:line="192" w:lineRule="exact"/>
        <w:rPr>
          <w:rFonts w:ascii="Arial" w:cs="Arial" w:eastAsia="Arial" w:hAnsi="Arial"/>
          <w:sz w:val="18"/>
          <w:szCs w:val="18"/>
          <w:color w:val="auto"/>
        </w:rPr>
      </w:pPr>
    </w:p>
    <w:p>
      <w:pPr>
        <w:ind w:left="2600" w:hanging="405"/>
        <w:spacing w:after="0"/>
        <w:tabs>
          <w:tab w:leader="none" w:pos="26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any property transferred to or from an Unrestricted Subsidiary shall be valued at its Fair Market Value at the time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such transfer.</w:t>
      </w:r>
    </w:p>
    <w:p>
      <w:pPr>
        <w:spacing w:after="0" w:line="211"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The amount of any Investment outstanding at any time shall be the original cost of such Investment, reduced by any dividend, distribution, interest payment, return of capital, repayment, or other amount received by Holdings or a Restricted Subsidiary in respect of such Investment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amounts received other than in the form of Cash Equivalents, such amount shall be equal to the Fair Market Value of such consideration).</w:t>
      </w:r>
    </w:p>
    <w:p>
      <w:pPr>
        <w:spacing w:after="0" w:line="145"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Grade Rating</w:t>
      </w:r>
      <w:r>
        <w:rPr>
          <w:rFonts w:ascii="Arial" w:cs="Arial" w:eastAsia="Arial" w:hAnsi="Arial"/>
          <w:sz w:val="18"/>
          <w:szCs w:val="18"/>
          <w:color w:val="auto"/>
        </w:rPr>
        <w:t>” shall mean a rating equal to or higher than Baa3 (or the equivalent) by Moody’s and BBB- (or the equivalent) by S&amp;P, or an equivalent rating by any other rating agency.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Grade Securities</w:t>
      </w:r>
      <w:r>
        <w:rPr>
          <w:rFonts w:ascii="Arial" w:cs="Arial" w:eastAsia="Arial" w:hAnsi="Arial"/>
          <w:sz w:val="18"/>
          <w:szCs w:val="18"/>
          <w:color w:val="auto"/>
        </w:rPr>
        <w:t>” shall mean:</w:t>
      </w:r>
    </w:p>
    <w:p>
      <w:pPr>
        <w:spacing w:after="0" w:line="229" w:lineRule="exact"/>
        <w:rPr>
          <w:sz w:val="20"/>
          <w:szCs w:val="20"/>
          <w:color w:val="auto"/>
        </w:rPr>
      </w:pPr>
    </w:p>
    <w:p>
      <w:pPr>
        <w:ind w:left="660" w:right="760" w:firstLine="1535"/>
        <w:spacing w:after="0" w:line="277" w:lineRule="auto"/>
        <w:tabs>
          <w:tab w:leader="none" w:pos="2549"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securities issued or directly and fully guaranteed or insured by the United States government or any agency or instrumentality thereof (other than Cash Equivalents),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337" w:right="359" w:bottom="1440" w:gutter="0" w:footer="0" w:header="0"/>
        </w:sectPr>
      </w:pPr>
    </w:p>
    <w:bookmarkStart w:id="112" w:name="page113"/>
    <w:bookmarkEnd w:id="112"/>
    <w:p>
      <w:pPr>
        <w:ind w:left="660" w:right="180" w:firstLine="1535"/>
        <w:spacing w:after="0" w:line="277" w:lineRule="auto"/>
        <w:tabs>
          <w:tab w:leader="none" w:pos="2599"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debt securities or debt instruments with an Investment Grade Rating, but excluding any debt securities or instruments constituting loans or advances among Holdings and its Subsidiaries,</w:t>
      </w:r>
    </w:p>
    <w:p>
      <w:pPr>
        <w:spacing w:after="0" w:line="170" w:lineRule="exact"/>
        <w:rPr>
          <w:rFonts w:ascii="Arial" w:cs="Arial" w:eastAsia="Arial" w:hAnsi="Arial"/>
          <w:sz w:val="18"/>
          <w:szCs w:val="18"/>
          <w:color w:val="auto"/>
        </w:rPr>
      </w:pPr>
    </w:p>
    <w:p>
      <w:pPr>
        <w:ind w:left="660" w:right="100" w:firstLine="1535"/>
        <w:spacing w:after="0" w:line="277" w:lineRule="auto"/>
        <w:tabs>
          <w:tab w:leader="none" w:pos="2649"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investments in any fund that invest at least 90% in investments of the type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which fund may also hold immaterial amounts of cash pending investment or distribution, and</w:t>
      </w:r>
    </w:p>
    <w:p>
      <w:pPr>
        <w:spacing w:after="0" w:line="170" w:lineRule="exact"/>
        <w:rPr>
          <w:rFonts w:ascii="Arial" w:cs="Arial" w:eastAsia="Arial" w:hAnsi="Arial"/>
          <w:sz w:val="18"/>
          <w:szCs w:val="18"/>
          <w:color w:val="auto"/>
        </w:rPr>
      </w:pPr>
    </w:p>
    <w:p>
      <w:pPr>
        <w:ind w:left="2640" w:hanging="445"/>
        <w:spacing w:after="0"/>
        <w:tabs>
          <w:tab w:leader="none" w:pos="26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corresponding instruments in countries other than the United States customarily utilized for high-quality investments.</w:t>
      </w:r>
    </w:p>
    <w:p>
      <w:pPr>
        <w:spacing w:after="0" w:line="244"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ISP</w:t>
      </w:r>
      <w:r>
        <w:rPr>
          <w:rFonts w:ascii="Arial" w:cs="Arial" w:eastAsia="Arial" w:hAnsi="Arial"/>
          <w:sz w:val="18"/>
          <w:szCs w:val="18"/>
          <w:color w:val="auto"/>
        </w:rPr>
        <w:t>” shall mean, with respect to any Letter of Credit, the “International Standby Practices 1998” published by the Institute of International Banking Law &amp; Practice (or such later version thereof as may be in effect at the time of issuance).</w:t>
      </w:r>
    </w:p>
    <w:p>
      <w:pPr>
        <w:spacing w:after="0" w:line="162" w:lineRule="exact"/>
        <w:rPr>
          <w:sz w:val="20"/>
          <w:szCs w:val="20"/>
          <w:color w:val="auto"/>
        </w:rPr>
      </w:pPr>
    </w:p>
    <w:p>
      <w:pPr>
        <w:ind w:right="1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Documents</w:t>
      </w:r>
      <w:r>
        <w:rPr>
          <w:rFonts w:ascii="Arial" w:cs="Arial" w:eastAsia="Arial" w:hAnsi="Arial"/>
          <w:sz w:val="18"/>
          <w:szCs w:val="18"/>
          <w:color w:val="auto"/>
        </w:rPr>
        <w:t>” shall mean with respect to any Letter of Credit, the Letter of Credit Request, and any other document, agreement, and instrument entered into by the Letter of Credit Issuer and the Borrower (or any other Restricted Subsidiary or Holdings) or in favor of the Letter of Credit Issuer and relating to such Letter of Credit.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Joinder Agreement</w:t>
      </w:r>
      <w:r>
        <w:rPr>
          <w:rFonts w:ascii="Arial" w:cs="Arial" w:eastAsia="Arial" w:hAnsi="Arial"/>
          <w:sz w:val="18"/>
          <w:szCs w:val="18"/>
          <w:color w:val="auto"/>
        </w:rPr>
        <w:t xml:space="preserve">” shall mean an agreement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Lead Arrangers and Bookrunners</w:t>
      </w:r>
      <w:r>
        <w:rPr>
          <w:rFonts w:ascii="Arial" w:cs="Arial" w:eastAsia="Arial" w:hAnsi="Arial"/>
          <w:sz w:val="18"/>
          <w:szCs w:val="18"/>
          <w:color w:val="auto"/>
        </w:rPr>
        <w:t>” shall mean BofA Securities, Inc., KKR Capital Markets LLC, JPMorgan Chase Bank, N.A. and Wells Fargo Securities, LLC and, for purposes of the protections and indemnification provisions hereof, the “Joint Lead Arrangers and Bookrunners” (as defined in the Original Credit Agreement).</w:t>
      </w:r>
    </w:p>
    <w:p>
      <w:pPr>
        <w:spacing w:after="0" w:line="176"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Junior Debt</w:t>
      </w:r>
      <w:r>
        <w:rPr>
          <w:rFonts w:ascii="Arial" w:cs="Arial" w:eastAsia="Arial" w:hAnsi="Arial"/>
          <w:sz w:val="18"/>
          <w:szCs w:val="18"/>
          <w:color w:val="auto"/>
        </w:rPr>
        <w:t>” shall mean any Indebtedness (other than any permitted intercompany indebtedness owing to the Borrower or any Restricted Subsidiary) in respect of Subordinated Indebtedness.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KKR</w:t>
      </w:r>
      <w:r>
        <w:rPr>
          <w:rFonts w:ascii="Arial" w:cs="Arial" w:eastAsia="Arial" w:hAnsi="Arial"/>
          <w:sz w:val="18"/>
          <w:szCs w:val="18"/>
          <w:color w:val="auto"/>
        </w:rPr>
        <w:t>” shall mean each of Kohlberg Kravis Roberts &amp; Co. L.P. and KKR North America Fund XI L.P.</w:t>
      </w:r>
    </w:p>
    <w:p>
      <w:pPr>
        <w:spacing w:after="0" w:line="225"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Latest Term Loan Maturity Date</w:t>
      </w:r>
      <w:r>
        <w:rPr>
          <w:rFonts w:ascii="Arial" w:cs="Arial" w:eastAsia="Arial" w:hAnsi="Arial"/>
          <w:sz w:val="18"/>
          <w:szCs w:val="18"/>
          <w:color w:val="auto"/>
        </w:rPr>
        <w:t>” shall mean, at any date of determination, the latest maturity or expiration date applicable to any Term Loan hereunder at such time, including the latest maturity or expiration date of any New Term Loan or any Extended Term Loan, in each case as extended in accordance with this Agreement from time to time.</w:t>
      </w:r>
    </w:p>
    <w:p>
      <w:pPr>
        <w:spacing w:after="0" w:line="176"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Borrowing</w:t>
      </w:r>
      <w:r>
        <w:rPr>
          <w:rFonts w:ascii="Arial" w:cs="Arial" w:eastAsia="Arial" w:hAnsi="Arial"/>
          <w:sz w:val="18"/>
          <w:szCs w:val="18"/>
          <w:color w:val="auto"/>
        </w:rPr>
        <w:t>” shall mean an extension of credit resulting from a drawing under any Letter of Credit which has not been reimbursed on the date when made or refinanced as a Borrowing.</w:t>
      </w:r>
    </w:p>
    <w:p>
      <w:pPr>
        <w:spacing w:after="0" w:line="162"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Facility Maturity Date</w:t>
      </w:r>
      <w:r>
        <w:rPr>
          <w:rFonts w:ascii="Arial" w:cs="Arial" w:eastAsia="Arial" w:hAnsi="Arial"/>
          <w:sz w:val="18"/>
          <w:szCs w:val="18"/>
          <w:color w:val="auto"/>
        </w:rPr>
        <w:t xml:space="preserve">” shall mean the date that is three Business Days prior to the Revolving Credit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L/C Facility Maturity Date may be extended beyond such date with the consent of the Letter of Credit Issuer.</w:t>
      </w:r>
    </w:p>
    <w:p>
      <w:pPr>
        <w:spacing w:after="0" w:line="162"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L/C Obligations</w:t>
      </w:r>
      <w:r>
        <w:rPr>
          <w:rFonts w:ascii="Arial" w:cs="Arial" w:eastAsia="Arial" w:hAnsi="Arial"/>
          <w:sz w:val="16"/>
          <w:szCs w:val="16"/>
          <w:color w:val="auto"/>
        </w:rPr>
        <w:t xml:space="preserve">” shall mean, as at any date of determination, the aggregate amount available to be drawn under all outstanding Letters of Credit </w:t>
      </w:r>
      <w:r>
        <w:rPr>
          <w:rFonts w:ascii="Arial" w:cs="Arial" w:eastAsia="Arial" w:hAnsi="Arial"/>
          <w:sz w:val="16"/>
          <w:szCs w:val="16"/>
          <w:i w:val="1"/>
          <w:iCs w:val="1"/>
          <w:color w:val="auto"/>
        </w:rPr>
        <w:t xml:space="preserve">plus </w:t>
      </w:r>
      <w:r>
        <w:rPr>
          <w:rFonts w:ascii="Arial" w:cs="Arial" w:eastAsia="Arial" w:hAnsi="Arial"/>
          <w:sz w:val="16"/>
          <w:szCs w:val="16"/>
          <w:color w:val="auto"/>
        </w:rPr>
        <w:t>the aggregate of all Unpaid Drawings, including all L/C Borrowings. For all purposes of this Agreement, if on any date of determination a Letter of</w:t>
      </w:r>
      <w:r>
        <w:rPr>
          <w:rFonts w:ascii="Arial" w:cs="Arial" w:eastAsia="Arial" w:hAnsi="Arial"/>
          <w:sz w:val="16"/>
          <w:szCs w:val="16"/>
          <w:i w:val="1"/>
          <w:iCs w:val="1"/>
          <w:color w:val="auto"/>
        </w:rPr>
        <w:t xml:space="preserve"> </w:t>
      </w:r>
      <w:r>
        <w:rPr>
          <w:rFonts w:ascii="Arial" w:cs="Arial" w:eastAsia="Arial" w:hAnsi="Arial"/>
          <w:sz w:val="16"/>
          <w:szCs w:val="16"/>
          <w:color w:val="auto"/>
        </w:rPr>
        <w:t>Credit has expired by its terms but any amount may still be drawn thereunder by reason of the operation of Rule 3.14 of the International Standby Practices (ISP98), such Letter of Credit shall be deemed to be “outstanding” in the amount so remaining available to be drawn. Unless otherwise specified herein, the amount of a Letter of Credit at any time shall be deemed to be the stated amount of such Letter of Credit in effect at such time.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Participant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3.3(a)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Participation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3.3(a)</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341" w:right="359" w:bottom="1440" w:gutter="0" w:footer="0" w:header="0"/>
        </w:sectPr>
      </w:pPr>
    </w:p>
    <w:bookmarkStart w:id="113" w:name="page114"/>
    <w:bookmarkEnd w:id="11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LCT Election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1.12(b)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LCT Test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1.12(b)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shall have the meaning provided in the preamble to this Agreement.</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Lender Default</w:t>
      </w:r>
      <w:r>
        <w:rPr>
          <w:rFonts w:ascii="Arial" w:cs="Arial" w:eastAsia="Arial" w:hAnsi="Arial"/>
          <w:sz w:val="17"/>
          <w:szCs w:val="17"/>
          <w:color w:val="auto"/>
        </w:rPr>
        <w:t>” shall mean (i) the refusal or failure of any Lender to make available its portion of any incurrence of Loans or Reimbursement Obligations, which refusal or failure is not cured within one business day after the date of such refusal or failure, unless such Lender notifies the Administrative Agent in writing that such refusal or failure is the result of such Lender’s good faith determination that one or more conditions precedent to funding (each of which conditions precedent, together with any applicable default, shall be specifically identified in writing) has not been satisfied, (ii) the failure of any Lender to pay over to the Administrative Agent, any Swingline Lender, any Letter of Credit Issuer or any other Lender any other amount required to be paid by it hereunder within one business day of the date when due, unless the subject of a good faith dispute, (iii) a Lender has notified, in writing, the Borrower or the Administrative Agent in writing that it does not intend to comply with its funding obligations under this Agreement or has made a public statement to that effect with respect to its funding obligations under this Agreement or a Lender has publicly announced that it does not intend to comply with its funding obligations under other loan agreements, credit agreements or similar facilities generally, (iv) a Lender has failed to confirm in a manner reasonably satisfactory to the Administrative Agent that it will comply with its funding obligations under this Agreement, (v) a Distressed Person has admitted in writing that it is insolvent or such Distressed Person becomes subject to a Lender-Related Distress Event or (vi) a Lender has become the subject of a Bail-In Action.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Presentation</w:t>
      </w:r>
      <w:r>
        <w:rPr>
          <w:rFonts w:ascii="Arial" w:cs="Arial" w:eastAsia="Arial" w:hAnsi="Arial"/>
          <w:sz w:val="18"/>
          <w:szCs w:val="18"/>
          <w:color w:val="auto"/>
        </w:rPr>
        <w:t>” shall mean the Lender Presentation of Holdings dated June 6, 2019.</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Lender-Related Distress Event</w:t>
      </w:r>
      <w:r>
        <w:rPr>
          <w:rFonts w:ascii="Arial" w:cs="Arial" w:eastAsia="Arial" w:hAnsi="Arial"/>
          <w:sz w:val="16"/>
          <w:szCs w:val="16"/>
          <w:color w:val="auto"/>
        </w:rPr>
        <w:t>” shall mean, with respect to any Lender or any other Person that directly or indirectly controls such Lender (each, a “</w:t>
      </w:r>
      <w:r>
        <w:rPr>
          <w:rFonts w:ascii="Arial" w:cs="Arial" w:eastAsia="Arial" w:hAnsi="Arial"/>
          <w:sz w:val="16"/>
          <w:szCs w:val="16"/>
          <w:b w:val="1"/>
          <w:bCs w:val="1"/>
          <w:color w:val="auto"/>
        </w:rPr>
        <w:t>Distressed Person</w:t>
      </w:r>
      <w:r>
        <w:rPr>
          <w:rFonts w:ascii="Arial" w:cs="Arial" w:eastAsia="Arial" w:hAnsi="Arial"/>
          <w:sz w:val="16"/>
          <w:szCs w:val="16"/>
          <w:color w:val="auto"/>
        </w:rPr>
        <w:t xml:space="preserve">”), a voluntary or involuntary case with respect to such Distressed Person under any debt relief law, or a custodian, conservator, receiver, or similar official is appointed for such Distressed Person or any substantial part of such Distressed Person’s assets, or such Distressed Person, or any Person that directly or indirectly controls such Distressed Person or is subject to a forced liquidation or such Distressed Person makes a general assignment for the benefit of creditors or is otherwise adjudicated as, or determined by any governmental authority having regulatory authority over such Distressed Person to be, insolvent or bankrupt;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Lender-Related Distress Event shall not be deemed to have occurred solely by virtue of the ownership or acquisition of any equity interests in any Lender or any Person that directly or indirectly controls such Lender by a governmental authority or an instrumentality thereof so long as such equity interest does not result in or provide such Lender with immunity from the jurisdiction of courts within the United States or from the enforcement of judgments or writs of attachment on its assets or permit such Lender (or such governmental authority or instrumentality thereof) to reject, repudiate, disavow or disaffirm any contracts or agreements made with such Lender.</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xml:space="preserve">” shall mean each letter of credit issued pursuant to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and includes the Existing Letters of Credit.</w:t>
      </w:r>
    </w:p>
    <w:p>
      <w:pPr>
        <w:spacing w:after="0" w:line="225"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Commitment</w:t>
      </w:r>
      <w:r>
        <w:rPr>
          <w:rFonts w:ascii="Arial" w:cs="Arial" w:eastAsia="Arial" w:hAnsi="Arial"/>
          <w:sz w:val="18"/>
          <w:szCs w:val="18"/>
          <w:color w:val="auto"/>
        </w:rPr>
        <w:t>” shall mean $20,000,000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Letter of Credit Commitment of (i) Bank of America, N.A. shall not exceed $6,666,666.67, (ii) JPMorgan Chase Bank, N.A. shall not exceed $6,666,666.67 and (iii) Wells Fargo Bank, N.A. shall not exceed $6,666,666.66, in each case unless otherwise agreed to by such Letter of Credit Issuer in its sole discretion), as the same may be reduced from time to time pursuant to </w:t>
      </w:r>
      <w:r>
        <w:rPr>
          <w:rFonts w:ascii="Arial" w:cs="Arial" w:eastAsia="Arial" w:hAnsi="Arial"/>
          <w:sz w:val="18"/>
          <w:szCs w:val="18"/>
          <w:u w:val="single" w:color="auto"/>
          <w:color w:val="auto"/>
        </w:rPr>
        <w:t>Section3.1</w:t>
      </w:r>
      <w:r>
        <w:rPr>
          <w:rFonts w:ascii="Arial" w:cs="Arial" w:eastAsia="Arial" w:hAnsi="Arial"/>
          <w:sz w:val="18"/>
          <w:szCs w:val="18"/>
          <w:color w:val="auto"/>
        </w:rPr>
        <w:t>.</w:t>
      </w:r>
    </w:p>
    <w:p>
      <w:pPr>
        <w:spacing w:after="0" w:line="180"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Expiration Date</w:t>
      </w:r>
      <w:r>
        <w:rPr>
          <w:rFonts w:ascii="Arial" w:cs="Arial" w:eastAsia="Arial" w:hAnsi="Arial"/>
          <w:sz w:val="18"/>
          <w:szCs w:val="18"/>
          <w:color w:val="auto"/>
        </w:rPr>
        <w:t>” shall mean the day that is three Business Days prior to the scheduled Maturity Date then in effect for the Revolving Credit Facility.</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Exposure</w:t>
      </w:r>
      <w:r>
        <w:rPr>
          <w:rFonts w:ascii="Arial" w:cs="Arial" w:eastAsia="Arial" w:hAnsi="Arial"/>
          <w:sz w:val="18"/>
          <w:szCs w:val="18"/>
          <w:color w:val="auto"/>
        </w:rPr>
        <w:t>” shall mean, with respect to any Lender, at any time, the sum of (i) the amount of the principal amount of any Unpaid Drawings in respect of which such Lender has made (or is required to</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337" w:right="359" w:bottom="1440" w:gutter="0" w:footer="0" w:header="0"/>
        </w:sectPr>
      </w:pPr>
    </w:p>
    <w:bookmarkStart w:id="114" w:name="page115"/>
    <w:bookmarkEnd w:id="114"/>
    <w:p>
      <w:pPr>
        <w:spacing w:after="0" w:line="263" w:lineRule="auto"/>
        <w:rPr>
          <w:sz w:val="20"/>
          <w:szCs w:val="20"/>
          <w:color w:val="auto"/>
        </w:rPr>
      </w:pPr>
      <w:r>
        <w:rPr>
          <w:rFonts w:ascii="Arial" w:cs="Arial" w:eastAsia="Arial" w:hAnsi="Arial"/>
          <w:sz w:val="18"/>
          <w:szCs w:val="18"/>
          <w:color w:val="auto"/>
        </w:rPr>
        <w:t xml:space="preserve">have made) payments to the Letter of Credit Issuer pursuant to </w:t>
      </w:r>
      <w:r>
        <w:rPr>
          <w:rFonts w:ascii="Arial" w:cs="Arial" w:eastAsia="Arial" w:hAnsi="Arial"/>
          <w:sz w:val="18"/>
          <w:szCs w:val="18"/>
          <w:u w:val="single" w:color="auto"/>
          <w:color w:val="auto"/>
        </w:rPr>
        <w:t>Section 3.4(a)</w:t>
      </w:r>
      <w:r>
        <w:rPr>
          <w:rFonts w:ascii="Arial" w:cs="Arial" w:eastAsia="Arial" w:hAnsi="Arial"/>
          <w:sz w:val="18"/>
          <w:szCs w:val="18"/>
          <w:color w:val="auto"/>
        </w:rPr>
        <w:t xml:space="preserve"> at such time and (ii) such Lender’s Revolving Credit Commitment Percentage of the Letters of Credit Outstanding at such time (excluding the portion thereof consisting of Unpaid Drawings in respect of which the Lenders have made (or are required to have made) payments to the Letter of Credit Issuer pursuant to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Fee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4.1(b)</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Issuer</w:t>
      </w:r>
      <w:r>
        <w:rPr>
          <w:rFonts w:ascii="Arial" w:cs="Arial" w:eastAsia="Arial" w:hAnsi="Arial"/>
          <w:sz w:val="18"/>
          <w:szCs w:val="18"/>
          <w:color w:val="auto"/>
        </w:rPr>
        <w:t xml:space="preserve"> “ shall mean (i) in the case of standby Letters of Credit only, (a) as applicable, each of Bank of America, N.A., JPMorgan Chase Bank, N.A. and Wells Fargo Bank, N.A. and (b) any of their respective Affiliates or branches, (ii) any replacement, additional issuer, or successor pursuant to Section 3.6 and (iii) solely with respect to the Existing Letter of Credit issued by it and outstanding on the Restatement Effective Date, Goldman Sachs Bank USA. In the event that there is more than one Letter of Credit Issuer at any time, references herein and in the other Credit Documents to the Letter of Credit Issuer shall be deemed to refer to the Letter of Credit Issuer in respect of the applicable Letter of Credit or to all Letter of Credit Issuers, as the context requires.</w:t>
      </w:r>
    </w:p>
    <w:p>
      <w:pPr>
        <w:spacing w:after="0" w:line="187"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Request</w:t>
      </w:r>
      <w:r>
        <w:rPr>
          <w:rFonts w:ascii="Arial" w:cs="Arial" w:eastAsia="Arial" w:hAnsi="Arial"/>
          <w:sz w:val="18"/>
          <w:szCs w:val="18"/>
          <w:color w:val="auto"/>
        </w:rPr>
        <w:t xml:space="preserve">” shall mean a notice executed and delivered by the Borrower pursuant to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substantially in the form of </w:t>
      </w:r>
      <w:r>
        <w:rPr>
          <w:rFonts w:ascii="Arial" w:cs="Arial" w:eastAsia="Arial" w:hAnsi="Arial"/>
          <w:sz w:val="18"/>
          <w:szCs w:val="18"/>
          <w:u w:val="single" w:color="auto"/>
          <w:color w:val="auto"/>
        </w:rPr>
        <w:t>Exhibit L</w:t>
      </w:r>
      <w:r>
        <w:rPr>
          <w:rFonts w:ascii="Arial" w:cs="Arial" w:eastAsia="Arial" w:hAnsi="Arial"/>
          <w:sz w:val="18"/>
          <w:szCs w:val="18"/>
          <w:color w:val="auto"/>
        </w:rPr>
        <w:t xml:space="preserve"> or another form which is acceptable to the Letter of Credit Issuer in its reasonable discretion.</w:t>
      </w:r>
    </w:p>
    <w:p>
      <w:pPr>
        <w:spacing w:after="0" w:line="162"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Letters of Credit Outstanding</w:t>
      </w:r>
      <w:r>
        <w:rPr>
          <w:rFonts w:ascii="Arial" w:cs="Arial" w:eastAsia="Arial" w:hAnsi="Arial"/>
          <w:sz w:val="18"/>
          <w:szCs w:val="18"/>
          <w:color w:val="auto"/>
        </w:rPr>
        <w:t>” shall mean, at any time the sum of, without duplication, (i) the aggregate Stated Amount of all outstanding Letters of Credit and (ii) the aggregate amount of the principal amount of all Unpaid Drawings.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shall have the meaning provided in the definition of “LIBOR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Loan</w:t>
      </w:r>
      <w:r>
        <w:rPr>
          <w:rFonts w:ascii="Arial" w:cs="Arial" w:eastAsia="Arial" w:hAnsi="Arial"/>
          <w:sz w:val="18"/>
          <w:szCs w:val="18"/>
          <w:color w:val="auto"/>
        </w:rPr>
        <w:t>” shall mean any Loan bearing interest at a rate determined by reference to the LIBOR Rate.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Rate</w:t>
      </w:r>
      <w:r>
        <w:rPr>
          <w:rFonts w:ascii="Arial" w:cs="Arial" w:eastAsia="Arial" w:hAnsi="Arial"/>
          <w:sz w:val="18"/>
          <w:szCs w:val="18"/>
          <w:color w:val="auto"/>
        </w:rPr>
        <w:t>” shall mean,</w:t>
      </w:r>
    </w:p>
    <w:p>
      <w:pPr>
        <w:spacing w:after="0" w:line="229" w:lineRule="exact"/>
        <w:rPr>
          <w:sz w:val="20"/>
          <w:szCs w:val="20"/>
          <w:color w:val="auto"/>
        </w:rPr>
      </w:pPr>
    </w:p>
    <w:p>
      <w:pPr>
        <w:ind w:left="660" w:right="160" w:firstLine="1535"/>
        <w:spacing w:after="0" w:line="273" w:lineRule="auto"/>
        <w:tabs>
          <w:tab w:leader="none" w:pos="2594" w:val="left"/>
        </w:tabs>
        <w:numPr>
          <w:ilvl w:val="0"/>
          <w:numId w:val="68"/>
        </w:numPr>
        <w:rPr>
          <w:rFonts w:ascii="Arial" w:cs="Arial" w:eastAsia="Arial" w:hAnsi="Arial"/>
          <w:sz w:val="17"/>
          <w:szCs w:val="17"/>
          <w:color w:val="auto"/>
        </w:rPr>
      </w:pPr>
      <w:r>
        <w:rPr>
          <w:rFonts w:ascii="Arial" w:cs="Arial" w:eastAsia="Arial" w:hAnsi="Arial"/>
          <w:sz w:val="17"/>
          <w:szCs w:val="17"/>
          <w:color w:val="auto"/>
        </w:rPr>
        <w:t>for any Interest Period with respect to a LIBOR Loan, the rate per annum equal to the London Interbank Offered Rate as administered by ICE Benchmark Administration (or any other Person that takes over the administration of such rate for U.S. Dollars for a period equal in length to such Interest Period) (“LIBOR”) as published on the applicable Bloomberg screen page (or such other commercially available source providing such quotations as may be designated by the Administrative Agent from time to time) at approximately 11:00 a.m., London time, two Business Days prior to the commencement of such Interest Period, for Dollar deposits (for delivery on the first day of such Interest Period) with a term equivalent to such Interest Period, and</w:t>
      </w:r>
    </w:p>
    <w:p>
      <w:pPr>
        <w:spacing w:after="0" w:line="177" w:lineRule="exact"/>
        <w:rPr>
          <w:rFonts w:ascii="Arial" w:cs="Arial" w:eastAsia="Arial" w:hAnsi="Arial"/>
          <w:sz w:val="17"/>
          <w:szCs w:val="17"/>
          <w:color w:val="auto"/>
        </w:rPr>
      </w:pPr>
    </w:p>
    <w:p>
      <w:pPr>
        <w:ind w:left="660" w:right="140" w:firstLine="1535"/>
        <w:spacing w:after="0" w:line="342" w:lineRule="auto"/>
        <w:tabs>
          <w:tab w:leader="none" w:pos="2644" w:val="left"/>
        </w:tabs>
        <w:numPr>
          <w:ilvl w:val="0"/>
          <w:numId w:val="68"/>
        </w:numPr>
        <w:rPr>
          <w:rFonts w:ascii="Arial" w:cs="Arial" w:eastAsia="Arial" w:hAnsi="Arial"/>
          <w:sz w:val="16"/>
          <w:szCs w:val="16"/>
          <w:color w:val="auto"/>
        </w:rPr>
      </w:pPr>
      <w:r>
        <w:rPr>
          <w:rFonts w:ascii="Arial" w:cs="Arial" w:eastAsia="Arial" w:hAnsi="Arial"/>
          <w:sz w:val="16"/>
          <w:szCs w:val="16"/>
          <w:color w:val="auto"/>
        </w:rPr>
        <w:t>for any interest calculation with respect to an ABR Loan on any date, the rate per annum equal to LIBOR, at or about 11:00 a.m., London time determined two Business Days prior to such date for Dollar deposits with a term of one month commencing that day;</w:t>
      </w:r>
    </w:p>
    <w:p>
      <w:pPr>
        <w:spacing w:after="0" w:line="124" w:lineRule="exact"/>
        <w:rPr>
          <w:sz w:val="20"/>
          <w:szCs w:val="20"/>
          <w:color w:val="auto"/>
        </w:rPr>
      </w:pPr>
    </w:p>
    <w:p>
      <w:pPr>
        <w:ind w:right="420" w:firstLine="8"/>
        <w:spacing w:after="0" w:line="277" w:lineRule="auto"/>
        <w:tabs>
          <w:tab w:leader="none" w:pos="95"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LIBOR Rate as determined below for any period would be less than </w:t>
      </w:r>
      <w:r>
        <w:rPr>
          <w:rFonts w:ascii="Arial" w:cs="Arial" w:eastAsia="Arial" w:hAnsi="Arial"/>
          <w:sz w:val="18"/>
          <w:szCs w:val="18"/>
          <w:color w:val="FF0000"/>
          <w:strike w:val="1"/>
        </w:rPr>
        <w:t>zero</w:t>
      </w:r>
      <w:r>
        <w:rPr>
          <w:rFonts w:ascii="Arial" w:cs="Arial" w:eastAsia="Arial" w:hAnsi="Arial"/>
          <w:sz w:val="18"/>
          <w:szCs w:val="18"/>
          <w:u w:val="single" w:color="auto"/>
          <w:color w:val="0000FF"/>
        </w:rPr>
        <w:t>1.00%</w:t>
      </w:r>
      <w:r>
        <w:rPr>
          <w:rFonts w:ascii="Arial" w:cs="Arial" w:eastAsia="Arial" w:hAnsi="Arial"/>
          <w:sz w:val="18"/>
          <w:szCs w:val="18"/>
          <w:color w:val="auto"/>
        </w:rPr>
        <w:t xml:space="preserve">, the LIBOR Rate for such period shall instead be </w:t>
      </w:r>
      <w:r>
        <w:rPr>
          <w:rFonts w:ascii="Arial" w:cs="Arial" w:eastAsia="Arial" w:hAnsi="Arial"/>
          <w:sz w:val="18"/>
          <w:szCs w:val="18"/>
          <w:color w:val="FF0000"/>
          <w:strike w:val="1"/>
        </w:rPr>
        <w:t>zero</w:t>
      </w:r>
      <w:r>
        <w:rPr>
          <w:rFonts w:ascii="Arial" w:cs="Arial" w:eastAsia="Arial" w:hAnsi="Arial"/>
          <w:sz w:val="18"/>
          <w:szCs w:val="18"/>
          <w:u w:val="single" w:color="auto"/>
          <w:color w:val="0000FF"/>
        </w:rPr>
        <w:t>1.00%</w:t>
      </w:r>
      <w:r>
        <w:rPr>
          <w:rFonts w:ascii="Arial" w:cs="Arial" w:eastAsia="Arial" w:hAnsi="Arial"/>
          <w:sz w:val="18"/>
          <w:szCs w:val="18"/>
          <w:color w:val="000000"/>
        </w:rPr>
        <w:t>.</w:t>
      </w:r>
    </w:p>
    <w:p>
      <w:pPr>
        <w:spacing w:after="0" w:line="85" w:lineRule="exact"/>
        <w:rPr>
          <w:sz w:val="20"/>
          <w:szCs w:val="20"/>
          <w:color w:val="auto"/>
        </w:rPr>
      </w:pPr>
    </w:p>
    <w:p>
      <w:pPr>
        <w:ind w:right="6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LIBOR Screen Rate</w:t>
      </w:r>
      <w:r>
        <w:rPr>
          <w:rFonts w:ascii="Arial" w:cs="Arial" w:eastAsia="Arial" w:hAnsi="Arial"/>
          <w:sz w:val="17"/>
          <w:szCs w:val="17"/>
          <w:color w:val="auto"/>
        </w:rPr>
        <w:t>” means the LIBOR quote on the applicable screen page the Administrative Agent designates to determine LIBOR (or such other commercially available source providing such quotations as may be designated by the Administrative Agent from time to time).</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Successor Rate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2.10(d)</w:t>
      </w:r>
      <w:r>
        <w:rPr>
          <w:rFonts w:ascii="Arial" w:cs="Arial" w:eastAsia="Arial" w:hAnsi="Arial"/>
          <w:sz w:val="18"/>
          <w:szCs w:val="18"/>
          <w:color w:val="auto"/>
        </w:rPr>
        <w:t>.</w:t>
      </w:r>
    </w:p>
    <w:p>
      <w:pPr>
        <w:spacing w:after="0" w:line="225"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Successor Rate Conforming Changes</w:t>
      </w:r>
      <w:r>
        <w:rPr>
          <w:rFonts w:ascii="Arial" w:cs="Arial" w:eastAsia="Arial" w:hAnsi="Arial"/>
          <w:sz w:val="18"/>
          <w:szCs w:val="18"/>
          <w:color w:val="auto"/>
        </w:rPr>
        <w:t>” means, with respect to any proposed LIBOR Successor Rate, any conforming changes to the definition of ABR, Interest Period, timing and frequency of determining rates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341" w:right="359" w:bottom="1440" w:gutter="0" w:footer="0" w:header="0"/>
        </w:sectPr>
      </w:pPr>
    </w:p>
    <w:bookmarkStart w:id="115" w:name="page116"/>
    <w:bookmarkEnd w:id="115"/>
    <w:p>
      <w:pPr>
        <w:ind w:right="20"/>
        <w:spacing w:after="0" w:line="257" w:lineRule="auto"/>
        <w:rPr>
          <w:sz w:val="20"/>
          <w:szCs w:val="20"/>
          <w:color w:val="auto"/>
        </w:rPr>
      </w:pPr>
      <w:r>
        <w:rPr>
          <w:rFonts w:ascii="Arial" w:cs="Arial" w:eastAsia="Arial" w:hAnsi="Arial"/>
          <w:sz w:val="18"/>
          <w:szCs w:val="18"/>
          <w:color w:val="auto"/>
        </w:rPr>
        <w:t>and making payments of interest and other administrative matters as may be appropriate, in the discretion of the Administrative Agent and in consultation with the Borrower, to reflect the adoption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determines in consultation with the Borrower).</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Lien</w:t>
      </w:r>
      <w:r>
        <w:rPr>
          <w:rFonts w:ascii="Arial" w:cs="Arial" w:eastAsia="Arial" w:hAnsi="Arial"/>
          <w:sz w:val="17"/>
          <w:szCs w:val="17"/>
          <w:color w:val="auto"/>
        </w:rPr>
        <w:t xml:space="preserve">” shall mean with respect to any asset, any mortgage, lien, pledge, hypothecation, charge, security interest, preference, priority,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an operating lease or a license to Intellectual Property be deemed to constitute a Lien.</w:t>
      </w:r>
    </w:p>
    <w:p>
      <w:pPr>
        <w:spacing w:after="0" w:line="168" w:lineRule="exact"/>
        <w:rPr>
          <w:sz w:val="20"/>
          <w:szCs w:val="20"/>
          <w:color w:val="auto"/>
        </w:rPr>
      </w:pPr>
    </w:p>
    <w:p>
      <w:pPr>
        <w:ind w:right="10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Limited Condition Transaction</w:t>
      </w:r>
      <w:r>
        <w:rPr>
          <w:rFonts w:ascii="Arial" w:cs="Arial" w:eastAsia="Arial" w:hAnsi="Arial"/>
          <w:sz w:val="17"/>
          <w:szCs w:val="17"/>
          <w:color w:val="auto"/>
        </w:rPr>
        <w:t>” shall mean (a) the consummation of any acquisition (including by way of merger), Investment, Disposition, Restricted Payment requiring declaration (as determined by Borrower) by one or more of Holdings, the Borrower and the Restricted Subsidiaries and whose consummation is not conditioned on the availability of, or on obtaining, third party financing and/or (b) any prepayment, repurchase or redemption of Indebtedness requiring irrevocable notice in advance of such prepayment, repurchase or redemption.</w:t>
      </w:r>
    </w:p>
    <w:p>
      <w:pPr>
        <w:spacing w:after="0" w:line="165"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shall mean any Revolving Loan, Swingline Loan, Term Loan, Extended Term Loan, New Term Loan, or any other loan made by any Lender pursuant to this Agreement.</w:t>
      </w:r>
    </w:p>
    <w:p>
      <w:pPr>
        <w:spacing w:after="0" w:line="162" w:lineRule="exact"/>
        <w:rPr>
          <w:sz w:val="20"/>
          <w:szCs w:val="20"/>
          <w:color w:val="auto"/>
        </w:rPr>
      </w:pPr>
    </w:p>
    <w:p>
      <w:pPr>
        <w:ind w:right="2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Managed Care Subsidiary</w:t>
      </w:r>
      <w:r>
        <w:rPr>
          <w:rFonts w:ascii="Arial" w:cs="Arial" w:eastAsia="Arial" w:hAnsi="Arial"/>
          <w:sz w:val="17"/>
          <w:szCs w:val="17"/>
          <w:color w:val="auto"/>
        </w:rPr>
        <w:t>” shall mean FirstSight and any other Subsidiary of the Borrower (i) whose financial condition or activities are regulated under laws of any state in connection with the provision of health or vision care products or services (or related administrative services) and (ii) a pledge of the Capital Stock of whom, or whose guaranty of the Obligations or granting of a lien on its assets to secure the Obligations would violate any applicable law or regulation or require a consent of a Governmental Authority which has not been obtained.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Mandatory Borrowing</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Agreement</w:t>
      </w:r>
      <w:r>
        <w:rPr>
          <w:rFonts w:ascii="Arial" w:cs="Arial" w:eastAsia="Arial" w:hAnsi="Arial"/>
          <w:sz w:val="18"/>
          <w:szCs w:val="18"/>
          <w:color w:val="auto"/>
        </w:rPr>
        <w:t>” shall have the meaning provided in the definition of the term “Hedge Agreement.”</w:t>
      </w:r>
    </w:p>
    <w:p>
      <w:pPr>
        <w:spacing w:after="0" w:line="225"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shall mean a circumstance or condition affecting the business, assets, operations, properties, or financial condition of Holdings and its Subsidiaries, taken as a whole, that would, individually or in the aggregate, materially adversely affect (i) the ability of Holdings and the other Credit Parties, taken as a whole, to perform their payment obligations under this Agreement or any of the other Credit Documents or (ii) the rights and remedies of the Administrative Agent and the Lenders under the Credit Documents.</w:t>
      </w:r>
    </w:p>
    <w:p>
      <w:pPr>
        <w:spacing w:after="0" w:line="180"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Acquisition</w:t>
      </w:r>
      <w:r>
        <w:rPr>
          <w:rFonts w:ascii="Arial" w:cs="Arial" w:eastAsia="Arial" w:hAnsi="Arial"/>
          <w:sz w:val="18"/>
          <w:szCs w:val="18"/>
          <w:color w:val="auto"/>
        </w:rPr>
        <w:t>” shall mean any Permitted Acquisition or Investment, or the last to occur of a group of no greater than three Permitted Acquisitions and/or Investments (whether or not related to each other) consummated within a period of one year, if the aggregate amount of consideration paid in respect of, and liabilities incurred or assumed to finance, such Permitted Acquisition and/or Investment (or, if applicable, such group of Permitted Acquisitions and/or Investments) is in the aggregate at least $50,000,000 and the Borrower has designated such Permitted Acquisitions and/or Investments as a “Material Acquisition”.</w:t>
      </w:r>
    </w:p>
    <w:p>
      <w:pPr>
        <w:spacing w:after="0" w:line="183"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Subsidiary</w:t>
      </w:r>
      <w:r>
        <w:rPr>
          <w:rFonts w:ascii="Arial" w:cs="Arial" w:eastAsia="Arial" w:hAnsi="Arial"/>
          <w:sz w:val="18"/>
          <w:szCs w:val="18"/>
          <w:color w:val="auto"/>
        </w:rPr>
        <w:t xml:space="preserve">” shall mean, at any date of determination, each Restricted Subsidiary (i) whose total assets at the last day of the Test Period ending on the last day of the most recent fiscal period for which Section 9.1 Financials have been delivered were equal to or greater than 5.0% of the Consolidated Total Assets of Holdings and the Restricted Subsidiaries at such date or (ii) whose revenues during such Test Period were equal to or greater than 5.0% of the consolidated revenues of Holdings and the Restricted Subsidiaries for such period, in each case determined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any time and from time to time after the Restatement Effective Date, Restricted Subsidiaries that are not Material Subsidiaries (other than Subsidiaries that are Excluded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320" w:top="341" w:right="379" w:bottom="1440" w:gutter="0" w:footer="0" w:header="0"/>
        </w:sectPr>
      </w:pPr>
    </w:p>
    <w:bookmarkStart w:id="116" w:name="page117"/>
    <w:bookmarkEnd w:id="116"/>
    <w:p>
      <w:pPr>
        <w:spacing w:after="0" w:line="255" w:lineRule="auto"/>
        <w:rPr>
          <w:sz w:val="20"/>
          <w:szCs w:val="20"/>
          <w:color w:val="auto"/>
        </w:rPr>
      </w:pPr>
      <w:r>
        <w:rPr>
          <w:rFonts w:ascii="Arial" w:cs="Arial" w:eastAsia="Arial" w:hAnsi="Arial"/>
          <w:sz w:val="18"/>
          <w:szCs w:val="18"/>
          <w:color w:val="auto"/>
        </w:rPr>
        <w:t>Subsidiaries by virtue of any of clauses (ii) through (xii) of the definition of “Excluded Subsidiary”) have, in the aggregate, (a) total assets at the last day of such Test Period equal to or greater than 7.5% of the Consolidated Total Assets of Holdings and the Restricted Subsidiaries at such date or (b) revenues during such Test Period equal to or greater than 7.5% of the consolidated revenues of Holdings and the Restricted Subsidiaries for such period, in each case determined in accordance with GAAP, then Holdings shall, on the date on which financial statements for such quarter are delivered pursuant to this Agreement, designate in writing to the Administrative Agent one or more of such Restricted Subsidiaries as Material Subsidiaries for each fiscal period until this proviso is no longer applicable.</w:t>
      </w:r>
    </w:p>
    <w:p>
      <w:pPr>
        <w:spacing w:after="0" w:line="188" w:lineRule="exact"/>
        <w:rPr>
          <w:sz w:val="20"/>
          <w:szCs w:val="20"/>
          <w:color w:val="auto"/>
        </w:rPr>
      </w:pPr>
    </w:p>
    <w:p>
      <w:pPr>
        <w:ind w:right="5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shall mean the Term A Loan Maturity Date, the New Term Loan Maturity Date, the Revolving Credit Maturity Date, the maturity date of an Extended Term Loan or the maturity date of an Extended Revolving Credit Loan, as applicable.</w:t>
      </w:r>
    </w:p>
    <w:p>
      <w:pPr>
        <w:spacing w:after="0" w:line="16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Maximum Incremental Facilities Amount</w:t>
      </w:r>
      <w:r>
        <w:rPr>
          <w:rFonts w:ascii="Arial" w:cs="Arial" w:eastAsia="Arial" w:hAnsi="Arial"/>
          <w:sz w:val="16"/>
          <w:szCs w:val="16"/>
          <w:color w:val="auto"/>
        </w:rPr>
        <w:t xml:space="preserve">” shall mean, </w:t>
      </w:r>
      <w:r>
        <w:rPr>
          <w:rFonts w:ascii="Arial" w:cs="Arial" w:eastAsia="Arial" w:hAnsi="Arial"/>
          <w:sz w:val="16"/>
          <w:szCs w:val="16"/>
          <w:color w:val="FF0000"/>
          <w:strike w:val="1"/>
        </w:rPr>
        <w:t>at any</w:t>
      </w:r>
      <w:r>
        <w:rPr>
          <w:rFonts w:ascii="Arial" w:cs="Arial" w:eastAsia="Arial" w:hAnsi="Arial"/>
          <w:sz w:val="16"/>
          <w:szCs w:val="16"/>
          <w:u w:val="single" w:color="auto"/>
          <w:color w:val="0000FF"/>
        </w:rPr>
        <w:t>(A) during the Additional Restrictions Period, $50,000,000 or (B) at any other</w:t>
      </w:r>
      <w:r>
        <w:rPr>
          <w:rFonts w:ascii="Arial" w:cs="Arial" w:eastAsia="Arial" w:hAnsi="Arial"/>
          <w:sz w:val="16"/>
          <w:szCs w:val="16"/>
          <w:color w:val="auto"/>
        </w:rPr>
        <w:t xml:space="preserve"> date of determination, (i) the amount such that, after giving effect to the incurrence of such amount Holdings would be in compliance on a Pro Forma Basis (including any adjustments required by such definition as a result of a contemplated Permitted Acquisition and, only in the case of a simultaneous incurrence of the maximum amount permitted to be incurred under this clause (i) on the date of such incurrence together with an incurrence in reliance on clause (ii) below on such date, without giving pro forma effect to such simultaneous incurrence in reliance on clause (ii) below or under the Revolving Credit Facility) with the First Lien Secured Leverage Test (assuming that all outstanding Indebtedness incurred pursuant to </w:t>
      </w:r>
      <w:r>
        <w:rPr>
          <w:rFonts w:ascii="Arial" w:cs="Arial" w:eastAsia="Arial" w:hAnsi="Arial"/>
          <w:sz w:val="16"/>
          <w:szCs w:val="16"/>
          <w:u w:val="single" w:color="auto"/>
          <w:color w:val="auto"/>
        </w:rPr>
        <w:t>Section 10.1(x)</w:t>
      </w:r>
      <w:r>
        <w:rPr>
          <w:rFonts w:ascii="Arial" w:cs="Arial" w:eastAsia="Arial" w:hAnsi="Arial"/>
          <w:sz w:val="16"/>
          <w:szCs w:val="16"/>
          <w:color w:val="auto"/>
        </w:rPr>
        <w:t xml:space="preserve"> prior to or on such date of determination would be included in the definition of “Consolidated First Lien Secured Debt”, whether or not such Indebtedness would otherwise be so included and assuming the New Revolving Credit Commitments established at such time are fully drawn),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$100,000,000.</w:t>
      </w:r>
    </w:p>
    <w:p>
      <w:pPr>
        <w:spacing w:after="0" w:line="159"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Borrowing Amount</w:t>
      </w:r>
      <w:r>
        <w:rPr>
          <w:rFonts w:ascii="Arial" w:cs="Arial" w:eastAsia="Arial" w:hAnsi="Arial"/>
          <w:sz w:val="18"/>
          <w:szCs w:val="18"/>
          <w:color w:val="auto"/>
        </w:rPr>
        <w:t>” shall mean (i) with respect to a Borrowing of LIBOR Loans, $1,000,000 (or, if less, the entire remaining applicable Commitments at the time of such Borrowing) and (ii) with respect to a Borrowing of ABR Loans, $1,000,000 (or, if less, the entire remaining applicable Commitments at the time of such Borrowing).</w:t>
      </w:r>
    </w:p>
    <w:p>
      <w:pPr>
        <w:spacing w:after="0" w:line="176"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Minimum Collateral Amount</w:t>
      </w:r>
      <w:r>
        <w:rPr>
          <w:rFonts w:ascii="Arial" w:cs="Arial" w:eastAsia="Arial" w:hAnsi="Arial"/>
          <w:sz w:val="18"/>
          <w:szCs w:val="18"/>
          <w:color w:val="auto"/>
        </w:rPr>
        <w:t xml:space="preserve">” shall mean, at any time, (i) with respect to Cash Collateral consisting of cash or Cash Equivalents or deposit account balances provided to reduce or eliminate Fronting Exposure during the existence of a Defaulting Lender, an amount equal to 101% of the Fronting Exposure of the Letter of Credit Issuer with respect to Letters of Credit issued and outstanding at such time and (ii) with respect to Cash Collateral consisting of cash or Cash Equivalents or deposit account balances provided in accordance with the provisions of </w:t>
      </w:r>
      <w:r>
        <w:rPr>
          <w:rFonts w:ascii="Arial" w:cs="Arial" w:eastAsia="Arial" w:hAnsi="Arial"/>
          <w:sz w:val="18"/>
          <w:szCs w:val="18"/>
          <w:u w:val="single" w:color="auto"/>
          <w:color w:val="auto"/>
        </w:rPr>
        <w:t>Section 3.8(a)(i)</w:t>
      </w:r>
      <w:r>
        <w:rPr>
          <w:rFonts w:ascii="Arial" w:cs="Arial" w:eastAsia="Arial" w:hAnsi="Arial"/>
          <w:sz w:val="18"/>
          <w:szCs w:val="18"/>
          <w:color w:val="auto"/>
        </w:rPr>
        <w:t xml:space="preserve">, </w:t>
      </w:r>
      <w:r>
        <w:rPr>
          <w:rFonts w:ascii="Arial" w:cs="Arial" w:eastAsia="Arial" w:hAnsi="Arial"/>
          <w:sz w:val="18"/>
          <w:szCs w:val="18"/>
          <w:u w:val="single" w:color="auto"/>
          <w:color w:val="auto"/>
        </w:rPr>
        <w:t>(a)(ii)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(a)(iii)</w:t>
      </w:r>
      <w:r>
        <w:rPr>
          <w:rFonts w:ascii="Arial" w:cs="Arial" w:eastAsia="Arial" w:hAnsi="Arial"/>
          <w:sz w:val="18"/>
          <w:szCs w:val="18"/>
          <w:color w:val="auto"/>
        </w:rPr>
        <w:t>, an amount equal to 101% of the outstanding amount of all L/C Obligations.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shall mean Moody’s Investors Service, Inc. or any successor by merger or consolidation to its business.</w:t>
      </w:r>
    </w:p>
    <w:p>
      <w:pPr>
        <w:spacing w:after="0" w:line="225" w:lineRule="exact"/>
        <w:rPr>
          <w:sz w:val="20"/>
          <w:szCs w:val="20"/>
          <w:color w:val="auto"/>
        </w:rPr>
      </w:pPr>
    </w:p>
    <w:p>
      <w:pPr>
        <w:ind w:right="4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Mortgage</w:t>
      </w:r>
      <w:r>
        <w:rPr>
          <w:rFonts w:ascii="Arial" w:cs="Arial" w:eastAsia="Arial" w:hAnsi="Arial"/>
          <w:sz w:val="16"/>
          <w:szCs w:val="16"/>
          <w:color w:val="auto"/>
        </w:rPr>
        <w:t>” shall mean a mortgage, deed of trust, deed to secure debt, trust deed, or other security document entered into by the owner of a Mortgaged Property and the Collateral Agent for the benefit of the Secured Parties in respect of that Mortgaged Property to secure the Obligations, in form and substance reasonably acceptable to the Collateral Agent and the Borrower, together with such terms and provisions as may be required by local laws.</w:t>
      </w:r>
    </w:p>
    <w:p>
      <w:pPr>
        <w:spacing w:after="0" w:line="142"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Mortgaged Property</w:t>
      </w:r>
      <w:r>
        <w:rPr>
          <w:rFonts w:ascii="Arial" w:cs="Arial" w:eastAsia="Arial" w:hAnsi="Arial"/>
          <w:sz w:val="16"/>
          <w:szCs w:val="16"/>
          <w:color w:val="auto"/>
        </w:rPr>
        <w:t xml:space="preserve">” shall mean, initially, each parcel of real estate and the improvements thereto owned in fee by a Credit Party and identified on </w:t>
      </w:r>
      <w:r>
        <w:rPr>
          <w:rFonts w:ascii="Arial" w:cs="Arial" w:eastAsia="Arial" w:hAnsi="Arial"/>
          <w:sz w:val="16"/>
          <w:szCs w:val="16"/>
          <w:u w:val="single" w:color="auto"/>
          <w:color w:val="auto"/>
        </w:rPr>
        <w:t>Schedule 1.1(a)</w:t>
      </w:r>
      <w:r>
        <w:rPr>
          <w:rFonts w:ascii="Arial" w:cs="Arial" w:eastAsia="Arial" w:hAnsi="Arial"/>
          <w:sz w:val="16"/>
          <w:szCs w:val="16"/>
          <w:color w:val="auto"/>
        </w:rPr>
        <w:t xml:space="preserve">, and each other parcel of real property and improvements thereto with respect to which a Mortgage is granted pursuant to </w:t>
      </w:r>
      <w:r>
        <w:rPr>
          <w:rFonts w:ascii="Arial" w:cs="Arial" w:eastAsia="Arial" w:hAnsi="Arial"/>
          <w:sz w:val="16"/>
          <w:szCs w:val="16"/>
          <w:u w:val="single" w:color="auto"/>
          <w:color w:val="auto"/>
        </w:rPr>
        <w:t>Section 9.14</w:t>
      </w:r>
      <w:r>
        <w:rPr>
          <w:rFonts w:ascii="Arial" w:cs="Arial" w:eastAsia="Arial" w:hAnsi="Arial"/>
          <w:sz w:val="16"/>
          <w:szCs w:val="16"/>
          <w:color w:val="auto"/>
        </w:rPr>
        <w:t>.</w:t>
      </w:r>
    </w:p>
    <w:p>
      <w:pPr>
        <w:spacing w:after="0" w:line="116" w:lineRule="exact"/>
        <w:rPr>
          <w:sz w:val="20"/>
          <w:szCs w:val="20"/>
          <w:color w:val="auto"/>
        </w:rPr>
      </w:pPr>
    </w:p>
    <w:p>
      <w:pPr>
        <w:ind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Multiemployer Plan</w:t>
      </w:r>
      <w:r>
        <w:rPr>
          <w:rFonts w:ascii="Arial" w:cs="Arial" w:eastAsia="Arial" w:hAnsi="Arial"/>
          <w:sz w:val="17"/>
          <w:szCs w:val="17"/>
          <w:color w:val="auto"/>
        </w:rPr>
        <w:t>” shall mean a multiemployer plan as defined in Section 4001(a)(3) of ERISA to which any Credit Party or ERISA Affiliate makes or is obligated to make contributions, or during the five preceding calendar years, has made or been obligated to make contributions.</w:t>
      </w:r>
    </w:p>
    <w:p>
      <w:pPr>
        <w:spacing w:after="0" w:line="140"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Cash Proceeds</w:t>
      </w:r>
      <w:r>
        <w:rPr>
          <w:rFonts w:ascii="Arial" w:cs="Arial" w:eastAsia="Arial" w:hAnsi="Arial"/>
          <w:sz w:val="18"/>
          <w:szCs w:val="18"/>
          <w:color w:val="auto"/>
        </w:rPr>
        <w:t>” shall mean, with respect to any Prepayment Event and any incurrence of Permitted Other Indebtedness, (i) the gross cash proceeds (including payments from time to time in respect of installment</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320" w:top="341" w:right="379" w:bottom="1440" w:gutter="0" w:footer="0" w:header="0"/>
        </w:sectPr>
      </w:pPr>
    </w:p>
    <w:bookmarkStart w:id="117" w:name="page118"/>
    <w:bookmarkEnd w:id="117"/>
    <w:p>
      <w:pPr>
        <w:ind w:right="60"/>
        <w:spacing w:after="0" w:line="263" w:lineRule="auto"/>
        <w:rPr>
          <w:sz w:val="20"/>
          <w:szCs w:val="20"/>
          <w:color w:val="auto"/>
        </w:rPr>
      </w:pPr>
      <w:r>
        <w:rPr>
          <w:rFonts w:ascii="Arial" w:cs="Arial" w:eastAsia="Arial" w:hAnsi="Arial"/>
          <w:sz w:val="18"/>
          <w:szCs w:val="18"/>
          <w:color w:val="auto"/>
        </w:rPr>
        <w:t xml:space="preserve">obligations, if applicable, but only as and when received) received by or on behalf of Holdings or any of the Restricted Subsidiaries </w:t>
      </w:r>
      <w:r>
        <w:rPr>
          <w:rFonts w:ascii="Arial" w:cs="Arial" w:eastAsia="Arial" w:hAnsi="Arial"/>
          <w:sz w:val="18"/>
          <w:szCs w:val="18"/>
          <w:u w:val="single" w:color="auto"/>
          <w:color w:val="0000FF"/>
        </w:rPr>
        <w:t>(or, in the case of a</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Capital Markets Prepayment Event, the Parent Entity)</w:t>
      </w:r>
      <w:r>
        <w:rPr>
          <w:rFonts w:ascii="Arial" w:cs="Arial" w:eastAsia="Arial" w:hAnsi="Arial"/>
          <w:sz w:val="18"/>
          <w:szCs w:val="18"/>
          <w:color w:val="0000FF"/>
        </w:rPr>
        <w:t xml:space="preserve"> </w:t>
      </w:r>
      <w:r>
        <w:rPr>
          <w:rFonts w:ascii="Arial" w:cs="Arial" w:eastAsia="Arial" w:hAnsi="Arial"/>
          <w:sz w:val="18"/>
          <w:szCs w:val="18"/>
          <w:color w:val="000000"/>
        </w:rPr>
        <w:t>in respect of such Prepayment Event or incurrence of Permitted Other Indebtedness, as the case may</w:t>
      </w:r>
      <w:r>
        <w:rPr>
          <w:rFonts w:ascii="Arial" w:cs="Arial" w:eastAsia="Arial" w:hAnsi="Arial"/>
          <w:sz w:val="18"/>
          <w:szCs w:val="18"/>
          <w:color w:val="0000FF"/>
        </w:rPr>
        <w:t xml:space="preserve"> </w:t>
      </w:r>
      <w:r>
        <w:rPr>
          <w:rFonts w:ascii="Arial" w:cs="Arial" w:eastAsia="Arial" w:hAnsi="Arial"/>
          <w:sz w:val="18"/>
          <w:szCs w:val="18"/>
          <w:color w:val="000000"/>
        </w:rPr>
        <w:t>be, less (ii) the sum of:</w:t>
      </w:r>
    </w:p>
    <w:p>
      <w:pPr>
        <w:spacing w:after="0" w:line="143" w:lineRule="exact"/>
        <w:rPr>
          <w:sz w:val="20"/>
          <w:szCs w:val="20"/>
          <w:color w:val="auto"/>
        </w:rPr>
      </w:pPr>
    </w:p>
    <w:p>
      <w:pPr>
        <w:ind w:left="660" w:right="100" w:firstLine="644"/>
        <w:spacing w:after="0" w:line="263" w:lineRule="auto"/>
        <w:tabs>
          <w:tab w:leader="none" w:pos="1688"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the amount, if any, of all taxes (including in connection with any repatriation of funds) paid or estimated to be payable by Holdings or any of the Restricted Subsidiaries </w:t>
      </w:r>
      <w:r>
        <w:rPr>
          <w:rFonts w:ascii="Arial" w:cs="Arial" w:eastAsia="Arial" w:hAnsi="Arial"/>
          <w:sz w:val="18"/>
          <w:szCs w:val="18"/>
          <w:u w:val="single" w:color="auto"/>
          <w:color w:val="0000FF"/>
        </w:rPr>
        <w:t>(or, in the case of a Capital Markets Prepayment Event, the Parent Entity)</w:t>
      </w:r>
      <w:r>
        <w:rPr>
          <w:rFonts w:ascii="Arial" w:cs="Arial" w:eastAsia="Arial" w:hAnsi="Arial"/>
          <w:sz w:val="18"/>
          <w:szCs w:val="18"/>
          <w:color w:val="auto"/>
        </w:rPr>
        <w:t xml:space="preserve"> in connection with such Prepayment Event or incurrence of Permitted Other Indebtedness,</w:t>
      </w:r>
    </w:p>
    <w:p>
      <w:pPr>
        <w:spacing w:after="0" w:line="143" w:lineRule="exact"/>
        <w:rPr>
          <w:rFonts w:ascii="Arial" w:cs="Arial" w:eastAsia="Arial" w:hAnsi="Arial"/>
          <w:sz w:val="18"/>
          <w:szCs w:val="18"/>
          <w:color w:val="auto"/>
        </w:rPr>
      </w:pPr>
    </w:p>
    <w:p>
      <w:pPr>
        <w:ind w:left="660" w:right="60" w:firstLine="644"/>
        <w:spacing w:after="0" w:line="275" w:lineRule="auto"/>
        <w:tabs>
          <w:tab w:leader="none" w:pos="1698"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the amount of any reasonable reserve established in accordance with GAAP against any liabilities (other than any taxes deducted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(1) associated with the assets that are the subject of such Prepayment Event and (2) retained by Holdings or any of the Restricted Subsidiaries </w:t>
      </w:r>
      <w:r>
        <w:rPr>
          <w:rFonts w:ascii="Arial" w:cs="Arial" w:eastAsia="Arial" w:hAnsi="Arial"/>
          <w:sz w:val="17"/>
          <w:szCs w:val="17"/>
          <w:u w:val="single" w:color="auto"/>
          <w:color w:val="0000FF"/>
        </w:rPr>
        <w:t>(or, in the case of a Capital Markets Prepayment Event, the Parent Entity)</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 any subsequent reduction of such reserve (other than in connection with a payment in respect of any such liability) shall be deemed to be Net Cash Proceeds of such a Prepayment Event occurring on the date of such reduction,</w:t>
      </w:r>
    </w:p>
    <w:p>
      <w:pPr>
        <w:spacing w:after="0" w:line="135" w:lineRule="exact"/>
        <w:rPr>
          <w:rFonts w:ascii="Arial" w:cs="Arial" w:eastAsia="Arial" w:hAnsi="Arial"/>
          <w:sz w:val="17"/>
          <w:szCs w:val="17"/>
          <w:color w:val="auto"/>
        </w:rPr>
      </w:pPr>
    </w:p>
    <w:p>
      <w:pPr>
        <w:ind w:left="660" w:firstLine="644"/>
        <w:spacing w:after="0" w:line="263" w:lineRule="auto"/>
        <w:tabs>
          <w:tab w:leader="none" w:pos="168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amount of any Indebtedness (other than the Loans and Permitted Other Indebtedness) secured by a Lien on the assets that are the subject of such Prepayment Event to the extent that the instrument creating or evidencing such Indebtedness requires that such Indebtedness be repaid upon consummation of such Prepayment Event,</w:t>
      </w:r>
    </w:p>
    <w:p>
      <w:pPr>
        <w:spacing w:after="0" w:line="143" w:lineRule="exact"/>
        <w:rPr>
          <w:rFonts w:ascii="Arial" w:cs="Arial" w:eastAsia="Arial" w:hAnsi="Arial"/>
          <w:sz w:val="18"/>
          <w:szCs w:val="18"/>
          <w:color w:val="auto"/>
        </w:rPr>
      </w:pPr>
    </w:p>
    <w:p>
      <w:pPr>
        <w:ind w:left="660" w:right="20" w:firstLine="644"/>
        <w:spacing w:after="0" w:line="269" w:lineRule="auto"/>
        <w:tabs>
          <w:tab w:leader="none" w:pos="1698"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in the case of any Asset Sale Prepayment Event or Casualty Event or Permitted Sale Leaseback, the amount of any proceeds of such Prepayment Event that Holdings or any Restricted Subsidiary has reinvested (or intends to reinvest within the Reinvestment Period or has entered into a binding commitment prior to the last day of the Reinvestment Period to reinvest) in the business of Holdings or any of the Restricted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portion of such proceeds that has not been so reinvested within such Reinvestment Period (with respect to such Prepayment Event, the “</w:t>
      </w:r>
      <w:r>
        <w:rPr>
          <w:rFonts w:ascii="Arial" w:cs="Arial" w:eastAsia="Arial" w:hAnsi="Arial"/>
          <w:sz w:val="17"/>
          <w:szCs w:val="17"/>
          <w:b w:val="1"/>
          <w:bCs w:val="1"/>
          <w:color w:val="auto"/>
        </w:rPr>
        <w:t>Deferred Net Cash Proceeds</w:t>
      </w:r>
      <w:r>
        <w:rPr>
          <w:rFonts w:ascii="Arial" w:cs="Arial" w:eastAsia="Arial" w:hAnsi="Arial"/>
          <w:sz w:val="17"/>
          <w:szCs w:val="17"/>
          <w:color w:val="auto"/>
        </w:rPr>
        <w:t>”) shall, unless Holdings or a Restricted Subsidiary has entered into a binding commitment prior to the last day of such Reinvestment Period to reinvest such proceeds no later than 180 days following the last day of such Reinvestment Period, (1) be deemed to be Net Cash Proceeds of an Asset Sale Prepayment Event, Casualty Event, or Permitted Sale Leaseback occurring on the last day of such Reinvestment Period or, if later, 180 days after the date Holdings or such Restricted Subsidiary has entered into such binding commitment, as applicable (such last day or 180th day, as applicable, the “</w:t>
      </w:r>
      <w:r>
        <w:rPr>
          <w:rFonts w:ascii="Arial" w:cs="Arial" w:eastAsia="Arial" w:hAnsi="Arial"/>
          <w:sz w:val="17"/>
          <w:szCs w:val="17"/>
          <w:b w:val="1"/>
          <w:bCs w:val="1"/>
          <w:color w:val="auto"/>
        </w:rPr>
        <w:t>Deferred Net Cash Proceeds Payment Date</w:t>
      </w:r>
      <w:r>
        <w:rPr>
          <w:rFonts w:ascii="Arial" w:cs="Arial" w:eastAsia="Arial" w:hAnsi="Arial"/>
          <w:sz w:val="17"/>
          <w:szCs w:val="17"/>
          <w:color w:val="auto"/>
        </w:rPr>
        <w:t xml:space="preserve">”), and (2) be applied to the repayment of Term Loans in accordance with </w:t>
      </w:r>
      <w:r>
        <w:rPr>
          <w:rFonts w:ascii="Arial" w:cs="Arial" w:eastAsia="Arial" w:hAnsi="Arial"/>
          <w:sz w:val="17"/>
          <w:szCs w:val="17"/>
          <w:u w:val="single" w:color="auto"/>
          <w:color w:val="auto"/>
        </w:rPr>
        <w:t>Section 5.2(a)(i)</w:t>
      </w:r>
      <w:r>
        <w:rPr>
          <w:rFonts w:ascii="Arial" w:cs="Arial" w:eastAsia="Arial" w:hAnsi="Arial"/>
          <w:sz w:val="17"/>
          <w:szCs w:val="17"/>
          <w:color w:val="auto"/>
        </w:rPr>
        <w:t>,</w:t>
      </w:r>
    </w:p>
    <w:p>
      <w:pPr>
        <w:spacing w:after="0" w:line="144" w:lineRule="exact"/>
        <w:rPr>
          <w:rFonts w:ascii="Arial" w:cs="Arial" w:eastAsia="Arial" w:hAnsi="Arial"/>
          <w:sz w:val="17"/>
          <w:szCs w:val="17"/>
          <w:color w:val="auto"/>
        </w:rPr>
      </w:pPr>
    </w:p>
    <w:p>
      <w:pPr>
        <w:ind w:left="660" w:right="20" w:firstLine="644"/>
        <w:spacing w:after="0" w:line="311" w:lineRule="auto"/>
        <w:tabs>
          <w:tab w:leader="none" w:pos="1688"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in the case of any Asset Sale Prepayment Event, Casualty Event, or Permitted Sale Leaseback by a non-Wholly-Owned Restricted Subsidiary, the pro rata portion of the Net Cash Proceeds thereof (calculated without regard to this </w:t>
      </w:r>
      <w:r>
        <w:rPr>
          <w:rFonts w:ascii="Arial" w:cs="Arial" w:eastAsia="Arial" w:hAnsi="Arial"/>
          <w:sz w:val="16"/>
          <w:szCs w:val="16"/>
          <w:u w:val="single" w:color="auto"/>
          <w:color w:val="auto"/>
        </w:rPr>
        <w:t>clause (e)</w:t>
      </w:r>
      <w:r>
        <w:rPr>
          <w:rFonts w:ascii="Arial" w:cs="Arial" w:eastAsia="Arial" w:hAnsi="Arial"/>
          <w:sz w:val="16"/>
          <w:szCs w:val="16"/>
          <w:color w:val="auto"/>
        </w:rPr>
        <w:t>) attributable to minority interests and not available for distribution to or for the account of Holdings or a Wholly-Owned Restricted Subsidiary as a result thereof,</w:t>
      </w:r>
    </w:p>
    <w:p>
      <w:pPr>
        <w:spacing w:after="0" w:line="108" w:lineRule="exact"/>
        <w:rPr>
          <w:rFonts w:ascii="Arial" w:cs="Arial" w:eastAsia="Arial" w:hAnsi="Arial"/>
          <w:sz w:val="16"/>
          <w:szCs w:val="16"/>
          <w:color w:val="auto"/>
        </w:rPr>
      </w:pPr>
    </w:p>
    <w:p>
      <w:pPr>
        <w:ind w:left="660" w:right="100" w:firstLine="644"/>
        <w:spacing w:after="0" w:line="296" w:lineRule="auto"/>
        <w:tabs>
          <w:tab w:leader="none" w:pos="1668"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in the case of any Asset Sale Prepayment Event or Permitted Sale Leaseback, any funded escrow established pursuant to the documents evidencing any such sale or disposition to secure any indemnification obligations or adjustments to the purchase price associated with any such sale or disposition;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any subsequent reduction of such escrow (other than in connection with a payment in respect of any such liability) shall be deemed to be Net Cash Proceeds of such a Prepayment Event occurring on the date of such reduction solely to the extent that Holdings and/or any Restricted Subsidiaries receives cash in an amount equal to the amount of such reduction, and</w:t>
      </w:r>
    </w:p>
    <w:p>
      <w:pPr>
        <w:spacing w:after="0" w:line="120" w:lineRule="exact"/>
        <w:rPr>
          <w:rFonts w:ascii="Arial" w:cs="Arial" w:eastAsia="Arial" w:hAnsi="Arial"/>
          <w:sz w:val="16"/>
          <w:szCs w:val="16"/>
          <w:color w:val="auto"/>
        </w:rPr>
      </w:pPr>
    </w:p>
    <w:p>
      <w:pPr>
        <w:ind w:left="660" w:right="260" w:firstLine="644"/>
        <w:spacing w:after="0" w:line="279" w:lineRule="auto"/>
        <w:tabs>
          <w:tab w:leader="none" w:pos="1698"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all fees and out of pocket expenses paid by Holdings or a Restricted Subsidiary </w:t>
      </w:r>
      <w:r>
        <w:rPr>
          <w:rFonts w:ascii="Arial" w:cs="Arial" w:eastAsia="Arial" w:hAnsi="Arial"/>
          <w:sz w:val="17"/>
          <w:szCs w:val="17"/>
          <w:u w:val="single" w:color="auto"/>
          <w:color w:val="0000FF"/>
        </w:rPr>
        <w:t>(or, in the case of a Capital Markets Prepayment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Event, the Parent Entity)</w:t>
      </w:r>
      <w:r>
        <w:rPr>
          <w:rFonts w:ascii="Arial" w:cs="Arial" w:eastAsia="Arial" w:hAnsi="Arial"/>
          <w:sz w:val="17"/>
          <w:szCs w:val="17"/>
          <w:color w:val="0000FF"/>
        </w:rPr>
        <w:t xml:space="preserve"> </w:t>
      </w:r>
      <w:r>
        <w:rPr>
          <w:rFonts w:ascii="Arial" w:cs="Arial" w:eastAsia="Arial" w:hAnsi="Arial"/>
          <w:sz w:val="17"/>
          <w:szCs w:val="17"/>
          <w:color w:val="000000"/>
        </w:rPr>
        <w:t>in connection with any of the foregoing (for the avoidance of doubt, including, (1) in the case of the issuance of</w:t>
      </w:r>
      <w:r>
        <w:rPr>
          <w:rFonts w:ascii="Arial" w:cs="Arial" w:eastAsia="Arial" w:hAnsi="Arial"/>
          <w:sz w:val="17"/>
          <w:szCs w:val="17"/>
          <w:color w:val="0000FF"/>
        </w:rPr>
        <w:t xml:space="preserve"> </w:t>
      </w:r>
      <w:r>
        <w:rPr>
          <w:rFonts w:ascii="Arial" w:cs="Arial" w:eastAsia="Arial" w:hAnsi="Arial"/>
          <w:sz w:val="17"/>
          <w:szCs w:val="17"/>
          <w:color w:val="000000"/>
        </w:rPr>
        <w:t xml:space="preserve">Permitted Other Indebtedness </w:t>
      </w:r>
      <w:r>
        <w:rPr>
          <w:rFonts w:ascii="Arial" w:cs="Arial" w:eastAsia="Arial" w:hAnsi="Arial"/>
          <w:sz w:val="17"/>
          <w:szCs w:val="17"/>
          <w:u w:val="single" w:color="auto"/>
          <w:color w:val="0000FF"/>
        </w:rPr>
        <w:t>or Capital Markets Prepayment Event</w:t>
      </w:r>
      <w:r>
        <w:rPr>
          <w:rFonts w:ascii="Arial" w:cs="Arial" w:eastAsia="Arial" w:hAnsi="Arial"/>
          <w:sz w:val="17"/>
          <w:szCs w:val="17"/>
          <w:color w:val="000000"/>
        </w:rPr>
        <w:t>, any fees, underwriting discounts, premiums, and other costs and expenses incurred in connection with such issuance and (2) attorney’s fees, investment banking fees, survey costs,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341" w:right="359" w:bottom="1440" w:gutter="0" w:footer="0" w:header="0"/>
        </w:sectPr>
      </w:pPr>
    </w:p>
    <w:bookmarkStart w:id="118" w:name="page119"/>
    <w:bookmarkEnd w:id="118"/>
    <w:p>
      <w:pPr>
        <w:ind w:left="660" w:right="160"/>
        <w:spacing w:after="0" w:line="308" w:lineRule="auto"/>
        <w:rPr>
          <w:sz w:val="20"/>
          <w:szCs w:val="20"/>
          <w:color w:val="auto"/>
        </w:rPr>
      </w:pPr>
      <w:r>
        <w:rPr>
          <w:rFonts w:ascii="Arial" w:cs="Arial" w:eastAsia="Arial" w:hAnsi="Arial"/>
          <w:sz w:val="17"/>
          <w:szCs w:val="17"/>
          <w:color w:val="auto"/>
        </w:rPr>
        <w:t>title insurance premiums, and related search and recording charges, transfer taxes, deed or mortgage recording taxes, underwriting discounts and commissions, other customary expenses, and brokerage, consultant, accountant, and other customary fees),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each case only to the extent not already deducted in arriving at the amount referred to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w:t>
      </w:r>
    </w:p>
    <w:p>
      <w:pPr>
        <w:spacing w:after="0" w:line="140"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Income</w:t>
      </w:r>
      <w:r>
        <w:rPr>
          <w:rFonts w:ascii="Arial" w:cs="Arial" w:eastAsia="Arial" w:hAnsi="Arial"/>
          <w:sz w:val="18"/>
          <w:szCs w:val="18"/>
          <w:color w:val="auto"/>
        </w:rPr>
        <w:t>” shall mean, with respect to any Person, the net income (loss) of such Person, determined in accordance with GAAP and before any reduction in respect of preferred stock dividends.</w:t>
      </w:r>
    </w:p>
    <w:p>
      <w:pPr>
        <w:spacing w:after="0" w:line="162" w:lineRule="exact"/>
        <w:rPr>
          <w:sz w:val="20"/>
          <w:szCs w:val="20"/>
          <w:color w:val="auto"/>
        </w:rPr>
      </w:pPr>
    </w:p>
    <w:p>
      <w:pPr>
        <w:ind w:right="3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Contracts</w:t>
      </w:r>
      <w:r>
        <w:rPr>
          <w:rFonts w:ascii="Arial" w:cs="Arial" w:eastAsia="Arial" w:hAnsi="Arial"/>
          <w:sz w:val="18"/>
          <w:szCs w:val="18"/>
          <w:color w:val="auto"/>
        </w:rPr>
        <w:t>” shall mean binding contracts or purchase orders (i) entered with new Counterparties or (ii) for new business with existing Counterparties, in each case, under which Holdings and/or its Subsidiaries have begun to provide goods or services, which are expected to increase the Consolidated Net Income of Holdings.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Loan Commitments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Revolving Credit Commitments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Revolving Credit Loan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Revolving Loan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2.14(b)</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Store Consolidated EBITDA Adjustment</w:t>
      </w:r>
      <w:r>
        <w:rPr>
          <w:rFonts w:ascii="Arial" w:cs="Arial" w:eastAsia="Arial" w:hAnsi="Arial"/>
          <w:sz w:val="18"/>
          <w:szCs w:val="18"/>
          <w:color w:val="auto"/>
        </w:rPr>
        <w:t>” shall mean, for any applicable Test Period, the excess (not to be less than zero) of (i) aggregate amount derived from the product of (a) the aggregate number of New Stores and (b) Average New Store Consolidated EBITDA during the previous Test Period over (ii) the actual Consolidated EBITDA generated by New Stores during the Test Period.</w:t>
      </w:r>
    </w:p>
    <w:p>
      <w:pPr>
        <w:spacing w:after="0" w:line="176"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Stores</w:t>
      </w:r>
      <w:r>
        <w:rPr>
          <w:rFonts w:ascii="Arial" w:cs="Arial" w:eastAsia="Arial" w:hAnsi="Arial"/>
          <w:sz w:val="18"/>
          <w:szCs w:val="18"/>
          <w:color w:val="auto"/>
        </w:rPr>
        <w:t>” shall mean, with respect to any Test Period, the number of Stores opened within the last 24 months, measured from and including the last month in such Test Period.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 Commitments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 Maturity Date</w:t>
      </w:r>
      <w:r>
        <w:rPr>
          <w:rFonts w:ascii="Arial" w:cs="Arial" w:eastAsia="Arial" w:hAnsi="Arial"/>
          <w:sz w:val="18"/>
          <w:szCs w:val="18"/>
          <w:color w:val="auto"/>
        </w:rPr>
        <w:t>” shall mean the date on which a New Term Loan matures.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 Repayment Amount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 Repayment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Non-Bank Tax Certificate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5.4(e)(ii)(3)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Non-Consenting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13.7(b)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Non-Defaulting Lender</w:t>
      </w:r>
      <w:r>
        <w:rPr>
          <w:rFonts w:ascii="Arial" w:cs="Arial" w:eastAsia="Arial" w:hAnsi="Arial"/>
          <w:sz w:val="18"/>
          <w:szCs w:val="18"/>
          <w:color w:val="auto"/>
        </w:rPr>
        <w:t>” shall mean and include each Lender other than a Defaulting Lender.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Non-Expiring Credit Commitment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Non-Extension Notice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3.2(d)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Non-U.S. Lender</w:t>
      </w:r>
      <w:r>
        <w:rPr>
          <w:rFonts w:ascii="Arial" w:cs="Arial" w:eastAsia="Arial" w:hAnsi="Arial"/>
          <w:sz w:val="18"/>
          <w:szCs w:val="18"/>
          <w:color w:val="auto"/>
        </w:rPr>
        <w:t>” shall mean any Lender that is not a “United States person” as defined by Section 7701(a)(30) of the Code.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341" w:right="359" w:bottom="1440" w:gutter="0" w:footer="0" w:header="0"/>
        </w:sectPr>
      </w:pPr>
    </w:p>
    <w:bookmarkStart w:id="119" w:name="page120"/>
    <w:bookmarkEnd w:id="11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Borrowing</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Conversion or Continuation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2.6(a)</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Obligations</w:t>
      </w:r>
      <w:r>
        <w:rPr>
          <w:rFonts w:ascii="Arial" w:cs="Arial" w:eastAsia="Arial" w:hAnsi="Arial"/>
          <w:sz w:val="17"/>
          <w:szCs w:val="17"/>
          <w:color w:val="auto"/>
        </w:rPr>
        <w:t>” shall mean all advances to, and debts, liabilities, obligations, covenants, and duties of, any Credit Party arising under any Credit Document or otherwise with respect to any Revolving Credit Commitment, Loan, or Letter of Credit or under any Secured Cash Management Agreement, Secured Hedge Agreement (other than with respect to any Credit Party’s obligations that constitute Excluded Swap Obligations solely with respect to such Credit Party), in each case, entered into with Holdings or any of the Restricted Subsidiaries, whether direct or indirect (including those acquired by assumption), absolute or contingent, due or to become due, now existing or hereafter arising and including interest and fees that accrue after the commencement by or against any Credit Party or any Affiliate thereof of any proceeding under any bankruptcy or insolvency law naming such Person as the debtor in such proceeding, regardless of whether such interest and fees are allowed claims in such proceeding. Without limiting the generality of the foregoing, the Obligations of the Credit Parties under the Credit Documents (and any of their Subsidiaries to the extent they have obligations under the Credit Documents) include the obligation (including guarantee obligations) to pay principal, interest, charges, expenses, fees, attorney costs, indemnities, and other amounts payable by any Credit Party under any Credit Document.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shall have the meaning provided in Section 8.11.</w:t>
      </w:r>
    </w:p>
    <w:p>
      <w:pPr>
        <w:spacing w:after="0" w:line="225"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Revolving Credit Commitments</w:t>
      </w:r>
      <w:r>
        <w:rPr>
          <w:rFonts w:ascii="Arial" w:cs="Arial" w:eastAsia="Arial" w:hAnsi="Arial"/>
          <w:sz w:val="18"/>
          <w:szCs w:val="18"/>
          <w:color w:val="auto"/>
        </w:rPr>
        <w:t>” shall mean all Revolving Credit Commitments, Existing Revolving Credit Commitments, and Extended Revolving Credit Commitments, other than any New Revolving Credit Commitments (and any Extended Revolving Credit Commitments related thereto).</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Transactions</w:t>
      </w:r>
      <w:r>
        <w:rPr>
          <w:rFonts w:ascii="Arial" w:cs="Arial" w:eastAsia="Arial" w:hAnsi="Arial"/>
          <w:sz w:val="18"/>
          <w:szCs w:val="18"/>
          <w:color w:val="auto"/>
        </w:rPr>
        <w:t>” shall mean the “Transactions” (as defined in the Original Credit Agreement).</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Other Taxes</w:t>
      </w:r>
      <w:r>
        <w:rPr>
          <w:rFonts w:ascii="Arial" w:cs="Arial" w:eastAsia="Arial" w:hAnsi="Arial"/>
          <w:sz w:val="17"/>
          <w:szCs w:val="17"/>
          <w:color w:val="auto"/>
        </w:rPr>
        <w:t xml:space="preserve">” shall mean all present or future stamp, registration, court or documentary Taxes or any other excise, property, intangible, mortgage recording, filing or similar Taxes arising from any payment made hereunder or under any other Credit Document or from the execution, delivery, performance, enforcement or registration of, or otherwise with respect to, this Agreement or any other Credit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term shall not include (i) any Taxes that result from an assignment, grant of a participation pursuant to </w:t>
      </w:r>
      <w:r>
        <w:rPr>
          <w:rFonts w:ascii="Arial" w:cs="Arial" w:eastAsia="Arial" w:hAnsi="Arial"/>
          <w:sz w:val="17"/>
          <w:szCs w:val="17"/>
          <w:u w:val="single" w:color="auto"/>
          <w:color w:val="auto"/>
        </w:rPr>
        <w:t>Section 13.6(c)</w:t>
      </w:r>
      <w:r>
        <w:rPr>
          <w:rFonts w:ascii="Arial" w:cs="Arial" w:eastAsia="Arial" w:hAnsi="Arial"/>
          <w:sz w:val="17"/>
          <w:szCs w:val="17"/>
          <w:color w:val="auto"/>
        </w:rPr>
        <w:t xml:space="preserve"> or transfer or assignment to or designation of a new lending office or other office for receiving payments under any Credit Document (“</w:t>
      </w:r>
      <w:r>
        <w:rPr>
          <w:rFonts w:ascii="Arial" w:cs="Arial" w:eastAsia="Arial" w:hAnsi="Arial"/>
          <w:sz w:val="17"/>
          <w:szCs w:val="17"/>
          <w:b w:val="1"/>
          <w:bCs w:val="1"/>
          <w:color w:val="auto"/>
        </w:rPr>
        <w:t>Assignment Taxes</w:t>
      </w:r>
      <w:r>
        <w:rPr>
          <w:rFonts w:ascii="Arial" w:cs="Arial" w:eastAsia="Arial" w:hAnsi="Arial"/>
          <w:sz w:val="17"/>
          <w:szCs w:val="17"/>
          <w:color w:val="auto"/>
        </w:rPr>
        <w:t>”) to the extent such Assignment Taxes are imposed as a result of a connection between the assignor/participating Lender and/or the assignee/Participant and the taxing jurisdiction (other than a connection arising solely from any Credit Documents or any transactions contemplated thereunder), except to the extent that any such action described in this proviso is requested or required by the Borrower or Holdings or (ii) Excluded Taxes.</w:t>
      </w:r>
    </w:p>
    <w:p>
      <w:pPr>
        <w:spacing w:after="0" w:line="172" w:lineRule="exact"/>
        <w:rPr>
          <w:sz w:val="20"/>
          <w:szCs w:val="20"/>
          <w:color w:val="auto"/>
        </w:rPr>
      </w:pPr>
    </w:p>
    <w:p>
      <w:pPr>
        <w:ind w:right="4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Overnight Rate</w:t>
      </w:r>
      <w:r>
        <w:rPr>
          <w:rFonts w:ascii="Arial" w:cs="Arial" w:eastAsia="Arial" w:hAnsi="Arial"/>
          <w:sz w:val="18"/>
          <w:szCs w:val="18"/>
          <w:color w:val="auto"/>
        </w:rPr>
        <w:t>” shall mean, for any day, the greater of (a) the Federal Funds Effective Rate and (b) an overnight rate determined by the Administrative Agent, the Letter of Credit Issuer, or the Swingline Lender, as the case may be, in accordance with banking industry rules on interbank compensation.</w:t>
      </w:r>
    </w:p>
    <w:p>
      <w:pPr>
        <w:spacing w:after="0" w:line="176" w:lineRule="exact"/>
        <w:rPr>
          <w:sz w:val="20"/>
          <w:szCs w:val="20"/>
          <w:color w:val="auto"/>
        </w:rPr>
      </w:pPr>
    </w:p>
    <w:p>
      <w:pPr>
        <w:ind w:right="6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shall mean National Vision Holdings, Inc. or any other Person that is a direct or indirect parent company (which may be organized as, among other things, a partnership) of Holdings and/or the Borrower.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13.6(c)(i)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 Register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13.6(c)(ii)</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Member State</w:t>
      </w:r>
      <w:r>
        <w:rPr>
          <w:rFonts w:ascii="Arial" w:cs="Arial" w:eastAsia="Arial" w:hAnsi="Arial"/>
          <w:sz w:val="18"/>
          <w:szCs w:val="18"/>
          <w:color w:val="auto"/>
        </w:rPr>
        <w:t>” shall mean any member state of the European Union that adopts or has adopted the Euro as its lawful currency in accordance with legislation of the European Union relating to economic and monetary union.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Patriot Act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13.18</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337" w:right="359" w:bottom="1440" w:gutter="0" w:footer="0" w:header="0"/>
        </w:sectPr>
      </w:pPr>
    </w:p>
    <w:bookmarkStart w:id="120" w:name="page121"/>
    <w:bookmarkEnd w:id="120"/>
    <w:p>
      <w:pPr>
        <w:ind w:right="3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shall mean the Pension Benefit Guaranty Corporation referred to and defined in ERISA and any successor entity performing similar functions.</w:t>
      </w:r>
    </w:p>
    <w:p>
      <w:pPr>
        <w:spacing w:after="0" w:line="162"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Plan</w:t>
      </w:r>
      <w:r>
        <w:rPr>
          <w:rFonts w:ascii="Arial" w:cs="Arial" w:eastAsia="Arial" w:hAnsi="Arial"/>
          <w:sz w:val="18"/>
          <w:szCs w:val="18"/>
          <w:color w:val="auto"/>
        </w:rPr>
        <w:t>” shall mean any employee benefit pension plan (as defined in Section 3(2) of ERISA, but excluding any Multiemployer Plan) in respect of which any Credit Party or any ERISA Affiliate is (or, if such plan were terminated, would under Section 4062 or Section 4069 of ERISA be deemed to be) an “employer” as defined in Section 3(5) of ERISA.</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of the definition of “Permitted Investment”.</w:t>
      </w:r>
    </w:p>
    <w:p>
      <w:pPr>
        <w:spacing w:after="0" w:line="225"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Asset Swap</w:t>
      </w:r>
      <w:r>
        <w:rPr>
          <w:rFonts w:ascii="Arial" w:cs="Arial" w:eastAsia="Arial" w:hAnsi="Arial"/>
          <w:sz w:val="18"/>
          <w:szCs w:val="18"/>
          <w:color w:val="auto"/>
        </w:rPr>
        <w:t xml:space="preserve">” shall mean the concurrent purchase and sale or exchange of Related Business Assets or a combination of Related Business Assets and cash or Cash Equivalents between Holdings or a Restricted Subsidiary and another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cash or Cash Equivalents received must be applied in accordance with </w:t>
      </w:r>
      <w:r>
        <w:rPr>
          <w:rFonts w:ascii="Arial" w:cs="Arial" w:eastAsia="Arial" w:hAnsi="Arial"/>
          <w:sz w:val="18"/>
          <w:szCs w:val="18"/>
          <w:u w:val="single" w:color="auto"/>
          <w:color w:val="auto"/>
        </w:rPr>
        <w:t>Section 10.4</w:t>
      </w:r>
      <w:r>
        <w:rPr>
          <w:rFonts w:ascii="Arial" w:cs="Arial" w:eastAsia="Arial" w:hAnsi="Arial"/>
          <w:sz w:val="18"/>
          <w:szCs w:val="18"/>
          <w:color w:val="auto"/>
        </w:rPr>
        <w:t>.</w:t>
      </w:r>
    </w:p>
    <w:p>
      <w:pPr>
        <w:spacing w:after="0" w:line="17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0000FF"/>
        </w:rPr>
        <w:t>Permitted Convertible Indebtedness</w:t>
      </w:r>
      <w:r>
        <w:rPr>
          <w:rFonts w:ascii="Arial" w:cs="Arial" w:eastAsia="Arial" w:hAnsi="Arial"/>
          <w:sz w:val="18"/>
          <w:szCs w:val="18"/>
          <w:u w:val="single" w:color="auto"/>
          <w:color w:val="0000FF"/>
        </w:rPr>
        <w:t>” means Indebtedness of any Parent Entity that is convertible, at the option of the holder, into Equity</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Interests (other than Disqualified Equity Interests) of such Parent Entity, cash or a combination of such Equity Interests and cash; provided that (i) such Indebtedness has no scheduled principal payments prior to the date that is five years following the date of issuance (provided, however, this clause (i) shall not limit payments and deliveries due upon conversion of such Indebtedness (including, for the avoidance of doubt, if such Parent Entity has the right to elect to pay, or elects to pay, the principal amount of any such Indebtedness in cash upon a holder’s exercise of its conversion or exchange right under such Indebtedness, such right or payment) and payments due upon required repurchase of such Indebtedness) and (ii) such Indebtedness is not guaranteed by Holdings or any of its Restricted Subsidiaries.</w:t>
      </w:r>
    </w:p>
    <w:p>
      <w:pPr>
        <w:spacing w:after="0" w:line="18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u w:val="single" w:color="auto"/>
          <w:color w:val="0000FF"/>
        </w:rPr>
        <w:t>“</w:t>
      </w:r>
      <w:r>
        <w:rPr>
          <w:rFonts w:ascii="Arial" w:cs="Arial" w:eastAsia="Arial" w:hAnsi="Arial"/>
          <w:sz w:val="17"/>
          <w:szCs w:val="17"/>
          <w:b w:val="1"/>
          <w:bCs w:val="1"/>
          <w:color w:val="000000"/>
        </w:rPr>
        <w:t>Permitted Holders</w:t>
      </w:r>
      <w:r>
        <w:rPr>
          <w:rFonts w:ascii="Arial" w:cs="Arial" w:eastAsia="Arial" w:hAnsi="Arial"/>
          <w:sz w:val="17"/>
          <w:szCs w:val="17"/>
          <w:color w:val="000000"/>
        </w:rPr>
        <w:t>” shall mean each of (i) the Initial Investors and their respective Affiliates (other than any portfolio company of an Initial</w:t>
      </w:r>
      <w:r>
        <w:rPr>
          <w:rFonts w:ascii="Arial" w:cs="Arial" w:eastAsia="Arial" w:hAnsi="Arial"/>
          <w:sz w:val="17"/>
          <w:szCs w:val="17"/>
          <w:color w:val="0000FF"/>
        </w:rPr>
        <w:t xml:space="preserve"> </w:t>
      </w:r>
      <w:r>
        <w:rPr>
          <w:rFonts w:ascii="Arial" w:cs="Arial" w:eastAsia="Arial" w:hAnsi="Arial"/>
          <w:sz w:val="17"/>
          <w:szCs w:val="17"/>
          <w:color w:val="000000"/>
        </w:rPr>
        <w:t xml:space="preserve">Investor) and members of management of Holdings or the Borrower (or any Parent Entity) who are holders of Equity Interests of Holdings (or any Parent Entity) on the Restatement Effective Date and any group (within the meaning of Section 13(d)(3) or Section 14(d)(2) of the Exchange Act or any successor provision) of which any of the foregoing are members;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in the case of such group and without giving effect to the existence of such group or any other group, such Initial Investors, their respective Affiliates (other than any portfolio company of an Initial Investor) and members of management, collectively, have beneficial ownership of more than 50% of the total voting power of the Voting Stock of Holdings or any Parent Entity and (ii) any Parent Entity formed not in connection with, or in contemplation of, a transaction (other than the Original Transactions) that, assuming such parent was not formed, after giving effect thereto would constitute a Change of Control.</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shall mean:</w:t>
      </w:r>
    </w:p>
    <w:p>
      <w:pPr>
        <w:spacing w:after="0" w:line="229" w:lineRule="exact"/>
        <w:rPr>
          <w:sz w:val="20"/>
          <w:szCs w:val="20"/>
          <w:color w:val="auto"/>
        </w:rPr>
      </w:pPr>
    </w:p>
    <w:p>
      <w:pPr>
        <w:ind w:left="660" w:right="100" w:firstLine="1535"/>
        <w:spacing w:after="0" w:line="259" w:lineRule="auto"/>
        <w:tabs>
          <w:tab w:leader="none" w:pos="2549"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any Investment in Holdings or any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outstanding amount of Investments made by the Borrower and the Guarantors in Restricted Subsidiaries that are not the Borrower or a Guarantor shall not, at any time, exceed the greater of (x) $50.0 million and (y) 25% of Consolidated EBITDA for the most recently ended Test Period (calculated on a Pro Forma Basis) at the time of such Investment;</w:t>
      </w:r>
    </w:p>
    <w:p>
      <w:pPr>
        <w:spacing w:after="0" w:line="186" w:lineRule="exact"/>
        <w:rPr>
          <w:rFonts w:ascii="Arial" w:cs="Arial" w:eastAsia="Arial" w:hAnsi="Arial"/>
          <w:sz w:val="18"/>
          <w:szCs w:val="18"/>
          <w:color w:val="auto"/>
        </w:rPr>
      </w:pPr>
    </w:p>
    <w:p>
      <w:pPr>
        <w:ind w:left="2600" w:hanging="405"/>
        <w:spacing w:after="0"/>
        <w:tabs>
          <w:tab w:leader="none" w:pos="26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Investment in cash, Cash Equivalents, or Investment Grade Securities at the time such Investment is made;</w:t>
      </w:r>
    </w:p>
    <w:p>
      <w:pPr>
        <w:spacing w:after="0" w:line="236" w:lineRule="exact"/>
        <w:rPr>
          <w:rFonts w:ascii="Arial" w:cs="Arial" w:eastAsia="Arial" w:hAnsi="Arial"/>
          <w:sz w:val="17"/>
          <w:szCs w:val="17"/>
          <w:color w:val="auto"/>
        </w:rPr>
      </w:pPr>
    </w:p>
    <w:p>
      <w:pPr>
        <w:ind w:left="660" w:firstLine="1535"/>
        <w:spacing w:after="0" w:line="279" w:lineRule="auto"/>
        <w:tabs>
          <w:tab w:leader="none" w:pos="2649"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any Investment by Holdings or any Restricted Subsidiary in a Person that is engaged in a Similar Business if as a result of such Investment (a “</w:t>
      </w:r>
      <w:r>
        <w:rPr>
          <w:rFonts w:ascii="Arial" w:cs="Arial" w:eastAsia="Arial" w:hAnsi="Arial"/>
          <w:sz w:val="17"/>
          <w:szCs w:val="17"/>
          <w:b w:val="1"/>
          <w:bCs w:val="1"/>
          <w:color w:val="auto"/>
        </w:rPr>
        <w:t>Permitted Acquisition</w:t>
      </w:r>
      <w:r>
        <w:rPr>
          <w:rFonts w:ascii="Arial" w:cs="Arial" w:eastAsia="Arial" w:hAnsi="Arial"/>
          <w:sz w:val="17"/>
          <w:szCs w:val="17"/>
          <w:color w:val="auto"/>
        </w:rPr>
        <w:t xml:space="preserve">”), (1) such Person becomes a Restricted Subsidiary </w:t>
      </w:r>
      <w:r>
        <w:rPr>
          <w:rFonts w:ascii="Arial" w:cs="Arial" w:eastAsia="Arial" w:hAnsi="Arial"/>
          <w:sz w:val="17"/>
          <w:szCs w:val="17"/>
          <w:u w:val="single" w:color="auto"/>
          <w:color w:val="0000FF"/>
        </w:rPr>
        <w:t>Guarantor (except as permitted by any other</w:t>
      </w:r>
      <w:r>
        <w:rPr>
          <w:rFonts w:ascii="Arial" w:cs="Arial" w:eastAsia="Arial" w:hAnsi="Arial"/>
          <w:sz w:val="17"/>
          <w:szCs w:val="17"/>
          <w:color w:val="auto"/>
        </w:rPr>
        <w:t xml:space="preserve"> </w:t>
      </w:r>
      <w:r>
        <w:rPr>
          <w:rFonts w:ascii="Arial" w:cs="Arial" w:eastAsia="Arial" w:hAnsi="Arial"/>
          <w:sz w:val="17"/>
          <w:szCs w:val="17"/>
          <w:u w:val="single" w:color="auto"/>
          <w:color w:val="0000FF"/>
        </w:rPr>
        <w:t>provision of this definition)</w:t>
      </w:r>
      <w:r>
        <w:rPr>
          <w:rFonts w:ascii="Arial" w:cs="Arial" w:eastAsia="Arial" w:hAnsi="Arial"/>
          <w:sz w:val="17"/>
          <w:szCs w:val="17"/>
          <w:color w:val="0000FF"/>
        </w:rPr>
        <w:t xml:space="preserve"> </w:t>
      </w:r>
      <w:r>
        <w:rPr>
          <w:rFonts w:ascii="Arial" w:cs="Arial" w:eastAsia="Arial" w:hAnsi="Arial"/>
          <w:sz w:val="17"/>
          <w:szCs w:val="17"/>
          <w:color w:val="000000"/>
        </w:rPr>
        <w:t>or (2) such Person, in one transaction or a series of related transactions, is merged, consolidated, or amalgamated with</w:t>
      </w:r>
      <w:r>
        <w:rPr>
          <w:rFonts w:ascii="Arial" w:cs="Arial" w:eastAsia="Arial" w:hAnsi="Arial"/>
          <w:sz w:val="17"/>
          <w:szCs w:val="17"/>
          <w:color w:val="0000FF"/>
        </w:rPr>
        <w:t xml:space="preserve"> </w:t>
      </w:r>
      <w:r>
        <w:rPr>
          <w:rFonts w:ascii="Arial" w:cs="Arial" w:eastAsia="Arial" w:hAnsi="Arial"/>
          <w:sz w:val="17"/>
          <w:szCs w:val="17"/>
          <w:color w:val="000000"/>
        </w:rPr>
        <w:t>or into, or transfers or conveys substantially all of its assets to, or is liquidated into, Holdings or 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337" w:right="359" w:bottom="1440" w:gutter="0" w:footer="0" w:header="0"/>
        </w:sectPr>
      </w:pPr>
    </w:p>
    <w:bookmarkStart w:id="121" w:name="page122"/>
    <w:bookmarkEnd w:id="121"/>
    <w:p>
      <w:pPr>
        <w:spacing w:after="0"/>
        <w:rPr>
          <w:sz w:val="20"/>
          <w:szCs w:val="20"/>
          <w:color w:val="auto"/>
        </w:rPr>
      </w:pPr>
      <w:r>
        <w:rPr>
          <w:rFonts w:ascii="Arial" w:cs="Arial" w:eastAsia="Arial" w:hAnsi="Arial"/>
          <w:sz w:val="16"/>
          <w:szCs w:val="16"/>
          <w:color w:val="auto"/>
        </w:rPr>
        <w:t xml:space="preserve">Restricted Subsidiary, and, in each case, any Investment held by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Investment was not acquired by such Person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contemplation of such acquisition, merger, consolidation, or transfer; </w:t>
      </w:r>
      <w:r>
        <w:rPr>
          <w:rFonts w:ascii="Arial" w:cs="Arial" w:eastAsia="Arial" w:hAnsi="Arial"/>
          <w:sz w:val="16"/>
          <w:szCs w:val="16"/>
          <w:u w:val="single" w:color="auto"/>
          <w:color w:val="auto"/>
        </w:rPr>
        <w:t>provided</w:t>
      </w:r>
      <w:r>
        <w:rPr>
          <w:rFonts w:ascii="Arial" w:cs="Arial" w:eastAsia="Arial" w:hAnsi="Arial"/>
          <w:sz w:val="16"/>
          <w:szCs w:val="16"/>
          <w:u w:val="single" w:color="auto"/>
          <w:color w:val="0000FF"/>
        </w:rPr>
        <w:t>, further,</w:t>
      </w:r>
      <w:r>
        <w:rPr>
          <w:rFonts w:ascii="Arial" w:cs="Arial" w:eastAsia="Arial" w:hAnsi="Arial"/>
          <w:sz w:val="16"/>
          <w:szCs w:val="16"/>
          <w:color w:val="auto"/>
        </w:rPr>
        <w:t xml:space="preserve"> that the aggregate </w:t>
      </w:r>
      <w:r>
        <w:rPr>
          <w:rFonts w:ascii="Arial" w:cs="Arial" w:eastAsia="Arial" w:hAnsi="Arial"/>
          <w:sz w:val="16"/>
          <w:szCs w:val="16"/>
          <w:color w:val="FF0000"/>
          <w:strike w:val="1"/>
        </w:rPr>
        <w:t>outstanding amount of consideration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(excluding any consideration resulting from the incurrence of Indebtedness, other than under the Revolving Credit Facility) paid by the Borrower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and the Guarantors in connection with Permitted Acquisitions where the assets acquired are not owned directly by the Borrower or 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Guarantor</w:t>
      </w:r>
      <w:r>
        <w:rPr>
          <w:rFonts w:ascii="Arial" w:cs="Arial" w:eastAsia="Arial" w:hAnsi="Arial"/>
          <w:sz w:val="16"/>
          <w:szCs w:val="16"/>
          <w:u w:val="single" w:color="auto"/>
          <w:color w:val="0000FF"/>
        </w:rPr>
        <w:t>consideration payable by Holdings</w:t>
      </w:r>
      <w:r>
        <w:rPr>
          <w:rFonts w:ascii="Arial" w:cs="Arial" w:eastAsia="Arial" w:hAnsi="Arial"/>
          <w:sz w:val="16"/>
          <w:szCs w:val="16"/>
          <w:color w:val="FF0000"/>
        </w:rPr>
        <w:t xml:space="preserve"> </w:t>
      </w:r>
      <w:r>
        <w:rPr>
          <w:rFonts w:ascii="Arial" w:cs="Arial" w:eastAsia="Arial" w:hAnsi="Arial"/>
          <w:sz w:val="16"/>
          <w:szCs w:val="16"/>
          <w:color w:val="000000"/>
        </w:rPr>
        <w:t>or any Restricted Subsidiary</w:t>
      </w:r>
      <w:r>
        <w:rPr>
          <w:rFonts w:ascii="Arial" w:cs="Arial" w:eastAsia="Arial" w:hAnsi="Arial"/>
          <w:sz w:val="16"/>
          <w:szCs w:val="16"/>
          <w:color w:val="FF0000"/>
        </w:rPr>
        <w:t xml:space="preserve"> </w:t>
      </w:r>
      <w:r>
        <w:rPr>
          <w:rFonts w:ascii="Arial" w:cs="Arial" w:eastAsia="Arial" w:hAnsi="Arial"/>
          <w:sz w:val="16"/>
          <w:szCs w:val="16"/>
          <w:color w:val="FF0000"/>
          <w:strike w:val="1"/>
        </w:rPr>
        <w:t>that is acquired does not become a Guarantor shall not, at any time,</w:t>
      </w:r>
      <w:r>
        <w:rPr>
          <w:rFonts w:ascii="Arial" w:cs="Arial" w:eastAsia="Arial" w:hAnsi="Arial"/>
          <w:sz w:val="16"/>
          <w:szCs w:val="16"/>
          <w:u w:val="single" w:color="auto"/>
          <w:color w:val="0000FF"/>
        </w:rPr>
        <w:t>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0000FF"/>
        </w:rPr>
        <w:t>all such Permitted Acquisitions during the Additional Restrictions Period shall not</w:t>
      </w:r>
      <w:r>
        <w:rPr>
          <w:rFonts w:ascii="Arial" w:cs="Arial" w:eastAsia="Arial" w:hAnsi="Arial"/>
          <w:sz w:val="17"/>
          <w:szCs w:val="17"/>
          <w:color w:val="0000FF"/>
        </w:rPr>
        <w:t xml:space="preserve"> </w:t>
      </w:r>
      <w:r>
        <w:rPr>
          <w:rFonts w:ascii="Arial" w:cs="Arial" w:eastAsia="Arial" w:hAnsi="Arial"/>
          <w:sz w:val="17"/>
          <w:szCs w:val="17"/>
          <w:color w:val="000000"/>
        </w:rPr>
        <w:t>exceed</w:t>
      </w:r>
      <w:r>
        <w:rPr>
          <w:rFonts w:ascii="Arial" w:cs="Arial" w:eastAsia="Arial" w:hAnsi="Arial"/>
          <w:sz w:val="17"/>
          <w:szCs w:val="17"/>
          <w:color w:val="0000FF"/>
        </w:rPr>
        <w:t xml:space="preserve"> </w:t>
      </w:r>
      <w:r>
        <w:rPr>
          <w:rFonts w:ascii="Arial" w:cs="Arial" w:eastAsia="Arial" w:hAnsi="Arial"/>
          <w:sz w:val="17"/>
          <w:szCs w:val="17"/>
          <w:color w:val="FF0000"/>
          <w:strike w:val="1"/>
        </w:rPr>
        <w:t>the greater of (x) $50.0 million and (y) 25.0%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Consolidated EBITDA for the most recently ended Test Period (calculated on a Pro Forma Basis) at the time of such Investment</w:t>
      </w:r>
      <w:r>
        <w:rPr>
          <w:rFonts w:ascii="Arial" w:cs="Arial" w:eastAsia="Arial" w:hAnsi="Arial"/>
          <w:sz w:val="16"/>
          <w:szCs w:val="16"/>
          <w:u w:val="single" w:color="auto"/>
          <w:color w:val="0000FF"/>
        </w:rPr>
        <w:t>$20,000,000</w:t>
      </w:r>
      <w:r>
        <w:rPr>
          <w:rFonts w:ascii="Arial" w:cs="Arial" w:eastAsia="Arial" w:hAnsi="Arial"/>
          <w:sz w:val="16"/>
          <w:szCs w:val="16"/>
          <w:color w:val="000000"/>
        </w:rPr>
        <w:t>;</w:t>
      </w:r>
    </w:p>
    <w:p>
      <w:pPr>
        <w:spacing w:after="0" w:line="234" w:lineRule="exact"/>
        <w:rPr>
          <w:sz w:val="20"/>
          <w:szCs w:val="20"/>
          <w:color w:val="auto"/>
        </w:rPr>
      </w:pPr>
    </w:p>
    <w:p>
      <w:pPr>
        <w:ind w:firstLine="1535"/>
        <w:spacing w:after="0" w:line="342" w:lineRule="auto"/>
        <w:tabs>
          <w:tab w:leader="none" w:pos="1979"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any Investment in securities or other assets not constituting cash, Cash Equivalents, or Investment Grade Securities and received in connection with an Asset Sale made pursuant to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or any other disposition of assets not constituting an Asset Sale;</w:t>
      </w:r>
    </w:p>
    <w:p>
      <w:pPr>
        <w:spacing w:after="0" w:line="123" w:lineRule="exact"/>
        <w:rPr>
          <w:rFonts w:ascii="Arial" w:cs="Arial" w:eastAsia="Arial" w:hAnsi="Arial"/>
          <w:sz w:val="16"/>
          <w:szCs w:val="16"/>
          <w:color w:val="auto"/>
        </w:rPr>
      </w:pPr>
    </w:p>
    <w:p>
      <w:pPr>
        <w:ind w:right="80" w:firstLine="1535"/>
        <w:spacing w:after="0" w:line="293" w:lineRule="auto"/>
        <w:tabs>
          <w:tab w:leader="none" w:pos="1929"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(a) any Investment existing or contemplated on the Restatement Effective Date and, in each case, listed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10.5</w:t>
      </w:r>
      <w:r>
        <w:rPr>
          <w:rFonts w:ascii="Arial" w:cs="Arial" w:eastAsia="Arial" w:hAnsi="Arial"/>
          <w:sz w:val="16"/>
          <w:szCs w:val="16"/>
          <w:color w:val="auto"/>
        </w:rPr>
        <w:t xml:space="preserve"> and (b) Investments consisting of any modification, replacement, renewal, reinvestment, or extension of any such Investment;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any such Investment is not increased from the amount of such Investment on the Restatement Effective Date except pursuant to the terms of such Investment (including in respect of any unused commitment), </w:t>
      </w:r>
      <w:r>
        <w:rPr>
          <w:rFonts w:ascii="Arial" w:cs="Arial" w:eastAsia="Arial" w:hAnsi="Arial"/>
          <w:sz w:val="16"/>
          <w:szCs w:val="16"/>
          <w:i w:val="1"/>
          <w:iCs w:val="1"/>
          <w:color w:val="auto"/>
        </w:rPr>
        <w:t>plus</w:t>
      </w:r>
      <w:r>
        <w:rPr>
          <w:rFonts w:ascii="Arial" w:cs="Arial" w:eastAsia="Arial" w:hAnsi="Arial"/>
          <w:sz w:val="16"/>
          <w:szCs w:val="16"/>
          <w:color w:val="auto"/>
        </w:rPr>
        <w:t xml:space="preserve"> any accrued but unpaid interest (including any portion thereof which is payable in kind in accordance with the terms of such modified, extended, renewed, or replaced Investment) and premium payable by the terms of such Indebtedness thereon and fees and expenses associated therewith as of the Restatement Effective Date;</w:t>
      </w:r>
    </w:p>
    <w:p>
      <w:pPr>
        <w:spacing w:after="0" w:line="164" w:lineRule="exact"/>
        <w:rPr>
          <w:rFonts w:ascii="Arial" w:cs="Arial" w:eastAsia="Arial" w:hAnsi="Arial"/>
          <w:sz w:val="16"/>
          <w:szCs w:val="16"/>
          <w:color w:val="auto"/>
        </w:rPr>
      </w:pPr>
    </w:p>
    <w:p>
      <w:pPr>
        <w:ind w:right="40" w:firstLine="1535"/>
        <w:spacing w:after="0" w:line="301" w:lineRule="auto"/>
        <w:tabs>
          <w:tab w:leader="none" w:pos="1979"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any Investment acquired by Holdings or any Restricted Subsidiary (a) in exchange for any other Investment or accounts receivable held by Holdings or any such Restricted Subsidiary in connection with or as a result of a bankruptcy, workout, reorganization, or recapitalization of Holdings of such other Investment or accounts receivable or (b) as a result of a foreclosure by Holdings or any Restricted Subsidiary with respect to any secured Investment or other transfer of title with respect to any secured Investment in default;</w:t>
      </w:r>
    </w:p>
    <w:p>
      <w:pPr>
        <w:spacing w:after="0" w:line="157" w:lineRule="exact"/>
        <w:rPr>
          <w:rFonts w:ascii="Arial" w:cs="Arial" w:eastAsia="Arial" w:hAnsi="Arial"/>
          <w:sz w:val="16"/>
          <w:szCs w:val="16"/>
          <w:color w:val="auto"/>
        </w:rPr>
      </w:pPr>
    </w:p>
    <w:p>
      <w:pPr>
        <w:ind w:left="2020" w:hanging="485"/>
        <w:spacing w:after="0"/>
        <w:tabs>
          <w:tab w:leader="none" w:pos="20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Hedging Obligations permitted under </w:t>
      </w:r>
      <w:r>
        <w:rPr>
          <w:rFonts w:ascii="Arial" w:cs="Arial" w:eastAsia="Arial" w:hAnsi="Arial"/>
          <w:sz w:val="18"/>
          <w:szCs w:val="18"/>
          <w:u w:val="single" w:color="auto"/>
          <w:color w:val="auto"/>
        </w:rPr>
        <w:t>clause (j)</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and Cash Management Services;</w:t>
      </w:r>
    </w:p>
    <w:p>
      <w:pPr>
        <w:spacing w:after="0" w:line="225" w:lineRule="exact"/>
        <w:rPr>
          <w:rFonts w:ascii="Arial" w:cs="Arial" w:eastAsia="Arial" w:hAnsi="Arial"/>
          <w:sz w:val="18"/>
          <w:szCs w:val="18"/>
          <w:color w:val="auto"/>
        </w:rPr>
      </w:pPr>
    </w:p>
    <w:p>
      <w:pPr>
        <w:ind w:right="80" w:firstLine="1535"/>
        <w:spacing w:after="0" w:line="271" w:lineRule="auto"/>
        <w:tabs>
          <w:tab w:leader="none" w:pos="2079" w:val="left"/>
        </w:tabs>
        <w:numPr>
          <w:ilvl w:val="0"/>
          <w:numId w:val="72"/>
        </w:numPr>
        <w:rPr>
          <w:rFonts w:ascii="Arial" w:cs="Arial" w:eastAsia="Arial" w:hAnsi="Arial"/>
          <w:sz w:val="17"/>
          <w:szCs w:val="17"/>
          <w:color w:val="auto"/>
        </w:rPr>
      </w:pPr>
      <w:r>
        <w:rPr>
          <w:rFonts w:ascii="Arial" w:cs="Arial" w:eastAsia="Arial" w:hAnsi="Arial"/>
          <w:sz w:val="17"/>
          <w:szCs w:val="17"/>
          <w:color w:val="FF0000"/>
          <w:strike w:val="1"/>
        </w:rPr>
        <w:t xml:space="preserve">any Investment in a Similar Business having an aggregate Fair Market Value, taken together with all other Investments made pursuant to this </w:t>
      </w:r>
      <w:r>
        <w:rPr>
          <w:rFonts w:ascii="Arial" w:cs="Arial" w:eastAsia="Arial" w:hAnsi="Arial"/>
          <w:sz w:val="17"/>
          <w:szCs w:val="17"/>
          <w:u w:val="single" w:color="auto"/>
          <w:color w:val="FF0000"/>
          <w:strike w:val="1"/>
        </w:rPr>
        <w:t>clause (viii)</w:t>
      </w:r>
      <w:r>
        <w:rPr>
          <w:rFonts w:ascii="Arial" w:cs="Arial" w:eastAsia="Arial" w:hAnsi="Arial"/>
          <w:sz w:val="17"/>
          <w:szCs w:val="17"/>
          <w:color w:val="FF0000"/>
          <w:strike w:val="1"/>
        </w:rPr>
        <w:t xml:space="preserve"> that are at that time outstanding, not to exceed the greater of (a) $45,000,000 and (b) 40.0% of Consolidated EBITDA for the most recently ended Test Period (calculated on a Pro Forma Basis) at the time of such Investment (with the Fair Market Value of each Investment being measured at the time made and without giving effect to subsequent changes in value); </w:t>
      </w:r>
      <w:r>
        <w:rPr>
          <w:rFonts w:ascii="Arial" w:cs="Arial" w:eastAsia="Arial" w:hAnsi="Arial"/>
          <w:sz w:val="17"/>
          <w:szCs w:val="17"/>
          <w:u w:val="single" w:color="auto"/>
          <w:color w:val="FF0000"/>
          <w:strike w:val="1"/>
        </w:rPr>
        <w:t>provided</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FF0000"/>
          <w:strike w:val="1"/>
        </w:rPr>
        <w:t>however</w:t>
      </w:r>
      <w:r>
        <w:rPr>
          <w:rFonts w:ascii="Arial" w:cs="Arial" w:eastAsia="Arial" w:hAnsi="Arial"/>
          <w:sz w:val="17"/>
          <w:szCs w:val="17"/>
          <w:color w:val="FF0000"/>
          <w:strike w:val="1"/>
        </w:rPr>
        <w:t xml:space="preserve">, that if any Investment pursuant to this </w:t>
      </w:r>
      <w:r>
        <w:rPr>
          <w:rFonts w:ascii="Arial" w:cs="Arial" w:eastAsia="Arial" w:hAnsi="Arial"/>
          <w:sz w:val="17"/>
          <w:szCs w:val="17"/>
          <w:u w:val="single" w:color="auto"/>
          <w:color w:val="FF0000"/>
          <w:strike w:val="1"/>
        </w:rPr>
        <w:t>clause (viii)</w:t>
      </w:r>
      <w:r>
        <w:rPr>
          <w:rFonts w:ascii="Arial" w:cs="Arial" w:eastAsia="Arial" w:hAnsi="Arial"/>
          <w:sz w:val="17"/>
          <w:szCs w:val="17"/>
          <w:color w:val="FF0000"/>
          <w:strike w:val="1"/>
        </w:rPr>
        <w:t xml:space="preserve"> is made in any Person that is not a Restricted Subsidiary at the date of the making of such Investment and such Person becomes a Restricted Subsidiary after such date, such Investment shall thereafter be deemed to have been made pursuant to </w:t>
      </w:r>
      <w:r>
        <w:rPr>
          <w:rFonts w:ascii="Arial" w:cs="Arial" w:eastAsia="Arial" w:hAnsi="Arial"/>
          <w:sz w:val="17"/>
          <w:szCs w:val="17"/>
          <w:u w:val="single" w:color="auto"/>
          <w:color w:val="FF0000"/>
          <w:strike w:val="1"/>
        </w:rPr>
        <w:t>clause (i)</w:t>
      </w:r>
      <w:r>
        <w:rPr>
          <w:rFonts w:ascii="Arial" w:cs="Arial" w:eastAsia="Arial" w:hAnsi="Arial"/>
          <w:sz w:val="17"/>
          <w:szCs w:val="17"/>
          <w:color w:val="FF0000"/>
          <w:strike w:val="1"/>
        </w:rPr>
        <w:t xml:space="preserve"> above (to the extent permitted thereby) and shall cease to have been made pursuant to this </w:t>
      </w:r>
      <w:r>
        <w:rPr>
          <w:rFonts w:ascii="Arial" w:cs="Arial" w:eastAsia="Arial" w:hAnsi="Arial"/>
          <w:sz w:val="17"/>
          <w:szCs w:val="17"/>
          <w:u w:val="single" w:color="auto"/>
          <w:color w:val="FF0000"/>
          <w:strike w:val="1"/>
        </w:rPr>
        <w:t>clause (viii)</w:t>
      </w:r>
      <w:r>
        <w:rPr>
          <w:rFonts w:ascii="Arial" w:cs="Arial" w:eastAsia="Arial" w:hAnsi="Arial"/>
          <w:sz w:val="17"/>
          <w:szCs w:val="17"/>
          <w:color w:val="FF0000"/>
          <w:strike w:val="1"/>
        </w:rPr>
        <w:t xml:space="preserve"> for so long as such Person continues to be a Restricted Subsidiary;</w:t>
      </w:r>
      <w:r>
        <w:rPr>
          <w:rFonts w:ascii="Arial" w:cs="Arial" w:eastAsia="Arial" w:hAnsi="Arial"/>
          <w:sz w:val="17"/>
          <w:szCs w:val="17"/>
          <w:u w:val="single" w:color="auto"/>
          <w:color w:val="0000FF"/>
          <w:strike w:val="1"/>
        </w:rPr>
        <w:t>[reserved];</w:t>
      </w:r>
    </w:p>
    <w:p>
      <w:pPr>
        <w:spacing w:after="0" w:line="178" w:lineRule="exact"/>
        <w:rPr>
          <w:rFonts w:ascii="Arial" w:cs="Arial" w:eastAsia="Arial" w:hAnsi="Arial"/>
          <w:sz w:val="17"/>
          <w:szCs w:val="17"/>
          <w:color w:val="auto"/>
        </w:rPr>
      </w:pPr>
    </w:p>
    <w:p>
      <w:pPr>
        <w:ind w:right="20" w:firstLine="1535"/>
        <w:spacing w:after="0" w:line="263" w:lineRule="auto"/>
        <w:tabs>
          <w:tab w:leader="none" w:pos="1979"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Investments the payment for which consists of Equity Interests of Holdings or any direct or indirect parent company of Holdings (exclusive of Disqualified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Equity Interests will not increase the amount available for Restricted Payments under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10.5(a)</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920" w:hanging="385"/>
        <w:spacing w:after="0"/>
        <w:tabs>
          <w:tab w:leader="none" w:pos="19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guarantees of Indebtedness permitted under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560"/>
          </w:cols>
          <w:pgMar w:left="980" w:top="341" w:right="359" w:bottom="1440" w:gutter="0" w:footer="0" w:header="0"/>
        </w:sectPr>
      </w:pPr>
    </w:p>
    <w:bookmarkStart w:id="122" w:name="page123"/>
    <w:bookmarkEnd w:id="122"/>
    <w:p>
      <w:pPr>
        <w:ind w:left="4" w:right="100" w:firstLine="1535"/>
        <w:spacing w:after="0" w:line="277" w:lineRule="auto"/>
        <w:tabs>
          <w:tab w:leader="none" w:pos="1983"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any transaction to the extent it constitutes an Investment that is permitted and made in accordance with the provisions of </w:t>
      </w:r>
      <w:r>
        <w:rPr>
          <w:rFonts w:ascii="Arial" w:cs="Arial" w:eastAsia="Arial" w:hAnsi="Arial"/>
          <w:sz w:val="18"/>
          <w:szCs w:val="18"/>
          <w:u w:val="single" w:color="auto"/>
          <w:color w:val="auto"/>
        </w:rPr>
        <w:t>Section 9.9</w:t>
      </w:r>
      <w:r>
        <w:rPr>
          <w:rFonts w:ascii="Arial" w:cs="Arial" w:eastAsia="Arial" w:hAnsi="Arial"/>
          <w:sz w:val="18"/>
          <w:szCs w:val="18"/>
          <w:color w:val="auto"/>
        </w:rPr>
        <w:t xml:space="preserve"> (except transactions described in clause (b) of such paragraph);</w:t>
      </w:r>
    </w:p>
    <w:p>
      <w:pPr>
        <w:spacing w:after="0" w:line="170" w:lineRule="exact"/>
        <w:rPr>
          <w:rFonts w:ascii="Arial" w:cs="Arial" w:eastAsia="Arial" w:hAnsi="Arial"/>
          <w:sz w:val="18"/>
          <w:szCs w:val="18"/>
          <w:color w:val="auto"/>
        </w:rPr>
      </w:pPr>
    </w:p>
    <w:p>
      <w:pPr>
        <w:ind w:left="4" w:right="380" w:firstLine="1535"/>
        <w:spacing w:after="0" w:line="277" w:lineRule="auto"/>
        <w:tabs>
          <w:tab w:leader="none" w:pos="2033" w:val="left"/>
        </w:tabs>
        <w:numPr>
          <w:ilvl w:val="1"/>
          <w:numId w:val="73"/>
        </w:numPr>
        <w:rPr>
          <w:rFonts w:ascii="Arial" w:cs="Arial" w:eastAsia="Arial" w:hAnsi="Arial"/>
          <w:sz w:val="18"/>
          <w:szCs w:val="18"/>
          <w:color w:val="auto"/>
        </w:rPr>
      </w:pPr>
      <w:r>
        <w:rPr>
          <w:rFonts w:ascii="Arial" w:cs="Arial" w:eastAsia="Arial" w:hAnsi="Arial"/>
          <w:sz w:val="18"/>
          <w:szCs w:val="18"/>
          <w:color w:val="auto"/>
        </w:rPr>
        <w:t>Investments consisting of purchases and acquisitions of inventory, supplies, material, equipment, or other similar assets in the ordinary course of business;</w:t>
      </w:r>
    </w:p>
    <w:p>
      <w:pPr>
        <w:spacing w:after="0" w:line="170" w:lineRule="exact"/>
        <w:rPr>
          <w:rFonts w:ascii="Arial" w:cs="Arial" w:eastAsia="Arial" w:hAnsi="Arial"/>
          <w:sz w:val="18"/>
          <w:szCs w:val="18"/>
          <w:color w:val="auto"/>
        </w:rPr>
      </w:pPr>
    </w:p>
    <w:p>
      <w:pPr>
        <w:ind w:left="4" w:right="20" w:firstLine="1535"/>
        <w:spacing w:after="0" w:line="303" w:lineRule="auto"/>
        <w:tabs>
          <w:tab w:leader="none" w:pos="2083" w:val="left"/>
        </w:tabs>
        <w:numPr>
          <w:ilvl w:val="1"/>
          <w:numId w:val="73"/>
        </w:numPr>
        <w:rPr>
          <w:rFonts w:ascii="Arial" w:cs="Arial" w:eastAsia="Arial" w:hAnsi="Arial"/>
          <w:sz w:val="15"/>
          <w:szCs w:val="15"/>
          <w:color w:val="auto"/>
        </w:rPr>
      </w:pPr>
      <w:r>
        <w:rPr>
          <w:rFonts w:ascii="Arial" w:cs="Arial" w:eastAsia="Arial" w:hAnsi="Arial"/>
          <w:sz w:val="15"/>
          <w:szCs w:val="15"/>
          <w:u w:val="single" w:color="auto"/>
          <w:color w:val="0000FF"/>
        </w:rPr>
        <w:t>following the Additional Restrictions Period,</w:t>
      </w:r>
      <w:r>
        <w:rPr>
          <w:rFonts w:ascii="Arial" w:cs="Arial" w:eastAsia="Arial" w:hAnsi="Arial"/>
          <w:sz w:val="15"/>
          <w:szCs w:val="15"/>
          <w:color w:val="0000FF"/>
        </w:rPr>
        <w:t xml:space="preserve"> </w:t>
      </w:r>
      <w:r>
        <w:rPr>
          <w:rFonts w:ascii="Arial" w:cs="Arial" w:eastAsia="Arial" w:hAnsi="Arial"/>
          <w:sz w:val="15"/>
          <w:szCs w:val="15"/>
          <w:color w:val="000000"/>
        </w:rPr>
        <w:t>additional Investments having an aggregate Fair Market Value, taken</w:t>
      </w:r>
      <w:r>
        <w:rPr>
          <w:rFonts w:ascii="Arial" w:cs="Arial" w:eastAsia="Arial" w:hAnsi="Arial"/>
          <w:sz w:val="15"/>
          <w:szCs w:val="15"/>
          <w:color w:val="0000FF"/>
        </w:rPr>
        <w:t xml:space="preserve"> </w:t>
      </w:r>
      <w:r>
        <w:rPr>
          <w:rFonts w:ascii="Arial" w:cs="Arial" w:eastAsia="Arial" w:hAnsi="Arial"/>
          <w:sz w:val="15"/>
          <w:szCs w:val="15"/>
          <w:color w:val="000000"/>
        </w:rPr>
        <w:t xml:space="preserve">together with all other Investments made pursuant to this </w:t>
      </w:r>
      <w:r>
        <w:rPr>
          <w:rFonts w:ascii="Arial" w:cs="Arial" w:eastAsia="Arial" w:hAnsi="Arial"/>
          <w:sz w:val="15"/>
          <w:szCs w:val="15"/>
          <w:u w:val="single" w:color="auto"/>
          <w:color w:val="000000"/>
        </w:rPr>
        <w:t>clause (xiii)</w:t>
      </w:r>
      <w:r>
        <w:rPr>
          <w:rFonts w:ascii="Arial" w:cs="Arial" w:eastAsia="Arial" w:hAnsi="Arial"/>
          <w:sz w:val="15"/>
          <w:szCs w:val="15"/>
          <w:color w:val="000000"/>
        </w:rPr>
        <w:t xml:space="preserve"> that are at that time outstanding (without giving effect to the sale of an Unrestricted Subsidiary to the extent the proceeds of such sale do not consist of cash or marketable securities), not to exceed the greater of (a) $</w:t>
      </w:r>
      <w:r>
        <w:rPr>
          <w:rFonts w:ascii="Arial" w:cs="Arial" w:eastAsia="Arial" w:hAnsi="Arial"/>
          <w:sz w:val="15"/>
          <w:szCs w:val="15"/>
          <w:color w:val="FF0000"/>
          <w:strike w:val="1"/>
        </w:rPr>
        <w:t>40,000,000</w:t>
      </w:r>
      <w:r>
        <w:rPr>
          <w:rFonts w:ascii="Arial" w:cs="Arial" w:eastAsia="Arial" w:hAnsi="Arial"/>
          <w:sz w:val="15"/>
          <w:szCs w:val="15"/>
          <w:u w:val="single" w:color="auto"/>
          <w:color w:val="0000FF"/>
        </w:rPr>
        <w:t>75,000,000</w:t>
      </w:r>
      <w:r>
        <w:rPr>
          <w:rFonts w:ascii="Arial" w:cs="Arial" w:eastAsia="Arial" w:hAnsi="Arial"/>
          <w:sz w:val="15"/>
          <w:szCs w:val="15"/>
          <w:color w:val="000000"/>
        </w:rPr>
        <w:t xml:space="preserve"> and (b) 35.0% of Consolidated EBITDA for the most recently ended Test Period (calculated on a Pro Forma Basis) at the time of such Investment (with the Fair Market Value of each Investment being measured at the time made and without giving effect to subsequent changes in value); </w:t>
      </w:r>
      <w:r>
        <w:rPr>
          <w:rFonts w:ascii="Arial" w:cs="Arial" w:eastAsia="Arial" w:hAnsi="Arial"/>
          <w:sz w:val="15"/>
          <w:szCs w:val="15"/>
          <w:u w:val="single" w:color="auto"/>
          <w:color w:val="000000"/>
        </w:rPr>
        <w:t>provided</w:t>
      </w:r>
      <w:r>
        <w:rPr>
          <w:rFonts w:ascii="Arial" w:cs="Arial" w:eastAsia="Arial" w:hAnsi="Arial"/>
          <w:sz w:val="15"/>
          <w:szCs w:val="15"/>
          <w:color w:val="000000"/>
        </w:rPr>
        <w:t xml:space="preserve">, </w:t>
      </w:r>
      <w:r>
        <w:rPr>
          <w:rFonts w:ascii="Arial" w:cs="Arial" w:eastAsia="Arial" w:hAnsi="Arial"/>
          <w:sz w:val="15"/>
          <w:szCs w:val="15"/>
          <w:u w:val="single" w:color="auto"/>
          <w:color w:val="000000"/>
        </w:rPr>
        <w:t>however</w:t>
      </w:r>
      <w:r>
        <w:rPr>
          <w:rFonts w:ascii="Arial" w:cs="Arial" w:eastAsia="Arial" w:hAnsi="Arial"/>
          <w:sz w:val="15"/>
          <w:szCs w:val="15"/>
          <w:color w:val="000000"/>
        </w:rPr>
        <w:t xml:space="preserve">, that if any Investment pursuant to this </w:t>
      </w:r>
      <w:r>
        <w:rPr>
          <w:rFonts w:ascii="Arial" w:cs="Arial" w:eastAsia="Arial" w:hAnsi="Arial"/>
          <w:sz w:val="15"/>
          <w:szCs w:val="15"/>
          <w:u w:val="single" w:color="auto"/>
          <w:color w:val="000000"/>
        </w:rPr>
        <w:t>clause (xiii)</w:t>
      </w:r>
      <w:r>
        <w:rPr>
          <w:rFonts w:ascii="Arial" w:cs="Arial" w:eastAsia="Arial" w:hAnsi="Arial"/>
          <w:sz w:val="15"/>
          <w:szCs w:val="15"/>
          <w:color w:val="000000"/>
        </w:rPr>
        <w:t xml:space="preserve"> is made in any Person that is not a Restricted Subsidiary at the date of the making of such Investment and such Person becomes a Restricted Subsidiary after such date, such Investment shall thereafter be deemed to have been made pursuant to </w:t>
      </w:r>
      <w:r>
        <w:rPr>
          <w:rFonts w:ascii="Arial" w:cs="Arial" w:eastAsia="Arial" w:hAnsi="Arial"/>
          <w:sz w:val="15"/>
          <w:szCs w:val="15"/>
          <w:u w:val="single" w:color="auto"/>
          <w:color w:val="000000"/>
        </w:rPr>
        <w:t>clause (i)</w:t>
      </w:r>
      <w:r>
        <w:rPr>
          <w:rFonts w:ascii="Arial" w:cs="Arial" w:eastAsia="Arial" w:hAnsi="Arial"/>
          <w:sz w:val="15"/>
          <w:szCs w:val="15"/>
          <w:color w:val="000000"/>
        </w:rPr>
        <w:t xml:space="preserve"> above (to the extent permitted thereby) and shall cease to have been made pursuant to this </w:t>
      </w:r>
      <w:r>
        <w:rPr>
          <w:rFonts w:ascii="Arial" w:cs="Arial" w:eastAsia="Arial" w:hAnsi="Arial"/>
          <w:sz w:val="15"/>
          <w:szCs w:val="15"/>
          <w:u w:val="single" w:color="auto"/>
          <w:color w:val="000000"/>
        </w:rPr>
        <w:t>clause</w:t>
      </w:r>
    </w:p>
    <w:p>
      <w:pPr>
        <w:ind w:left="404" w:hanging="404"/>
        <w:spacing w:after="0"/>
        <w:tabs>
          <w:tab w:leader="none" w:pos="404" w:val="left"/>
        </w:tabs>
        <w:numPr>
          <w:ilvl w:val="0"/>
          <w:numId w:val="74"/>
        </w:numPr>
        <w:rPr>
          <w:rFonts w:ascii="Arial" w:cs="Arial" w:eastAsia="Arial" w:hAnsi="Arial"/>
          <w:sz w:val="18"/>
          <w:szCs w:val="18"/>
          <w:u w:val="single" w:color="auto"/>
          <w:color w:val="auto"/>
        </w:rPr>
      </w:pPr>
      <w:r>
        <w:rPr>
          <w:rFonts w:ascii="Arial" w:cs="Arial" w:eastAsia="Arial" w:hAnsi="Arial"/>
          <w:sz w:val="18"/>
          <w:szCs w:val="18"/>
          <w:color w:val="auto"/>
        </w:rPr>
        <w:t>for so long as such Person continues to be a Restricted Subsidiary;</w:t>
      </w:r>
    </w:p>
    <w:p>
      <w:pPr>
        <w:spacing w:after="0" w:line="210" w:lineRule="exact"/>
        <w:rPr>
          <w:rFonts w:ascii="Arial" w:cs="Arial" w:eastAsia="Arial" w:hAnsi="Arial"/>
          <w:sz w:val="18"/>
          <w:szCs w:val="18"/>
          <w:u w:val="single" w:color="auto"/>
          <w:color w:val="auto"/>
        </w:rPr>
      </w:pPr>
    </w:p>
    <w:p>
      <w:pPr>
        <w:ind w:left="4" w:right="280" w:firstLine="1535"/>
        <w:spacing w:after="0" w:line="263" w:lineRule="auto"/>
        <w:tabs>
          <w:tab w:leader="none" w:pos="2073"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0000FF"/>
        </w:rPr>
        <w:t>following the Additional Restrictions Period,</w:t>
      </w:r>
      <w:r>
        <w:rPr>
          <w:rFonts w:ascii="Arial" w:cs="Arial" w:eastAsia="Arial" w:hAnsi="Arial"/>
          <w:sz w:val="18"/>
          <w:szCs w:val="18"/>
          <w:color w:val="0000FF"/>
        </w:rPr>
        <w:t xml:space="preserve"> </w:t>
      </w:r>
      <w:r>
        <w:rPr>
          <w:rFonts w:ascii="Arial" w:cs="Arial" w:eastAsia="Arial" w:hAnsi="Arial"/>
          <w:sz w:val="18"/>
          <w:szCs w:val="18"/>
          <w:color w:val="000000"/>
        </w:rPr>
        <w:t>Investments relating to any Receivables Subsidiary that, in the good</w:t>
      </w:r>
      <w:r>
        <w:rPr>
          <w:rFonts w:ascii="Arial" w:cs="Arial" w:eastAsia="Arial" w:hAnsi="Arial"/>
          <w:sz w:val="18"/>
          <w:szCs w:val="18"/>
          <w:color w:val="0000FF"/>
        </w:rPr>
        <w:t xml:space="preserve"> </w:t>
      </w:r>
      <w:r>
        <w:rPr>
          <w:rFonts w:ascii="Arial" w:cs="Arial" w:eastAsia="Arial" w:hAnsi="Arial"/>
          <w:sz w:val="18"/>
          <w:szCs w:val="18"/>
          <w:color w:val="000000"/>
        </w:rPr>
        <w:t>faith determination of the board of directors of Holdings, are necessary or advisable to effect a Receivables Facility or any repurchases in connection therewith;</w:t>
      </w:r>
    </w:p>
    <w:p>
      <w:pPr>
        <w:spacing w:after="0" w:line="183" w:lineRule="exact"/>
        <w:rPr>
          <w:rFonts w:ascii="Arial" w:cs="Arial" w:eastAsia="Arial" w:hAnsi="Arial"/>
          <w:sz w:val="18"/>
          <w:szCs w:val="18"/>
          <w:color w:val="auto"/>
        </w:rPr>
      </w:pPr>
    </w:p>
    <w:p>
      <w:pPr>
        <w:ind w:left="4" w:right="60" w:firstLine="1535"/>
        <w:spacing w:after="0" w:line="342" w:lineRule="auto"/>
        <w:tabs>
          <w:tab w:leader="none" w:pos="2023" w:val="left"/>
        </w:tabs>
        <w:numPr>
          <w:ilvl w:val="1"/>
          <w:numId w:val="74"/>
        </w:numPr>
        <w:rPr>
          <w:rFonts w:ascii="Arial" w:cs="Arial" w:eastAsia="Arial" w:hAnsi="Arial"/>
          <w:sz w:val="16"/>
          <w:szCs w:val="16"/>
          <w:color w:val="auto"/>
        </w:rPr>
      </w:pPr>
      <w:r>
        <w:rPr>
          <w:rFonts w:ascii="Arial" w:cs="Arial" w:eastAsia="Arial" w:hAnsi="Arial"/>
          <w:sz w:val="16"/>
          <w:szCs w:val="16"/>
          <w:color w:val="auto"/>
        </w:rPr>
        <w:t>advances to, or guarantees of Indebtedness of, employees not in excess of the greater of (a) $10,000,000 and (b) 5.0% of Consolidated EBITDA for the most recently ended Test Period (calculated on a Pro Forma Basis) at the time of such Investment;</w:t>
      </w:r>
    </w:p>
    <w:p>
      <w:pPr>
        <w:spacing w:after="0" w:line="123" w:lineRule="exact"/>
        <w:rPr>
          <w:rFonts w:ascii="Arial" w:cs="Arial" w:eastAsia="Arial" w:hAnsi="Arial"/>
          <w:sz w:val="16"/>
          <w:szCs w:val="16"/>
          <w:color w:val="auto"/>
        </w:rPr>
      </w:pPr>
    </w:p>
    <w:p>
      <w:pPr>
        <w:ind w:left="4" w:right="60" w:firstLine="1535"/>
        <w:spacing w:after="0" w:line="275" w:lineRule="auto"/>
        <w:tabs>
          <w:tab w:leader="none" w:pos="2073" w:val="left"/>
        </w:tabs>
        <w:numPr>
          <w:ilvl w:val="1"/>
          <w:numId w:val="74"/>
        </w:numPr>
        <w:rPr>
          <w:rFonts w:ascii="Arial" w:cs="Arial" w:eastAsia="Arial" w:hAnsi="Arial"/>
          <w:sz w:val="17"/>
          <w:szCs w:val="17"/>
          <w:color w:val="auto"/>
        </w:rPr>
      </w:pPr>
      <w:r>
        <w:rPr>
          <w:rFonts w:ascii="Arial" w:cs="Arial" w:eastAsia="Arial" w:hAnsi="Arial"/>
          <w:sz w:val="17"/>
          <w:szCs w:val="17"/>
          <w:color w:val="auto"/>
        </w:rPr>
        <w:t>(a) loans and advances to officers, directors, managers, and employees for business-related travel expenses, moving expenses, and other similar expenses, in each case incurred in the ordinary course of business or consistent with past practices or to fund such Person’s purchase of Equity Interests of Holdings or any direct or indirect parent company thereof and (b) promissory notes received from stockholders of Holdings, any direct or indirect parent company of Holdings or any Subsidiary in connection with the exercise of stock options in respect of the Equity Interests of Holdings, any direct or indirect parent company of Holdings and the Subsidiaries;</w:t>
      </w:r>
    </w:p>
    <w:p>
      <w:pPr>
        <w:spacing w:after="0" w:line="176" w:lineRule="exact"/>
        <w:rPr>
          <w:rFonts w:ascii="Arial" w:cs="Arial" w:eastAsia="Arial" w:hAnsi="Arial"/>
          <w:sz w:val="17"/>
          <w:szCs w:val="17"/>
          <w:color w:val="auto"/>
        </w:rPr>
      </w:pPr>
    </w:p>
    <w:p>
      <w:pPr>
        <w:ind w:left="2124" w:hanging="585"/>
        <w:spacing w:after="0"/>
        <w:tabs>
          <w:tab w:leader="none" w:pos="2124"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Investments consisting of extensions of trade credit in the ordinary course of business;</w:t>
      </w:r>
    </w:p>
    <w:p>
      <w:pPr>
        <w:spacing w:after="0" w:line="225" w:lineRule="exact"/>
        <w:rPr>
          <w:rFonts w:ascii="Arial" w:cs="Arial" w:eastAsia="Arial" w:hAnsi="Arial"/>
          <w:sz w:val="18"/>
          <w:szCs w:val="18"/>
          <w:color w:val="auto"/>
        </w:rPr>
      </w:pPr>
    </w:p>
    <w:p>
      <w:pPr>
        <w:ind w:left="4" w:right="80" w:firstLine="1535"/>
        <w:spacing w:after="0" w:line="342" w:lineRule="auto"/>
        <w:tabs>
          <w:tab w:leader="none" w:pos="2173" w:val="left"/>
        </w:tabs>
        <w:numPr>
          <w:ilvl w:val="1"/>
          <w:numId w:val="74"/>
        </w:numPr>
        <w:rPr>
          <w:rFonts w:ascii="Arial" w:cs="Arial" w:eastAsia="Arial" w:hAnsi="Arial"/>
          <w:sz w:val="16"/>
          <w:szCs w:val="16"/>
          <w:color w:val="auto"/>
        </w:rPr>
      </w:pPr>
      <w:r>
        <w:rPr>
          <w:rFonts w:ascii="Arial" w:cs="Arial" w:eastAsia="Arial" w:hAnsi="Arial"/>
          <w:sz w:val="16"/>
          <w:szCs w:val="16"/>
          <w:color w:val="auto"/>
        </w:rPr>
        <w:t>Investments in the ordinary course of business consisting of Uniform Commercial Code Article 3 endorsements for collection or deposit and Uniform Commercial Code Article 4 customary trade arrangements with customers consistent with past practices;</w:t>
      </w:r>
    </w:p>
    <w:p>
      <w:pPr>
        <w:spacing w:after="0" w:line="123" w:lineRule="exact"/>
        <w:rPr>
          <w:rFonts w:ascii="Arial" w:cs="Arial" w:eastAsia="Arial" w:hAnsi="Arial"/>
          <w:sz w:val="16"/>
          <w:szCs w:val="16"/>
          <w:color w:val="auto"/>
        </w:rPr>
      </w:pPr>
    </w:p>
    <w:p>
      <w:pPr>
        <w:ind w:left="4" w:right="120" w:firstLine="1535"/>
        <w:spacing w:after="0" w:line="308" w:lineRule="auto"/>
        <w:tabs>
          <w:tab w:leader="none" w:pos="2073" w:val="left"/>
        </w:tabs>
        <w:numPr>
          <w:ilvl w:val="1"/>
          <w:numId w:val="74"/>
        </w:numPr>
        <w:rPr>
          <w:rFonts w:ascii="Arial" w:cs="Arial" w:eastAsia="Arial" w:hAnsi="Arial"/>
          <w:sz w:val="17"/>
          <w:szCs w:val="17"/>
          <w:color w:val="auto"/>
        </w:rPr>
      </w:pPr>
      <w:r>
        <w:rPr>
          <w:rFonts w:ascii="Arial" w:cs="Arial" w:eastAsia="Arial" w:hAnsi="Arial"/>
          <w:sz w:val="17"/>
          <w:szCs w:val="17"/>
          <w:color w:val="auto"/>
        </w:rPr>
        <w:t xml:space="preserve">non-cash Investments in connection with tax planning and reorganization activities;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any such activities, the security interests of the Lenders in the Collateral, taken as a whole, would not be materially impaired;</w:t>
      </w:r>
    </w:p>
    <w:p>
      <w:pPr>
        <w:spacing w:after="0" w:line="146" w:lineRule="exact"/>
        <w:rPr>
          <w:rFonts w:ascii="Arial" w:cs="Arial" w:eastAsia="Arial" w:hAnsi="Arial"/>
          <w:sz w:val="17"/>
          <w:szCs w:val="17"/>
          <w:color w:val="auto"/>
        </w:rPr>
      </w:pPr>
    </w:p>
    <w:p>
      <w:pPr>
        <w:ind w:left="4" w:right="300" w:firstLine="1535"/>
        <w:spacing w:after="0" w:line="259" w:lineRule="auto"/>
        <w:tabs>
          <w:tab w:leader="none" w:pos="2023"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Investments made in the ordinary course of business in connection with obtaining, maintaining or renewing client, franchisee and customer contracts and loans or advances made to, and guarantees with respect to obligations of, independent eye care professionals (or to professional corporations owned by such professionals), franchisees, distributors, suppliers, licensors and licensees in the ordinary course of business;</w:t>
      </w:r>
    </w:p>
    <w:p>
      <w:pPr>
        <w:spacing w:after="0" w:line="186" w:lineRule="exact"/>
        <w:rPr>
          <w:rFonts w:ascii="Arial" w:cs="Arial" w:eastAsia="Arial" w:hAnsi="Arial"/>
          <w:sz w:val="18"/>
          <w:szCs w:val="18"/>
          <w:color w:val="auto"/>
        </w:rPr>
      </w:pPr>
    </w:p>
    <w:p>
      <w:pPr>
        <w:ind w:left="4" w:firstLine="1535"/>
        <w:spacing w:after="0" w:line="277" w:lineRule="auto"/>
        <w:tabs>
          <w:tab w:leader="none" w:pos="2073"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licensing and contribution of Intellectual Property pursuant to joint marketing arrangements with other Persons,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544"/>
          </w:cols>
          <w:pgMar w:left="976" w:top="341" w:right="379" w:bottom="1440" w:gutter="0" w:footer="0" w:header="0"/>
        </w:sectPr>
      </w:pPr>
    </w:p>
    <w:bookmarkStart w:id="123" w:name="page124"/>
    <w:bookmarkEnd w:id="123"/>
    <w:p>
      <w:pPr>
        <w:ind w:left="2120" w:hanging="585"/>
        <w:spacing w:after="0"/>
        <w:tabs>
          <w:tab w:leader="none" w:pos="21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to the extent constituting Investments, transactions pursuant to the Wal-Mart Agreements;</w:t>
      </w:r>
    </w:p>
    <w:p>
      <w:pPr>
        <w:spacing w:after="0" w:line="225" w:lineRule="exact"/>
        <w:rPr>
          <w:rFonts w:ascii="Arial" w:cs="Arial" w:eastAsia="Arial" w:hAnsi="Arial"/>
          <w:sz w:val="18"/>
          <w:szCs w:val="18"/>
          <w:color w:val="auto"/>
        </w:rPr>
      </w:pPr>
    </w:p>
    <w:p>
      <w:pPr>
        <w:jc w:val="both"/>
        <w:ind w:firstLine="644"/>
        <w:spacing w:after="0" w:line="263" w:lineRule="auto"/>
        <w:tabs>
          <w:tab w:leader="none" w:pos="1143"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0000FF"/>
        </w:rPr>
        <w:t>following the Additional Restrictions Period,</w:t>
      </w:r>
      <w:r>
        <w:rPr>
          <w:rFonts w:ascii="Arial" w:cs="Arial" w:eastAsia="Arial" w:hAnsi="Arial"/>
          <w:sz w:val="18"/>
          <w:szCs w:val="18"/>
          <w:color w:val="0000FF"/>
        </w:rPr>
        <w:t xml:space="preserve"> </w:t>
      </w:r>
      <w:r>
        <w:rPr>
          <w:rFonts w:ascii="Arial" w:cs="Arial" w:eastAsia="Arial" w:hAnsi="Arial"/>
          <w:sz w:val="18"/>
          <w:szCs w:val="18"/>
          <w:color w:val="000000"/>
        </w:rPr>
        <w:t>other Investments;</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0000FF"/>
        </w:rPr>
        <w:t xml:space="preserve"> </w:t>
      </w:r>
      <w:r>
        <w:rPr>
          <w:rFonts w:ascii="Arial" w:cs="Arial" w:eastAsia="Arial" w:hAnsi="Arial"/>
          <w:sz w:val="18"/>
          <w:szCs w:val="18"/>
          <w:color w:val="000000"/>
        </w:rPr>
        <w:t>that (A) no Event of Default shall have occurred and be</w:t>
      </w:r>
      <w:r>
        <w:rPr>
          <w:rFonts w:ascii="Arial" w:cs="Arial" w:eastAsia="Arial" w:hAnsi="Arial"/>
          <w:sz w:val="18"/>
          <w:szCs w:val="18"/>
          <w:color w:val="0000FF"/>
        </w:rPr>
        <w:t xml:space="preserve"> </w:t>
      </w:r>
      <w:r>
        <w:rPr>
          <w:rFonts w:ascii="Arial" w:cs="Arial" w:eastAsia="Arial" w:hAnsi="Arial"/>
          <w:sz w:val="18"/>
          <w:szCs w:val="18"/>
          <w:color w:val="000000"/>
        </w:rPr>
        <w:t xml:space="preserve">continuing or would occur as a consequence thereof and (B) after giving Pro Forma Effect to such Investment the Consolidated Total Debt to Consolidated EBITDA Ratio is equal to or less than </w:t>
      </w:r>
      <w:r>
        <w:rPr>
          <w:rFonts w:ascii="Arial" w:cs="Arial" w:eastAsia="Arial" w:hAnsi="Arial"/>
          <w:sz w:val="18"/>
          <w:szCs w:val="18"/>
          <w:color w:val="FF0000"/>
          <w:strike w:val="1"/>
        </w:rPr>
        <w:t>3.25</w:t>
      </w:r>
      <w:r>
        <w:rPr>
          <w:rFonts w:ascii="Arial" w:cs="Arial" w:eastAsia="Arial" w:hAnsi="Arial"/>
          <w:sz w:val="18"/>
          <w:szCs w:val="18"/>
          <w:u w:val="single" w:color="auto"/>
          <w:color w:val="00C000"/>
        </w:rPr>
        <w:t>3.00</w:t>
      </w:r>
      <w:r>
        <w:rPr>
          <w:rFonts w:ascii="Arial" w:cs="Arial" w:eastAsia="Arial" w:hAnsi="Arial"/>
          <w:sz w:val="18"/>
          <w:szCs w:val="18"/>
          <w:color w:val="000000"/>
        </w:rPr>
        <w:t>:1.00; and</w:t>
      </w:r>
    </w:p>
    <w:p>
      <w:pPr>
        <w:spacing w:after="0" w:line="183" w:lineRule="exact"/>
        <w:rPr>
          <w:rFonts w:ascii="Arial" w:cs="Arial" w:eastAsia="Arial" w:hAnsi="Arial"/>
          <w:sz w:val="18"/>
          <w:szCs w:val="18"/>
          <w:color w:val="auto"/>
        </w:rPr>
      </w:pPr>
    </w:p>
    <w:p>
      <w:pPr>
        <w:jc w:val="both"/>
        <w:ind w:firstLine="644"/>
        <w:spacing w:after="0" w:line="259" w:lineRule="auto"/>
        <w:tabs>
          <w:tab w:leader="none" w:pos="1168"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Investments of a Subsidiary acquired after the Closing Date or of a Person merged or consolidated with any Subsidiary in accordance with this definition of “Permitted Investments”, Section 10.3 and/or Section 10.5 after the Closing Date to the extent that such investments were not made in contemplation of or in connection with such acquisition, merger or consolidation and were in existence on the date of such acquisition, merger or consolidation .</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shall mean, with respect to any Person:</w:t>
      </w:r>
    </w:p>
    <w:p>
      <w:pPr>
        <w:spacing w:after="0" w:line="229" w:lineRule="exact"/>
        <w:rPr>
          <w:sz w:val="20"/>
          <w:szCs w:val="20"/>
          <w:color w:val="auto"/>
        </w:rPr>
      </w:pPr>
    </w:p>
    <w:p>
      <w:pPr>
        <w:ind w:right="20" w:firstLine="1535"/>
        <w:spacing w:after="0" w:line="275" w:lineRule="auto"/>
        <w:tabs>
          <w:tab w:leader="none" w:pos="1889" w:val="left"/>
        </w:tabs>
        <w:numPr>
          <w:ilvl w:val="0"/>
          <w:numId w:val="77"/>
        </w:numPr>
        <w:rPr>
          <w:rFonts w:ascii="Arial" w:cs="Arial" w:eastAsia="Arial" w:hAnsi="Arial"/>
          <w:sz w:val="17"/>
          <w:szCs w:val="17"/>
          <w:color w:val="auto"/>
        </w:rPr>
      </w:pPr>
      <w:r>
        <w:rPr>
          <w:rFonts w:ascii="Arial" w:cs="Arial" w:eastAsia="Arial" w:hAnsi="Arial"/>
          <w:sz w:val="17"/>
          <w:szCs w:val="17"/>
          <w:color w:val="auto"/>
        </w:rPr>
        <w:t>pledges or deposits by such Person under workmen’s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U.S. government bonds to secure surety or appeal bonds to which such Person is a party, or deposits as security for the payment of rent or deposits made to secure obligations arising from contractual or warranty refunds, in each case incurred in the ordinary course of business;</w:t>
      </w:r>
    </w:p>
    <w:p>
      <w:pPr>
        <w:spacing w:after="0" w:line="176" w:lineRule="exact"/>
        <w:rPr>
          <w:rFonts w:ascii="Arial" w:cs="Arial" w:eastAsia="Arial" w:hAnsi="Arial"/>
          <w:sz w:val="17"/>
          <w:szCs w:val="17"/>
          <w:color w:val="auto"/>
        </w:rPr>
      </w:pPr>
    </w:p>
    <w:p>
      <w:pPr>
        <w:ind w:right="80" w:firstLine="1535"/>
        <w:spacing w:after="0" w:line="301" w:lineRule="auto"/>
        <w:tabs>
          <w:tab w:leader="none" w:pos="1939" w:val="left"/>
        </w:tabs>
        <w:numPr>
          <w:ilvl w:val="0"/>
          <w:numId w:val="77"/>
        </w:numPr>
        <w:rPr>
          <w:rFonts w:ascii="Arial" w:cs="Arial" w:eastAsia="Arial" w:hAnsi="Arial"/>
          <w:sz w:val="16"/>
          <w:szCs w:val="16"/>
          <w:color w:val="auto"/>
        </w:rPr>
      </w:pPr>
      <w:r>
        <w:rPr>
          <w:rFonts w:ascii="Arial" w:cs="Arial" w:eastAsia="Arial" w:hAnsi="Arial"/>
          <w:sz w:val="16"/>
          <w:szCs w:val="16"/>
          <w:color w:val="auto"/>
        </w:rPr>
        <w:t>Liens imposed by law, such as carriers’, warehousemen’s, materialmen’s, repairmen’s, and mechanics’ Liens, in each case for sums not yet overdue for a period of more than 60 days or being contested in good faith by appropriate proceedings or other Liens arising out of judgments or awards against such Person with respect to which such Person shall then be proceeding with an appeal or other proceedings for review if adequate reserves with respect thereto are maintained on the books of such Person in accordance with GAAP;</w:t>
      </w:r>
    </w:p>
    <w:p>
      <w:pPr>
        <w:spacing w:after="0" w:line="157" w:lineRule="exact"/>
        <w:rPr>
          <w:rFonts w:ascii="Arial" w:cs="Arial" w:eastAsia="Arial" w:hAnsi="Arial"/>
          <w:sz w:val="16"/>
          <w:szCs w:val="16"/>
          <w:color w:val="auto"/>
        </w:rPr>
      </w:pPr>
    </w:p>
    <w:p>
      <w:pPr>
        <w:ind w:right="140" w:firstLine="1535"/>
        <w:spacing w:after="0" w:line="257" w:lineRule="auto"/>
        <w:tabs>
          <w:tab w:leader="none" w:pos="1989"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Liens for taxes, assessments, or other governmental charges not yet overdue for a period of more than 60 days or which are being contested in good faith by appropriate proceedings diligently conducted, if adequate reserves with respect thereto are maintained on the books of such Person in accordance with GAAP or are not required to be paid pursuant to </w:t>
      </w:r>
      <w:r>
        <w:rPr>
          <w:rFonts w:ascii="Arial" w:cs="Arial" w:eastAsia="Arial" w:hAnsi="Arial"/>
          <w:sz w:val="18"/>
          <w:szCs w:val="18"/>
          <w:u w:val="single" w:color="auto"/>
          <w:color w:val="auto"/>
        </w:rPr>
        <w:t>Section 8.12</w:t>
      </w:r>
      <w:r>
        <w:rPr>
          <w:rFonts w:ascii="Arial" w:cs="Arial" w:eastAsia="Arial" w:hAnsi="Arial"/>
          <w:sz w:val="18"/>
          <w:szCs w:val="18"/>
          <w:color w:val="auto"/>
        </w:rPr>
        <w:t>, or for property taxes on property Holdings or one of its Subsidiaries has determined to abandon if the sole recourse for such tax, assessment, charge, levy, or claim is to such property;</w:t>
      </w:r>
    </w:p>
    <w:p>
      <w:pPr>
        <w:spacing w:after="0" w:line="187" w:lineRule="exact"/>
        <w:rPr>
          <w:rFonts w:ascii="Arial" w:cs="Arial" w:eastAsia="Arial" w:hAnsi="Arial"/>
          <w:sz w:val="18"/>
          <w:szCs w:val="18"/>
          <w:color w:val="auto"/>
        </w:rPr>
      </w:pPr>
    </w:p>
    <w:p>
      <w:pPr>
        <w:ind w:right="200" w:firstLine="1535"/>
        <w:spacing w:after="0" w:line="286" w:lineRule="auto"/>
        <w:tabs>
          <w:tab w:leader="none" w:pos="1979" w:val="left"/>
        </w:tabs>
        <w:numPr>
          <w:ilvl w:val="0"/>
          <w:numId w:val="77"/>
        </w:numPr>
        <w:rPr>
          <w:rFonts w:ascii="Arial" w:cs="Arial" w:eastAsia="Arial" w:hAnsi="Arial"/>
          <w:sz w:val="17"/>
          <w:szCs w:val="17"/>
          <w:color w:val="auto"/>
        </w:rPr>
      </w:pPr>
      <w:r>
        <w:rPr>
          <w:rFonts w:ascii="Arial" w:cs="Arial" w:eastAsia="Arial" w:hAnsi="Arial"/>
          <w:sz w:val="17"/>
          <w:szCs w:val="17"/>
          <w:color w:val="auto"/>
        </w:rPr>
        <w:t>Liens in favor of issuers of performance, surety, bid, indemnity, warranty, release, appeal, or similar bonds or with respect to other regulatory requirements or letters of credit or bankers’ acceptances issued, and completion guarantees provided for, in each case pursuant to the request of and for the account of such Person in the ordinary course of its business;</w:t>
      </w:r>
    </w:p>
    <w:p>
      <w:pPr>
        <w:spacing w:after="0" w:line="165" w:lineRule="exact"/>
        <w:rPr>
          <w:rFonts w:ascii="Arial" w:cs="Arial" w:eastAsia="Arial" w:hAnsi="Arial"/>
          <w:sz w:val="17"/>
          <w:szCs w:val="17"/>
          <w:color w:val="auto"/>
        </w:rPr>
      </w:pPr>
    </w:p>
    <w:p>
      <w:pPr>
        <w:ind w:right="20" w:firstLine="1535"/>
        <w:spacing w:after="0" w:line="273" w:lineRule="auto"/>
        <w:tabs>
          <w:tab w:leader="none" w:pos="1929" w:val="left"/>
        </w:tabs>
        <w:numPr>
          <w:ilvl w:val="0"/>
          <w:numId w:val="77"/>
        </w:numPr>
        <w:rPr>
          <w:rFonts w:ascii="Arial" w:cs="Arial" w:eastAsia="Arial" w:hAnsi="Arial"/>
          <w:sz w:val="17"/>
          <w:szCs w:val="17"/>
          <w:color w:val="auto"/>
        </w:rPr>
      </w:pPr>
      <w:r>
        <w:rPr>
          <w:rFonts w:ascii="Arial" w:cs="Arial" w:eastAsia="Arial" w:hAnsi="Arial"/>
          <w:sz w:val="17"/>
          <w:szCs w:val="17"/>
          <w:color w:val="auto"/>
        </w:rPr>
        <w:t>minor survey exceptions, minor encumbrances, ground leases, easements, or reservations of, or rights of others for, licenses, rights-of-way, servitudes, sewers, electric lines, drains, telegraph and telephone and cable television lines, gas and oil pipelines, and other similar purposes, or zoning, building codes, or other restrictions (including, without limitation, minor defects or irregularities in title and similar encumbrances) as to the use of real properties or Liens incidental, to the conduct of the business of such Person or to the ownership of its properties which were not incurred in connection with Indebtedness and which do not in the aggregate materially adversely affect the value of said properties or materially impair their use in the operation of the business of such Person;</w:t>
      </w:r>
    </w:p>
    <w:p>
      <w:pPr>
        <w:spacing w:after="0" w:line="177" w:lineRule="exact"/>
        <w:rPr>
          <w:rFonts w:ascii="Arial" w:cs="Arial" w:eastAsia="Arial" w:hAnsi="Arial"/>
          <w:sz w:val="17"/>
          <w:szCs w:val="17"/>
          <w:color w:val="auto"/>
        </w:rPr>
      </w:pPr>
    </w:p>
    <w:p>
      <w:pPr>
        <w:ind w:right="200" w:firstLine="1535"/>
        <w:spacing w:after="0" w:line="277" w:lineRule="auto"/>
        <w:tabs>
          <w:tab w:leader="none" w:pos="1979"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to be outstanding pursuant to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w:t>
      </w:r>
      <w:r>
        <w:rPr>
          <w:rFonts w:ascii="Arial" w:cs="Arial" w:eastAsia="Arial" w:hAnsi="Arial"/>
          <w:sz w:val="18"/>
          <w:szCs w:val="18"/>
          <w:u w:val="single" w:color="auto"/>
          <w:color w:val="FF0000"/>
        </w:rPr>
        <w:t>(l)(ii)</w:t>
      </w:r>
      <w:r>
        <w:rPr>
          <w:rFonts w:ascii="Arial" w:cs="Arial" w:eastAsia="Arial" w:hAnsi="Arial"/>
          <w:sz w:val="18"/>
          <w:szCs w:val="18"/>
          <w:color w:val="FF0000"/>
        </w:rPr>
        <w:t>,</w:t>
      </w:r>
      <w:r>
        <w:rPr>
          <w:rFonts w:ascii="Arial" w:cs="Arial" w:eastAsia="Arial" w:hAnsi="Arial"/>
          <w:sz w:val="18"/>
          <w:szCs w:val="18"/>
          <w:color w:val="auto"/>
        </w:rPr>
        <w:t xml:space="preserve"> </w:t>
      </w:r>
      <w:r>
        <w:rPr>
          <w:rFonts w:ascii="Arial" w:cs="Arial" w:eastAsia="Arial" w:hAnsi="Arial"/>
          <w:sz w:val="18"/>
          <w:szCs w:val="18"/>
          <w:u w:val="single" w:color="auto"/>
          <w:color w:val="FF0000"/>
        </w:rPr>
        <w:t>(r)</w:t>
      </w:r>
      <w:r>
        <w:rPr>
          <w:rFonts w:ascii="Arial" w:cs="Arial" w:eastAsia="Arial" w:hAnsi="Arial"/>
          <w:sz w:val="18"/>
          <w:szCs w:val="18"/>
          <w:color w:val="FF0000"/>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(w)</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(x)</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in the case of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10.1</w:t>
      </w:r>
      <w:r>
        <w:rPr>
          <w:rFonts w:ascii="Arial" w:cs="Arial" w:eastAsia="Arial" w:hAnsi="Arial"/>
          <w:sz w:val="18"/>
          <w:szCs w:val="18"/>
          <w:color w:val="auto"/>
        </w:rPr>
        <w:t>, such 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5181600</wp:posOffset>
            </wp:positionH>
            <wp:positionV relativeFrom="paragraph">
              <wp:posOffset>-224790</wp:posOffset>
            </wp:positionV>
            <wp:extent cx="4470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447040" cy="889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580"/>
          </w:cols>
          <w:pgMar w:left="980" w:top="341" w:right="339" w:bottom="1440" w:gutter="0" w:footer="0" w:header="0"/>
        </w:sectPr>
      </w:pPr>
    </w:p>
    <w:bookmarkStart w:id="124" w:name="page125"/>
    <w:bookmarkEnd w:id="124"/>
    <w:p>
      <w:pPr>
        <w:ind w:left="4"/>
        <w:spacing w:after="0" w:line="284" w:lineRule="auto"/>
        <w:rPr>
          <w:sz w:val="20"/>
          <w:szCs w:val="20"/>
          <w:color w:val="auto"/>
        </w:rPr>
      </w:pPr>
      <w:r>
        <w:rPr>
          <w:rFonts w:ascii="Arial" w:cs="Arial" w:eastAsia="Arial" w:hAnsi="Arial"/>
          <w:sz w:val="16"/>
          <w:szCs w:val="16"/>
          <w:color w:val="auto"/>
        </w:rPr>
        <w:t xml:space="preserve">may not extend to any property or equipment (or assets affixed or appurtenant thereto) other than the property or equipment being financed or refinanced under such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replacements of such property, equipment or assets, and additions and accessions and in the case of multiple financings of equipment provided by any lender, other equipment financed by such lender; (b) in the case of </w:t>
      </w:r>
      <w:r>
        <w:rPr>
          <w:rFonts w:ascii="Arial" w:cs="Arial" w:eastAsia="Arial" w:hAnsi="Arial"/>
          <w:sz w:val="16"/>
          <w:szCs w:val="16"/>
          <w:u w:val="single" w:color="auto"/>
          <w:color w:val="auto"/>
        </w:rPr>
        <w:t>clause (r)</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such Lien may not extend to any assets other than the assets owned by the Restricted Subsidiaries incurring such Indebtedness; (c) in the case of Liens securing Permitted Other Indebtedness Obligations that constitute First Lien Obligations pursuant to this </w:t>
      </w:r>
      <w:r>
        <w:rPr>
          <w:rFonts w:ascii="Arial" w:cs="Arial" w:eastAsia="Arial" w:hAnsi="Arial"/>
          <w:sz w:val="16"/>
          <w:szCs w:val="16"/>
          <w:u w:val="single" w:color="auto"/>
          <w:color w:val="auto"/>
        </w:rPr>
        <w:t>clause (vi)</w:t>
      </w:r>
      <w:r>
        <w:rPr>
          <w:rFonts w:ascii="Arial" w:cs="Arial" w:eastAsia="Arial" w:hAnsi="Arial"/>
          <w:sz w:val="16"/>
          <w:szCs w:val="16"/>
          <w:color w:val="auto"/>
        </w:rPr>
        <w:t>, the applicable Permitted Other Indebtedness Secured Parties (or a representative thereof on behalf of such holders) shall enter into security documents with terms and conditions not materially more restrictive to the Credit Parties, taken as a whole, than the terms and conditions of the Security Documents and</w:t>
      </w:r>
    </w:p>
    <w:p>
      <w:pPr>
        <w:spacing w:after="0" w:line="2" w:lineRule="exact"/>
        <w:rPr>
          <w:sz w:val="20"/>
          <w:szCs w:val="20"/>
          <w:color w:val="auto"/>
        </w:rPr>
      </w:pPr>
    </w:p>
    <w:p>
      <w:pPr>
        <w:ind w:left="4" w:right="20" w:hanging="4"/>
        <w:spacing w:after="0" w:line="284" w:lineRule="auto"/>
        <w:tabs>
          <w:tab w:leader="none" w:pos="259"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in the case of the first such issuance of Permitted Other Indebtedness constituting First Lien Obligations, the Collateral Agent, the Administrative Agent and the representative for the holders of such Permitted Other Indebtedness Obligations shall have entered into the First Lien Intercreditor Agreement and (2) in the case of subsequent issuances of Permitted Other Indebtedness constituting First Lien Obligations, the representative for the holders of such Permitted Other Indebtedness Obligations shall have become a party to the First Lien Intercreditor Agreement in accordance with the terms thereof; and (d) in the case of Liens securing Permitted Other Indebtedness Obligations that do not constitute First Lien Obligations pursuant to this </w:t>
      </w:r>
      <w:r>
        <w:rPr>
          <w:rFonts w:ascii="Arial" w:cs="Arial" w:eastAsia="Arial" w:hAnsi="Arial"/>
          <w:sz w:val="16"/>
          <w:szCs w:val="16"/>
          <w:u w:val="single" w:color="auto"/>
          <w:color w:val="auto"/>
        </w:rPr>
        <w:t>clause (vi)</w:t>
      </w:r>
      <w:r>
        <w:rPr>
          <w:rFonts w:ascii="Arial" w:cs="Arial" w:eastAsia="Arial" w:hAnsi="Arial"/>
          <w:sz w:val="16"/>
          <w:szCs w:val="16"/>
          <w:color w:val="auto"/>
        </w:rPr>
        <w:t>, the applicable Permitted Other Indebtedness Secured Parties (or a representative thereof on behalf of such holders) shall enter into security documents with terms and conditions not materially more restrictive to the Credit Parties, taken as a whole, than the terms and conditions of the Security Documents and shall (x) in the case of the first such issuance of Permitted Other Indebtedness that do not constitute First Lien Obligations, the Collateral Agent, the Administrative Agent and the representative of the holders of such Permitted Other Indebtedness Obligations shall have entered into the Second Lien Intercreditor Agreement and (y) in the case of subsequent issuances of Permitted Other Indebtedness that do not constitute First Lien Obligations, the representative for the holders of such Permitted Other Indebtedness shall have become a party to the Second Lien Intercreditor Agreement in accordance with the terms thereof; without any further consent of the Lenders, the Administrative Agent and the Collateral Agent shall be authorized to execute and deliver on behalf of the Secured Parties the First Lien Intercreditor Agreement and the Second Lien Intercreditor Agreement contemplated by this clause (vi);</w:t>
      </w:r>
    </w:p>
    <w:p>
      <w:pPr>
        <w:spacing w:after="0" w:line="123" w:lineRule="exact"/>
        <w:rPr>
          <w:rFonts w:ascii="Arial" w:cs="Arial" w:eastAsia="Arial" w:hAnsi="Arial"/>
          <w:sz w:val="16"/>
          <w:szCs w:val="16"/>
          <w:color w:val="auto"/>
        </w:rPr>
      </w:pPr>
    </w:p>
    <w:p>
      <w:pPr>
        <w:ind w:left="4" w:right="180" w:firstLine="1535"/>
        <w:spacing w:after="0" w:line="301" w:lineRule="auto"/>
        <w:tabs>
          <w:tab w:leader="none" w:pos="2033" w:val="left"/>
        </w:tabs>
        <w:numPr>
          <w:ilvl w:val="1"/>
          <w:numId w:val="78"/>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9.14</w:t>
      </w:r>
      <w:r>
        <w:rPr>
          <w:rFonts w:ascii="Arial" w:cs="Arial" w:eastAsia="Arial" w:hAnsi="Arial"/>
          <w:sz w:val="16"/>
          <w:szCs w:val="16"/>
          <w:color w:val="auto"/>
        </w:rPr>
        <w:t xml:space="preserve">, other than with respect to Mortgaged Property, Liens existing on the Restatement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Lien securing Indebtedness or other obligations in excess of (a) $5,000,000 individually or (b) $10,000,000 in the aggregate (when taken together with all other Liens securing obligations outstanding in reliance on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that are not listed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10.2</w:t>
      </w:r>
      <w:r>
        <w:rPr>
          <w:rFonts w:ascii="Arial" w:cs="Arial" w:eastAsia="Arial" w:hAnsi="Arial"/>
          <w:sz w:val="16"/>
          <w:szCs w:val="16"/>
          <w:color w:val="auto"/>
        </w:rPr>
        <w:t xml:space="preserve">) shall only be permitted if set forth on </w:t>
      </w:r>
      <w:r>
        <w:rPr>
          <w:rFonts w:ascii="Arial" w:cs="Arial" w:eastAsia="Arial" w:hAnsi="Arial"/>
          <w:sz w:val="16"/>
          <w:szCs w:val="16"/>
          <w:u w:val="single" w:color="auto"/>
          <w:color w:val="auto"/>
        </w:rPr>
        <w:t>Schedule 10.2</w:t>
      </w:r>
      <w:r>
        <w:rPr>
          <w:rFonts w:ascii="Arial" w:cs="Arial" w:eastAsia="Arial" w:hAnsi="Arial"/>
          <w:sz w:val="16"/>
          <w:szCs w:val="16"/>
          <w:color w:val="auto"/>
        </w:rPr>
        <w:t>, and, in each case, any modifications, replacements, renewals, or extensions thereof;</w:t>
      </w:r>
    </w:p>
    <w:p>
      <w:pPr>
        <w:spacing w:after="0" w:line="103" w:lineRule="exact"/>
        <w:rPr>
          <w:rFonts w:ascii="Arial" w:cs="Arial" w:eastAsia="Arial" w:hAnsi="Arial"/>
          <w:sz w:val="16"/>
          <w:szCs w:val="16"/>
          <w:color w:val="auto"/>
        </w:rPr>
      </w:pPr>
    </w:p>
    <w:p>
      <w:pPr>
        <w:ind w:left="4" w:right="120" w:firstLine="1535"/>
        <w:spacing w:after="0" w:line="270" w:lineRule="auto"/>
        <w:tabs>
          <w:tab w:leader="none" w:pos="2083" w:val="left"/>
        </w:tabs>
        <w:numPr>
          <w:ilvl w:val="1"/>
          <w:numId w:val="78"/>
        </w:numPr>
        <w:rPr>
          <w:rFonts w:ascii="Arial" w:cs="Arial" w:eastAsia="Arial" w:hAnsi="Arial"/>
          <w:sz w:val="17"/>
          <w:szCs w:val="17"/>
          <w:color w:val="auto"/>
        </w:rPr>
      </w:pPr>
      <w:r>
        <w:rPr>
          <w:rFonts w:ascii="Arial" w:cs="Arial" w:eastAsia="Arial" w:hAnsi="Arial"/>
          <w:sz w:val="17"/>
          <w:szCs w:val="17"/>
          <w:color w:val="auto"/>
        </w:rPr>
        <w:t xml:space="preserve">Liens on property or shares of stock of a Person at the time such Person becomes a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Liens are not created or incurred in connection with, or in contemplation of, such other Person becoming a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Liens may not extend to any other property owned by Holdings or any Restricted Subsidiary (other than, with respect to such Person, any replacements of such property or assets and additions and accessions thereto, after-acquired property subject to a Lien securing Indebtedness and other obligations incurred prior to such time and which Indebtedness and other obligations are permitted hereunder that require, pursuant to their terms at such time, a pledge of after-acquired property of such Person, and the proceeds and the products thereof and customary security deposits in respect thereof and in the case of multiple financings of equipment provided by any lender, other equipment financed by such lender, it being understood that such requirement shall not be permitted to apply to any property to which such requirement would not have applied but for such acquisition);</w:t>
      </w:r>
    </w:p>
    <w:p>
      <w:pPr>
        <w:spacing w:after="0" w:line="126" w:lineRule="exact"/>
        <w:rPr>
          <w:rFonts w:ascii="Arial" w:cs="Arial" w:eastAsia="Arial" w:hAnsi="Arial"/>
          <w:sz w:val="17"/>
          <w:szCs w:val="17"/>
          <w:color w:val="auto"/>
        </w:rPr>
      </w:pPr>
    </w:p>
    <w:p>
      <w:pPr>
        <w:ind w:left="4" w:right="180" w:firstLine="1535"/>
        <w:spacing w:after="0" w:line="279" w:lineRule="auto"/>
        <w:tabs>
          <w:tab w:leader="none" w:pos="1983" w:val="left"/>
        </w:tabs>
        <w:numPr>
          <w:ilvl w:val="1"/>
          <w:numId w:val="78"/>
        </w:numPr>
        <w:rPr>
          <w:rFonts w:ascii="Arial" w:cs="Arial" w:eastAsia="Arial" w:hAnsi="Arial"/>
          <w:sz w:val="17"/>
          <w:szCs w:val="17"/>
          <w:color w:val="auto"/>
        </w:rPr>
      </w:pPr>
      <w:r>
        <w:rPr>
          <w:rFonts w:ascii="Arial" w:cs="Arial" w:eastAsia="Arial" w:hAnsi="Arial"/>
          <w:sz w:val="17"/>
          <w:szCs w:val="17"/>
          <w:color w:val="auto"/>
        </w:rPr>
        <w:t xml:space="preserve">Liens on property at the time Holdings or a Restricted Subsidiary acquired the property, including any acquisition by means of a merger or consolidation with or into Holdings or any Restricted Subsidiary or the designation of an Unrestricted Subsidiary as a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Liens are not created or incurred in connection with, or in contemplation of, such acquisition, merger, consolidation, or designation;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Liens may not extend to any other</w:t>
      </w:r>
    </w:p>
    <w:p>
      <w:pPr>
        <w:spacing w:after="0" w:line="200" w:lineRule="exact"/>
        <w:rPr>
          <w:sz w:val="20"/>
          <w:szCs w:val="20"/>
          <w:color w:val="auto"/>
        </w:rPr>
      </w:pPr>
    </w:p>
    <w:p>
      <w:pPr>
        <w:spacing w:after="0" w:line="349"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564"/>
          </w:cols>
          <w:pgMar w:left="976" w:top="341" w:right="359" w:bottom="1440" w:gutter="0" w:footer="0" w:header="0"/>
        </w:sectPr>
      </w:pPr>
    </w:p>
    <w:bookmarkStart w:id="125" w:name="page126"/>
    <w:bookmarkEnd w:id="125"/>
    <w:p>
      <w:pPr>
        <w:ind w:right="160"/>
        <w:spacing w:after="0" w:line="293" w:lineRule="auto"/>
        <w:rPr>
          <w:sz w:val="20"/>
          <w:szCs w:val="20"/>
          <w:color w:val="auto"/>
        </w:rPr>
      </w:pPr>
      <w:r>
        <w:rPr>
          <w:rFonts w:ascii="Arial" w:cs="Arial" w:eastAsia="Arial" w:hAnsi="Arial"/>
          <w:sz w:val="16"/>
          <w:szCs w:val="16"/>
          <w:color w:val="auto"/>
        </w:rPr>
        <w:t>property owned by Holdings or any Restricted Subsidiary (other than, with respect to such property, any replacements of such property or assets and additions and accessions thereto, after-acquired property subject to a Lien securing Indebtedness and other obligations incurred prior to such time and which Indebtedness and other obligations are permitted hereunder that require, pursuant to their terms at such time, a pledge of after-acquired property, and the proceeds and the products thereof and customary security deposits in respect thereof and in the case of multiple financings of equipment provided by any lender, other equipment financed by such lender, it being understood that such requirement shall not be permitted to apply to any property to which such requirement would not have applied but for such acquisition);</w:t>
      </w:r>
    </w:p>
    <w:p>
      <w:pPr>
        <w:spacing w:after="0" w:line="110" w:lineRule="exact"/>
        <w:rPr>
          <w:sz w:val="20"/>
          <w:szCs w:val="20"/>
          <w:color w:val="auto"/>
        </w:rPr>
      </w:pPr>
    </w:p>
    <w:p>
      <w:pPr>
        <w:ind w:right="320" w:firstLine="1535"/>
        <w:spacing w:after="0" w:line="277" w:lineRule="auto"/>
        <w:tabs>
          <w:tab w:leader="none" w:pos="1929"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Liens securing Indebtedness or other obligations of a Restricted Subsidiary owing to Holdings or another Restricted Subsidiary permitted to be incurred in accordance with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420" w:firstLine="1535"/>
        <w:spacing w:after="0" w:line="342" w:lineRule="auto"/>
        <w:tabs>
          <w:tab w:leader="none" w:pos="1979" w:val="left"/>
        </w:tabs>
        <w:numPr>
          <w:ilvl w:val="0"/>
          <w:numId w:val="79"/>
        </w:numPr>
        <w:rPr>
          <w:rFonts w:ascii="Arial" w:cs="Arial" w:eastAsia="Arial" w:hAnsi="Arial"/>
          <w:sz w:val="16"/>
          <w:szCs w:val="16"/>
          <w:color w:val="auto"/>
        </w:rPr>
      </w:pPr>
      <w:r>
        <w:rPr>
          <w:rFonts w:ascii="Arial" w:cs="Arial" w:eastAsia="Arial" w:hAnsi="Arial"/>
          <w:sz w:val="16"/>
          <w:szCs w:val="16"/>
          <w:color w:val="auto"/>
        </w:rPr>
        <w:t>Liens securing Hedging Obligations and Cash Management Services so long as the related Indebtedness is, and is permitted hereunder to be, secured by a Lien on the same property securing such Hedging Obligations and Cash Management Services;</w:t>
      </w:r>
    </w:p>
    <w:p>
      <w:pPr>
        <w:spacing w:after="0" w:line="123" w:lineRule="exact"/>
        <w:rPr>
          <w:rFonts w:ascii="Arial" w:cs="Arial" w:eastAsia="Arial" w:hAnsi="Arial"/>
          <w:sz w:val="16"/>
          <w:szCs w:val="16"/>
          <w:color w:val="auto"/>
        </w:rPr>
      </w:pPr>
    </w:p>
    <w:p>
      <w:pPr>
        <w:jc w:val="both"/>
        <w:ind w:right="140" w:firstLine="1535"/>
        <w:spacing w:after="0" w:line="263" w:lineRule="auto"/>
        <w:tabs>
          <w:tab w:leader="none" w:pos="2029" w:val="left"/>
        </w:tabs>
        <w:numPr>
          <w:ilvl w:val="0"/>
          <w:numId w:val="79"/>
        </w:numPr>
        <w:rPr>
          <w:rFonts w:ascii="Arial" w:cs="Arial" w:eastAsia="Arial" w:hAnsi="Arial"/>
          <w:sz w:val="18"/>
          <w:szCs w:val="18"/>
          <w:color w:val="auto"/>
        </w:rPr>
      </w:pPr>
      <w:r>
        <w:rPr>
          <w:rFonts w:ascii="Arial" w:cs="Arial" w:eastAsia="Arial" w:hAnsi="Arial"/>
          <w:sz w:val="18"/>
          <w:szCs w:val="18"/>
          <w:color w:val="auto"/>
        </w:rPr>
        <w:t>Liens on specific items of inventory or other goods and proceeds of any Person securing such Person’s obligations in respect of bankers’ acceptances issued or created for the account of such Person to facilitate the purchase, shipment, or storage of such inventory or other goods;</w:t>
      </w:r>
    </w:p>
    <w:p>
      <w:pPr>
        <w:spacing w:after="0" w:line="183" w:lineRule="exact"/>
        <w:rPr>
          <w:rFonts w:ascii="Arial" w:cs="Arial" w:eastAsia="Arial" w:hAnsi="Arial"/>
          <w:sz w:val="18"/>
          <w:szCs w:val="18"/>
          <w:color w:val="auto"/>
        </w:rPr>
      </w:pPr>
    </w:p>
    <w:p>
      <w:pPr>
        <w:jc w:val="both"/>
        <w:ind w:right="60" w:firstLine="1535"/>
        <w:spacing w:after="0" w:line="263" w:lineRule="auto"/>
        <w:tabs>
          <w:tab w:leader="none" w:pos="2079" w:val="left"/>
        </w:tabs>
        <w:numPr>
          <w:ilvl w:val="0"/>
          <w:numId w:val="79"/>
        </w:numPr>
        <w:rPr>
          <w:rFonts w:ascii="Arial" w:cs="Arial" w:eastAsia="Arial" w:hAnsi="Arial"/>
          <w:sz w:val="18"/>
          <w:szCs w:val="18"/>
          <w:color w:val="auto"/>
        </w:rPr>
      </w:pPr>
      <w:r>
        <w:rPr>
          <w:rFonts w:ascii="Arial" w:cs="Arial" w:eastAsia="Arial" w:hAnsi="Arial"/>
          <w:sz w:val="18"/>
          <w:szCs w:val="18"/>
          <w:color w:val="auto"/>
        </w:rPr>
        <w:t>leases, subleases, licenses, or sublicenses (including of Intellectual Property) granted to others in the ordinary course of business which do not materially interfere with the ordinary conduct of the business of Holdings or any Restricted Subsidiary and do not secure any Indebtedness;</w:t>
      </w:r>
    </w:p>
    <w:p>
      <w:pPr>
        <w:spacing w:after="0" w:line="183" w:lineRule="exact"/>
        <w:rPr>
          <w:rFonts w:ascii="Arial" w:cs="Arial" w:eastAsia="Arial" w:hAnsi="Arial"/>
          <w:sz w:val="18"/>
          <w:szCs w:val="18"/>
          <w:color w:val="auto"/>
        </w:rPr>
      </w:pPr>
    </w:p>
    <w:p>
      <w:pPr>
        <w:ind w:right="40" w:firstLine="1535"/>
        <w:spacing w:after="0" w:line="277" w:lineRule="auto"/>
        <w:tabs>
          <w:tab w:leader="none" w:pos="2069" w:val="left"/>
        </w:tabs>
        <w:numPr>
          <w:ilvl w:val="0"/>
          <w:numId w:val="79"/>
        </w:numPr>
        <w:rPr>
          <w:rFonts w:ascii="Arial" w:cs="Arial" w:eastAsia="Arial" w:hAnsi="Arial"/>
          <w:sz w:val="18"/>
          <w:szCs w:val="18"/>
          <w:color w:val="auto"/>
        </w:rPr>
      </w:pPr>
      <w:r>
        <w:rPr>
          <w:rFonts w:ascii="Arial" w:cs="Arial" w:eastAsia="Arial" w:hAnsi="Arial"/>
          <w:sz w:val="18"/>
          <w:szCs w:val="18"/>
          <w:color w:val="auto"/>
        </w:rPr>
        <w:t>Liens arising from Uniform Commercial Code financing statement filings regarding operating leases or consignments entered into by Holdings or any Restricted Subsidiary in the ordinary course of business;</w:t>
      </w:r>
    </w:p>
    <w:p>
      <w:pPr>
        <w:spacing w:after="0" w:line="170" w:lineRule="exact"/>
        <w:rPr>
          <w:rFonts w:ascii="Arial" w:cs="Arial" w:eastAsia="Arial" w:hAnsi="Arial"/>
          <w:sz w:val="18"/>
          <w:szCs w:val="18"/>
          <w:color w:val="auto"/>
        </w:rPr>
      </w:pPr>
    </w:p>
    <w:p>
      <w:pPr>
        <w:ind w:left="2020" w:hanging="485"/>
        <w:spacing w:after="0"/>
        <w:tabs>
          <w:tab w:leader="none" w:pos="20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Liens in favor of Holdings, the Borrower, or any other Guarantor;</w:t>
      </w:r>
    </w:p>
    <w:p>
      <w:pPr>
        <w:spacing w:after="0" w:line="225" w:lineRule="exact"/>
        <w:rPr>
          <w:rFonts w:ascii="Arial" w:cs="Arial" w:eastAsia="Arial" w:hAnsi="Arial"/>
          <w:sz w:val="18"/>
          <w:szCs w:val="18"/>
          <w:color w:val="auto"/>
        </w:rPr>
      </w:pPr>
    </w:p>
    <w:p>
      <w:pPr>
        <w:ind w:right="100" w:firstLine="1535"/>
        <w:spacing w:after="0" w:line="277" w:lineRule="auto"/>
        <w:tabs>
          <w:tab w:leader="none" w:pos="2069" w:val="left"/>
        </w:tabs>
        <w:numPr>
          <w:ilvl w:val="0"/>
          <w:numId w:val="79"/>
        </w:numPr>
        <w:rPr>
          <w:rFonts w:ascii="Arial" w:cs="Arial" w:eastAsia="Arial" w:hAnsi="Arial"/>
          <w:sz w:val="18"/>
          <w:szCs w:val="18"/>
          <w:color w:val="auto"/>
        </w:rPr>
      </w:pPr>
      <w:r>
        <w:rPr>
          <w:rFonts w:ascii="Arial" w:cs="Arial" w:eastAsia="Arial" w:hAnsi="Arial"/>
          <w:sz w:val="18"/>
          <w:szCs w:val="18"/>
          <w:color w:val="auto"/>
        </w:rPr>
        <w:t>Liens on equipment of Holdings or any Restricted Subsidiary granted in the ordinary course of business to Holdings’ or such Restricted Subsidiary’s client at which such equipment is located;</w:t>
      </w:r>
    </w:p>
    <w:p>
      <w:pPr>
        <w:spacing w:after="0" w:line="170" w:lineRule="exact"/>
        <w:rPr>
          <w:rFonts w:ascii="Arial" w:cs="Arial" w:eastAsia="Arial" w:hAnsi="Arial"/>
          <w:sz w:val="18"/>
          <w:szCs w:val="18"/>
          <w:color w:val="auto"/>
        </w:rPr>
      </w:pPr>
    </w:p>
    <w:p>
      <w:pPr>
        <w:ind w:left="2120" w:hanging="585"/>
        <w:spacing w:after="0"/>
        <w:tabs>
          <w:tab w:leader="none" w:pos="2120"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0000FF"/>
        </w:rPr>
        <w:t>following the Additional Restrictions Period,</w:t>
      </w:r>
      <w:r>
        <w:rPr>
          <w:rFonts w:ascii="Arial" w:cs="Arial" w:eastAsia="Arial" w:hAnsi="Arial"/>
          <w:sz w:val="16"/>
          <w:szCs w:val="16"/>
          <w:color w:val="0000FF"/>
        </w:rPr>
        <w:t xml:space="preserve"> </w:t>
      </w:r>
      <w:r>
        <w:rPr>
          <w:rFonts w:ascii="Arial" w:cs="Arial" w:eastAsia="Arial" w:hAnsi="Arial"/>
          <w:sz w:val="16"/>
          <w:szCs w:val="16"/>
          <w:color w:val="000000"/>
        </w:rPr>
        <w:t>Liens on accounts receivable and related assets incurred in connection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 a Receivables Facility;</w:t>
      </w:r>
    </w:p>
    <w:p>
      <w:pPr>
        <w:spacing w:after="0" w:line="210" w:lineRule="exact"/>
        <w:rPr>
          <w:rFonts w:ascii="Arial" w:cs="Arial" w:eastAsia="Arial" w:hAnsi="Arial"/>
          <w:sz w:val="16"/>
          <w:szCs w:val="16"/>
          <w:color w:val="auto"/>
        </w:rPr>
      </w:pPr>
    </w:p>
    <w:p>
      <w:pPr>
        <w:ind w:firstLine="1535"/>
        <w:spacing w:after="0" w:line="271" w:lineRule="auto"/>
        <w:tabs>
          <w:tab w:leader="none" w:pos="2169"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Liens to secure any refinancing, refunding, extension, renewal, or replacement (or successive refinancing, refunding, extensions, renewals, or replacements) as a whole, or in part, of any Indebtedness secured by any Lien referred to in </w:t>
      </w:r>
      <w:r>
        <w:rPr>
          <w:rFonts w:ascii="Arial" w:cs="Arial" w:eastAsia="Arial" w:hAnsi="Arial"/>
          <w:sz w:val="17"/>
          <w:szCs w:val="17"/>
          <w:u w:val="single" w:color="auto"/>
          <w:color w:val="auto"/>
        </w:rPr>
        <w:t>clauses (vi)</w:t>
      </w:r>
      <w:r>
        <w:rPr>
          <w:rFonts w:ascii="Arial" w:cs="Arial" w:eastAsia="Arial" w:hAnsi="Arial"/>
          <w:sz w:val="17"/>
          <w:szCs w:val="17"/>
          <w:color w:val="auto"/>
        </w:rPr>
        <w:t xml:space="preserve"> </w:t>
      </w:r>
      <w:r>
        <w:rPr>
          <w:rFonts w:ascii="Arial" w:cs="Arial" w:eastAsia="Arial" w:hAnsi="Arial"/>
          <w:sz w:val="17"/>
          <w:szCs w:val="17"/>
          <w:color w:val="FF0000"/>
          <w:strike w:val="1"/>
        </w:rPr>
        <w:t>(other than</w:t>
      </w:r>
      <w:r>
        <w:rPr>
          <w:rFonts w:ascii="Arial" w:cs="Arial" w:eastAsia="Arial" w:hAnsi="Arial"/>
          <w:sz w:val="17"/>
          <w:szCs w:val="17"/>
          <w:color w:val="auto"/>
        </w:rPr>
        <w:t xml:space="preserve"> </w:t>
      </w:r>
      <w:r>
        <w:rPr>
          <w:rFonts w:ascii="Arial" w:cs="Arial" w:eastAsia="Arial" w:hAnsi="Arial"/>
          <w:sz w:val="17"/>
          <w:szCs w:val="17"/>
          <w:color w:val="FF0000"/>
          <w:strike w:val="1"/>
        </w:rPr>
        <w:t>pursuant to</w:t>
      </w:r>
      <w:r>
        <w:rPr>
          <w:rFonts w:ascii="Arial" w:cs="Arial" w:eastAsia="Arial" w:hAnsi="Arial"/>
          <w:sz w:val="17"/>
          <w:szCs w:val="17"/>
          <w:color w:val="FF0000"/>
        </w:rPr>
        <w:t xml:space="preserve"> </w:t>
      </w:r>
      <w:r>
        <w:rPr>
          <w:rFonts w:ascii="Arial" w:cs="Arial" w:eastAsia="Arial" w:hAnsi="Arial"/>
          <w:sz w:val="17"/>
          <w:szCs w:val="17"/>
          <w:u w:val="single" w:color="auto"/>
          <w:color w:val="FF0000"/>
        </w:rPr>
        <w:t>Section 10.1(l)(ii)</w:t>
      </w:r>
      <w:r>
        <w:rPr>
          <w:rFonts w:ascii="Arial" w:cs="Arial" w:eastAsia="Arial" w:hAnsi="Arial"/>
          <w:sz w:val="17"/>
          <w:szCs w:val="17"/>
          <w:color w:val="FF0000"/>
        </w:rPr>
        <w:t>)</w:t>
      </w:r>
      <w:r>
        <w:rPr>
          <w:rFonts w:ascii="Arial" w:cs="Arial" w:eastAsia="Arial" w:hAnsi="Arial"/>
          <w:sz w:val="17"/>
          <w:szCs w:val="17"/>
          <w:color w:val="000000"/>
        </w:rPr>
        <w:t>,</w:t>
      </w:r>
      <w:r>
        <w:rPr>
          <w:rFonts w:ascii="Arial" w:cs="Arial" w:eastAsia="Arial" w:hAnsi="Arial"/>
          <w:sz w:val="17"/>
          <w:szCs w:val="17"/>
          <w:color w:val="FF0000"/>
        </w:rPr>
        <w:t xml:space="preserve"> </w:t>
      </w:r>
      <w:r>
        <w:rPr>
          <w:rFonts w:ascii="Arial" w:cs="Arial" w:eastAsia="Arial" w:hAnsi="Arial"/>
          <w:sz w:val="17"/>
          <w:szCs w:val="17"/>
          <w:u w:val="single" w:color="auto"/>
          <w:color w:val="000000"/>
        </w:rPr>
        <w:t>(vii)</w:t>
      </w:r>
      <w:r>
        <w:rPr>
          <w:rFonts w:ascii="Arial" w:cs="Arial" w:eastAsia="Arial" w:hAnsi="Arial"/>
          <w:sz w:val="17"/>
          <w:szCs w:val="17"/>
          <w:color w:val="000000"/>
        </w:rPr>
        <w:t>,</w:t>
      </w:r>
      <w:r>
        <w:rPr>
          <w:rFonts w:ascii="Arial" w:cs="Arial" w:eastAsia="Arial" w:hAnsi="Arial"/>
          <w:sz w:val="17"/>
          <w:szCs w:val="17"/>
          <w:color w:val="FF0000"/>
        </w:rPr>
        <w:t xml:space="preserve"> </w:t>
      </w:r>
      <w:r>
        <w:rPr>
          <w:rFonts w:ascii="Arial" w:cs="Arial" w:eastAsia="Arial" w:hAnsi="Arial"/>
          <w:sz w:val="17"/>
          <w:szCs w:val="17"/>
          <w:u w:val="single" w:color="auto"/>
          <w:color w:val="000000"/>
        </w:rPr>
        <w:t>(viii)</w:t>
      </w:r>
      <w:r>
        <w:rPr>
          <w:rFonts w:ascii="Arial" w:cs="Arial" w:eastAsia="Arial" w:hAnsi="Arial"/>
          <w:sz w:val="17"/>
          <w:szCs w:val="17"/>
          <w:color w:val="FF0000"/>
          <w:strike w:val="1"/>
        </w:rPr>
        <w:t>,</w:t>
      </w:r>
      <w:r>
        <w:rPr>
          <w:rFonts w:ascii="Arial" w:cs="Arial" w:eastAsia="Arial" w:hAnsi="Arial"/>
          <w:sz w:val="17"/>
          <w:szCs w:val="17"/>
          <w:color w:val="FF0000"/>
        </w:rPr>
        <w:t xml:space="preserve"> </w:t>
      </w:r>
      <w:r>
        <w:rPr>
          <w:rFonts w:ascii="Arial" w:cs="Arial" w:eastAsia="Arial" w:hAnsi="Arial"/>
          <w:sz w:val="17"/>
          <w:szCs w:val="17"/>
          <w:u w:val="single" w:color="auto"/>
          <w:color w:val="0000FF"/>
        </w:rPr>
        <w:t>and</w:t>
      </w:r>
      <w:r>
        <w:rPr>
          <w:rFonts w:ascii="Arial" w:cs="Arial" w:eastAsia="Arial" w:hAnsi="Arial"/>
          <w:sz w:val="17"/>
          <w:szCs w:val="17"/>
          <w:color w:val="FF0000"/>
        </w:rPr>
        <w:t xml:space="preserve"> </w:t>
      </w:r>
      <w:r>
        <w:rPr>
          <w:rFonts w:ascii="Arial" w:cs="Arial" w:eastAsia="Arial" w:hAnsi="Arial"/>
          <w:sz w:val="17"/>
          <w:szCs w:val="17"/>
          <w:u w:val="single" w:color="auto"/>
          <w:color w:val="000000"/>
        </w:rPr>
        <w:t>(ix)</w:t>
      </w:r>
      <w:r>
        <w:rPr>
          <w:rFonts w:ascii="Arial" w:cs="Arial" w:eastAsia="Arial" w:hAnsi="Arial"/>
          <w:sz w:val="17"/>
          <w:szCs w:val="17"/>
          <w:color w:val="000000"/>
        </w:rPr>
        <w:t>,</w:t>
      </w:r>
      <w:r>
        <w:rPr>
          <w:rFonts w:ascii="Arial" w:cs="Arial" w:eastAsia="Arial" w:hAnsi="Arial"/>
          <w:sz w:val="17"/>
          <w:szCs w:val="17"/>
          <w:color w:val="FF0000"/>
        </w:rPr>
        <w:t xml:space="preserve"> </w:t>
      </w:r>
      <w:r>
        <w:rPr>
          <w:rFonts w:ascii="Arial" w:cs="Arial" w:eastAsia="Arial" w:hAnsi="Arial"/>
          <w:sz w:val="17"/>
          <w:szCs w:val="17"/>
          <w:u w:val="single" w:color="auto"/>
          <w:color w:val="FF0000"/>
          <w:strike w:val="1"/>
        </w:rPr>
        <w:t>(x)</w:t>
      </w:r>
      <w:r>
        <w:rPr>
          <w:rFonts w:ascii="Arial" w:cs="Arial" w:eastAsia="Arial" w:hAnsi="Arial"/>
          <w:sz w:val="17"/>
          <w:szCs w:val="17"/>
          <w:color w:val="FF0000"/>
          <w:strike w:val="1"/>
        </w:rPr>
        <w:t>, and</w:t>
      </w:r>
      <w:r>
        <w:rPr>
          <w:rFonts w:ascii="Arial" w:cs="Arial" w:eastAsia="Arial" w:hAnsi="Arial"/>
          <w:sz w:val="17"/>
          <w:szCs w:val="17"/>
          <w:color w:val="FF0000"/>
        </w:rPr>
        <w:t xml:space="preserve"> </w:t>
      </w:r>
      <w:r>
        <w:rPr>
          <w:rFonts w:ascii="Arial" w:cs="Arial" w:eastAsia="Arial" w:hAnsi="Arial"/>
          <w:sz w:val="17"/>
          <w:szCs w:val="17"/>
          <w:u w:val="single" w:color="auto"/>
          <w:color w:val="FF0000"/>
          <w:strike w:val="1"/>
        </w:rPr>
        <w:t>(xv)</w:t>
      </w:r>
      <w:r>
        <w:rPr>
          <w:rFonts w:ascii="Arial" w:cs="Arial" w:eastAsia="Arial" w:hAnsi="Arial"/>
          <w:sz w:val="17"/>
          <w:szCs w:val="17"/>
          <w:color w:val="FF0000"/>
        </w:rPr>
        <w:t xml:space="preserve"> </w:t>
      </w:r>
      <w:r>
        <w:rPr>
          <w:rFonts w:ascii="Arial" w:cs="Arial" w:eastAsia="Arial" w:hAnsi="Arial"/>
          <w:sz w:val="17"/>
          <w:szCs w:val="17"/>
          <w:color w:val="000000"/>
        </w:rPr>
        <w:t>of this definition of “Permitted Liens”;</w:t>
      </w:r>
      <w:r>
        <w:rPr>
          <w:rFonts w:ascii="Arial" w:cs="Arial" w:eastAsia="Arial" w:hAnsi="Arial"/>
          <w:sz w:val="17"/>
          <w:szCs w:val="17"/>
          <w:color w:val="FF0000"/>
        </w:rPr>
        <w:t xml:space="preserve"> </w:t>
      </w:r>
      <w:r>
        <w:rPr>
          <w:rFonts w:ascii="Arial" w:cs="Arial" w:eastAsia="Arial" w:hAnsi="Arial"/>
          <w:sz w:val="17"/>
          <w:szCs w:val="17"/>
          <w:u w:val="single" w:color="auto"/>
          <w:color w:val="000000"/>
        </w:rPr>
        <w:t>provided</w:t>
      </w:r>
      <w:r>
        <w:rPr>
          <w:rFonts w:ascii="Arial" w:cs="Arial" w:eastAsia="Arial" w:hAnsi="Arial"/>
          <w:sz w:val="17"/>
          <w:szCs w:val="17"/>
          <w:color w:val="FF0000"/>
        </w:rPr>
        <w:t xml:space="preserve"> </w:t>
      </w:r>
      <w:r>
        <w:rPr>
          <w:rFonts w:ascii="Arial" w:cs="Arial" w:eastAsia="Arial" w:hAnsi="Arial"/>
          <w:sz w:val="17"/>
          <w:szCs w:val="17"/>
          <w:color w:val="000000"/>
        </w:rPr>
        <w:t>that (a) such new Lien shall be</w:t>
      </w:r>
      <w:r>
        <w:rPr>
          <w:rFonts w:ascii="Arial" w:cs="Arial" w:eastAsia="Arial" w:hAnsi="Arial"/>
          <w:sz w:val="17"/>
          <w:szCs w:val="17"/>
          <w:color w:val="FF0000"/>
        </w:rPr>
        <w:t xml:space="preserve"> </w:t>
      </w:r>
      <w:r>
        <w:rPr>
          <w:rFonts w:ascii="Arial" w:cs="Arial" w:eastAsia="Arial" w:hAnsi="Arial"/>
          <w:sz w:val="17"/>
          <w:szCs w:val="17"/>
          <w:color w:val="000000"/>
        </w:rPr>
        <w:t xml:space="preserve">limited to all or part of the same property that secured the original Lien (plus improvements on such property), and (b) the Indebtedness secured by such Lien at such time is not increased to any amount greater than the sum of (1) the outstanding principal amount or, if greater, committed amount of the Indebtedness described under </w:t>
      </w:r>
      <w:r>
        <w:rPr>
          <w:rFonts w:ascii="Arial" w:cs="Arial" w:eastAsia="Arial" w:hAnsi="Arial"/>
          <w:sz w:val="17"/>
          <w:szCs w:val="17"/>
          <w:u w:val="single" w:color="auto"/>
          <w:color w:val="000000"/>
        </w:rPr>
        <w:t>clauses (vi)</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(vii)</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(viii)</w:t>
      </w:r>
      <w:r>
        <w:rPr>
          <w:rFonts w:ascii="Arial" w:cs="Arial" w:eastAsia="Arial" w:hAnsi="Arial"/>
          <w:sz w:val="17"/>
          <w:szCs w:val="17"/>
          <w:color w:val="FF0000"/>
          <w:strike w:val="1"/>
        </w:rPr>
        <w:t>,</w:t>
      </w:r>
      <w:r>
        <w:rPr>
          <w:rFonts w:ascii="Arial" w:cs="Arial" w:eastAsia="Arial" w:hAnsi="Arial"/>
          <w:sz w:val="17"/>
          <w:szCs w:val="17"/>
          <w:color w:val="000000"/>
        </w:rPr>
        <w:t xml:space="preserve"> </w:t>
      </w:r>
      <w:r>
        <w:rPr>
          <w:rFonts w:ascii="Arial" w:cs="Arial" w:eastAsia="Arial" w:hAnsi="Arial"/>
          <w:sz w:val="17"/>
          <w:szCs w:val="17"/>
          <w:u w:val="single" w:color="auto"/>
          <w:color w:val="0000FF"/>
        </w:rPr>
        <w:t>and</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(ix)</w:t>
      </w:r>
      <w:r>
        <w:rPr>
          <w:rFonts w:ascii="Arial" w:cs="Arial" w:eastAsia="Arial" w:hAnsi="Arial"/>
          <w:sz w:val="17"/>
          <w:szCs w:val="17"/>
          <w:color w:val="FF0000"/>
          <w:strike w:val="1"/>
        </w:rPr>
        <w:t>,</w:t>
      </w:r>
      <w:r>
        <w:rPr>
          <w:rFonts w:ascii="Arial" w:cs="Arial" w:eastAsia="Arial" w:hAnsi="Arial"/>
          <w:sz w:val="17"/>
          <w:szCs w:val="17"/>
          <w:color w:val="000000"/>
        </w:rPr>
        <w:t xml:space="preserve"> </w:t>
      </w:r>
      <w:r>
        <w:rPr>
          <w:rFonts w:ascii="Arial" w:cs="Arial" w:eastAsia="Arial" w:hAnsi="Arial"/>
          <w:sz w:val="17"/>
          <w:szCs w:val="17"/>
          <w:u w:val="single" w:color="auto"/>
          <w:color w:val="FF0000"/>
          <w:strike w:val="1"/>
        </w:rPr>
        <w:t>(x)</w:t>
      </w:r>
      <w:r>
        <w:rPr>
          <w:rFonts w:ascii="Arial" w:cs="Arial" w:eastAsia="Arial" w:hAnsi="Arial"/>
          <w:sz w:val="17"/>
          <w:szCs w:val="17"/>
          <w:color w:val="FF0000"/>
          <w:strike w:val="1"/>
        </w:rPr>
        <w:t>, and</w:t>
      </w:r>
      <w:r>
        <w:rPr>
          <w:rFonts w:ascii="Arial" w:cs="Arial" w:eastAsia="Arial" w:hAnsi="Arial"/>
          <w:sz w:val="17"/>
          <w:szCs w:val="17"/>
          <w:color w:val="000000"/>
        </w:rPr>
        <w:t xml:space="preserve"> </w:t>
      </w:r>
      <w:r>
        <w:rPr>
          <w:rFonts w:ascii="Arial" w:cs="Arial" w:eastAsia="Arial" w:hAnsi="Arial"/>
          <w:sz w:val="17"/>
          <w:szCs w:val="17"/>
          <w:u w:val="single" w:color="auto"/>
          <w:color w:val="FF0000"/>
          <w:strike w:val="1"/>
        </w:rPr>
        <w:t>(xv)</w:t>
      </w:r>
      <w:r>
        <w:rPr>
          <w:rFonts w:ascii="Arial" w:cs="Arial" w:eastAsia="Arial" w:hAnsi="Arial"/>
          <w:sz w:val="17"/>
          <w:szCs w:val="17"/>
          <w:color w:val="000000"/>
        </w:rPr>
        <w:t xml:space="preserve"> at the time the original Lien became a Permitted Lien under this Agreement, and (2) an amount necessary to pay any fees and expenses, including premiums and accrued and unpaid interest, related to such refinancing, refunding, extension, renewal, or replacement;</w:t>
      </w:r>
    </w:p>
    <w:p>
      <w:pPr>
        <w:spacing w:after="0" w:line="178" w:lineRule="exact"/>
        <w:rPr>
          <w:rFonts w:ascii="Arial" w:cs="Arial" w:eastAsia="Arial" w:hAnsi="Arial"/>
          <w:sz w:val="17"/>
          <w:szCs w:val="17"/>
          <w:color w:val="auto"/>
        </w:rPr>
      </w:pPr>
    </w:p>
    <w:p>
      <w:pPr>
        <w:ind w:right="240" w:firstLine="1535"/>
        <w:spacing w:after="0" w:line="277" w:lineRule="auto"/>
        <w:tabs>
          <w:tab w:leader="none" w:pos="2069"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deposits made or other security provided to secure liabilities to insurance carriers under insurance or self-insurance arrangements in the ordinary course of business;</w:t>
      </w:r>
    </w:p>
    <w:p>
      <w:pPr>
        <w:spacing w:after="0" w:line="170" w:lineRule="exact"/>
        <w:rPr>
          <w:rFonts w:ascii="Arial" w:cs="Arial" w:eastAsia="Arial" w:hAnsi="Arial"/>
          <w:sz w:val="18"/>
          <w:szCs w:val="18"/>
          <w:color w:val="auto"/>
        </w:rPr>
      </w:pPr>
    </w:p>
    <w:p>
      <w:pPr>
        <w:ind w:right="280" w:firstLine="1535"/>
        <w:spacing w:after="0" w:line="277" w:lineRule="auto"/>
        <w:tabs>
          <w:tab w:leader="none" w:pos="2019"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other Liens securing obligations which do not exceed </w:t>
      </w:r>
      <w:r>
        <w:rPr>
          <w:rFonts w:ascii="Arial" w:cs="Arial" w:eastAsia="Arial" w:hAnsi="Arial"/>
          <w:sz w:val="18"/>
          <w:szCs w:val="18"/>
          <w:color w:val="FF0000"/>
          <w:strike w:val="1"/>
        </w:rPr>
        <w:t>the greater of (a) $45,000,000 and (b) 40.0% of Consolidated</w:t>
      </w:r>
      <w:r>
        <w:rPr>
          <w:rFonts w:ascii="Arial" w:cs="Arial" w:eastAsia="Arial" w:hAnsi="Arial"/>
          <w:sz w:val="18"/>
          <w:szCs w:val="18"/>
          <w:color w:val="auto"/>
        </w:rPr>
        <w:t xml:space="preserve"> </w:t>
      </w:r>
      <w:r>
        <w:rPr>
          <w:rFonts w:ascii="Arial" w:cs="Arial" w:eastAsia="Arial" w:hAnsi="Arial"/>
          <w:sz w:val="18"/>
          <w:szCs w:val="18"/>
          <w:color w:val="FF0000"/>
          <w:strike w:val="1"/>
        </w:rPr>
        <w:t>EBITDA for the most recently ended Test Period (calculated on a Pro Forma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-1596390</wp:posOffset>
            </wp:positionV>
            <wp:extent cx="8566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856615" cy="8890"/>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580"/>
          </w:cols>
          <w:pgMar w:left="980" w:top="341" w:right="339" w:bottom="1440" w:gutter="0" w:footer="0" w:header="0"/>
        </w:sectPr>
      </w:pPr>
    </w:p>
    <w:bookmarkStart w:id="126" w:name="page127"/>
    <w:bookmarkEnd w:id="126"/>
    <w:p>
      <w:pPr>
        <w:ind w:right="140"/>
        <w:spacing w:after="0" w:line="277" w:lineRule="auto"/>
        <w:rPr>
          <w:sz w:val="20"/>
          <w:szCs w:val="20"/>
          <w:color w:val="auto"/>
        </w:rPr>
      </w:pPr>
      <w:r>
        <w:rPr>
          <w:rFonts w:ascii="Arial" w:cs="Arial" w:eastAsia="Arial" w:hAnsi="Arial"/>
          <w:sz w:val="18"/>
          <w:szCs w:val="18"/>
          <w:color w:val="FF0000"/>
          <w:strike w:val="1"/>
        </w:rPr>
        <w:t>Basis) at the time of the incurrence of such Lien</w:t>
      </w:r>
      <w:r>
        <w:rPr>
          <w:rFonts w:ascii="Arial" w:cs="Arial" w:eastAsia="Arial" w:hAnsi="Arial"/>
          <w:sz w:val="18"/>
          <w:szCs w:val="18"/>
          <w:u w:val="single" w:color="auto"/>
          <w:color w:val="0000FF"/>
          <w:strike w:val="1"/>
        </w:rPr>
        <w:t>$45,000,000, provided that Indebtedness for borrowed money may not be secured in reliance on</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this clause (xx) during the Additional Restrictions Period</w:t>
      </w:r>
      <w:r>
        <w:rPr>
          <w:rFonts w:ascii="Arial" w:cs="Arial" w:eastAsia="Arial" w:hAnsi="Arial"/>
          <w:sz w:val="18"/>
          <w:szCs w:val="18"/>
          <w:color w:val="000000"/>
          <w:strike w:val="1"/>
        </w:rPr>
        <w:t>;</w:t>
      </w:r>
    </w:p>
    <w:p>
      <w:pPr>
        <w:spacing w:after="0" w:line="170" w:lineRule="exact"/>
        <w:rPr>
          <w:sz w:val="20"/>
          <w:szCs w:val="20"/>
          <w:color w:val="auto"/>
        </w:rPr>
      </w:pPr>
    </w:p>
    <w:p>
      <w:pPr>
        <w:ind w:left="1540"/>
        <w:spacing w:after="0"/>
        <w:tabs>
          <w:tab w:leader="none" w:pos="2040" w:val="left"/>
        </w:tabs>
        <w:rPr>
          <w:sz w:val="20"/>
          <w:szCs w:val="20"/>
          <w:color w:val="auto"/>
        </w:rPr>
      </w:pPr>
      <w:r>
        <w:rPr>
          <w:rFonts w:ascii="Arial" w:cs="Arial" w:eastAsia="Arial" w:hAnsi="Arial"/>
          <w:sz w:val="18"/>
          <w:szCs w:val="18"/>
          <w:color w:val="auto"/>
        </w:rPr>
        <w:t>(xxi)</w:t>
      </w:r>
      <w:r>
        <w:rPr>
          <w:sz w:val="20"/>
          <w:szCs w:val="20"/>
          <w:color w:val="auto"/>
        </w:rPr>
        <w:tab/>
      </w:r>
      <w:r>
        <w:rPr>
          <w:rFonts w:ascii="Arial" w:cs="Arial" w:eastAsia="Arial" w:hAnsi="Arial"/>
          <w:sz w:val="16"/>
          <w:szCs w:val="16"/>
          <w:color w:val="auto"/>
        </w:rPr>
        <w:t xml:space="preserve">Liens securing judgments for the payment of money not constituting an Event of Default under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11.10</w:t>
      </w:r>
      <w:r>
        <w:rPr>
          <w:rFonts w:ascii="Arial" w:cs="Arial" w:eastAsia="Arial" w:hAnsi="Arial"/>
          <w:sz w:val="18"/>
          <w:szCs w:val="18"/>
          <w:color w:val="auto"/>
        </w:rPr>
        <w:t>;</w:t>
      </w:r>
    </w:p>
    <w:p>
      <w:pPr>
        <w:spacing w:after="0" w:line="211" w:lineRule="exact"/>
        <w:rPr>
          <w:sz w:val="20"/>
          <w:szCs w:val="20"/>
          <w:color w:val="auto"/>
        </w:rPr>
      </w:pPr>
    </w:p>
    <w:p>
      <w:pPr>
        <w:ind w:right="140" w:firstLine="1535"/>
        <w:spacing w:after="0" w:line="277" w:lineRule="auto"/>
        <w:tabs>
          <w:tab w:leader="none" w:pos="2119" w:val="left"/>
        </w:tabs>
        <w:numPr>
          <w:ilvl w:val="0"/>
          <w:numId w:val="80"/>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in the ordinary course of business;</w:t>
      </w:r>
    </w:p>
    <w:p>
      <w:pPr>
        <w:spacing w:after="0" w:line="170" w:lineRule="exact"/>
        <w:rPr>
          <w:rFonts w:ascii="Arial" w:cs="Arial" w:eastAsia="Arial" w:hAnsi="Arial"/>
          <w:sz w:val="18"/>
          <w:szCs w:val="18"/>
          <w:color w:val="auto"/>
        </w:rPr>
      </w:pPr>
    </w:p>
    <w:p>
      <w:pPr>
        <w:ind w:firstLine="1535"/>
        <w:spacing w:after="0" w:line="257" w:lineRule="auto"/>
        <w:tabs>
          <w:tab w:leader="none" w:pos="2169" w:val="left"/>
        </w:tabs>
        <w:numPr>
          <w:ilvl w:val="0"/>
          <w:numId w:val="80"/>
        </w:numPr>
        <w:rPr>
          <w:rFonts w:ascii="Arial" w:cs="Arial" w:eastAsia="Arial" w:hAnsi="Arial"/>
          <w:sz w:val="18"/>
          <w:szCs w:val="18"/>
          <w:color w:val="auto"/>
        </w:rPr>
      </w:pPr>
      <w:r>
        <w:rPr>
          <w:rFonts w:ascii="Arial" w:cs="Arial" w:eastAsia="Arial" w:hAnsi="Arial"/>
          <w:sz w:val="18"/>
          <w:szCs w:val="18"/>
          <w:color w:val="auto"/>
        </w:rPr>
        <w:t>Liens (a) of a collection bank arising under Section 4-210 of the Uniform Commercial Code or any comparable or successor provision on items in the course of collection, (b) attaching to commodity trading accounts or other commodity brokerage accounts incurred in the ordinary course of business, and (c) in favor of banking or other financial institutions or other electronic payment service providers arising as a matter of law encumbering deposits (including the right of set-off) and which are within the general parameters customary in the banking or finance industry;</w:t>
      </w:r>
    </w:p>
    <w:p>
      <w:pPr>
        <w:spacing w:after="0" w:line="187" w:lineRule="exact"/>
        <w:rPr>
          <w:rFonts w:ascii="Arial" w:cs="Arial" w:eastAsia="Arial" w:hAnsi="Arial"/>
          <w:sz w:val="18"/>
          <w:szCs w:val="18"/>
          <w:color w:val="auto"/>
        </w:rPr>
      </w:pPr>
    </w:p>
    <w:p>
      <w:pPr>
        <w:ind w:right="440" w:firstLine="1535"/>
        <w:spacing w:after="0" w:line="308" w:lineRule="auto"/>
        <w:tabs>
          <w:tab w:leader="none" w:pos="2159"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Liens deemed to exist in connection with Investments in repurchase agreements permitted under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Liens do not extend to any assets other than those that are the subject of such repurchase agreement;</w:t>
      </w:r>
    </w:p>
    <w:p>
      <w:pPr>
        <w:spacing w:after="0" w:line="146" w:lineRule="exact"/>
        <w:rPr>
          <w:rFonts w:ascii="Arial" w:cs="Arial" w:eastAsia="Arial" w:hAnsi="Arial"/>
          <w:sz w:val="17"/>
          <w:szCs w:val="17"/>
          <w:color w:val="auto"/>
        </w:rPr>
      </w:pPr>
    </w:p>
    <w:p>
      <w:pPr>
        <w:ind w:right="640" w:firstLine="1535"/>
        <w:spacing w:after="0" w:line="342" w:lineRule="auto"/>
        <w:tabs>
          <w:tab w:leader="none" w:pos="2109" w:val="left"/>
        </w:tabs>
        <w:numPr>
          <w:ilvl w:val="0"/>
          <w:numId w:val="80"/>
        </w:numPr>
        <w:rPr>
          <w:rFonts w:ascii="Arial" w:cs="Arial" w:eastAsia="Arial" w:hAnsi="Arial"/>
          <w:sz w:val="16"/>
          <w:szCs w:val="16"/>
          <w:color w:val="auto"/>
        </w:rPr>
      </w:pPr>
      <w:r>
        <w:rPr>
          <w:rFonts w:ascii="Arial" w:cs="Arial" w:eastAsia="Arial" w:hAnsi="Arial"/>
          <w:sz w:val="16"/>
          <w:szCs w:val="16"/>
          <w:color w:val="auto"/>
        </w:rPr>
        <w:t>Liens encumbering reasonable customary initial deposits and margin deposits and similar Liens attaching to commodity trading accounts or other brokerage accounts incurred in the ordinary course of business and not for speculative purposes;</w:t>
      </w:r>
    </w:p>
    <w:p>
      <w:pPr>
        <w:spacing w:after="0" w:line="123" w:lineRule="exact"/>
        <w:rPr>
          <w:rFonts w:ascii="Arial" w:cs="Arial" w:eastAsia="Arial" w:hAnsi="Arial"/>
          <w:sz w:val="16"/>
          <w:szCs w:val="16"/>
          <w:color w:val="auto"/>
        </w:rPr>
      </w:pPr>
    </w:p>
    <w:p>
      <w:pPr>
        <w:ind w:right="20" w:firstLine="1535"/>
        <w:spacing w:after="0" w:line="257" w:lineRule="auto"/>
        <w:tabs>
          <w:tab w:leader="none" w:pos="2159" w:val="left"/>
        </w:tabs>
        <w:numPr>
          <w:ilvl w:val="0"/>
          <w:numId w:val="80"/>
        </w:numPr>
        <w:rPr>
          <w:rFonts w:ascii="Arial" w:cs="Arial" w:eastAsia="Arial" w:hAnsi="Arial"/>
          <w:sz w:val="18"/>
          <w:szCs w:val="18"/>
          <w:color w:val="auto"/>
        </w:rPr>
      </w:pPr>
      <w:r>
        <w:rPr>
          <w:rFonts w:ascii="Arial" w:cs="Arial" w:eastAsia="Arial" w:hAnsi="Arial"/>
          <w:sz w:val="18"/>
          <w:szCs w:val="18"/>
          <w:color w:val="auto"/>
        </w:rPr>
        <w:t>Liens that are contractual rights of set-off (a) relating to the establishment of depository relations with banks not given in connection with the issuance of Indebtedness, (b) relating to pooled deposit or sweep accounts of Holdings or any of the Restricted Subsidiaries to permit satisfaction of overdraft or similar obligations incurred in the ordinary course of business of Holdings and the Restricted Subsidiaries, or (c) relating to purchase orders and other agreements entered into by Holdings or any of the Restricted Subsidiaries in the ordinary course of business;</w:t>
      </w:r>
    </w:p>
    <w:p>
      <w:pPr>
        <w:spacing w:after="0" w:line="187" w:lineRule="exact"/>
        <w:rPr>
          <w:rFonts w:ascii="Arial" w:cs="Arial" w:eastAsia="Arial" w:hAnsi="Arial"/>
          <w:sz w:val="18"/>
          <w:szCs w:val="18"/>
          <w:color w:val="auto"/>
        </w:rPr>
      </w:pPr>
    </w:p>
    <w:p>
      <w:pPr>
        <w:ind w:right="300" w:firstLine="1535"/>
        <w:spacing w:after="0" w:line="263" w:lineRule="auto"/>
        <w:tabs>
          <w:tab w:leader="none" w:pos="2209" w:val="left"/>
        </w:tabs>
        <w:numPr>
          <w:ilvl w:val="0"/>
          <w:numId w:val="80"/>
        </w:numPr>
        <w:rPr>
          <w:rFonts w:ascii="Arial" w:cs="Arial" w:eastAsia="Arial" w:hAnsi="Arial"/>
          <w:sz w:val="18"/>
          <w:szCs w:val="18"/>
          <w:color w:val="auto"/>
        </w:rPr>
      </w:pPr>
      <w:r>
        <w:rPr>
          <w:rFonts w:ascii="Arial" w:cs="Arial" w:eastAsia="Arial" w:hAnsi="Arial"/>
          <w:sz w:val="18"/>
          <w:szCs w:val="18"/>
          <w:color w:val="auto"/>
        </w:rPr>
        <w:t>Liens (a) solely on any cash earnest money deposits made by Holdings or any of the Restricted Subsidiaries in connection with any letter of intent or purchase agreement permitted under this Agreement or (b) consisting of an agreement to dispose of any property pursuant to a disposition permitted hereunder;</w:t>
      </w:r>
    </w:p>
    <w:p>
      <w:pPr>
        <w:spacing w:after="0" w:line="183" w:lineRule="exact"/>
        <w:rPr>
          <w:rFonts w:ascii="Arial" w:cs="Arial" w:eastAsia="Arial" w:hAnsi="Arial"/>
          <w:sz w:val="18"/>
          <w:szCs w:val="18"/>
          <w:color w:val="auto"/>
        </w:rPr>
      </w:pPr>
    </w:p>
    <w:p>
      <w:pPr>
        <w:ind w:right="240" w:firstLine="1535"/>
        <w:spacing w:after="0" w:line="263" w:lineRule="auto"/>
        <w:tabs>
          <w:tab w:leader="none" w:pos="2259" w:val="left"/>
        </w:tabs>
        <w:numPr>
          <w:ilvl w:val="0"/>
          <w:numId w:val="80"/>
        </w:numPr>
        <w:rPr>
          <w:rFonts w:ascii="Arial" w:cs="Arial" w:eastAsia="Arial" w:hAnsi="Arial"/>
          <w:sz w:val="18"/>
          <w:szCs w:val="18"/>
          <w:color w:val="auto"/>
        </w:rPr>
      </w:pPr>
      <w:r>
        <w:rPr>
          <w:rFonts w:ascii="Arial" w:cs="Arial" w:eastAsia="Arial" w:hAnsi="Arial"/>
          <w:sz w:val="18"/>
          <w:szCs w:val="18"/>
          <w:color w:val="auto"/>
        </w:rPr>
        <w:t>rights reserved or vested in any Person by the terms of any lease, license, franchise, grant, or permit held by Holdings or any of the Restricted Subsidiaries or by a statutory provision, to terminate any such lease, license, franchise, grant, or permit, or to require annual or periodic payments as a condition to the continuance thereof;</w:t>
      </w:r>
    </w:p>
    <w:p>
      <w:pPr>
        <w:spacing w:after="0" w:line="183" w:lineRule="exact"/>
        <w:rPr>
          <w:rFonts w:ascii="Arial" w:cs="Arial" w:eastAsia="Arial" w:hAnsi="Arial"/>
          <w:sz w:val="18"/>
          <w:szCs w:val="18"/>
          <w:color w:val="auto"/>
        </w:rPr>
      </w:pPr>
    </w:p>
    <w:p>
      <w:pPr>
        <w:ind w:left="2160" w:hanging="625"/>
        <w:spacing w:after="0"/>
        <w:tabs>
          <w:tab w:leader="none" w:pos="21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restrictive covenants affecting the use to which real property may be put;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covenants are complied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w:t>
      </w:r>
    </w:p>
    <w:p>
      <w:pPr>
        <w:spacing w:after="0" w:line="210" w:lineRule="exact"/>
        <w:rPr>
          <w:rFonts w:ascii="Arial" w:cs="Arial" w:eastAsia="Arial" w:hAnsi="Arial"/>
          <w:sz w:val="16"/>
          <w:szCs w:val="16"/>
          <w:color w:val="auto"/>
        </w:rPr>
      </w:pPr>
    </w:p>
    <w:p>
      <w:pPr>
        <w:ind w:right="400" w:firstLine="1535"/>
        <w:spacing w:after="0" w:line="277" w:lineRule="auto"/>
        <w:tabs>
          <w:tab w:leader="none" w:pos="2109" w:val="left"/>
        </w:tabs>
        <w:numPr>
          <w:ilvl w:val="0"/>
          <w:numId w:val="80"/>
        </w:numPr>
        <w:rPr>
          <w:rFonts w:ascii="Arial" w:cs="Arial" w:eastAsia="Arial" w:hAnsi="Arial"/>
          <w:sz w:val="18"/>
          <w:szCs w:val="18"/>
          <w:color w:val="auto"/>
        </w:rPr>
      </w:pPr>
      <w:r>
        <w:rPr>
          <w:rFonts w:ascii="Arial" w:cs="Arial" w:eastAsia="Arial" w:hAnsi="Arial"/>
          <w:sz w:val="18"/>
          <w:szCs w:val="18"/>
          <w:color w:val="auto"/>
        </w:rPr>
        <w:t>security given to a public utility or any municipality or governmental authority when required by such utility or authority in connection with the operations of that Person in the ordinary course of business;</w:t>
      </w:r>
    </w:p>
    <w:p>
      <w:pPr>
        <w:spacing w:after="0" w:line="170" w:lineRule="exact"/>
        <w:rPr>
          <w:rFonts w:ascii="Arial" w:cs="Arial" w:eastAsia="Arial" w:hAnsi="Arial"/>
          <w:sz w:val="18"/>
          <w:szCs w:val="18"/>
          <w:color w:val="auto"/>
        </w:rPr>
      </w:pPr>
    </w:p>
    <w:p>
      <w:pPr>
        <w:ind w:right="320" w:firstLine="1535"/>
        <w:spacing w:after="0" w:line="277" w:lineRule="auto"/>
        <w:tabs>
          <w:tab w:leader="none" w:pos="2159" w:val="left"/>
        </w:tabs>
        <w:numPr>
          <w:ilvl w:val="0"/>
          <w:numId w:val="80"/>
        </w:numPr>
        <w:rPr>
          <w:rFonts w:ascii="Arial" w:cs="Arial" w:eastAsia="Arial" w:hAnsi="Arial"/>
          <w:sz w:val="18"/>
          <w:szCs w:val="18"/>
          <w:color w:val="auto"/>
        </w:rPr>
      </w:pPr>
      <w:r>
        <w:rPr>
          <w:rFonts w:ascii="Arial" w:cs="Arial" w:eastAsia="Arial" w:hAnsi="Arial"/>
          <w:sz w:val="18"/>
          <w:szCs w:val="18"/>
          <w:color w:val="auto"/>
        </w:rPr>
        <w:t>zoning by-laws and other land use restrictions, including, without limitation, site plan agreements, development agreements, and contract zoning agreements;</w:t>
      </w:r>
    </w:p>
    <w:p>
      <w:pPr>
        <w:spacing w:after="0" w:line="170" w:lineRule="exact"/>
        <w:rPr>
          <w:rFonts w:ascii="Arial" w:cs="Arial" w:eastAsia="Arial" w:hAnsi="Arial"/>
          <w:sz w:val="18"/>
          <w:szCs w:val="18"/>
          <w:color w:val="auto"/>
        </w:rPr>
      </w:pPr>
    </w:p>
    <w:p>
      <w:pPr>
        <w:ind w:right="40" w:firstLine="1535"/>
        <w:spacing w:after="0" w:line="277" w:lineRule="auto"/>
        <w:tabs>
          <w:tab w:leader="none" w:pos="2209" w:val="left"/>
        </w:tabs>
        <w:numPr>
          <w:ilvl w:val="0"/>
          <w:numId w:val="80"/>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sale of goods entered into by Holdings or any Restricted Subsidiary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520"/>
          </w:cols>
          <w:pgMar w:left="980" w:top="341" w:right="399" w:bottom="1440" w:gutter="0" w:footer="0" w:header="0"/>
        </w:sectPr>
      </w:pPr>
    </w:p>
    <w:bookmarkStart w:id="127" w:name="page128"/>
    <w:bookmarkEnd w:id="127"/>
    <w:p>
      <w:pPr>
        <w:ind w:left="2920" w:hanging="725"/>
        <w:spacing w:after="0"/>
        <w:tabs>
          <w:tab w:leader="none" w:pos="2920" w:val="left"/>
        </w:tabs>
        <w:numPr>
          <w:ilvl w:val="1"/>
          <w:numId w:val="81"/>
        </w:numPr>
        <w:rPr>
          <w:rFonts w:ascii="Arial" w:cs="Arial" w:eastAsia="Arial" w:hAnsi="Arial"/>
          <w:sz w:val="18"/>
          <w:szCs w:val="18"/>
          <w:color w:val="auto"/>
        </w:rPr>
      </w:pPr>
      <w:r>
        <w:rPr>
          <w:rFonts w:ascii="Arial" w:cs="Arial" w:eastAsia="Arial" w:hAnsi="Arial"/>
          <w:sz w:val="18"/>
          <w:szCs w:val="18"/>
          <w:color w:val="auto"/>
        </w:rPr>
        <w:t>Liens arising under the Security Documents;</w:t>
      </w:r>
    </w:p>
    <w:p>
      <w:pPr>
        <w:spacing w:after="0" w:line="225" w:lineRule="exact"/>
        <w:rPr>
          <w:rFonts w:ascii="Arial" w:cs="Arial" w:eastAsia="Arial" w:hAnsi="Arial"/>
          <w:sz w:val="18"/>
          <w:szCs w:val="18"/>
          <w:color w:val="auto"/>
        </w:rPr>
      </w:pPr>
    </w:p>
    <w:p>
      <w:pPr>
        <w:ind w:left="660" w:right="780" w:firstLine="1535"/>
        <w:spacing w:after="0" w:line="277" w:lineRule="auto"/>
        <w:tabs>
          <w:tab w:leader="none" w:pos="2909" w:val="left"/>
        </w:tabs>
        <w:numPr>
          <w:ilvl w:val="1"/>
          <w:numId w:val="81"/>
        </w:numPr>
        <w:rPr>
          <w:rFonts w:ascii="Arial" w:cs="Arial" w:eastAsia="Arial" w:hAnsi="Arial"/>
          <w:sz w:val="18"/>
          <w:szCs w:val="18"/>
          <w:color w:val="auto"/>
        </w:rPr>
      </w:pPr>
      <w:r>
        <w:rPr>
          <w:rFonts w:ascii="Arial" w:cs="Arial" w:eastAsia="Arial" w:hAnsi="Arial"/>
          <w:sz w:val="18"/>
          <w:szCs w:val="18"/>
          <w:color w:val="auto"/>
        </w:rPr>
        <w:t>Liens on goods purchased in the ordinary course of business the purchase price of which is financed by a documentary letter of credit issued for the account of Holdings, the Borrower or any of their Subsidiaries;</w:t>
      </w:r>
    </w:p>
    <w:p>
      <w:pPr>
        <w:spacing w:after="0" w:line="170" w:lineRule="exact"/>
        <w:rPr>
          <w:rFonts w:ascii="Arial" w:cs="Arial" w:eastAsia="Arial" w:hAnsi="Arial"/>
          <w:sz w:val="18"/>
          <w:szCs w:val="18"/>
          <w:color w:val="auto"/>
        </w:rPr>
      </w:pPr>
    </w:p>
    <w:p>
      <w:pPr>
        <w:ind w:left="660" w:right="380" w:firstLine="1535"/>
        <w:spacing w:after="0" w:line="311" w:lineRule="auto"/>
        <w:tabs>
          <w:tab w:leader="none" w:pos="2859" w:val="left"/>
        </w:tabs>
        <w:numPr>
          <w:ilvl w:val="1"/>
          <w:numId w:val="81"/>
        </w:numPr>
        <w:rPr>
          <w:rFonts w:ascii="Arial" w:cs="Arial" w:eastAsia="Arial" w:hAnsi="Arial"/>
          <w:sz w:val="16"/>
          <w:szCs w:val="16"/>
          <w:color w:val="auto"/>
        </w:rPr>
      </w:pPr>
      <w:r>
        <w:rPr>
          <w:rFonts w:ascii="Arial" w:cs="Arial" w:eastAsia="Arial" w:hAnsi="Arial"/>
          <w:sz w:val="16"/>
          <w:szCs w:val="16"/>
          <w:color w:val="auto"/>
        </w:rPr>
        <w:t xml:space="preserve">(a) Liens on Equity Interests in joint ventures;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Lien is in favor of a creditor of such joint venture and such creditor is not an Affiliate of any partner to such joint venture and (b) purchase options, call, and similar rights of, and restrictions for the benefit of, a third party with respect to Equity Interests held by Holdings or any Restricted Subsidiary in joint ventures;</w:t>
      </w:r>
    </w:p>
    <w:p>
      <w:pPr>
        <w:spacing w:after="0" w:line="148" w:lineRule="exact"/>
        <w:rPr>
          <w:rFonts w:ascii="Arial" w:cs="Arial" w:eastAsia="Arial" w:hAnsi="Arial"/>
          <w:sz w:val="16"/>
          <w:szCs w:val="16"/>
          <w:color w:val="auto"/>
        </w:rPr>
      </w:pPr>
    </w:p>
    <w:p>
      <w:pPr>
        <w:ind w:left="2900" w:hanging="705"/>
        <w:spacing w:after="0"/>
        <w:tabs>
          <w:tab w:leader="none" w:pos="2900" w:val="left"/>
        </w:tabs>
        <w:numPr>
          <w:ilvl w:val="1"/>
          <w:numId w:val="81"/>
        </w:numPr>
        <w:rPr>
          <w:rFonts w:ascii="Arial" w:cs="Arial" w:eastAsia="Arial" w:hAnsi="Arial"/>
          <w:sz w:val="16"/>
          <w:szCs w:val="16"/>
          <w:color w:val="auto"/>
        </w:rPr>
      </w:pPr>
      <w:r>
        <w:rPr>
          <w:rFonts w:ascii="Arial" w:cs="Arial" w:eastAsia="Arial" w:hAnsi="Arial"/>
          <w:sz w:val="16"/>
          <w:szCs w:val="16"/>
          <w:color w:val="auto"/>
        </w:rPr>
        <w:t xml:space="preserve">Liens on cash and Cash Equivalents that are earmarked to be used to satisfy or discharge Indebtedness; </w:t>
      </w:r>
      <w:r>
        <w:rPr>
          <w:rFonts w:ascii="Arial" w:cs="Arial" w:eastAsia="Arial" w:hAnsi="Arial"/>
          <w:sz w:val="16"/>
          <w:szCs w:val="16"/>
          <w:u w:val="single" w:color="auto"/>
          <w:color w:val="auto"/>
        </w:rPr>
        <w:t>provided</w:t>
      </w:r>
    </w:p>
    <w:p>
      <w:pPr>
        <w:spacing w:after="0" w:line="46" w:lineRule="exact"/>
        <w:rPr>
          <w:rFonts w:ascii="Arial" w:cs="Arial" w:eastAsia="Arial" w:hAnsi="Arial"/>
          <w:sz w:val="16"/>
          <w:szCs w:val="16"/>
          <w:color w:val="auto"/>
        </w:rPr>
      </w:pPr>
    </w:p>
    <w:p>
      <w:pPr>
        <w:ind w:left="660" w:right="140" w:hanging="4"/>
        <w:spacing w:after="0" w:line="295" w:lineRule="auto"/>
        <w:tabs>
          <w:tab w:leader="none" w:pos="905" w:val="left"/>
        </w:tabs>
        <w:numPr>
          <w:ilvl w:val="0"/>
          <w:numId w:val="82"/>
        </w:numPr>
        <w:rPr>
          <w:rFonts w:ascii="Arial" w:cs="Arial" w:eastAsia="Arial" w:hAnsi="Arial"/>
          <w:sz w:val="16"/>
          <w:szCs w:val="16"/>
          <w:color w:val="auto"/>
        </w:rPr>
      </w:pPr>
      <w:r>
        <w:rPr>
          <w:rFonts w:ascii="Arial" w:cs="Arial" w:eastAsia="Arial" w:hAnsi="Arial"/>
          <w:sz w:val="16"/>
          <w:szCs w:val="16"/>
          <w:color w:val="auto"/>
        </w:rPr>
        <w:t>such cash and/or Cash Equivalents are deposited into an account from which payment is to be made, directly or indirectly, to the Person or Persons holding the Indebtedness that is to be satisfied or discharged, (b) such Liens extend solely to the account in which such cash and/or Cash Equivalents are deposited and are solely in favor of the Person or Persons holding the Indebtedness (or any agent or trustee for such Person or Persons) that is to be satisfied or discharged, and (c) the satisfaction or discharge of such Indebtedness is expressly permitted hereunder;</w:t>
      </w:r>
    </w:p>
    <w:p>
      <w:pPr>
        <w:spacing w:after="0" w:line="161" w:lineRule="exact"/>
        <w:rPr>
          <w:rFonts w:ascii="Arial" w:cs="Arial" w:eastAsia="Arial" w:hAnsi="Arial"/>
          <w:sz w:val="16"/>
          <w:szCs w:val="16"/>
          <w:color w:val="auto"/>
        </w:rPr>
      </w:pPr>
    </w:p>
    <w:p>
      <w:pPr>
        <w:ind w:left="3000" w:hanging="805"/>
        <w:spacing w:after="0"/>
        <w:tabs>
          <w:tab w:leader="none" w:pos="3000" w:val="left"/>
        </w:tabs>
        <w:numPr>
          <w:ilvl w:val="1"/>
          <w:numId w:val="82"/>
        </w:numPr>
        <w:rPr>
          <w:rFonts w:ascii="Arial" w:cs="Arial" w:eastAsia="Arial" w:hAnsi="Arial"/>
          <w:sz w:val="17"/>
          <w:szCs w:val="17"/>
          <w:color w:val="auto"/>
        </w:rPr>
      </w:pPr>
      <w:r>
        <w:rPr>
          <w:rFonts w:ascii="Arial" w:cs="Arial" w:eastAsia="Arial" w:hAnsi="Arial"/>
          <w:sz w:val="17"/>
          <w:szCs w:val="17"/>
          <w:color w:val="auto"/>
        </w:rPr>
        <w:t>with respect to any Foreign Subsidiary, other Liens and privileges arising mandatorily by any Requirement of</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Law;</w:t>
      </w:r>
    </w:p>
    <w:p>
      <w:pPr>
        <w:spacing w:after="0" w:line="210" w:lineRule="exact"/>
        <w:rPr>
          <w:rFonts w:ascii="Arial" w:cs="Arial" w:eastAsia="Arial" w:hAnsi="Arial"/>
          <w:sz w:val="17"/>
          <w:szCs w:val="17"/>
          <w:color w:val="auto"/>
        </w:rPr>
      </w:pPr>
    </w:p>
    <w:p>
      <w:pPr>
        <w:ind w:left="660" w:right="180" w:firstLine="1535"/>
        <w:spacing w:after="0" w:line="311" w:lineRule="auto"/>
        <w:tabs>
          <w:tab w:leader="none" w:pos="3009" w:val="left"/>
        </w:tabs>
        <w:numPr>
          <w:ilvl w:val="1"/>
          <w:numId w:val="82"/>
        </w:numPr>
        <w:rPr>
          <w:rFonts w:ascii="Arial" w:cs="Arial" w:eastAsia="Arial" w:hAnsi="Arial"/>
          <w:sz w:val="16"/>
          <w:szCs w:val="16"/>
          <w:color w:val="auto"/>
        </w:rPr>
      </w:pPr>
      <w:r>
        <w:rPr>
          <w:rFonts w:ascii="Arial" w:cs="Arial" w:eastAsia="Arial" w:hAnsi="Arial"/>
          <w:sz w:val="16"/>
          <w:szCs w:val="16"/>
          <w:color w:val="auto"/>
        </w:rPr>
        <w:t>to the extent pursuant to a Requirements of Law, Liens on cash or Permitted Investments securing Swap Obligations in the ordinary course of business; and Liens on the assets of a Managed Care Subsidiary pursuant to applicable rules, or regulations of, or undertakings made to, any Governmental Authority having jurisdiction and authority over such Managed Care Subsidiary; and</w:t>
      </w:r>
    </w:p>
    <w:p>
      <w:pPr>
        <w:spacing w:after="0" w:line="148" w:lineRule="exact"/>
        <w:rPr>
          <w:rFonts w:ascii="Arial" w:cs="Arial" w:eastAsia="Arial" w:hAnsi="Arial"/>
          <w:sz w:val="16"/>
          <w:szCs w:val="16"/>
          <w:color w:val="auto"/>
        </w:rPr>
      </w:pPr>
    </w:p>
    <w:p>
      <w:pPr>
        <w:ind w:left="2900" w:hanging="705"/>
        <w:spacing w:after="0"/>
        <w:tabs>
          <w:tab w:leader="none" w:pos="29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Liens arising pursuant to the Wal-Mart Agreements.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For purposes of this definition, the term :Indebtedness” shall be deemed to include interest on, and fees, expenses and other obligations payable with respect to, such Indebtedness.</w:t>
      </w:r>
    </w:p>
    <w:p>
      <w:pPr>
        <w:spacing w:after="0" w:line="166"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Other Indebtedness</w:t>
      </w:r>
      <w:r>
        <w:rPr>
          <w:rFonts w:ascii="Arial" w:cs="Arial" w:eastAsia="Arial" w:hAnsi="Arial"/>
          <w:sz w:val="17"/>
          <w:szCs w:val="17"/>
          <w:color w:val="auto"/>
        </w:rPr>
        <w:t xml:space="preserve">” shall mean subordinated or senior Indebtedness (which Indebtedness may (i) be unsecured, (ii) have the same lien priority as the First Lien Obligations (without regard to control of remedies); provided such Permitted Other Indebtedness is in the form of secured first lien notes, or (iii) be secured by a Lien ranking junior to the Lien securing the First Lien Obligations), in each case issued or incurred by the Borrower or other Guarantor, (a) the terms of which do not provide for any scheduled repayment, mandatory repayment, or redemption or sinking fund obligations prior to, at the time of incurrence, the Latest Maturity Date (other than, in each case, customary offers or obligations to repurchase upon a change of control, asset sale, or casualty or condemnation event, AHYDO payments and customary acceleration rights after an event of default), (b) the covenants, taken as a whole, are not more restrictive to the Borrower and the other Restricted Subsidiaries than those herein (taken as a whole) (except for covenants applicable only to periods after the Latest Maturity Date at the time of such refinancing) (it being understood that, (1) to the extent that any financial maintenance covenant is added for the benefit of any such Indebtedness, no consent shall be required by the Administrative Agent or any of the Lenders if such financial maintenance covenant is also added for the benefit of the Lenders or (2) no consent shall be required by the Administrative Agent or any of the Lenders if any covenants are only applicable after the Latest Maturity Date at the time of such refinancing);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certificate of an Authorized Officer of the Borrower delivered to the Administrative Agent at least five Business Days (or such shorter period as the Administrative Agent may reasonably agree) prior to the incurrence of such Indebtedness, together with a reasonably detailed description of the material terms and conditions of such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notifies the Borrower within two Business Days after receipt of such certificate that it disagrees with such determination (including a reasonable description of the basis upon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341" w:right="339" w:bottom="1440" w:gutter="0" w:footer="0" w:header="0"/>
        </w:sectPr>
      </w:pPr>
    </w:p>
    <w:bookmarkStart w:id="128" w:name="page129"/>
    <w:bookmarkEnd w:id="128"/>
    <w:p>
      <w:pPr>
        <w:spacing w:after="0" w:line="277" w:lineRule="auto"/>
        <w:rPr>
          <w:sz w:val="20"/>
          <w:szCs w:val="20"/>
          <w:color w:val="auto"/>
        </w:rPr>
      </w:pPr>
      <w:r>
        <w:rPr>
          <w:rFonts w:ascii="Arial" w:cs="Arial" w:eastAsia="Arial" w:hAnsi="Arial"/>
          <w:sz w:val="18"/>
          <w:szCs w:val="18"/>
          <w:color w:val="auto"/>
        </w:rPr>
        <w:t>which it disagrees), (c) of which no Subsidiary of Holdings (other than the Borrower or a Guarantor) is an obligor, and (d) that, if secured, is not secured by a lien any assets other than the Collateral.</w:t>
      </w:r>
    </w:p>
    <w:p>
      <w:pPr>
        <w:spacing w:after="0" w:line="166"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Other Indebtedness Documents</w:t>
      </w:r>
      <w:r>
        <w:rPr>
          <w:rFonts w:ascii="Arial" w:cs="Arial" w:eastAsia="Arial" w:hAnsi="Arial"/>
          <w:sz w:val="18"/>
          <w:szCs w:val="18"/>
          <w:color w:val="auto"/>
        </w:rPr>
        <w:t>” shall mean any document or instrument (including any guarantee, security agreement, or mortgage and which may include any or all of the Credit Documents) issued or executed and delivered with respect to any Permitted Other Indebtedness by any Credit Party.</w:t>
      </w:r>
    </w:p>
    <w:p>
      <w:pPr>
        <w:spacing w:after="0" w:line="176"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Other Indebtedness Obligations</w:t>
      </w:r>
      <w:r>
        <w:rPr>
          <w:rFonts w:ascii="Arial" w:cs="Arial" w:eastAsia="Arial" w:hAnsi="Arial"/>
          <w:sz w:val="17"/>
          <w:szCs w:val="17"/>
          <w:color w:val="auto"/>
        </w:rPr>
        <w:t>” shall mean, if any Permitted Other Indebtedness is issued or incurred, all advances to, and debts, liabilities, obligations, covenants, and duties of, any Credit Party arising under any Permitted Other Indebtedness Document, whether direct or indirect (including those acquired by assumption), absolute or contingent, due or to become due, now existing or hereafter arising, and including interest and fees that accrue after the commencement by or against any Credit Party or any Affiliate thereof of any proceeding under any bankruptcy or insolvency law naming such Person as the debtor in such proceeding, regardless of whether such interest and fees are allowed claims in such proceeding. Without limiting the generality of the foregoing, the Permitted Other Indebtedness Obligations of the applicable Credit Parties under the Permitted Other Indebtedness Documents (and any of their Restricted Subsidiaries to the extent they have obligations under the Permitted Other Indebtedness Documents) include the obligation (including guarantee obligations) to pay principal, interest, charges, expenses, fees, attorney costs, indemnities, and other amounts payable by any such Credit Party under any Permitted Other Indebtedness Document.</w:t>
      </w:r>
    </w:p>
    <w:p>
      <w:pPr>
        <w:spacing w:after="0" w:line="173"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Other Indebtedness Secured Parties</w:t>
      </w:r>
      <w:r>
        <w:rPr>
          <w:rFonts w:ascii="Arial" w:cs="Arial" w:eastAsia="Arial" w:hAnsi="Arial"/>
          <w:sz w:val="18"/>
          <w:szCs w:val="18"/>
          <w:color w:val="auto"/>
        </w:rPr>
        <w:t>” shall mean the holders from time to time of secured Permitted Other Indebtedness Obligations (and any representative on their behalf).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Other Provision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Sale Leaseback</w:t>
      </w:r>
      <w:r>
        <w:rPr>
          <w:rFonts w:ascii="Arial" w:cs="Arial" w:eastAsia="Arial" w:hAnsi="Arial"/>
          <w:sz w:val="17"/>
          <w:szCs w:val="17"/>
          <w:color w:val="auto"/>
        </w:rPr>
        <w:t xml:space="preserve">” shall mean any Sale Leaseback consummated by Holdings or any of the Restricted Subsidiaries after the Restatement Effective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Sale Leaseback not between Holdings and a Restricted Subsidiary is consummated for fair value as determined at the time of consummation in good faith by (i) Holdings or such Restricted Subsidiary or (ii) in the case of any Sale Leaseback (or series of related Sales Leasebacks)</w:t>
      </w:r>
      <w:r>
        <w:rPr>
          <w:rFonts w:ascii="Arial" w:cs="Arial" w:eastAsia="Arial" w:hAnsi="Arial"/>
          <w:sz w:val="17"/>
          <w:szCs w:val="17"/>
          <w:u w:val="single" w:color="auto"/>
          <w:color w:val="0000FF"/>
        </w:rPr>
        <w:t>,</w:t>
      </w:r>
      <w:r>
        <w:rPr>
          <w:rFonts w:ascii="Arial" w:cs="Arial" w:eastAsia="Arial" w:hAnsi="Arial"/>
          <w:sz w:val="17"/>
          <w:szCs w:val="17"/>
          <w:color w:val="auto"/>
        </w:rPr>
        <w:t xml:space="preserve"> the aggregate proceeds of which exceed the greater of (a) $40,000,000 and (b) 35.0% of Consolidated EBITDA for the most recently ended Test Period (calculated on a Pro Forma Basis) at the time of the incurrence of such Sale Leaseback, the board of directors (or analogous governing body) of Holdings or such Restricted Subsidiary (which such determination may take into account any retained interest or other Investment of Holdings or such Restricted Subsidiary in connection with, and any other material economic terms of, such Sale Leaseback)</w:t>
      </w:r>
      <w:r>
        <w:rPr>
          <w:rFonts w:ascii="Arial" w:cs="Arial" w:eastAsia="Arial" w:hAnsi="Arial"/>
          <w:sz w:val="17"/>
          <w:szCs w:val="17"/>
          <w:color w:val="FF0000"/>
          <w:strike w:val="1"/>
        </w:rPr>
        <w:t>.</w:t>
      </w:r>
      <w:r>
        <w:rPr>
          <w:rFonts w:ascii="Arial" w:cs="Arial" w:eastAsia="Arial" w:hAnsi="Arial"/>
          <w:sz w:val="17"/>
          <w:szCs w:val="17"/>
          <w:u w:val="single" w:color="auto"/>
          <w:color w:val="0000FF"/>
        </w:rPr>
        <w:t>; provided, further that during</w:t>
      </w:r>
      <w:r>
        <w:rPr>
          <w:rFonts w:ascii="Arial" w:cs="Arial" w:eastAsia="Arial" w:hAnsi="Arial"/>
          <w:sz w:val="17"/>
          <w:szCs w:val="17"/>
          <w:color w:val="auto"/>
        </w:rPr>
        <w:t xml:space="preserve"> </w:t>
      </w:r>
      <w:r>
        <w:rPr>
          <w:rFonts w:ascii="Arial" w:cs="Arial" w:eastAsia="Arial" w:hAnsi="Arial"/>
          <w:sz w:val="17"/>
          <w:szCs w:val="17"/>
          <w:u w:val="single" w:color="auto"/>
          <w:color w:val="0000FF"/>
        </w:rPr>
        <w:t>the Additional Restrictions Period, the Consolidated Total Debt to Consolidated EBITDA Ratio for the most recently ended Test Period is equal to or less than 3.00:1.00.</w:t>
      </w:r>
    </w:p>
    <w:p>
      <w:pPr>
        <w:spacing w:after="0" w:line="174"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mean any individual, partnership, joint venture, firm, corporation, limited liability company, association, trust, or other enterprise or any Governmental Authority.</w:t>
      </w:r>
    </w:p>
    <w:p>
      <w:pPr>
        <w:spacing w:after="0" w:line="162"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shall mean, other than any Multiemployer Plan, any employee benefit plan (as defined in Section 3(3) of ERISA), including any employee welfare benefit plan (as defined in Section 3(1) of ERISA), any employee pension benefit plan (as defined in Section 3(2) of ERISA), and any plan which is both an employee welfare benefit plan and an employee pension benefit plan, and in respect of which any Credit Party or any ERISA Affiliate is (or, if such plan were terminated, would under Section 4062 or Section 4069 of ERISA be reasonably likely to be deemed to be) an “employer” as defined in Section 3(5) of ERISA.</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Platform</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13.17(a)</w:t>
      </w:r>
      <w:r>
        <w:rPr>
          <w:rFonts w:ascii="Arial" w:cs="Arial" w:eastAsia="Arial" w:hAnsi="Arial"/>
          <w:sz w:val="18"/>
          <w:szCs w:val="18"/>
          <w:color w:val="auto"/>
        </w:rPr>
        <w:t>.</w:t>
      </w:r>
    </w:p>
    <w:p>
      <w:pPr>
        <w:spacing w:after="0" w:line="225"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 Agreement</w:t>
      </w:r>
      <w:r>
        <w:rPr>
          <w:rFonts w:ascii="Arial" w:cs="Arial" w:eastAsia="Arial" w:hAnsi="Arial"/>
          <w:sz w:val="18"/>
          <w:szCs w:val="18"/>
          <w:color w:val="auto"/>
        </w:rPr>
        <w:t>” shall mean the Pledge Agreement, dated as of the Closing Date, entered into by the Credit Parties party thereto and the Collateral Agent for the benefit of the Secured Parties.</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341" w:right="359" w:bottom="1440" w:gutter="0" w:footer="0" w:header="0"/>
        </w:sectPr>
      </w:pPr>
    </w:p>
    <w:bookmarkStart w:id="129" w:name="page130"/>
    <w:bookmarkEnd w:id="129"/>
    <w:p>
      <w:pPr>
        <w:jc w:val="both"/>
        <w:ind w:right="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Post-Acquisition Period</w:t>
      </w:r>
      <w:r>
        <w:rPr>
          <w:rFonts w:ascii="Arial" w:cs="Arial" w:eastAsia="Arial" w:hAnsi="Arial"/>
          <w:sz w:val="18"/>
          <w:szCs w:val="18"/>
          <w:color w:val="auto"/>
        </w:rPr>
        <w:t>” shall mean, with respect to any Permitted Acquisition, the period beginning on the date such Permitted Acquisition is consummated and ending on the last day of the sixth full consecutive fiscal quarter immediately following the date on which such Permitted Acquisition is consummated.</w:t>
      </w:r>
    </w:p>
    <w:p>
      <w:pPr>
        <w:spacing w:after="0" w:line="176"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Event</w:t>
      </w:r>
      <w:r>
        <w:rPr>
          <w:rFonts w:ascii="Arial" w:cs="Arial" w:eastAsia="Arial" w:hAnsi="Arial"/>
          <w:sz w:val="18"/>
          <w:szCs w:val="18"/>
          <w:color w:val="auto"/>
        </w:rPr>
        <w:t xml:space="preserve">” shall mean any </w:t>
      </w:r>
      <w:r>
        <w:rPr>
          <w:rFonts w:ascii="Arial" w:cs="Arial" w:eastAsia="Arial" w:hAnsi="Arial"/>
          <w:sz w:val="18"/>
          <w:szCs w:val="18"/>
          <w:u w:val="single" w:color="auto"/>
          <w:color w:val="0000FF"/>
        </w:rPr>
        <w:t>Capital Markets Prepayment Event,</w:t>
      </w:r>
      <w:r>
        <w:rPr>
          <w:rFonts w:ascii="Arial" w:cs="Arial" w:eastAsia="Arial" w:hAnsi="Arial"/>
          <w:sz w:val="18"/>
          <w:szCs w:val="18"/>
          <w:color w:val="auto"/>
        </w:rPr>
        <w:t xml:space="preserve"> Asset Sale Prepayment Event, Debt Incurrence Prepayment Event, Casualty Event, or any Permitted Sale Leaseback.</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primary obligor</w:t>
      </w:r>
      <w:r>
        <w:rPr>
          <w:rFonts w:ascii="Arial" w:cs="Arial" w:eastAsia="Arial" w:hAnsi="Arial"/>
          <w:sz w:val="18"/>
          <w:szCs w:val="18"/>
          <w:color w:val="auto"/>
        </w:rPr>
        <w:t>” shall have the meaning provided such term in the definition of “Contingent Obligations”.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 Forma Adjustment</w:t>
      </w:r>
      <w:r>
        <w:rPr>
          <w:rFonts w:ascii="Arial" w:cs="Arial" w:eastAsia="Arial" w:hAnsi="Arial"/>
          <w:sz w:val="16"/>
          <w:szCs w:val="16"/>
          <w:color w:val="auto"/>
        </w:rPr>
        <w:t xml:space="preserve">” shall mean, for any Test Period that includes all or any part of a fiscal quarter included in any Post-Acquisition Period, with respect to the Acquired EBITDA of the applicable Acquired Entity or Business or Converted Restricted Subsidiary or the Consolidated EBITDA of Holdings, the pro forma increase or decrease in such Acquired EBITDA or such Consolidated EBITDA, as the case may be, projected by Holdings in good faith as a result of (i) actions taken during such Post-Acquisition Period for the purposes of realizing reasonably identifiable and factually supportable cost savings or (ii) any additional costs incurred during such Post-Acquisition Period, in each case in connection with the combination of the operations of such Acquired Entity or Business or Converted Restricted Subsidiary with the operations of Holdings and the 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at the election of Holdings, such Pro Forma Adjustment shall not be required to be determined for any Acquired Entity or Business or Converted Restricted Subsidiary to the extent the aggregate consideration paid in connection with such acquisition was less than $10,000,000 and (b) so long as such actions are taken during such Post-Acquisition Period or such costs are incurred during such Post-Acquisition Period, as applicable, it may be assumed, for purposes of projecting such pro forma increase or decrease to such Acquired EBITDA or such Consolidated EBITDA, as the case may be, that the applicable amount of such cost savings will be realizable during the entirety of such Test Period, or the applicable amount of such additional costs, as applicable, will be incurred during the entirety of such Test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 any such pro forma increase or decrease to such Acquired EBITDA or such Consolidated EBITDA, as the case may be, shall be without duplication for cost savings or additional costs already included in such Acquired EBITDA or such Consolidated EBITDA, as the case may be, for such Test Period and (ii) the aggregate increase to Consolidated EBITDA for any period pursuant to this definition and clauses (i)(i), (i)(q) and (i)(r) of the definition of “Consolidated EBITDA” shall not exceed 25% of Consolidated EBITDA for such period (after giving effect to any increase in Consolidated EBITDA pursuant to the definition of “Acquired EBITDA”).</w:t>
      </w:r>
    </w:p>
    <w:p>
      <w:pPr>
        <w:spacing w:after="0" w:line="164"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 Forma Basis</w:t>
      </w:r>
      <w:r>
        <w:rPr>
          <w:rFonts w:ascii="Arial" w:cs="Arial" w:eastAsia="Arial" w:hAnsi="Arial"/>
          <w:sz w:val="16"/>
          <w:szCs w:val="16"/>
          <w:color w:val="auto"/>
        </w:rPr>
        <w:t>,” “</w:t>
      </w:r>
      <w:r>
        <w:rPr>
          <w:rFonts w:ascii="Arial" w:cs="Arial" w:eastAsia="Arial" w:hAnsi="Arial"/>
          <w:sz w:val="16"/>
          <w:szCs w:val="16"/>
          <w:b w:val="1"/>
          <w:bCs w:val="1"/>
          <w:color w:val="auto"/>
        </w:rPr>
        <w:t>Pro Forma Compliance</w:t>
      </w:r>
      <w:r>
        <w:rPr>
          <w:rFonts w:ascii="Arial" w:cs="Arial" w:eastAsia="Arial" w:hAnsi="Arial"/>
          <w:sz w:val="16"/>
          <w:szCs w:val="16"/>
          <w:color w:val="auto"/>
        </w:rPr>
        <w:t>,” and “</w:t>
      </w:r>
      <w:r>
        <w:rPr>
          <w:rFonts w:ascii="Arial" w:cs="Arial" w:eastAsia="Arial" w:hAnsi="Arial"/>
          <w:sz w:val="16"/>
          <w:szCs w:val="16"/>
          <w:b w:val="1"/>
          <w:bCs w:val="1"/>
          <w:color w:val="auto"/>
        </w:rPr>
        <w:t>Pro Forma Effect</w:t>
      </w:r>
      <w:r>
        <w:rPr>
          <w:rFonts w:ascii="Arial" w:cs="Arial" w:eastAsia="Arial" w:hAnsi="Arial"/>
          <w:sz w:val="16"/>
          <w:szCs w:val="16"/>
          <w:color w:val="auto"/>
        </w:rPr>
        <w:t>” shall mean, with respect to compliance with any test, financial ratio, or covenant hereunder, that (i) to the extent applicable, the Pro Forma Adjustment shall have been made and (ii) all Specified Transactions and the following transactions in connection therewith shall be deemed to have occurred as of the first day of the applicable period of measurement in such test or covenant:</w:t>
      </w:r>
    </w:p>
    <w:p>
      <w:pPr>
        <w:spacing w:after="0" w:line="2" w:lineRule="exact"/>
        <w:rPr>
          <w:sz w:val="20"/>
          <w:szCs w:val="20"/>
          <w:color w:val="auto"/>
        </w:rPr>
      </w:pPr>
    </w:p>
    <w:p>
      <w:pPr>
        <w:ind w:right="40" w:firstLine="8"/>
        <w:spacing w:after="0" w:line="267" w:lineRule="auto"/>
        <w:tabs>
          <w:tab w:leader="none" w:pos="245"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income statement items (whether positive or negative) attributable to the property or Person subject to such Specified Transaction, (1) in the case of a sale, transfer, or other disposition of all or substantially all Capital Stock in any Subsidiary of Holdings or any division, product line, or facility used for operations of Holdings or any of its Subsidiaries, shall be excluded, and (2) in the case of a Permitted Acquisition or Investment described in the definition of “Specified Transaction”, shall be included, (b) any retirement of Indebtedness, and (c) other than as set forth in the definition of “Maximum Incremental Facilities Amount”, any incurrence or assumption of Indebtedness by Holdings or any of the Restricted Subsidiaries in connection therewith (it being agreed that if such Indebtedness has a floating or formula rate, such Indebtedness shall have an implied rate of interest for the applicable period for purposes of this definition determined by utilizing the rate that is or would be in effect with respect to such Indebtedness as at the relevant date of determination);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without limiting the application of the Pro Forma Adjustment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the foregoing pro forma adjustments may be applied to any such test or covenant solely to the extent that such adjustments are consistent with the definition of “Consolidated EBITDA” and give effect to operating expense reductions that are (x)(1) directly attributable to such transaction, (2) expected to have a continuing impact on Holdings, the Borrower or any of the other Restricted Subsidiaries, and (3) factually supportable or (y) otherwise consistent with the definition of “Pro Forma Adjustment”.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Forma Entity</w:t>
      </w:r>
      <w:r>
        <w:rPr>
          <w:rFonts w:ascii="Arial" w:cs="Arial" w:eastAsia="Arial" w:hAnsi="Arial"/>
          <w:sz w:val="18"/>
          <w:szCs w:val="18"/>
          <w:color w:val="auto"/>
        </w:rPr>
        <w:t>” shall have the meaning provided in the definition of the term “Acquired EBITDA”.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320" w:top="337" w:right="359" w:bottom="1440" w:gutter="0" w:footer="0" w:header="0"/>
        </w:sectPr>
      </w:pPr>
    </w:p>
    <w:bookmarkStart w:id="130" w:name="page131"/>
    <w:bookmarkEnd w:id="13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Prohibited Transaction</w:t>
      </w:r>
      <w:r>
        <w:rPr>
          <w:rFonts w:ascii="Arial" w:cs="Arial" w:eastAsia="Arial" w:hAnsi="Arial"/>
          <w:sz w:val="18"/>
          <w:szCs w:val="18"/>
          <w:color w:val="auto"/>
        </w:rPr>
        <w:t>” shall have the meaning assigned to such term in Section 406 of ERISA and Section 4975(c) of the Code.</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PTE</w:t>
      </w:r>
      <w:r>
        <w:rPr>
          <w:rFonts w:ascii="Arial" w:cs="Arial" w:eastAsia="Arial" w:hAnsi="Arial"/>
          <w:sz w:val="18"/>
          <w:szCs w:val="18"/>
          <w:color w:val="auto"/>
        </w:rPr>
        <w:t>” shall mean a prohibited transaction class exemption issued by the U.S. Department of Labor, as any such exemption may be amended from time to time.</w:t>
      </w:r>
    </w:p>
    <w:p>
      <w:pPr>
        <w:spacing w:after="0" w:line="162"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Company Costs</w:t>
      </w:r>
      <w:r>
        <w:rPr>
          <w:rFonts w:ascii="Arial" w:cs="Arial" w:eastAsia="Arial" w:hAnsi="Arial"/>
          <w:sz w:val="18"/>
          <w:szCs w:val="18"/>
          <w:color w:val="auto"/>
        </w:rPr>
        <w:t>” shall mean costs relating to compliance with the provisions of the Securities Act of 1933, as amended, and the Securities Exchange Act of 1934, as amended, as applicable to companies with equity or debt securities held by the public, the rules of national securities exchange companies with listed equity or debt securities, directors’ or managers’ compensation, fees and expense reimbursement, costs relating to investor relations, shareholder meetings and reports to shareholders or debtholders, directors’ and officers’ insurance and other executive costs, legal and other professional fees, and listing fees.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Proceeds</w:t>
      </w:r>
      <w:r>
        <w:rPr>
          <w:rFonts w:ascii="Arial" w:cs="Arial" w:eastAsia="Arial" w:hAnsi="Arial"/>
          <w:sz w:val="18"/>
          <w:szCs w:val="18"/>
          <w:color w:val="auto"/>
        </w:rPr>
        <w:t>” shall mean assets that are used or useful in, or Capital Stock of any Person engaged in, a Similar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Stock</w:t>
      </w:r>
      <w:r>
        <w:rPr>
          <w:rFonts w:ascii="Arial" w:cs="Arial" w:eastAsia="Arial" w:hAnsi="Arial"/>
          <w:sz w:val="18"/>
          <w:szCs w:val="18"/>
          <w:color w:val="auto"/>
        </w:rPr>
        <w:t>” of any Person shall mean Capital Stock of such Person other than Disqualified Stock of such Person.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Estate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9.1(f)</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Receivables Facility</w:t>
      </w:r>
      <w:r>
        <w:rPr>
          <w:rFonts w:ascii="Arial" w:cs="Arial" w:eastAsia="Arial" w:hAnsi="Arial"/>
          <w:sz w:val="17"/>
          <w:szCs w:val="17"/>
          <w:color w:val="auto"/>
        </w:rPr>
        <w:t>” shall mean any of one or more receivables financing facilities (and any guarantee of such financing facility), as amended, supplemented, modified, extended, renewed, restated, or refunded from time to time, the obligations of which are non-recourse (except for customary representations, warranties, covenants, and indemnities made in connection with such facilities) to Holdings and the Restricted Subsidiaries (other than a Receivables Subsidiary) pursuant to which Holdings or any Restricted Subsidiary sells, directly or indirectly, grants a security interest in or otherwise transfers its accounts receivable to either (i) a Person that is not a Restricted Subsidiary or (ii) a Receivables Subsidiary that in turn funds such purchase by purporting to sell its accounts receivable to a Person that is not a Restricted Subsidiary or by borrowing from such a Person or from another Receivables Subsidiary that in turn funds itself by borrowing from such a Person.</w:t>
      </w:r>
    </w:p>
    <w:p>
      <w:pPr>
        <w:spacing w:after="0" w:line="172" w:lineRule="exact"/>
        <w:rPr>
          <w:sz w:val="20"/>
          <w:szCs w:val="20"/>
          <w:color w:val="auto"/>
        </w:rPr>
      </w:pPr>
    </w:p>
    <w:p>
      <w:pPr>
        <w:ind w:right="5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Receivables Fee</w:t>
      </w:r>
      <w:r>
        <w:rPr>
          <w:rFonts w:ascii="Arial" w:cs="Arial" w:eastAsia="Arial" w:hAnsi="Arial"/>
          <w:sz w:val="18"/>
          <w:szCs w:val="18"/>
          <w:color w:val="auto"/>
        </w:rPr>
        <w:t>” shall mean distributions or payments made directly or by means of discounts with respect to any accounts receivable or participation interest issued or sold in connection with, and other fees paid to a Person that is not a Restricted Subsidiary in connection with, any Receivables Facility.</w:t>
      </w:r>
    </w:p>
    <w:p>
      <w:pPr>
        <w:spacing w:after="0" w:line="176"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Receivables Subsidiary</w:t>
      </w:r>
      <w:r>
        <w:rPr>
          <w:rFonts w:ascii="Arial" w:cs="Arial" w:eastAsia="Arial" w:hAnsi="Arial"/>
          <w:sz w:val="18"/>
          <w:szCs w:val="18"/>
          <w:color w:val="auto"/>
        </w:rPr>
        <w:t>” shall mean any Subsidiary formed for the purpose of facilitating or entering into one or more Receivables Facilities, and in each case engages only in activities reasonably related or incidental thereto or another Person formed for the purposes of engaging in a Receivables Facility in which Holdings or any Subsidiary makes an Investment and to which Holdings or any Subsidiary transfers accounts receivables and related assets.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Refinanced Term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Refinancing Indebtedness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10.1(m)</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Refunding Capital Stock</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10.5(b)(2)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13.6(b)(iv)</w:t>
      </w:r>
      <w:r>
        <w:rPr>
          <w:rFonts w:ascii="Arial" w:cs="Arial" w:eastAsia="Arial" w:hAnsi="Arial"/>
          <w:sz w:val="18"/>
          <w:szCs w:val="18"/>
          <w:color w:val="auto"/>
        </w:rPr>
        <w:t>.</w:t>
      </w:r>
    </w:p>
    <w:p>
      <w:pPr>
        <w:spacing w:after="0" w:line="225"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T</w:t>
      </w:r>
      <w:r>
        <w:rPr>
          <w:rFonts w:ascii="Arial" w:cs="Arial" w:eastAsia="Arial" w:hAnsi="Arial"/>
          <w:sz w:val="18"/>
          <w:szCs w:val="18"/>
          <w:color w:val="auto"/>
        </w:rPr>
        <w:t>” shall mean Regulation T of the Board as from time to time in effect and any successor to all or a portion thereof establishing margin requirements.</w:t>
      </w:r>
    </w:p>
    <w:p>
      <w:pPr>
        <w:spacing w:after="0" w:line="162"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U</w:t>
      </w:r>
      <w:r>
        <w:rPr>
          <w:rFonts w:ascii="Arial" w:cs="Arial" w:eastAsia="Arial" w:hAnsi="Arial"/>
          <w:sz w:val="18"/>
          <w:szCs w:val="18"/>
          <w:color w:val="auto"/>
        </w:rPr>
        <w:t>” shall mean Regulation U of the Board as from time to time in effect and any successor to all or a portion thereof establishing margin requirements.</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320" w:top="337" w:right="359" w:bottom="1440" w:gutter="0" w:footer="0" w:header="0"/>
        </w:sectPr>
      </w:pPr>
    </w:p>
    <w:bookmarkStart w:id="131" w:name="page132"/>
    <w:bookmarkEnd w:id="131"/>
    <w:p>
      <w:pPr>
        <w:ind w:right="3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X</w:t>
      </w:r>
      <w:r>
        <w:rPr>
          <w:rFonts w:ascii="Arial" w:cs="Arial" w:eastAsia="Arial" w:hAnsi="Arial"/>
          <w:sz w:val="18"/>
          <w:szCs w:val="18"/>
          <w:color w:val="auto"/>
        </w:rPr>
        <w:t>” shall mean Regulation X of the Board as from time to time in effect and any successor to all or a portion thereof establishing margin requirements.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Reimbursement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Reimbursement Obligations</w:t>
      </w:r>
      <w:r>
        <w:rPr>
          <w:rFonts w:ascii="Arial" w:cs="Arial" w:eastAsia="Arial" w:hAnsi="Arial"/>
          <w:sz w:val="18"/>
          <w:szCs w:val="18"/>
          <w:color w:val="auto"/>
        </w:rPr>
        <w:t xml:space="preserve">” shall mean the Borrower’s obligations to reimburse Unpaid Drawings pursuant to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225" w:lineRule="exact"/>
        <w:rPr>
          <w:sz w:val="20"/>
          <w:szCs w:val="20"/>
          <w:color w:val="auto"/>
        </w:rPr>
      </w:pPr>
    </w:p>
    <w:p>
      <w:pPr>
        <w:jc w:val="both"/>
        <w:ind w:right="4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Reinvestment Period</w:t>
      </w:r>
      <w:r>
        <w:rPr>
          <w:rFonts w:ascii="Arial" w:cs="Arial" w:eastAsia="Arial" w:hAnsi="Arial"/>
          <w:sz w:val="17"/>
          <w:szCs w:val="17"/>
          <w:color w:val="auto"/>
        </w:rPr>
        <w:t xml:space="preserve">” shall mean </w:t>
      </w:r>
      <w:r>
        <w:rPr>
          <w:rFonts w:ascii="Arial" w:cs="Arial" w:eastAsia="Arial" w:hAnsi="Arial"/>
          <w:sz w:val="17"/>
          <w:szCs w:val="17"/>
          <w:color w:val="FF0000"/>
          <w:strike w:val="1"/>
        </w:rPr>
        <w:t>450</w:t>
      </w:r>
      <w:r>
        <w:rPr>
          <w:rFonts w:ascii="Arial" w:cs="Arial" w:eastAsia="Arial" w:hAnsi="Arial"/>
          <w:sz w:val="17"/>
          <w:szCs w:val="17"/>
          <w:u w:val="single" w:color="auto"/>
          <w:color w:val="0000FF"/>
        </w:rPr>
        <w:t>(i) during the Additional Restrictions Period, 180</w:t>
      </w:r>
      <w:r>
        <w:rPr>
          <w:rFonts w:ascii="Arial" w:cs="Arial" w:eastAsia="Arial" w:hAnsi="Arial"/>
          <w:sz w:val="17"/>
          <w:szCs w:val="17"/>
          <w:color w:val="auto"/>
        </w:rPr>
        <w:t xml:space="preserve"> days following the date of receipt of Net Cash Proceeds of an Asset Sale Prepayment Event, Casualty Event, or Permitted Sale Leaseback </w:t>
      </w:r>
      <w:r>
        <w:rPr>
          <w:rFonts w:ascii="Arial" w:cs="Arial" w:eastAsia="Arial" w:hAnsi="Arial"/>
          <w:sz w:val="17"/>
          <w:szCs w:val="17"/>
          <w:u w:val="single" w:color="auto"/>
          <w:color w:val="0000FF"/>
        </w:rPr>
        <w:t>or (ii) at any other date of determination, 365 days following the date of</w:t>
      </w:r>
      <w:r>
        <w:rPr>
          <w:rFonts w:ascii="Arial" w:cs="Arial" w:eastAsia="Arial" w:hAnsi="Arial"/>
          <w:sz w:val="17"/>
          <w:szCs w:val="17"/>
          <w:color w:val="auto"/>
        </w:rPr>
        <w:t xml:space="preserve"> </w:t>
      </w:r>
      <w:r>
        <w:rPr>
          <w:rFonts w:ascii="Arial" w:cs="Arial" w:eastAsia="Arial" w:hAnsi="Arial"/>
          <w:sz w:val="17"/>
          <w:szCs w:val="17"/>
          <w:u w:val="single" w:color="auto"/>
          <w:color w:val="0000FF"/>
        </w:rPr>
        <w:t>receipt of Net Cash Proceeds of an Asset Sale Prepayment Event, Casualty Event, or Permitted Sale Leaseback</w:t>
      </w:r>
      <w:r>
        <w:rPr>
          <w:rFonts w:ascii="Arial" w:cs="Arial" w:eastAsia="Arial" w:hAnsi="Arial"/>
          <w:sz w:val="17"/>
          <w:szCs w:val="17"/>
          <w:color w:val="000000"/>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Rejection Notice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5.2(f)</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Business Assets</w:t>
      </w:r>
      <w:r>
        <w:rPr>
          <w:rFonts w:ascii="Arial" w:cs="Arial" w:eastAsia="Arial" w:hAnsi="Arial"/>
          <w:sz w:val="18"/>
          <w:szCs w:val="18"/>
          <w:color w:val="auto"/>
        </w:rPr>
        <w:t xml:space="preserve">” shall mean assets (other than cash or Cash Equivalents) used or useful in a Similar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assets received by Holdings or the Restricted Subsidiaries in exchange for assets transferred by Holdings or a Restricted Subsidiary shall not be deemed to be Related Business Assets if they consist of securities of a Person, unless upon receipt of the securities of such Person, such Person would become a Restricted Subsidiary.</w:t>
      </w:r>
    </w:p>
    <w:p>
      <w:pPr>
        <w:spacing w:after="0" w:line="180"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Fund</w:t>
      </w:r>
      <w:r>
        <w:rPr>
          <w:rFonts w:ascii="Arial" w:cs="Arial" w:eastAsia="Arial" w:hAnsi="Arial"/>
          <w:sz w:val="18"/>
          <w:szCs w:val="18"/>
          <w:color w:val="auto"/>
        </w:rPr>
        <w:t>” shall mean, with respect to any Lender that is a Fund, any other Fund that is advised or managed by (a) such Lender, (b) an Affiliate of such Lender or (c) an entity or an Affiliate of such entity that administers, advises or manages such Lender.</w:t>
      </w:r>
    </w:p>
    <w:p>
      <w:pPr>
        <w:spacing w:after="0" w:line="162"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Parties</w:t>
      </w:r>
      <w:r>
        <w:rPr>
          <w:rFonts w:ascii="Arial" w:cs="Arial" w:eastAsia="Arial" w:hAnsi="Arial"/>
          <w:sz w:val="18"/>
          <w:szCs w:val="18"/>
          <w:color w:val="auto"/>
        </w:rPr>
        <w:t>” shall mean, with respect to any specified Person, such Person’s Affiliates and the directors, officers, employees, agents, trustees, and advisors of such Person and any Person that possesses, directly or indirectly, the power to direct or cause the direction of the management or policies of such Person, whether through the ability to exercise voting power, by contract or otherwise.</w:t>
      </w:r>
    </w:p>
    <w:p>
      <w:pPr>
        <w:spacing w:after="0" w:line="176"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shall mean any release, spill, emission, discharge, disposal, escaping, leaking, pumping, pouring, dumping, emptying, injection, or leaching into the environment.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Removal Effective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12.9(b)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Repayment Amount</w:t>
      </w:r>
      <w:r>
        <w:rPr>
          <w:rFonts w:ascii="Arial" w:cs="Arial" w:eastAsia="Arial" w:hAnsi="Arial"/>
          <w:sz w:val="18"/>
          <w:szCs w:val="18"/>
          <w:color w:val="auto"/>
        </w:rPr>
        <w:t>” shall mean the Term A Loan Repayment Amount, a New Term Loan Repayment Amount with respect to any Series, or an Extended Term Loan Repayment Amount with respect to any Extension Series, as applicable.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Term Loan Commitment</w:t>
      </w:r>
      <w:r>
        <w:rPr>
          <w:rFonts w:ascii="Arial" w:cs="Arial" w:eastAsia="Arial" w:hAnsi="Arial"/>
          <w:sz w:val="18"/>
          <w:szCs w:val="18"/>
          <w:color w:val="auto"/>
        </w:rPr>
        <w:t>” means the commitments of the Lenders to make Replacement Term Loans.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Term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Reportable Event</w:t>
      </w:r>
      <w:r>
        <w:rPr>
          <w:rFonts w:ascii="Arial" w:cs="Arial" w:eastAsia="Arial" w:hAnsi="Arial"/>
          <w:sz w:val="17"/>
          <w:szCs w:val="17"/>
          <w:color w:val="auto"/>
        </w:rPr>
        <w:t>” shall mean any “reportable event”, as defined in Section 4043(c) of ERISA or the regulations issued thereunder, with respect to a Pension Plan (other than a Pension Plan maintained by an ERISA Affiliate that is considered an ERISA Affiliate only pursuant to subsection (m) or (o) of Section 414 of the Code), other than those events as to which notice is waived pursuant to PBGC Reg. § 4043.</w:t>
      </w:r>
    </w:p>
    <w:p>
      <w:pPr>
        <w:spacing w:after="0" w:line="158" w:lineRule="exact"/>
        <w:rPr>
          <w:sz w:val="20"/>
          <w:szCs w:val="20"/>
          <w:color w:val="auto"/>
        </w:rPr>
      </w:pPr>
    </w:p>
    <w:p>
      <w:pPr>
        <w:ind w:right="18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Required Lenders</w:t>
      </w:r>
      <w:r>
        <w:rPr>
          <w:rFonts w:ascii="Arial" w:cs="Arial" w:eastAsia="Arial" w:hAnsi="Arial"/>
          <w:sz w:val="17"/>
          <w:szCs w:val="17"/>
          <w:color w:val="auto"/>
        </w:rPr>
        <w:t xml:space="preserve">” shall mean, at any date, (i) Non-Defaulting Lenders having or holding a majority of the sum of (a) the Adjusted Total Revolving Credit Commitment at such date, (b) the Adjusted Total Term Loan Commitment at such date, and (c) the outstanding principal amount of the Term Loans (excluding Term Loans held by Defaulting Lenders) at such date or (ii) if the Total Revolving Credit Commitment and the Total Term Loan Commitment have been terminated or for the purposes of acceleration pursuant to </w:t>
      </w:r>
      <w:r>
        <w:rPr>
          <w:rFonts w:ascii="Arial" w:cs="Arial" w:eastAsia="Arial" w:hAnsi="Arial"/>
          <w:sz w:val="17"/>
          <w:szCs w:val="17"/>
          <w:u w:val="single" w:color="auto"/>
          <w:color w:val="auto"/>
        </w:rPr>
        <w:t>Section 11</w:t>
      </w:r>
      <w:r>
        <w:rPr>
          <w:rFonts w:ascii="Arial" w:cs="Arial" w:eastAsia="Arial" w:hAnsi="Arial"/>
          <w:sz w:val="17"/>
          <w:szCs w:val="17"/>
          <w:color w:val="auto"/>
        </w:rPr>
        <w:t>, Non-Defaulting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320" w:top="337" w:right="379" w:bottom="1440" w:gutter="0" w:footer="0" w:header="0"/>
        </w:sectPr>
      </w:pPr>
    </w:p>
    <w:bookmarkStart w:id="132" w:name="page133"/>
    <w:bookmarkEnd w:id="132"/>
    <w:p>
      <w:pPr>
        <w:ind w:right="240"/>
        <w:spacing w:after="0" w:line="277" w:lineRule="auto"/>
        <w:rPr>
          <w:sz w:val="20"/>
          <w:szCs w:val="20"/>
          <w:color w:val="auto"/>
        </w:rPr>
      </w:pPr>
      <w:r>
        <w:rPr>
          <w:rFonts w:ascii="Arial" w:cs="Arial" w:eastAsia="Arial" w:hAnsi="Arial"/>
          <w:sz w:val="18"/>
          <w:szCs w:val="18"/>
          <w:color w:val="auto"/>
        </w:rPr>
        <w:t>Lenders having or holding a majority of the outstanding principal amount of the Loans and Letter of Credit Exposure (excluding the Loans and Letter of Credit Exposure of Defaulting Lenders) in the aggregate at such date.</w:t>
      </w:r>
    </w:p>
    <w:p>
      <w:pPr>
        <w:spacing w:after="0" w:line="166" w:lineRule="exact"/>
        <w:rPr>
          <w:sz w:val="20"/>
          <w:szCs w:val="20"/>
          <w:color w:val="auto"/>
        </w:rPr>
      </w:pPr>
    </w:p>
    <w:p>
      <w:pPr>
        <w:ind w:right="3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Revolving Credit Lenders</w:t>
      </w:r>
      <w:r>
        <w:rPr>
          <w:rFonts w:ascii="Arial" w:cs="Arial" w:eastAsia="Arial" w:hAnsi="Arial"/>
          <w:sz w:val="18"/>
          <w:szCs w:val="18"/>
          <w:color w:val="auto"/>
        </w:rPr>
        <w:t>” shall mean, at any date, Non-Defaulting Lenders holding a majority of the Adjusted Total Revolving Credit Commitment at such date (or, if the Total Revolving Credit Commitment has been terminated at such time, a majority of the Revolving Credit Exposure (excluding Revolving Credit Exposure of Defaulting Lenders) at such time).</w:t>
      </w:r>
    </w:p>
    <w:p>
      <w:pPr>
        <w:spacing w:after="0" w:line="176" w:lineRule="exact"/>
        <w:rPr>
          <w:sz w:val="20"/>
          <w:szCs w:val="20"/>
          <w:color w:val="auto"/>
        </w:rPr>
      </w:pPr>
    </w:p>
    <w:p>
      <w:pPr>
        <w:jc w:val="both"/>
        <w:ind w:right="1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Term A Loan Lenders</w:t>
      </w:r>
      <w:r>
        <w:rPr>
          <w:rFonts w:ascii="Arial" w:cs="Arial" w:eastAsia="Arial" w:hAnsi="Arial"/>
          <w:sz w:val="18"/>
          <w:szCs w:val="18"/>
          <w:color w:val="auto"/>
        </w:rPr>
        <w:t>” shall mean, at any date, Non-Defaulting Lenders having or holding a majority of the sum of (i) the Adjusted Total Term A Loan Commitment at such date and (ii) the aggregate outstanding principal amount of the Term A Loans (excluding Term A Loans held by Defaulting Lenders) at such date.</w:t>
      </w:r>
    </w:p>
    <w:p>
      <w:pPr>
        <w:spacing w:after="0" w:line="176" w:lineRule="exact"/>
        <w:rPr>
          <w:sz w:val="20"/>
          <w:szCs w:val="20"/>
          <w:color w:val="auto"/>
        </w:rPr>
      </w:pPr>
    </w:p>
    <w:p>
      <w:pPr>
        <w:ind w:right="3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Term Loan Lenders</w:t>
      </w:r>
      <w:r>
        <w:rPr>
          <w:rFonts w:ascii="Arial" w:cs="Arial" w:eastAsia="Arial" w:hAnsi="Arial"/>
          <w:sz w:val="18"/>
          <w:szCs w:val="18"/>
          <w:color w:val="auto"/>
        </w:rPr>
        <w:t>” shall mean, at any date, Non-Defaulting Lenders having or holding a majority of the sum of (i) the Adjusted Total Term Loan Commitment at such date and (ii) the aggregate outstanding principal amount of the Term Loans (excluding Term Loans held by Defaulting Lenders) at such date.</w:t>
      </w:r>
    </w:p>
    <w:p>
      <w:pPr>
        <w:spacing w:after="0" w:line="176" w:lineRule="exact"/>
        <w:rPr>
          <w:sz w:val="20"/>
          <w:szCs w:val="20"/>
          <w:color w:val="auto"/>
        </w:rPr>
      </w:pPr>
    </w:p>
    <w:p>
      <w:pPr>
        <w:jc w:val="both"/>
        <w:ind w:right="6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Requirement of Law</w:t>
      </w:r>
      <w:r>
        <w:rPr>
          <w:rFonts w:ascii="Arial" w:cs="Arial" w:eastAsia="Arial" w:hAnsi="Arial"/>
          <w:sz w:val="16"/>
          <w:szCs w:val="16"/>
          <w:color w:val="auto"/>
        </w:rPr>
        <w:t>” shall mean,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assets or to which such Person or any of its property or assets is subject.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Resignation Effective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12.9(a)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0000FF"/>
        </w:rPr>
        <w:t>Resolution Authority</w:t>
      </w:r>
      <w:r>
        <w:rPr>
          <w:rFonts w:ascii="Arial" w:cs="Arial" w:eastAsia="Arial" w:hAnsi="Arial"/>
          <w:sz w:val="17"/>
          <w:szCs w:val="17"/>
          <w:u w:val="single" w:color="auto"/>
          <w:color w:val="0000FF"/>
        </w:rPr>
        <w:t>” means an EEA Resolution Authority or, with respect to any UK Financial Institution, a UK Resolution Authority.</w:t>
      </w:r>
    </w:p>
    <w:p>
      <w:pPr>
        <w:spacing w:after="0" w:line="237"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color w:val="000000"/>
        </w:rPr>
        <w:t>Restatement Agreement</w:t>
      </w:r>
      <w:r>
        <w:rPr>
          <w:rFonts w:ascii="Arial" w:cs="Arial" w:eastAsia="Arial" w:hAnsi="Arial"/>
          <w:sz w:val="18"/>
          <w:szCs w:val="18"/>
          <w:color w:val="000000"/>
        </w:rPr>
        <w:t>” shall mean the Joinder and Amendment and Restatement Agreement, dated as of July 18, 2019, by and among the</w:t>
      </w:r>
      <w:r>
        <w:rPr>
          <w:rFonts w:ascii="Arial" w:cs="Arial" w:eastAsia="Arial" w:hAnsi="Arial"/>
          <w:sz w:val="18"/>
          <w:szCs w:val="18"/>
          <w:color w:val="0000FF"/>
        </w:rPr>
        <w:t xml:space="preserve"> </w:t>
      </w:r>
      <w:r>
        <w:rPr>
          <w:rFonts w:ascii="Arial" w:cs="Arial" w:eastAsia="Arial" w:hAnsi="Arial"/>
          <w:sz w:val="18"/>
          <w:szCs w:val="18"/>
          <w:color w:val="000000"/>
        </w:rPr>
        <w:t>Credit Parties, the Administrative Agent, the Collateral Agent, the Former Agent and the Lenders party thereto.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Restatement Date Refinancing</w:t>
      </w:r>
      <w:r>
        <w:rPr>
          <w:rFonts w:ascii="Arial" w:cs="Arial" w:eastAsia="Arial" w:hAnsi="Arial"/>
          <w:sz w:val="18"/>
          <w:szCs w:val="18"/>
          <w:color w:val="auto"/>
        </w:rPr>
        <w:t>” shall have the meaning provided in the recitals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Restatement Effective Date</w:t>
      </w:r>
      <w:r>
        <w:rPr>
          <w:rFonts w:ascii="Arial" w:cs="Arial" w:eastAsia="Arial" w:hAnsi="Arial"/>
          <w:sz w:val="16"/>
          <w:szCs w:val="16"/>
          <w:color w:val="auto"/>
        </w:rPr>
        <w:t xml:space="preserve">” shall mean July 18, 2019, the date on which the conditions precedent to effectiveness set forth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are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satisfied.</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Investment</w:t>
      </w:r>
      <w:r>
        <w:rPr>
          <w:rFonts w:ascii="Arial" w:cs="Arial" w:eastAsia="Arial" w:hAnsi="Arial"/>
          <w:sz w:val="18"/>
          <w:szCs w:val="18"/>
          <w:color w:val="auto"/>
        </w:rPr>
        <w:t>” shall mean an Investment other than a Permitted Investment.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Payment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Subsidiary</w:t>
      </w:r>
      <w:r>
        <w:rPr>
          <w:rFonts w:ascii="Arial" w:cs="Arial" w:eastAsia="Arial" w:hAnsi="Arial"/>
          <w:sz w:val="18"/>
          <w:szCs w:val="18"/>
          <w:color w:val="auto"/>
        </w:rPr>
        <w:t>” shall mean any Subsidiary of Holdings other than an Unrestricted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Retired Capital Stock</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10.5(b)(2)</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Commitment</w:t>
      </w:r>
      <w:r>
        <w:rPr>
          <w:rFonts w:ascii="Arial" w:cs="Arial" w:eastAsia="Arial" w:hAnsi="Arial"/>
          <w:sz w:val="16"/>
          <w:szCs w:val="16"/>
          <w:color w:val="auto"/>
        </w:rPr>
        <w:t xml:space="preserve">” shall mean, as to each Revolving Credit Lender, its obligation to make Revolving Credit Loans to the Borrower pursuant to </w:t>
      </w:r>
      <w:r>
        <w:rPr>
          <w:rFonts w:ascii="Arial" w:cs="Arial" w:eastAsia="Arial" w:hAnsi="Arial"/>
          <w:sz w:val="16"/>
          <w:szCs w:val="16"/>
          <w:u w:val="single" w:color="auto"/>
          <w:color w:val="auto"/>
        </w:rPr>
        <w:t>Section 2.1(b)</w:t>
      </w:r>
      <w:r>
        <w:rPr>
          <w:rFonts w:ascii="Arial" w:cs="Arial" w:eastAsia="Arial" w:hAnsi="Arial"/>
          <w:sz w:val="16"/>
          <w:szCs w:val="16"/>
          <w:color w:val="auto"/>
        </w:rPr>
        <w:t xml:space="preserve">, in an aggregate principal amount (carried out to the ninth decimal place) at any one time outstanding not to exceed the amount set forth, and opposite such Lender’s name on </w:t>
      </w:r>
      <w:r>
        <w:rPr>
          <w:rFonts w:ascii="Arial" w:cs="Arial" w:eastAsia="Arial" w:hAnsi="Arial"/>
          <w:sz w:val="16"/>
          <w:szCs w:val="16"/>
          <w:u w:val="single" w:color="auto"/>
          <w:color w:val="auto"/>
        </w:rPr>
        <w:t>Schedule 1.1(b)</w:t>
      </w:r>
      <w:r>
        <w:rPr>
          <w:rFonts w:ascii="Arial" w:cs="Arial" w:eastAsia="Arial" w:hAnsi="Arial"/>
          <w:sz w:val="16"/>
          <w:szCs w:val="16"/>
          <w:color w:val="auto"/>
        </w:rPr>
        <w:t xml:space="preserve"> under the caption Revolving Credit Commitment or in the Assignment and Acceptance pursuant to which such Lender becomes a party hereto, as applicable, as such amount may be adjusted from time to time in accordance with this Agreement (including </w:t>
      </w:r>
      <w:r>
        <w:rPr>
          <w:rFonts w:ascii="Arial" w:cs="Arial" w:eastAsia="Arial" w:hAnsi="Arial"/>
          <w:sz w:val="16"/>
          <w:szCs w:val="16"/>
          <w:u w:val="single" w:color="auto"/>
          <w:color w:val="auto"/>
        </w:rPr>
        <w:t>Section 2.14</w:t>
      </w:r>
      <w:r>
        <w:rPr>
          <w:rFonts w:ascii="Arial" w:cs="Arial" w:eastAsia="Arial" w:hAnsi="Arial"/>
          <w:sz w:val="16"/>
          <w:szCs w:val="16"/>
          <w:color w:val="auto"/>
        </w:rPr>
        <w:t>). The aggregate Revolving Credit Commitments of all Revolving Credit Lenders, as of the Restatement Effective Date, shall be $300,000,000, as such amount may be adjusted from time to time in accordance with the terms of this Agreement.</w:t>
      </w: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320" w:top="341" w:right="359" w:bottom="1440" w:gutter="0" w:footer="0" w:header="0"/>
        </w:sectPr>
      </w:pPr>
    </w:p>
    <w:bookmarkStart w:id="133" w:name="page134"/>
    <w:bookmarkEnd w:id="133"/>
    <w:p>
      <w:pPr>
        <w:ind w:right="4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Commitment Percentage</w:t>
      </w:r>
      <w:r>
        <w:rPr>
          <w:rFonts w:ascii="Arial" w:cs="Arial" w:eastAsia="Arial" w:hAnsi="Arial"/>
          <w:sz w:val="18"/>
          <w:szCs w:val="18"/>
          <w:color w:val="auto"/>
        </w:rPr>
        <w:t xml:space="preserve">” shall mean at any time, for each Lender, the percentage (carried out to the ninth decimal place) obtained by dividing (i) such Lender’s Revolving Credit Commitment at such time by (ii) the amount of the Total Revolving Credit Commitment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any time when the Total Revolving Credit Commitment shall have been terminated, each Lender’s Revolving Credit Commitment Percentage shall be the percentage obtained by dividing (a) such Lender’s Revolving Credit Exposure at such time by (b) the Revolving Credit Exposure of all Lenders at such time.</w:t>
      </w:r>
    </w:p>
    <w:p>
      <w:pPr>
        <w:spacing w:after="0" w:line="183" w:lineRule="exact"/>
        <w:rPr>
          <w:sz w:val="20"/>
          <w:szCs w:val="20"/>
          <w:color w:val="auto"/>
        </w:rPr>
      </w:pPr>
    </w:p>
    <w:p>
      <w:pPr>
        <w:ind w:right="3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Exposure</w:t>
      </w:r>
      <w:r>
        <w:rPr>
          <w:rFonts w:ascii="Arial" w:cs="Arial" w:eastAsia="Arial" w:hAnsi="Arial"/>
          <w:sz w:val="18"/>
          <w:szCs w:val="18"/>
          <w:color w:val="auto"/>
        </w:rPr>
        <w:t>” shall mean, with respect to any Lender at any time, the sum of (i) the aggregate principal amount of Revolving Credit Loans of such Lender then outstanding, (ii) such Lender’s Letter of Credit Exposure at such time, and (iii) such Lender’s Revolving Credit Commitment Percentage of the aggregate principal amount of all outstanding Swingline Loans at such time.</w:t>
      </w:r>
    </w:p>
    <w:p>
      <w:pPr>
        <w:spacing w:after="0" w:line="176"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Facility</w:t>
      </w:r>
      <w:r>
        <w:rPr>
          <w:rFonts w:ascii="Arial" w:cs="Arial" w:eastAsia="Arial" w:hAnsi="Arial"/>
          <w:sz w:val="18"/>
          <w:szCs w:val="18"/>
          <w:color w:val="auto"/>
        </w:rPr>
        <w:t>” shall mean, at any time, the aggregate amount of the Revolving Credit Lenders’ Revolving Credit Commitments at such time.</w:t>
      </w:r>
    </w:p>
    <w:p>
      <w:pPr>
        <w:spacing w:after="0" w:line="162" w:lineRule="exact"/>
        <w:rPr>
          <w:sz w:val="20"/>
          <w:szCs w:val="20"/>
          <w:color w:val="auto"/>
        </w:rPr>
      </w:pPr>
    </w:p>
    <w:p>
      <w:pPr>
        <w:ind w:right="6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Lender</w:t>
      </w:r>
      <w:r>
        <w:rPr>
          <w:rFonts w:ascii="Arial" w:cs="Arial" w:eastAsia="Arial" w:hAnsi="Arial"/>
          <w:sz w:val="18"/>
          <w:szCs w:val="18"/>
          <w:color w:val="auto"/>
        </w:rPr>
        <w:t>” shall mean, at any time, any Lender that has a Revolving Credit Commitment or Extended Revolving Credit Commitment at such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Loan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Maturity Date</w:t>
      </w:r>
      <w:r>
        <w:rPr>
          <w:rFonts w:ascii="Arial" w:cs="Arial" w:eastAsia="Arial" w:hAnsi="Arial"/>
          <w:sz w:val="16"/>
          <w:szCs w:val="16"/>
          <w:color w:val="auto"/>
        </w:rPr>
        <w:t>” shall mean July 18, 2024 or, if such date is not a Business Day, the immediately preceding Business Day .</w:t>
      </w:r>
    </w:p>
    <w:p>
      <w:pPr>
        <w:spacing w:after="0" w:line="248" w:lineRule="exact"/>
        <w:rPr>
          <w:sz w:val="20"/>
          <w:szCs w:val="20"/>
          <w:color w:val="auto"/>
        </w:rPr>
      </w:pPr>
    </w:p>
    <w:p>
      <w:pPr>
        <w:ind w:right="30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Credit Termination Date</w:t>
      </w:r>
      <w:r>
        <w:rPr>
          <w:rFonts w:ascii="Arial" w:cs="Arial" w:eastAsia="Arial" w:hAnsi="Arial"/>
          <w:sz w:val="16"/>
          <w:szCs w:val="16"/>
          <w:color w:val="auto"/>
        </w:rPr>
        <w:t>” shall mean the date on which the Revolving Credit Commitments shall have terminated, no Revolving Credit Loans or Swingline Loans shall be outstanding and the Letters of Credit Outstanding shall have been reduced to zero or Cash Collateralized.</w:t>
      </w:r>
    </w:p>
    <w:p>
      <w:pPr>
        <w:spacing w:after="0" w:line="116"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Loan</w:t>
      </w:r>
      <w:r>
        <w:rPr>
          <w:rFonts w:ascii="Arial" w:cs="Arial" w:eastAsia="Arial" w:hAnsi="Arial"/>
          <w:sz w:val="18"/>
          <w:szCs w:val="18"/>
          <w:color w:val="auto"/>
        </w:rPr>
        <w:t>” shall mean, collectively or individually as the context may require, any (i) Revolving Credit Loan or (ii) Extended Revolving Credit Loan, in each case made pursuant to and in accordance with the terms and conditions of this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shall mean Standard &amp; Poor’s Ratings Services or any successor by merger or consolidation to its business.</w:t>
      </w:r>
    </w:p>
    <w:p>
      <w:pPr>
        <w:spacing w:after="0" w:line="225"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Leaseback</w:t>
      </w:r>
      <w:r>
        <w:rPr>
          <w:rFonts w:ascii="Arial" w:cs="Arial" w:eastAsia="Arial" w:hAnsi="Arial"/>
          <w:sz w:val="18"/>
          <w:szCs w:val="18"/>
          <w:color w:val="auto"/>
        </w:rPr>
        <w:t>” shall mean any arrangement with any Person providing for the leasing by Holdings or any Restricted Subsidiary of any real or tangible personal property, which property has been or is to be sold or transferred by Holdings or such Restricted Subsidiary to such Person in contemplation of such leasing.</w:t>
      </w:r>
    </w:p>
    <w:p>
      <w:pPr>
        <w:spacing w:after="0" w:line="176"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shall mean any sanction administered or enforced by the United States Government (including without limitation, OFAC), the United Nations Security Council, the European Union or any member state thereof, Her Majesty’s Treasury of the United Kingdom (“</w:t>
      </w:r>
      <w:r>
        <w:rPr>
          <w:rFonts w:ascii="Arial" w:cs="Arial" w:eastAsia="Arial" w:hAnsi="Arial"/>
          <w:sz w:val="18"/>
          <w:szCs w:val="18"/>
          <w:b w:val="1"/>
          <w:bCs w:val="1"/>
          <w:color w:val="auto"/>
        </w:rPr>
        <w:t>HMT</w:t>
      </w:r>
      <w:r>
        <w:rPr>
          <w:rFonts w:ascii="Arial" w:cs="Arial" w:eastAsia="Arial" w:hAnsi="Arial"/>
          <w:sz w:val="18"/>
          <w:szCs w:val="18"/>
          <w:color w:val="auto"/>
        </w:rPr>
        <w:t>”) or other relevant sanctions authority.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or any successor thereto.</w:t>
      </w:r>
    </w:p>
    <w:p>
      <w:pPr>
        <w:spacing w:after="0" w:line="225"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Second Lien Intercreditor Agreement</w:t>
      </w:r>
      <w:r>
        <w:rPr>
          <w:rFonts w:ascii="Arial" w:cs="Arial" w:eastAsia="Arial" w:hAnsi="Arial"/>
          <w:sz w:val="17"/>
          <w:szCs w:val="17"/>
          <w:color w:val="auto"/>
        </w:rPr>
        <w:t>” shall mean a First Lien/Second Lien Intercreditor Agreement substantially in the form of Exhibit I (with such changes to such form as may be reasonably acceptable to the Administrative Agent and the Borrower) among the Administrative Agent, the Collateral Agent and the representatives for purposes thereof for any Permitted Other Indebtedness Secured Parties that are holders of Permitted Other Indebtedness Obligations having a Lien on the Collateral ranking junior to the Lien securing the Obligations.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2.14 Additional Amendment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2.14(g)(iv)</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337" w:right="339" w:bottom="1440" w:gutter="0" w:footer="0" w:header="0"/>
        </w:sectPr>
      </w:pPr>
    </w:p>
    <w:bookmarkStart w:id="134" w:name="page135"/>
    <w:bookmarkEnd w:id="134"/>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9.1 Financials</w:t>
      </w:r>
      <w:r>
        <w:rPr>
          <w:rFonts w:ascii="Arial" w:cs="Arial" w:eastAsia="Arial" w:hAnsi="Arial"/>
          <w:sz w:val="18"/>
          <w:szCs w:val="18"/>
          <w:color w:val="auto"/>
        </w:rPr>
        <w:t xml:space="preserve">” shall mean the financial statements delivered, or required to be delivered, pursuant to </w:t>
      </w:r>
      <w:r>
        <w:rPr>
          <w:rFonts w:ascii="Arial" w:cs="Arial" w:eastAsia="Arial" w:hAnsi="Arial"/>
          <w:sz w:val="18"/>
          <w:szCs w:val="18"/>
          <w:u w:val="single" w:color="auto"/>
          <w:color w:val="auto"/>
        </w:rPr>
        <w:t>Section 9.1(a)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together with the accompanying officer’s certificate delivered, or required to be delivered, pursuant to </w:t>
      </w:r>
      <w:r>
        <w:rPr>
          <w:rFonts w:ascii="Arial" w:cs="Arial" w:eastAsia="Arial" w:hAnsi="Arial"/>
          <w:sz w:val="18"/>
          <w:szCs w:val="18"/>
          <w:u w:val="single" w:color="auto"/>
          <w:color w:val="auto"/>
        </w:rPr>
        <w:t>Section 9.1(d)</w:t>
      </w:r>
      <w:r>
        <w:rPr>
          <w:rFonts w:ascii="Arial" w:cs="Arial" w:eastAsia="Arial" w:hAnsi="Arial"/>
          <w:sz w:val="18"/>
          <w:szCs w:val="18"/>
          <w:color w:val="auto"/>
        </w:rPr>
        <w:t>.</w:t>
      </w:r>
    </w:p>
    <w:p>
      <w:pPr>
        <w:spacing w:after="0" w:line="162"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Cash Management Agreement</w:t>
      </w:r>
      <w:r>
        <w:rPr>
          <w:rFonts w:ascii="Arial" w:cs="Arial" w:eastAsia="Arial" w:hAnsi="Arial"/>
          <w:sz w:val="18"/>
          <w:szCs w:val="18"/>
          <w:color w:val="auto"/>
        </w:rPr>
        <w:t>” shall mean any Cash Management Agreement that is entered into by and between Holdings or any of the Restricted Subsidiaries and any Cash Management Bank, which is specified in writing by the Borrower to the Administrative Agent as constituting a Secured Cash Management Agreement hereunder.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Cash Management Obligations</w:t>
      </w:r>
      <w:r>
        <w:rPr>
          <w:rFonts w:ascii="Arial" w:cs="Arial" w:eastAsia="Arial" w:hAnsi="Arial"/>
          <w:sz w:val="18"/>
          <w:szCs w:val="18"/>
          <w:color w:val="auto"/>
        </w:rPr>
        <w:t>” shall mean Obligations under Secured Cash Management Agreements.</w:t>
      </w:r>
    </w:p>
    <w:p>
      <w:pPr>
        <w:spacing w:after="0" w:line="225"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Hedge Agreement</w:t>
      </w:r>
      <w:r>
        <w:rPr>
          <w:rFonts w:ascii="Arial" w:cs="Arial" w:eastAsia="Arial" w:hAnsi="Arial"/>
          <w:sz w:val="18"/>
          <w:szCs w:val="18"/>
          <w:color w:val="auto"/>
        </w:rPr>
        <w:t>” shall mean any Hedge Agreement that is entered into by and between Holdings, the Borrower or any Restricted Subsidiary and any Hedge Bank, which is specified in writing by the Borrower to the Administrative Agent as constituting a “Secured Hedge Agreement” hereunder. For purposes of the preceding sentence, the Borrower may deliver one notice designating all Hedge Agreements entered into pursuant to a specified Master Agreement as “Secured Hedge Agreements”.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Hedge Obligations</w:t>
      </w:r>
      <w:r>
        <w:rPr>
          <w:rFonts w:ascii="Arial" w:cs="Arial" w:eastAsia="Arial" w:hAnsi="Arial"/>
          <w:sz w:val="18"/>
          <w:szCs w:val="18"/>
          <w:color w:val="auto"/>
        </w:rPr>
        <w:t>” shall mean Obligations under Secured Hedge Agreements.</w:t>
      </w:r>
    </w:p>
    <w:p>
      <w:pPr>
        <w:spacing w:after="0" w:line="225"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xml:space="preserve">” shall mean the Administrative Agent, the Collateral Agent, the Letter of Credit Issuer, and each Lender, in each case with respect to the Credit Facilities, each Hedge Bank that is party to any Secured Hedge Agreement with Holdings, the Borrower or any Restricted Subsidiary, each Cash Management Bank that is party to a Secured Cash Management Agreement with the Borrower or any Restricted Subsidiary and each sub-agent pursuant to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appointed by the Administrative Agent with respect to matters relating to the Credit Facilities or the Collateral Agent with respect to matters relating to any Security Document.</w:t>
      </w:r>
    </w:p>
    <w:p>
      <w:pPr>
        <w:spacing w:after="0" w:line="183"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Agreement</w:t>
      </w:r>
      <w:r>
        <w:rPr>
          <w:rFonts w:ascii="Arial" w:cs="Arial" w:eastAsia="Arial" w:hAnsi="Arial"/>
          <w:sz w:val="18"/>
          <w:szCs w:val="18"/>
          <w:color w:val="auto"/>
        </w:rPr>
        <w:t>” shall mean the Security Agreement, dated as of the Closing Date, entered into by the Borrower, the other grantors party thereto, and the Collateral Agent for the benefit of the Secured Parties.</w:t>
      </w:r>
    </w:p>
    <w:p>
      <w:pPr>
        <w:spacing w:after="0" w:line="162"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Documents</w:t>
      </w:r>
      <w:r>
        <w:rPr>
          <w:rFonts w:ascii="Arial" w:cs="Arial" w:eastAsia="Arial" w:hAnsi="Arial"/>
          <w:sz w:val="18"/>
          <w:szCs w:val="18"/>
          <w:color w:val="auto"/>
        </w:rPr>
        <w:t xml:space="preserve">” shall mean, collectively, the Pledge Agreement, the Security Agreement, the Mortgages, if executed, the First Lien Intercreditor Agreement, if executed, and each other security agreement or other instrument or document executed and delivered pursuant to </w:t>
      </w:r>
      <w:r>
        <w:rPr>
          <w:rFonts w:ascii="Arial" w:cs="Arial" w:eastAsia="Arial" w:hAnsi="Arial"/>
          <w:sz w:val="18"/>
          <w:szCs w:val="18"/>
          <w:u w:val="single" w:color="auto"/>
          <w:color w:val="auto"/>
        </w:rPr>
        <w:t>Sections 9.11</w:t>
      </w:r>
      <w:r>
        <w:rPr>
          <w:rFonts w:ascii="Arial" w:cs="Arial" w:eastAsia="Arial" w:hAnsi="Arial"/>
          <w:sz w:val="18"/>
          <w:szCs w:val="18"/>
          <w:color w:val="auto"/>
        </w:rPr>
        <w:t xml:space="preserve">, </w:t>
      </w:r>
      <w:r>
        <w:rPr>
          <w:rFonts w:ascii="Arial" w:cs="Arial" w:eastAsia="Arial" w:hAnsi="Arial"/>
          <w:sz w:val="18"/>
          <w:szCs w:val="18"/>
          <w:u w:val="single" w:color="auto"/>
          <w:color w:val="auto"/>
        </w:rPr>
        <w:t>9.12,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9.14</w:t>
      </w:r>
      <w:r>
        <w:rPr>
          <w:rFonts w:ascii="Arial" w:cs="Arial" w:eastAsia="Arial" w:hAnsi="Arial"/>
          <w:sz w:val="18"/>
          <w:szCs w:val="18"/>
          <w:color w:val="auto"/>
        </w:rPr>
        <w:t xml:space="preserve"> or pursuant to any other such Security Documents to secure the Obligations or to govern the lien priorities of the holders of Liens on the Collateral.</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2.14(a)</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Significant Subsidiary</w:t>
      </w:r>
      <w:r>
        <w:rPr>
          <w:rFonts w:ascii="Arial" w:cs="Arial" w:eastAsia="Arial" w:hAnsi="Arial"/>
          <w:sz w:val="16"/>
          <w:szCs w:val="16"/>
          <w:color w:val="auto"/>
        </w:rPr>
        <w:t>” shall mean, at any date of determination, (a) any Restricted Subsidiary whose gross revenues (when combined with the gross revenues of such Restricted Subsidiary’s Subsidiaries after eliminating intercompany obligations) for the Test Period most recently ended on or prior to such date were equal to or greater than 10% of the consolidated gross revenues of Holdings and the Restricted Subsidiaries for such period, determined in accordance with GAAP or (b) each other Restricted Subsidiary that, when such Restricted Subsidiary’s total gross revenues (when combined with the total gross revenues of such Restricted Subsidiary’s Subsidiaries after eliminating intercompany obligations) are aggregated with each other Restricted Subsidiary (when combined with the total gross revenues of such Restricted Subsidiary’s Subsidiaries after eliminating intercompany obligations) that is the subject of an Event of Default described in Section 11.5 would constitute a “Significant Subsidiary” under clause (a) above.</w:t>
      </w:r>
    </w:p>
    <w:p>
      <w:pPr>
        <w:spacing w:after="0" w:line="161" w:lineRule="exact"/>
        <w:rPr>
          <w:sz w:val="20"/>
          <w:szCs w:val="20"/>
          <w:color w:val="auto"/>
        </w:rPr>
      </w:pPr>
    </w:p>
    <w:p>
      <w:pPr>
        <w:ind w:right="78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Similar Business</w:t>
      </w:r>
      <w:r>
        <w:rPr>
          <w:rFonts w:ascii="Arial" w:cs="Arial" w:eastAsia="Arial" w:hAnsi="Arial"/>
          <w:sz w:val="17"/>
          <w:szCs w:val="17"/>
          <w:color w:val="auto"/>
        </w:rPr>
        <w:t>” shall mean any business conducted or proposed to be conducted by Holdings and the Restricted Subsidiaries on the Restatement Effective Date or any business that is similar, reasonably related, synergistic, incidental, or ancillary thereto.</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00"/>
          </w:cols>
          <w:pgMar w:left="320" w:top="337" w:right="379" w:bottom="1440" w:gutter="0" w:footer="0" w:header="0"/>
        </w:sectPr>
      </w:pPr>
    </w:p>
    <w:bookmarkStart w:id="135" w:name="page136"/>
    <w:bookmarkEnd w:id="13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Sold Entity or Business</w:t>
      </w:r>
      <w:r>
        <w:rPr>
          <w:rFonts w:ascii="Arial" w:cs="Arial" w:eastAsia="Arial" w:hAnsi="Arial"/>
          <w:sz w:val="18"/>
          <w:szCs w:val="18"/>
          <w:color w:val="auto"/>
        </w:rPr>
        <w:t>” shall have the meaning provided in the definition of the term “Consolidated EBITDA”.</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Solvent</w:t>
      </w:r>
      <w:r>
        <w:rPr>
          <w:rFonts w:ascii="Arial" w:cs="Arial" w:eastAsia="Arial" w:hAnsi="Arial"/>
          <w:sz w:val="17"/>
          <w:szCs w:val="17"/>
          <w:color w:val="auto"/>
        </w:rPr>
        <w:t>” shall mean, after giving effect to the consummation of the Transactions, (i) the sum of the liabilities (including contingent liabilities) of Holdings and its Subsidiaries, on a consolidated basis, does not exceed the present fair saleable value of the present assets of Holdings and its Subsidiaries, on a consolidated basis; (ii) the fair value of the property of Holdings and its Subsidiaries, on a consolidated basis, is greater than the total amount of liabilities (including contingent liabilities) of Holdings and its Subsidiaries, on a consolidated basis; (iii) the capital of Holdings and its Subsidiaries, on a consolidated basis, is not unreasonably small in relation to their business as contemplated on the date hereof; and (iv) Holdings and its Subsidiaries, on a consolidated basis, have not incurred and do not intend to incur, or believe that they will incur, debts including current obligations beyond their ability to pay such debts as they become due (whether at maturity or otherwise).</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Existing Revolving Credit Commitment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2.14(g)(ii)</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Transaction</w:t>
      </w:r>
      <w:r>
        <w:rPr>
          <w:rFonts w:ascii="Arial" w:cs="Arial" w:eastAsia="Arial" w:hAnsi="Arial"/>
          <w:sz w:val="18"/>
          <w:szCs w:val="18"/>
          <w:color w:val="auto"/>
        </w:rPr>
        <w:t>” shall mean, with respect to any period, any Investment (including a Permitted Acquisition), any asset sale, incurrence or repayment of Indebtedness, Restricted Payment, Subsidiary designation, New Term Loan, New Revolving Credit Commitment, or other event or action that in each case by the terms of this Agreement requires Pro Forma Compliance with a test or covenant hereunder or requires such test or covenant to be calculated on a Pro Forma Basis.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w:t>
      </w:r>
      <w:r>
        <w:rPr>
          <w:rFonts w:ascii="Arial" w:cs="Arial" w:eastAsia="Arial" w:hAnsi="Arial"/>
          <w:sz w:val="18"/>
          <w:szCs w:val="18"/>
          <w:color w:val="auto"/>
        </w:rPr>
        <w:t>” shall mean any of KKR and its Affiliates but excluding portfolio companies of any of the foregoing.</w:t>
      </w:r>
    </w:p>
    <w:p>
      <w:pPr>
        <w:spacing w:after="0" w:line="225"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Spot Rate</w:t>
      </w:r>
      <w:r>
        <w:rPr>
          <w:rFonts w:ascii="Arial" w:cs="Arial" w:eastAsia="Arial" w:hAnsi="Arial"/>
          <w:sz w:val="18"/>
          <w:szCs w:val="18"/>
          <w:color w:val="auto"/>
        </w:rPr>
        <w:t xml:space="preserve">” for any currency shall mean the rate determined by the Administrative Agent to be the rate quoted by the Administrative Agent as the spot rate for the purchase by the Administrative Agent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may obtain such spot rate from another financial institution designated by the Administrative Agent if it does not have as of the date of determination a spot buying rate for any such currency.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SPV</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13.6(g)</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Stated Amount</w:t>
      </w:r>
      <w:r>
        <w:rPr>
          <w:rFonts w:ascii="Arial" w:cs="Arial" w:eastAsia="Arial" w:hAnsi="Arial"/>
          <w:sz w:val="18"/>
          <w:szCs w:val="18"/>
          <w:color w:val="auto"/>
        </w:rPr>
        <w:t xml:space="preserve">” of any Letter of Credit shall mean the maximum amount from time to time available to be drawn thereunder, determined without regard to whether any conditions to drawing could then be met;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any Letter of Credit that by its terms or the terms of any Issuer Document provides for one or more automatic increases in the stated amount thereof, the Stated Amount shall be deemed to be the maximum stated amount of such Letter of Credit after giving effect to all such increases, whether or not such maximum stated amount is in effect at such time.</w:t>
      </w:r>
    </w:p>
    <w:p>
      <w:pPr>
        <w:spacing w:after="0" w:line="183"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Equivalents</w:t>
      </w:r>
      <w:r>
        <w:rPr>
          <w:rFonts w:ascii="Arial" w:cs="Arial" w:eastAsia="Arial" w:hAnsi="Arial"/>
          <w:sz w:val="18"/>
          <w:szCs w:val="18"/>
          <w:color w:val="auto"/>
        </w:rPr>
        <w:t>” shall mean all securities convertible into or exchangeable for Capital Stock and all warrants, options, or other rights to purchase or subscribe for any Capital Stock, whether or not presently convertible, exchangeable, or exercisable.</w:t>
      </w:r>
    </w:p>
    <w:p>
      <w:pPr>
        <w:spacing w:after="0" w:line="162"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Stores</w:t>
      </w:r>
      <w:r>
        <w:rPr>
          <w:rFonts w:ascii="Arial" w:cs="Arial" w:eastAsia="Arial" w:hAnsi="Arial"/>
          <w:sz w:val="18"/>
          <w:szCs w:val="18"/>
          <w:color w:val="auto"/>
        </w:rPr>
        <w:t>” shall mean any retail store (which may include any real property, fixtures, equipment, inventory and other property related thereto) operated, or to be operated, by Holdings or any Restricted Subsidiary.</w:t>
      </w:r>
    </w:p>
    <w:p>
      <w:pPr>
        <w:spacing w:after="0" w:line="162" w:lineRule="exact"/>
        <w:rPr>
          <w:sz w:val="20"/>
          <w:szCs w:val="20"/>
          <w:color w:val="auto"/>
        </w:rPr>
      </w:pPr>
    </w:p>
    <w:p>
      <w:pPr>
        <w:ind w:right="3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Subordinated Indebtedness</w:t>
      </w:r>
      <w:r>
        <w:rPr>
          <w:rFonts w:ascii="Arial" w:cs="Arial" w:eastAsia="Arial" w:hAnsi="Arial"/>
          <w:sz w:val="16"/>
          <w:szCs w:val="16"/>
          <w:color w:val="auto"/>
        </w:rPr>
        <w:t>” shall mean Indebtedness of Holdings, the Borrower, or any other Guarantor that is by its terms subordinated in right of payment to the obligations of Holdings, the Borrower, or such Guarantor, as applicable, under this Agreement or the Guarantee, as applicable.</w:t>
      </w:r>
    </w:p>
    <w:p>
      <w:pPr>
        <w:spacing w:after="0" w:line="116"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any Person shall mean and include (i) any corporation more than 50% of whose Capital Stock of any class or classes having by the terms thereof ordinary voting power to elect a majority of the directors of</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337" w:right="339" w:bottom="1440" w:gutter="0" w:footer="0" w:header="0"/>
        </w:sectPr>
      </w:pPr>
    </w:p>
    <w:bookmarkStart w:id="136" w:name="page137"/>
    <w:bookmarkEnd w:id="136"/>
    <w:p>
      <w:pPr>
        <w:ind w:right="80"/>
        <w:spacing w:after="0" w:line="301" w:lineRule="auto"/>
        <w:rPr>
          <w:sz w:val="20"/>
          <w:szCs w:val="20"/>
          <w:color w:val="auto"/>
        </w:rPr>
      </w:pPr>
      <w:r>
        <w:rPr>
          <w:rFonts w:ascii="Arial" w:cs="Arial" w:eastAsia="Arial" w:hAnsi="Arial"/>
          <w:sz w:val="16"/>
          <w:szCs w:val="16"/>
          <w:color w:val="auto"/>
        </w:rPr>
        <w:t>such corporation (irrespective of whether or not at the time Capital Stock of any class or classes of such corporation shall have or might have voting power by reason of the happening of any contingency) is at the time owned by such Person directly or indirectly through Subsidiaries, or (ii) any limited liability company, partnership, association, joint venture, or other entity of which such Person directly or indirectly through Subsidiaries has more than a 50% equity interest at the time. Unless otherwise expressly provided, all references herein to a Subsidiary shall mean a Subsidiary of Holdings.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Borrower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10.3(a)</w:t>
      </w:r>
      <w:r>
        <w:rPr>
          <w:rFonts w:ascii="Arial" w:cs="Arial" w:eastAsia="Arial" w:hAnsi="Arial"/>
          <w:sz w:val="18"/>
          <w:szCs w:val="18"/>
          <w:color w:val="auto"/>
        </w:rPr>
        <w:t>.</w:t>
      </w:r>
    </w:p>
    <w:p>
      <w:pPr>
        <w:spacing w:after="0" w:line="225"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Obligation</w:t>
      </w:r>
      <w:r>
        <w:rPr>
          <w:rFonts w:ascii="Arial" w:cs="Arial" w:eastAsia="Arial" w:hAnsi="Arial"/>
          <w:sz w:val="18"/>
          <w:szCs w:val="18"/>
          <w:color w:val="auto"/>
        </w:rPr>
        <w:t>” shall mean, with respect to any Credit Party,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ind w:right="8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Commitment</w:t>
      </w:r>
      <w:r>
        <w:rPr>
          <w:rFonts w:ascii="Arial" w:cs="Arial" w:eastAsia="Arial" w:hAnsi="Arial"/>
          <w:sz w:val="18"/>
          <w:szCs w:val="18"/>
          <w:color w:val="auto"/>
        </w:rPr>
        <w:t>” shall mean $20,000,000. The Swingline Commitment is part of and not in addition to the Revolving Credit Commitment.</w:t>
      </w:r>
    </w:p>
    <w:p>
      <w:pPr>
        <w:spacing w:after="0" w:line="162" w:lineRule="exact"/>
        <w:rPr>
          <w:sz w:val="20"/>
          <w:szCs w:val="20"/>
          <w:color w:val="auto"/>
        </w:rPr>
      </w:pPr>
    </w:p>
    <w:p>
      <w:pPr>
        <w:jc w:val="both"/>
        <w:ind w:right="3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Exposure</w:t>
      </w:r>
      <w:r>
        <w:rPr>
          <w:rFonts w:ascii="Arial" w:cs="Arial" w:eastAsia="Arial" w:hAnsi="Arial"/>
          <w:sz w:val="18"/>
          <w:szCs w:val="18"/>
          <w:color w:val="auto"/>
        </w:rPr>
        <w:t>” shall mean at any time the aggregate principal amount at such time of all outstanding Swingline Loans. The Swingline Exposure of any Revolving Credit Lender at any time shall equal its Revolving Credit Commitment Percentage of the aggregate Swingline Exposure at such time.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Swingline Lender</w:t>
      </w:r>
      <w:r>
        <w:rPr>
          <w:rFonts w:ascii="Arial" w:cs="Arial" w:eastAsia="Arial" w:hAnsi="Arial"/>
          <w:sz w:val="16"/>
          <w:szCs w:val="16"/>
          <w:color w:val="auto"/>
        </w:rPr>
        <w:t>” shall mean Bank of America, N.A., in its capacity as lender of Swingline Loans hereunder or any replacement or successor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2.1(c)</w:t>
      </w:r>
      <w:r>
        <w:rPr>
          <w:rFonts w:ascii="Arial" w:cs="Arial" w:eastAsia="Arial" w:hAnsi="Arial"/>
          <w:sz w:val="18"/>
          <w:szCs w:val="18"/>
          <w:color w:val="auto"/>
        </w:rPr>
        <w:t>.</w:t>
      </w:r>
    </w:p>
    <w:p>
      <w:pPr>
        <w:spacing w:after="0" w:line="225"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Maturity Date</w:t>
      </w:r>
      <w:r>
        <w:rPr>
          <w:rFonts w:ascii="Arial" w:cs="Arial" w:eastAsia="Arial" w:hAnsi="Arial"/>
          <w:sz w:val="18"/>
          <w:szCs w:val="18"/>
          <w:color w:val="auto"/>
        </w:rPr>
        <w:t>” shall mean, with respect to any Swingline Loan, the date that is five Business Days prior to the Revolving Credit Maturity Date.</w:t>
      </w:r>
    </w:p>
    <w:p>
      <w:pPr>
        <w:spacing w:after="0" w:line="162"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Syndication Agents</w:t>
      </w:r>
      <w:r>
        <w:rPr>
          <w:rFonts w:ascii="Arial" w:cs="Arial" w:eastAsia="Arial" w:hAnsi="Arial"/>
          <w:sz w:val="18"/>
          <w:szCs w:val="18"/>
          <w:color w:val="auto"/>
        </w:rPr>
        <w:t>” shall mean JPMorgan Chase Bank, N.A. and Wells Fargo Securities, LLC, as syndication agents for the Lenders under this Agreement and the other Credit Documents.</w:t>
      </w:r>
    </w:p>
    <w:p>
      <w:pPr>
        <w:spacing w:after="0" w:line="162"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shall mean any and all present or future taxes, duties, levies, imposts, assessments, deductions, withholdings (including backup withholding), fees, or other similar charges imposed by any Governmental Authority and any interest, fines, penalties, or additions to tax with respect to the foregoing.</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Lender</w:t>
      </w:r>
      <w:r>
        <w:rPr>
          <w:rFonts w:ascii="Arial" w:cs="Arial" w:eastAsia="Arial" w:hAnsi="Arial"/>
          <w:sz w:val="18"/>
          <w:szCs w:val="18"/>
          <w:color w:val="auto"/>
        </w:rPr>
        <w:t>” shall mean a Lender with a Term A Loan Commitment or an outstanding Term A Loan.</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Loan Commitment</w:t>
      </w:r>
      <w:r>
        <w:rPr>
          <w:rFonts w:ascii="Arial" w:cs="Arial" w:eastAsia="Arial" w:hAnsi="Arial"/>
          <w:sz w:val="18"/>
          <w:szCs w:val="18"/>
          <w:color w:val="auto"/>
        </w:rPr>
        <w:t xml:space="preserve">” shall mean, in the case of each Lender that is a Lender on the Restatement Effective Date, the amount (carried out to the ninth decimal place) set forth opposite such Lender’s name on </w:t>
      </w:r>
      <w:r>
        <w:rPr>
          <w:rFonts w:ascii="Arial" w:cs="Arial" w:eastAsia="Arial" w:hAnsi="Arial"/>
          <w:sz w:val="18"/>
          <w:szCs w:val="18"/>
          <w:u w:val="single" w:color="auto"/>
          <w:color w:val="auto"/>
        </w:rPr>
        <w:t>Schedule 1.1(b)</w:t>
      </w:r>
      <w:r>
        <w:rPr>
          <w:rFonts w:ascii="Arial" w:cs="Arial" w:eastAsia="Arial" w:hAnsi="Arial"/>
          <w:sz w:val="18"/>
          <w:szCs w:val="18"/>
          <w:color w:val="auto"/>
        </w:rPr>
        <w:t xml:space="preserve"> as such Lender’s “Term A Loan Commitment”. The aggregate amount of the Term A Loan Commitments as of the Restatement Effective Date is $420,000,000.</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A Loan Maturity Date</w:t>
      </w:r>
      <w:r>
        <w:rPr>
          <w:rFonts w:ascii="Arial" w:cs="Arial" w:eastAsia="Arial" w:hAnsi="Arial"/>
          <w:sz w:val="17"/>
          <w:szCs w:val="17"/>
          <w:color w:val="auto"/>
        </w:rPr>
        <w:t>” shall mean July 18, 2024 or, if such date is not a Business Day, the immediately preceding Business Day.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Loan Repayment Amount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2.5(b)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Loan Repayment Date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2.5(b)</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Loans</w:t>
      </w:r>
      <w:r>
        <w:rPr>
          <w:rFonts w:ascii="Arial" w:cs="Arial" w:eastAsia="Arial" w:hAnsi="Arial"/>
          <w:sz w:val="18"/>
          <w:szCs w:val="18"/>
          <w:color w:val="auto"/>
        </w:rPr>
        <w:t xml:space="preserve">” shall mean the Term A Loans funded on the Restatement Effective Date pursuant to the terms and conditions of the Restatement Agreement and this Agreement (including </w:t>
      </w:r>
      <w:r>
        <w:rPr>
          <w:rFonts w:ascii="Arial" w:cs="Arial" w:eastAsia="Arial" w:hAnsi="Arial"/>
          <w:sz w:val="18"/>
          <w:szCs w:val="18"/>
          <w:u w:val="single" w:color="auto"/>
          <w:color w:val="auto"/>
        </w:rPr>
        <w:t>Section 2.1(a)(ii)</w:t>
      </w:r>
      <w:r>
        <w:rPr>
          <w:rFonts w:ascii="Arial" w:cs="Arial" w:eastAsia="Arial" w:hAnsi="Arial"/>
          <w:sz w:val="18"/>
          <w:szCs w:val="18"/>
          <w:color w:val="auto"/>
        </w:rPr>
        <w:t>).</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341" w:right="339" w:bottom="1440" w:gutter="0" w:footer="0" w:header="0"/>
        </w:sectPr>
      </w:pPr>
    </w:p>
    <w:bookmarkStart w:id="137" w:name="page138"/>
    <w:bookmarkEnd w:id="137"/>
    <w:p>
      <w:pPr>
        <w:ind w:right="3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w:t>
      </w:r>
      <w:r>
        <w:rPr>
          <w:rFonts w:ascii="Arial" w:cs="Arial" w:eastAsia="Arial" w:hAnsi="Arial"/>
          <w:sz w:val="18"/>
          <w:szCs w:val="18"/>
          <w:color w:val="auto"/>
        </w:rPr>
        <w:t>” shall mean, with respect to each Lender, such Lender’s A Loan Commitment, and, if applicable, New Term Loan Commitment with respect to any Series and Replacement Term Loan Commitment with respect to any Series.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Extension Request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2.14 (g)(i)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Lender</w:t>
      </w:r>
      <w:r>
        <w:rPr>
          <w:rFonts w:ascii="Arial" w:cs="Arial" w:eastAsia="Arial" w:hAnsi="Arial"/>
          <w:sz w:val="18"/>
          <w:szCs w:val="18"/>
          <w:color w:val="auto"/>
        </w:rPr>
        <w:t>” shall mean, at any time, any Lender that has a Term Loan Commitment or an outstanding Term Loan.</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Loans</w:t>
      </w:r>
      <w:r>
        <w:rPr>
          <w:rFonts w:ascii="Arial" w:cs="Arial" w:eastAsia="Arial" w:hAnsi="Arial"/>
          <w:sz w:val="18"/>
          <w:szCs w:val="18"/>
          <w:color w:val="auto"/>
        </w:rPr>
        <w:t>” shall mean the Term A Loans, any New Term Loans, any Replacement Term Loans, and any Extended Term Loans, collectively or individually, as the context may require.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Terminated Contracts</w:t>
      </w:r>
      <w:r>
        <w:rPr>
          <w:rFonts w:ascii="Arial" w:cs="Arial" w:eastAsia="Arial" w:hAnsi="Arial"/>
          <w:sz w:val="16"/>
          <w:szCs w:val="16"/>
          <w:color w:val="auto"/>
        </w:rPr>
        <w:t>” shall mean binding contracts with Counterparties that have terminated (whether on or before their stated expiration).</w:t>
      </w:r>
    </w:p>
    <w:p>
      <w:pPr>
        <w:spacing w:after="0" w:line="248" w:lineRule="exact"/>
        <w:rPr>
          <w:sz w:val="20"/>
          <w:szCs w:val="20"/>
          <w:color w:val="auto"/>
        </w:rPr>
      </w:pPr>
    </w:p>
    <w:p>
      <w:pPr>
        <w:ind w:right="28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Test Period</w:t>
      </w:r>
      <w:r>
        <w:rPr>
          <w:rFonts w:ascii="Arial" w:cs="Arial" w:eastAsia="Arial" w:hAnsi="Arial"/>
          <w:sz w:val="17"/>
          <w:szCs w:val="17"/>
          <w:color w:val="auto"/>
        </w:rPr>
        <w:t>” shall mean, for any determination under this Agreement, the four consecutive fiscal quarters of Holdings then last ended and for which Section 9.1 Financials shall have been delivered (or were required to be delivered) to the Administrative Agent (or, before the first delivery of Section 9.1 Financials, the most recent period of four fiscal quarters at the end of which financial statements are available).</w:t>
      </w:r>
    </w:p>
    <w:p>
      <w:pPr>
        <w:spacing w:after="0" w:line="158"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Credit Exposure</w:t>
      </w:r>
      <w:r>
        <w:rPr>
          <w:rFonts w:ascii="Arial" w:cs="Arial" w:eastAsia="Arial" w:hAnsi="Arial"/>
          <w:sz w:val="18"/>
          <w:szCs w:val="18"/>
          <w:color w:val="auto"/>
        </w:rPr>
        <w:t xml:space="preserve">” shall mean, at any date, the sum, without duplication, of (i) the Total Revolving Credit Commitment at such date (or, if the Total Revolving Credit Commitment shall have terminated on such date, the aggregate Revolving Credit Exposure of all Lenders at such date), (ii) the Total Term Loan Commitment at such date, and (iii) without duplication of </w:t>
      </w:r>
      <w:r>
        <w:rPr>
          <w:rFonts w:ascii="Arial" w:cs="Arial" w:eastAsia="Arial" w:hAnsi="Arial"/>
          <w:sz w:val="18"/>
          <w:szCs w:val="18"/>
          <w:u w:val="single" w:color="auto"/>
          <w:color w:val="auto"/>
        </w:rPr>
        <w:t>clause (ii)</w:t>
      </w:r>
      <w:r>
        <w:rPr>
          <w:rFonts w:ascii="Arial" w:cs="Arial" w:eastAsia="Arial" w:hAnsi="Arial"/>
          <w:sz w:val="18"/>
          <w:szCs w:val="18"/>
          <w:color w:val="auto"/>
        </w:rPr>
        <w:t>, the aggregate outstanding principal amount of all Term Loans at such date.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Revolving Credit Commitment</w:t>
      </w:r>
      <w:r>
        <w:rPr>
          <w:rFonts w:ascii="Arial" w:cs="Arial" w:eastAsia="Arial" w:hAnsi="Arial"/>
          <w:sz w:val="18"/>
          <w:szCs w:val="18"/>
          <w:color w:val="auto"/>
        </w:rPr>
        <w:t>” shall mean the sum of the Revolving Credit Commitments of all the Lenders.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Term A Loan Commitment</w:t>
      </w:r>
      <w:r>
        <w:rPr>
          <w:rFonts w:ascii="Arial" w:cs="Arial" w:eastAsia="Arial" w:hAnsi="Arial"/>
          <w:sz w:val="18"/>
          <w:szCs w:val="18"/>
          <w:color w:val="auto"/>
        </w:rPr>
        <w:t>” shall mean the sum of the Term A Loan Commitments of all Lenders.</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Term Loan Commitment</w:t>
      </w:r>
      <w:r>
        <w:rPr>
          <w:rFonts w:ascii="Arial" w:cs="Arial" w:eastAsia="Arial" w:hAnsi="Arial"/>
          <w:sz w:val="18"/>
          <w:szCs w:val="18"/>
          <w:color w:val="auto"/>
        </w:rPr>
        <w:t>” shall mean the sum of the Term A Loan Commitments and the New Term Loan Commitments, if applicable, of all the Lenders.</w:t>
      </w:r>
    </w:p>
    <w:p>
      <w:pPr>
        <w:spacing w:after="0" w:line="162" w:lineRule="exact"/>
        <w:rPr>
          <w:sz w:val="20"/>
          <w:szCs w:val="20"/>
          <w:color w:val="auto"/>
        </w:rPr>
      </w:pPr>
    </w:p>
    <w:p>
      <w:pPr>
        <w:ind w:right="1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 Expenses</w:t>
      </w:r>
      <w:r>
        <w:rPr>
          <w:rFonts w:ascii="Arial" w:cs="Arial" w:eastAsia="Arial" w:hAnsi="Arial"/>
          <w:sz w:val="16"/>
          <w:szCs w:val="16"/>
          <w:color w:val="auto"/>
        </w:rPr>
        <w:t>” shall mean any fees, costs, or expenses incurred or paid by Holdings, the Borrower, or any of their respective Affiliates in connection with the Transactions, this Agreement, and the other Credit Documents, and the transactions contemplated hereby and thereby.</w:t>
      </w:r>
    </w:p>
    <w:p>
      <w:pPr>
        <w:spacing w:after="0" w:line="116" w:lineRule="exact"/>
        <w:rPr>
          <w:sz w:val="20"/>
          <w:szCs w:val="20"/>
          <w:color w:val="auto"/>
        </w:rPr>
      </w:pPr>
    </w:p>
    <w:p>
      <w:pPr>
        <w:ind w:right="2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Transactions</w:t>
      </w:r>
      <w:r>
        <w:rPr>
          <w:rFonts w:ascii="Arial" w:cs="Arial" w:eastAsia="Arial" w:hAnsi="Arial"/>
          <w:sz w:val="16"/>
          <w:szCs w:val="16"/>
          <w:color w:val="auto"/>
        </w:rPr>
        <w:t>” shall mean, collectively, the transactions contemplated by this Agreement to occur on the Restatement Effective Date, including the repayment of Indebtedness under the Original Credit Agreement in connection therewith, the consummation of any other transactions in connection with the foregoing (including the payment of the fees and expenses incurred in connection with any of the foregoing (including the Transaction Expenses)).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Transferee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13.6(e)</w:t>
      </w:r>
      <w:r>
        <w:rPr>
          <w:rFonts w:ascii="Arial" w:cs="Arial" w:eastAsia="Arial" w:hAnsi="Arial"/>
          <w:sz w:val="18"/>
          <w:szCs w:val="18"/>
          <w:color w:val="auto"/>
        </w:rPr>
        <w:t>.</w:t>
      </w:r>
    </w:p>
    <w:p>
      <w:pPr>
        <w:spacing w:after="0" w:line="225"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Type</w:t>
      </w:r>
      <w:r>
        <w:rPr>
          <w:rFonts w:ascii="Arial" w:cs="Arial" w:eastAsia="Arial" w:hAnsi="Arial"/>
          <w:sz w:val="18"/>
          <w:szCs w:val="18"/>
          <w:color w:val="auto"/>
        </w:rPr>
        <w:t>” shall mean (i) as to any Term Loan, its nature as an ABR Loan or a LIBOR Loan and (ii) as to any Revolving Loan, its nature as an ABR Loan or a LIBOR Revolving Credit Loan.</w:t>
      </w:r>
    </w:p>
    <w:p>
      <w:pPr>
        <w:spacing w:after="0" w:line="162"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0000FF"/>
        </w:rPr>
        <w:t>UK Financial Institution</w:t>
      </w:r>
      <w:r>
        <w:rPr>
          <w:rFonts w:ascii="Arial" w:cs="Arial" w:eastAsia="Arial" w:hAnsi="Arial"/>
          <w:sz w:val="18"/>
          <w:szCs w:val="18"/>
          <w:u w:val="single" w:color="auto"/>
          <w:color w:val="0000FF"/>
        </w:rPr>
        <w:t>” means any BRRD Undertaking (as such term is defined under the PRA Rulebook (as amended form time to time)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promulgated by the United Kingdom Prudential Regulation Authority) or any person subject to IFPRU 11.6 of the FCA Handbook (as amended from time to time) promulgated by the United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337" w:right="359" w:bottom="1440" w:gutter="0" w:footer="0" w:header="0"/>
        </w:sectPr>
      </w:pPr>
    </w:p>
    <w:bookmarkStart w:id="138" w:name="page139"/>
    <w:bookmarkEnd w:id="138"/>
    <w:p>
      <w:pPr>
        <w:ind w:right="240"/>
        <w:spacing w:after="0" w:line="277" w:lineRule="auto"/>
        <w:rPr>
          <w:sz w:val="20"/>
          <w:szCs w:val="20"/>
          <w:color w:val="auto"/>
        </w:rPr>
      </w:pPr>
      <w:r>
        <w:rPr>
          <w:rFonts w:ascii="Arial" w:cs="Arial" w:eastAsia="Arial" w:hAnsi="Arial"/>
          <w:sz w:val="18"/>
          <w:szCs w:val="18"/>
          <w:u w:val="single" w:color="auto"/>
          <w:color w:val="0000FF"/>
        </w:rPr>
        <w:t>Kingdom Financial Conduct Authority, which includes certain credit institutions and investment firms, and certain affiliates of such credit institutions or investment firms.</w:t>
      </w:r>
    </w:p>
    <w:p>
      <w:pPr>
        <w:spacing w:after="0" w:line="166"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u w:val="single" w:color="auto"/>
          <w:color w:val="0000FF"/>
        </w:rPr>
        <w:t>UK Resolution Authority</w:t>
      </w:r>
      <w:r>
        <w:rPr>
          <w:rFonts w:ascii="Arial" w:cs="Arial" w:eastAsia="Arial" w:hAnsi="Arial"/>
          <w:sz w:val="18"/>
          <w:szCs w:val="18"/>
          <w:u w:val="single" w:color="auto"/>
          <w:color w:val="0000FF"/>
        </w:rPr>
        <w:t>” means the Bank of England or any other public administrative authority having responsibility for the resolution of any UK Financial Institution.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color w:val="000000"/>
        </w:rPr>
        <w:t>Unpaid Drawing</w:t>
      </w:r>
      <w:r>
        <w:rPr>
          <w:rFonts w:ascii="Arial" w:cs="Arial" w:eastAsia="Arial" w:hAnsi="Arial"/>
          <w:sz w:val="18"/>
          <w:szCs w:val="18"/>
          <w:color w:val="000000"/>
        </w:rPr>
        <w:t>” shall have the meaning provided in</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Section 3.4(a)</w:t>
      </w:r>
      <w:r>
        <w:rPr>
          <w:rFonts w:ascii="Arial" w:cs="Arial" w:eastAsia="Arial" w:hAnsi="Arial"/>
          <w:sz w:val="18"/>
          <w:szCs w:val="18"/>
          <w:color w:val="000000"/>
        </w:rPr>
        <w:t>.</w:t>
      </w:r>
    </w:p>
    <w:p>
      <w:pPr>
        <w:spacing w:after="0" w:line="225" w:lineRule="exact"/>
        <w:rPr>
          <w:sz w:val="20"/>
          <w:szCs w:val="20"/>
          <w:color w:val="auto"/>
        </w:rPr>
      </w:pPr>
    </w:p>
    <w:p>
      <w:pPr>
        <w:ind w:right="600" w:firstLine="648"/>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Unrestricted Subsidiary</w:t>
      </w:r>
      <w:r>
        <w:rPr>
          <w:rFonts w:ascii="Arial" w:cs="Arial" w:eastAsia="Arial" w:hAnsi="Arial"/>
          <w:sz w:val="17"/>
          <w:szCs w:val="17"/>
          <w:color w:val="auto"/>
        </w:rPr>
        <w:t>” shall mean (i) any Subsidiary of Holdings which at the time of determination is an Unrestricted Subsidiary (as designated by the board of directors of Holdings, as provided below) and (ii) any Subsidiary of an Unrestricted Subsidiary.</w:t>
      </w:r>
    </w:p>
    <w:p>
      <w:pPr>
        <w:spacing w:after="0" w:line="14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FF0000"/>
          <w:strike w:val="1"/>
        </w:rPr>
        <w:t>The</w:t>
      </w:r>
      <w:r>
        <w:rPr>
          <w:rFonts w:ascii="Arial" w:cs="Arial" w:eastAsia="Arial" w:hAnsi="Arial"/>
          <w:sz w:val="18"/>
          <w:szCs w:val="18"/>
          <w:u w:val="single" w:color="auto"/>
          <w:color w:val="0000FF"/>
        </w:rPr>
        <w:t>Except during an Additional Restrictions Period, the</w:t>
      </w:r>
      <w:r>
        <w:rPr>
          <w:rFonts w:ascii="Arial" w:cs="Arial" w:eastAsia="Arial" w:hAnsi="Arial"/>
          <w:sz w:val="18"/>
          <w:szCs w:val="18"/>
          <w:color w:val="FF0000"/>
        </w:rPr>
        <w:t xml:space="preserve"> </w:t>
      </w:r>
      <w:r>
        <w:rPr>
          <w:rFonts w:ascii="Arial" w:cs="Arial" w:eastAsia="Arial" w:hAnsi="Arial"/>
          <w:sz w:val="18"/>
          <w:szCs w:val="18"/>
          <w:color w:val="000000"/>
        </w:rPr>
        <w:t>board of directors of Holdings may designate any Subsidiary of Holdings (including any</w:t>
      </w:r>
      <w:r>
        <w:rPr>
          <w:rFonts w:ascii="Arial" w:cs="Arial" w:eastAsia="Arial" w:hAnsi="Arial"/>
          <w:sz w:val="18"/>
          <w:szCs w:val="18"/>
          <w:color w:val="FF0000"/>
        </w:rPr>
        <w:t xml:space="preserve"> </w:t>
      </w:r>
      <w:r>
        <w:rPr>
          <w:rFonts w:ascii="Arial" w:cs="Arial" w:eastAsia="Arial" w:hAnsi="Arial"/>
          <w:sz w:val="18"/>
          <w:szCs w:val="18"/>
          <w:color w:val="000000"/>
        </w:rPr>
        <w:t xml:space="preserve">existing Subsidiary and any newly acquired or newly formed Subsidiary) other than the Borrower or a Subsidiary of Holdings that is a direct or indirect parent of the Borrower to be an Unrestricted Subsidiary unless such Subsidiary or any of its Subsidiaries owns any Equity Interests or Indebtedness of, or owns or holds any Lien on, any property of, Holdings or any Subsidiary of Holdings (other than any Subsidiary of the Subsidiary to be so designated or an Unrestricted Subsidiary);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w:t>
      </w:r>
    </w:p>
    <w:p>
      <w:pPr>
        <w:spacing w:after="0" w:line="188" w:lineRule="exact"/>
        <w:rPr>
          <w:sz w:val="20"/>
          <w:szCs w:val="20"/>
          <w:color w:val="auto"/>
        </w:rPr>
      </w:pPr>
    </w:p>
    <w:p>
      <w:pPr>
        <w:ind w:left="1680" w:hanging="376"/>
        <w:spacing w:after="0"/>
        <w:tabs>
          <w:tab w:leader="none" w:pos="16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such designation complies with </w:t>
      </w:r>
      <w:r>
        <w:rPr>
          <w:rFonts w:ascii="Arial" w:cs="Arial" w:eastAsia="Arial" w:hAnsi="Arial"/>
          <w:sz w:val="18"/>
          <w:szCs w:val="18"/>
          <w:u w:val="single" w:color="auto"/>
          <w:color w:val="auto"/>
        </w:rPr>
        <w:t>Section 10.5</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660" w:right="280" w:firstLine="644"/>
        <w:spacing w:after="0" w:line="263" w:lineRule="auto"/>
        <w:tabs>
          <w:tab w:leader="none" w:pos="1698"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each of (1) the Subsidiary to be so designated and (2) its Subsidiaries has not at the time of designation, and does not thereafter, create, incur, issue, assume, guarantee, or otherwise become directly or indirectly liable with respect to any Indebtedness pursuant to which the lender has recourse to any of the assets of Holdings or any Restricted Subsidiary.</w:t>
      </w:r>
    </w:p>
    <w:p>
      <w:pPr>
        <w:spacing w:after="0" w:line="184"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 xml:space="preserve">The board of directors of Holdings may designate any Unrestricted Subsidiary to be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immediately after giving effect to such designation no Event of Default shall have occurred and be continuing and </w:t>
      </w:r>
      <w:r>
        <w:rPr>
          <w:rFonts w:ascii="Arial" w:cs="Arial" w:eastAsia="Arial" w:hAnsi="Arial"/>
          <w:sz w:val="16"/>
          <w:szCs w:val="16"/>
          <w:color w:val="FF0000"/>
          <w:strike w:val="1"/>
        </w:rPr>
        <w:t>either: (i)</w:t>
      </w:r>
      <w:r>
        <w:rPr>
          <w:rFonts w:ascii="Arial" w:cs="Arial" w:eastAsia="Arial" w:hAnsi="Arial"/>
          <w:sz w:val="16"/>
          <w:szCs w:val="16"/>
          <w:color w:val="auto"/>
        </w:rPr>
        <w:t xml:space="preserve"> Holdings could incur at least $1.00 of additional Indebtedness pursuant to the </w:t>
      </w:r>
      <w:r>
        <w:rPr>
          <w:rFonts w:ascii="Arial" w:cs="Arial" w:eastAsia="Arial" w:hAnsi="Arial"/>
          <w:sz w:val="16"/>
          <w:szCs w:val="16"/>
          <w:color w:val="FF0000"/>
          <w:strike w:val="1"/>
        </w:rPr>
        <w:t>Fixed Charge Coverage</w:t>
      </w:r>
      <w:r>
        <w:rPr>
          <w:rFonts w:ascii="Arial" w:cs="Arial" w:eastAsia="Arial" w:hAnsi="Arial"/>
          <w:sz w:val="16"/>
          <w:szCs w:val="16"/>
          <w:u w:val="single" w:color="auto"/>
          <w:color w:val="0000FF"/>
        </w:rPr>
        <w:t>Consolidated Total Debt to Consolidated EBITDA</w:t>
      </w:r>
      <w:r>
        <w:rPr>
          <w:rFonts w:ascii="Arial" w:cs="Arial" w:eastAsia="Arial" w:hAnsi="Arial"/>
          <w:sz w:val="16"/>
          <w:szCs w:val="16"/>
          <w:color w:val="auto"/>
        </w:rPr>
        <w:t xml:space="preserve"> Ratio test set forth in the first paragraph of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 xml:space="preserve">10.1 </w:t>
      </w:r>
      <w:r>
        <w:rPr>
          <w:rFonts w:ascii="Arial" w:cs="Arial" w:eastAsia="Arial" w:hAnsi="Arial"/>
          <w:sz w:val="16"/>
          <w:szCs w:val="16"/>
          <w:color w:val="FF0000"/>
          <w:strike w:val="1"/>
        </w:rPr>
        <w:t>or (ii) the Fixed Charge Coverage Ratio for Holdings and the Restricted Subsidiaries would be greater than such ratio for Holdings and the Restricted</w:t>
      </w:r>
      <w:r>
        <w:rPr>
          <w:rFonts w:ascii="Arial" w:cs="Arial" w:eastAsia="Arial" w:hAnsi="Arial"/>
          <w:sz w:val="16"/>
          <w:szCs w:val="16"/>
          <w:u w:val="single" w:color="auto"/>
          <w:color w:val="FF0000"/>
          <w:strike w:val="1"/>
        </w:rPr>
        <w:t xml:space="preserve"> </w:t>
      </w:r>
      <w:r>
        <w:rPr>
          <w:rFonts w:ascii="Arial" w:cs="Arial" w:eastAsia="Arial" w:hAnsi="Arial"/>
          <w:sz w:val="16"/>
          <w:szCs w:val="16"/>
          <w:color w:val="FF0000"/>
          <w:strike w:val="1"/>
        </w:rPr>
        <w:t>Subsidiaries immediately prior to such designation, in each case on a Pro Forma Basis taking into account such designation.</w:t>
      </w:r>
      <w:r>
        <w:rPr>
          <w:rFonts w:ascii="Arial" w:cs="Arial" w:eastAsia="Arial" w:hAnsi="Arial"/>
          <w:sz w:val="16"/>
          <w:szCs w:val="16"/>
          <w:u w:val="single" w:color="auto"/>
          <w:color w:val="0000FF"/>
          <w:strike w:val="1"/>
        </w:rPr>
        <w:t>10.1.</w:t>
      </w:r>
    </w:p>
    <w:p>
      <w:pPr>
        <w:spacing w:after="0" w:line="161"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Any such designation by the board of directors of Holdings shall be notified by Holdings to the Administrative Agent by promptly delivering to the Administrative Agent a copy of the Board resolution giving effect to such designation and a certificate of an Authorized Officer of Holdings certifying that such designation complied with the foregoing provisions.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w:t>
      </w:r>
      <w:r>
        <w:rPr>
          <w:rFonts w:ascii="Arial" w:cs="Arial" w:eastAsia="Arial" w:hAnsi="Arial"/>
          <w:sz w:val="18"/>
          <w:szCs w:val="18"/>
          <w:color w:val="auto"/>
        </w:rPr>
        <w:t>” and “</w:t>
      </w:r>
      <w:r>
        <w:rPr>
          <w:rFonts w:ascii="Arial" w:cs="Arial" w:eastAsia="Arial" w:hAnsi="Arial"/>
          <w:sz w:val="18"/>
          <w:szCs w:val="18"/>
          <w:b w:val="1"/>
          <w:bCs w:val="1"/>
          <w:color w:val="auto"/>
        </w:rPr>
        <w:t>United States</w:t>
      </w:r>
      <w:r>
        <w:rPr>
          <w:rFonts w:ascii="Arial" w:cs="Arial" w:eastAsia="Arial" w:hAnsi="Arial"/>
          <w:sz w:val="18"/>
          <w:szCs w:val="18"/>
          <w:color w:val="auto"/>
        </w:rPr>
        <w:t>” shall mean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5.4(e)(ii)(A)</w:t>
      </w:r>
      <w:r>
        <w:rPr>
          <w:rFonts w:ascii="Arial" w:cs="Arial" w:eastAsia="Arial" w:hAnsi="Arial"/>
          <w:sz w:val="18"/>
          <w:szCs w:val="18"/>
          <w:color w:val="auto"/>
        </w:rPr>
        <w:t>.</w:t>
      </w:r>
    </w:p>
    <w:p>
      <w:pPr>
        <w:spacing w:after="0" w:line="225"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shall mean, with respect to any Person as of any date, the Capital Stock of such Person that is at the time entitled to vote in the election of the board of directors of such Person.</w:t>
      </w:r>
    </w:p>
    <w:p>
      <w:pPr>
        <w:spacing w:after="0" w:line="162" w:lineRule="exact"/>
        <w:rPr>
          <w:sz w:val="20"/>
          <w:szCs w:val="20"/>
          <w:color w:val="auto"/>
        </w:rPr>
      </w:pPr>
    </w:p>
    <w:p>
      <w:pPr>
        <w:ind w:firstLine="64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Wal-Mart Agreements</w:t>
      </w:r>
      <w:r>
        <w:rPr>
          <w:rFonts w:ascii="Arial" w:cs="Arial" w:eastAsia="Arial" w:hAnsi="Arial"/>
          <w:sz w:val="16"/>
          <w:szCs w:val="16"/>
          <w:color w:val="auto"/>
        </w:rPr>
        <w:t>” shall mean (i) the Management &amp; Services Agreement, dated as of May 1, 2012, by and among Wal-Mart Stores, Inc., a Delaware corporation (“</w:t>
      </w:r>
      <w:r>
        <w:rPr>
          <w:rFonts w:ascii="Arial" w:cs="Arial" w:eastAsia="Arial" w:hAnsi="Arial"/>
          <w:sz w:val="16"/>
          <w:szCs w:val="16"/>
          <w:u w:val="single" w:color="auto"/>
          <w:color w:val="auto"/>
        </w:rPr>
        <w:t>Wal-Mart</w:t>
      </w:r>
      <w:r>
        <w:rPr>
          <w:rFonts w:ascii="Arial" w:cs="Arial" w:eastAsia="Arial" w:hAnsi="Arial"/>
          <w:sz w:val="16"/>
          <w:szCs w:val="16"/>
          <w:color w:val="auto"/>
        </w:rPr>
        <w:t>”), its U.S. operating subsidiaries, including Sam’s West, Inc., and the Borrower, (ii) the Lease of Premises and License of Equipment, dated May 2, 2009, by and among Wal-Mart, its affiliates and subsidiaries and FirstSight, as amended by the First Amendment to FirstSight Lease, dated as of March 31, 2012, (iii) the Management and Services Agreement, dated as of December 17, 2012, by and between Wal-Mart, but excluding its United States operating subsidiaries Sam’s West, Inc., a Delaware corporation, and Sam’s East Inc., a Delaware corporation (together with Sam’s West, Inc., “Sam’s”) and Arlington Contact Lens Services, Inc., an Ohio corporation (“</w:t>
      </w:r>
      <w:r>
        <w:rPr>
          <w:rFonts w:ascii="Arial" w:cs="Arial" w:eastAsia="Arial" w:hAnsi="Arial"/>
          <w:sz w:val="16"/>
          <w:szCs w:val="16"/>
          <w:u w:val="single" w:color="auto"/>
          <w:color w:val="auto"/>
        </w:rPr>
        <w:t>AC Lens</w:t>
      </w:r>
      <w:r>
        <w:rPr>
          <w:rFonts w:ascii="Arial" w:cs="Arial" w:eastAsia="Arial" w:hAnsi="Arial"/>
          <w:sz w:val="16"/>
          <w:szCs w:val="16"/>
          <w:color w:val="auto"/>
        </w:rPr>
        <w:t>”), (iv) the Management and Services</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341" w:right="359" w:bottom="1440" w:gutter="0" w:footer="0" w:header="0"/>
        </w:sectPr>
      </w:pPr>
    </w:p>
    <w:bookmarkStart w:id="139" w:name="page140"/>
    <w:bookmarkEnd w:id="139"/>
    <w:p>
      <w:pPr>
        <w:spacing w:after="0" w:line="259" w:lineRule="auto"/>
        <w:rPr>
          <w:sz w:val="20"/>
          <w:szCs w:val="20"/>
          <w:color w:val="auto"/>
        </w:rPr>
      </w:pPr>
      <w:r>
        <w:rPr>
          <w:rFonts w:ascii="Arial" w:cs="Arial" w:eastAsia="Arial" w:hAnsi="Arial"/>
          <w:sz w:val="18"/>
          <w:szCs w:val="18"/>
          <w:color w:val="auto"/>
        </w:rPr>
        <w:t>Agreement, dated as of December 17, 2012, by and among Sam’s and its operating subsidiaries and AC Lens, (v) the Professional Office Lease Agreement, dated as of May 1, 2012, by and among Wal-Mart, its affiliates and subsidiaries and the Borrower and (vi) the Supplier Agreement, dated as of May 1, 2012, by and among the Borrower and Wal-Mart, in each case, as amended, restated, amended and restated, supplemented, otherwise modified or replaced from time to time.</w:t>
      </w:r>
    </w:p>
    <w:p>
      <w:pPr>
        <w:spacing w:after="0" w:line="183"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Wholly-Owned Restricted Subsidiary</w:t>
      </w:r>
      <w:r>
        <w:rPr>
          <w:rFonts w:ascii="Arial" w:cs="Arial" w:eastAsia="Arial" w:hAnsi="Arial"/>
          <w:sz w:val="18"/>
          <w:szCs w:val="18"/>
          <w:color w:val="auto"/>
        </w:rPr>
        <w:t>” of any Person shall mean a Restricted Subsidiary of such Person, 100% of the outstanding Capital Stock or other ownership interests of which (other than directors’ qualifying shares) shall at the time be owned by such Person or by one or more Wholly-Owned Subsidiaries of such Person.</w:t>
      </w:r>
    </w:p>
    <w:p>
      <w:pPr>
        <w:spacing w:after="0" w:line="176"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Wholly-Owned Subsidiary</w:t>
      </w:r>
      <w:r>
        <w:rPr>
          <w:rFonts w:ascii="Arial" w:cs="Arial" w:eastAsia="Arial" w:hAnsi="Arial"/>
          <w:sz w:val="18"/>
          <w:szCs w:val="18"/>
          <w:color w:val="auto"/>
        </w:rPr>
        <w:t>” of any Person shall mean a Subsidiary of such Person, 100% of the outstanding Capital Stock or other ownership interests of which (other than directors’ qualifying shares) shall at the time be owned by such Person or by one or more Wholly-Owned Subsidiaries of such Person.</w:t>
      </w:r>
    </w:p>
    <w:p>
      <w:pPr>
        <w:spacing w:after="0" w:line="176"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Withdrawal Liability</w:t>
      </w:r>
      <w:r>
        <w:rPr>
          <w:rFonts w:ascii="Arial" w:cs="Arial" w:eastAsia="Arial" w:hAnsi="Arial"/>
          <w:sz w:val="18"/>
          <w:szCs w:val="18"/>
          <w:color w:val="auto"/>
        </w:rPr>
        <w:t>” shall mean liability to a Multiemployer Plan as a result of a complete or partial withdrawal from such Multiemployer Plan, as such terms are defined in Title IV of ERISA.</w:t>
      </w:r>
    </w:p>
    <w:p>
      <w:pPr>
        <w:spacing w:after="0" w:line="162"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Withholding Agent</w:t>
      </w:r>
      <w:r>
        <w:rPr>
          <w:rFonts w:ascii="Arial" w:cs="Arial" w:eastAsia="Arial" w:hAnsi="Arial"/>
          <w:sz w:val="18"/>
          <w:szCs w:val="18"/>
          <w:color w:val="auto"/>
        </w:rPr>
        <w:t>” shall mean any Credit Party, the Administrative Agent and, in the case of any U.S. federal withholding Tax, any other applicable withholding agent.</w:t>
      </w:r>
    </w:p>
    <w:p>
      <w:pPr>
        <w:spacing w:after="0" w:line="162"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Write-Down and Conversion Powers</w:t>
      </w:r>
      <w:r>
        <w:rPr>
          <w:rFonts w:ascii="Arial" w:cs="Arial" w:eastAsia="Arial" w:hAnsi="Arial"/>
          <w:sz w:val="17"/>
          <w:szCs w:val="17"/>
          <w:color w:val="auto"/>
        </w:rPr>
        <w:t>” shall mean</w:t>
      </w:r>
      <w:r>
        <w:rPr>
          <w:rFonts w:ascii="Arial" w:cs="Arial" w:eastAsia="Arial" w:hAnsi="Arial"/>
          <w:sz w:val="17"/>
          <w:szCs w:val="17"/>
          <w:u w:val="single" w:color="auto"/>
          <w:color w:val="0000FF"/>
        </w:rPr>
        <w:t>, (a)</w:t>
      </w:r>
      <w:r>
        <w:rPr>
          <w:rFonts w:ascii="Arial" w:cs="Arial" w:eastAsia="Arial" w:hAnsi="Arial"/>
          <w:sz w:val="17"/>
          <w:szCs w:val="17"/>
          <w:color w:val="auto"/>
        </w:rPr>
        <w:t xml:space="preserve">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r>
        <w:rPr>
          <w:rFonts w:ascii="Arial" w:cs="Arial" w:eastAsia="Arial" w:hAnsi="Arial"/>
          <w:sz w:val="17"/>
          <w:szCs w:val="17"/>
          <w:color w:val="FF0000"/>
          <w:strike w:val="1"/>
        </w:rPr>
        <w:t>.</w:t>
      </w:r>
      <w:r>
        <w:rPr>
          <w:rFonts w:ascii="Arial" w:cs="Arial" w:eastAsia="Arial" w:hAnsi="Arial"/>
          <w:sz w:val="17"/>
          <w:szCs w:val="17"/>
          <w:u w:val="single" w:color="auto"/>
          <w:color w:val="0000FF"/>
        </w:rPr>
        <w:t>, and (b) with respect to the United Kingdom, any powers of the applicable</w:t>
      </w:r>
      <w:r>
        <w:rPr>
          <w:rFonts w:ascii="Arial" w:cs="Arial" w:eastAsia="Arial" w:hAnsi="Arial"/>
          <w:sz w:val="17"/>
          <w:szCs w:val="17"/>
          <w:color w:val="auto"/>
        </w:rPr>
        <w:t xml:space="preserve"> </w:t>
      </w:r>
      <w:r>
        <w:rPr>
          <w:rFonts w:ascii="Arial" w:cs="Arial" w:eastAsia="Arial" w:hAnsi="Arial"/>
          <w:sz w:val="17"/>
          <w:szCs w:val="17"/>
          <w:u w:val="single" w:color="auto"/>
          <w:color w:val="0000FF"/>
        </w:rPr>
        <w:t>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6"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 With reference to this Agreement and each other Credit Document, unless otherwise specified herein or in such other Credit Document:</w:t>
      </w:r>
    </w:p>
    <w:p>
      <w:pPr>
        <w:spacing w:after="0" w:line="170" w:lineRule="exact"/>
        <w:rPr>
          <w:sz w:val="20"/>
          <w:szCs w:val="20"/>
          <w:color w:val="auto"/>
        </w:rPr>
      </w:pPr>
    </w:p>
    <w:p>
      <w:pPr>
        <w:ind w:left="1680" w:hanging="376"/>
        <w:spacing w:after="0"/>
        <w:tabs>
          <w:tab w:leader="none" w:pos="1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meanings of defined terms are equally applicable to the singular and plural forms of the defined terms.</w:t>
      </w:r>
    </w:p>
    <w:p>
      <w:pPr>
        <w:spacing w:after="0" w:line="144" w:lineRule="exact"/>
        <w:rPr>
          <w:rFonts w:ascii="Arial" w:cs="Arial" w:eastAsia="Arial" w:hAnsi="Arial"/>
          <w:sz w:val="18"/>
          <w:szCs w:val="18"/>
          <w:color w:val="auto"/>
        </w:rPr>
      </w:pPr>
    </w:p>
    <w:p>
      <w:pPr>
        <w:ind w:left="660" w:right="20" w:firstLine="644"/>
        <w:spacing w:after="0" w:line="277" w:lineRule="auto"/>
        <w:tabs>
          <w:tab w:leader="none" w:pos="1694"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words “herein”, “hereto”, “hereof”, and “hereunder” and words of similar import when used in any Credit Document shall refer to such Credit Document as a whole and not to any particular provision thereof.</w:t>
      </w:r>
    </w:p>
    <w:p>
      <w:pPr>
        <w:spacing w:after="0" w:line="89" w:lineRule="exact"/>
        <w:rPr>
          <w:rFonts w:ascii="Arial" w:cs="Arial" w:eastAsia="Arial" w:hAnsi="Arial"/>
          <w:sz w:val="18"/>
          <w:szCs w:val="18"/>
          <w:color w:val="auto"/>
        </w:rPr>
      </w:pPr>
    </w:p>
    <w:p>
      <w:pPr>
        <w:ind w:left="1680" w:hanging="376"/>
        <w:spacing w:after="0"/>
        <w:tabs>
          <w:tab w:leader="none" w:pos="1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Section, Exhibit, and Schedule references are to the Credit Document in which such reference appears.</w:t>
      </w:r>
    </w:p>
    <w:p>
      <w:pPr>
        <w:spacing w:after="0" w:line="144" w:lineRule="exact"/>
        <w:rPr>
          <w:rFonts w:ascii="Arial" w:cs="Arial" w:eastAsia="Arial" w:hAnsi="Arial"/>
          <w:sz w:val="18"/>
          <w:szCs w:val="18"/>
          <w:color w:val="auto"/>
        </w:rPr>
      </w:pPr>
    </w:p>
    <w:p>
      <w:pPr>
        <w:ind w:left="1700" w:hanging="396"/>
        <w:spacing w:after="0"/>
        <w:tabs>
          <w:tab w:leader="none" w:pos="17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term “including” is by way of example and not limitation.</w:t>
      </w:r>
    </w:p>
    <w:p>
      <w:pPr>
        <w:spacing w:after="0" w:line="144" w:lineRule="exact"/>
        <w:rPr>
          <w:rFonts w:ascii="Arial" w:cs="Arial" w:eastAsia="Arial" w:hAnsi="Arial"/>
          <w:sz w:val="18"/>
          <w:szCs w:val="18"/>
          <w:color w:val="auto"/>
        </w:rPr>
      </w:pPr>
    </w:p>
    <w:p>
      <w:pPr>
        <w:ind w:left="660" w:right="160" w:firstLine="644"/>
        <w:spacing w:after="0" w:line="277" w:lineRule="auto"/>
        <w:tabs>
          <w:tab w:leader="none" w:pos="1684"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term “documents” includes any and all instruments, documents, agreements, certificates, notices, reports, financial statements and other writings, however evidenced, whether in physical or electronic form.</w:t>
      </w:r>
    </w:p>
    <w:p>
      <w:pPr>
        <w:spacing w:after="0" w:line="89" w:lineRule="exact"/>
        <w:rPr>
          <w:rFonts w:ascii="Arial" w:cs="Arial" w:eastAsia="Arial" w:hAnsi="Arial"/>
          <w:sz w:val="18"/>
          <w:szCs w:val="18"/>
          <w:color w:val="auto"/>
        </w:rPr>
      </w:pPr>
    </w:p>
    <w:p>
      <w:pPr>
        <w:ind w:left="660" w:right="180" w:firstLine="644"/>
        <w:spacing w:after="0" w:line="277" w:lineRule="auto"/>
        <w:tabs>
          <w:tab w:leader="none" w:pos="1668"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320" w:top="341" w:right="359" w:bottom="1440" w:gutter="0" w:footer="0" w:header="0"/>
        </w:sectPr>
      </w:pPr>
    </w:p>
    <w:bookmarkStart w:id="140" w:name="page141"/>
    <w:bookmarkEnd w:id="140"/>
    <w:p>
      <w:pPr>
        <w:ind w:left="660" w:right="220" w:firstLine="644"/>
        <w:spacing w:after="0" w:line="277" w:lineRule="auto"/>
        <w:tabs>
          <w:tab w:leader="none" w:pos="1698" w:val="left"/>
        </w:tabs>
        <w:numPr>
          <w:ilvl w:val="0"/>
          <w:numId w:val="86"/>
        </w:numPr>
        <w:rPr>
          <w:rFonts w:ascii="Arial" w:cs="Arial" w:eastAsia="Arial" w:hAnsi="Arial"/>
          <w:sz w:val="18"/>
          <w:szCs w:val="18"/>
          <w:color w:val="auto"/>
        </w:rPr>
      </w:pPr>
      <w:r>
        <w:rPr>
          <w:rFonts w:ascii="Arial" w:cs="Arial" w:eastAsia="Arial" w:hAnsi="Arial"/>
          <w:sz w:val="18"/>
          <w:szCs w:val="18"/>
          <w:color w:val="auto"/>
        </w:rPr>
        <w:t>Section headings herein and in the other Credit Documents are included for convenience of reference only and shall not affect the interpretation of this Agreement or any other Credit Document.</w:t>
      </w:r>
    </w:p>
    <w:p>
      <w:pPr>
        <w:spacing w:after="0" w:line="89" w:lineRule="exact"/>
        <w:rPr>
          <w:rFonts w:ascii="Arial" w:cs="Arial" w:eastAsia="Arial" w:hAnsi="Arial"/>
          <w:sz w:val="18"/>
          <w:szCs w:val="18"/>
          <w:color w:val="auto"/>
        </w:rPr>
      </w:pPr>
    </w:p>
    <w:p>
      <w:pPr>
        <w:ind w:left="660" w:right="280" w:firstLine="644"/>
        <w:spacing w:after="0" w:line="277" w:lineRule="auto"/>
        <w:tabs>
          <w:tab w:leader="none" w:pos="1694"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words “asset” and “property” shall be construed to have the same meaning and effect and to refer to any and all tangible and intangible assets and properties, including cash, securities, accounts and contract rights.</w:t>
      </w:r>
    </w:p>
    <w:p>
      <w:pPr>
        <w:spacing w:after="0" w:line="89" w:lineRule="exact"/>
        <w:rPr>
          <w:rFonts w:ascii="Arial" w:cs="Arial" w:eastAsia="Arial" w:hAnsi="Arial"/>
          <w:sz w:val="18"/>
          <w:szCs w:val="18"/>
          <w:color w:val="auto"/>
        </w:rPr>
      </w:pPr>
    </w:p>
    <w:p>
      <w:pPr>
        <w:ind w:left="660" w:right="120" w:firstLine="644"/>
        <w:spacing w:after="0" w:line="277" w:lineRule="auto"/>
        <w:tabs>
          <w:tab w:leader="none" w:pos="1648"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references to “knowledge” or “awareness” of any Credit Party or any Restricted Subsidiary thereof means the actual knowledge of an Authorized Officer of such Credit Party or such Restricted Subsidiary.</w:t>
      </w:r>
    </w:p>
    <w:p>
      <w:pPr>
        <w:spacing w:after="0" w:line="89"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Accounting Terms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63" w:lineRule="auto"/>
        <w:tabs>
          <w:tab w:leader="none" w:pos="1028" w:val="left"/>
        </w:tabs>
        <w:numPr>
          <w:ilvl w:val="0"/>
          <w:numId w:val="87"/>
        </w:numPr>
        <w:rPr>
          <w:rFonts w:ascii="Arial" w:cs="Arial" w:eastAsia="Arial" w:hAnsi="Arial"/>
          <w:sz w:val="18"/>
          <w:szCs w:val="18"/>
          <w:color w:val="auto"/>
        </w:rPr>
      </w:pPr>
      <w:r>
        <w:rPr>
          <w:rFonts w:ascii="Arial" w:cs="Arial" w:eastAsia="Arial" w:hAnsi="Arial"/>
          <w:sz w:val="18"/>
          <w:szCs w:val="18"/>
          <w:color w:val="auto"/>
        </w:rPr>
        <w:t>Except as expressly provided herein,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consistent manner.</w:t>
      </w:r>
    </w:p>
    <w:p>
      <w:pPr>
        <w:spacing w:after="0" w:line="183" w:lineRule="exact"/>
        <w:rPr>
          <w:rFonts w:ascii="Arial" w:cs="Arial" w:eastAsia="Arial" w:hAnsi="Arial"/>
          <w:sz w:val="18"/>
          <w:szCs w:val="18"/>
          <w:color w:val="auto"/>
        </w:rPr>
      </w:pPr>
    </w:p>
    <w:p>
      <w:pPr>
        <w:ind w:right="300" w:firstLine="656"/>
        <w:spacing w:after="0" w:line="259" w:lineRule="auto"/>
        <w:tabs>
          <w:tab w:leader="none" w:pos="1038"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Notwithstanding anything to the contrary herein, for purposes of determining compliance with any test or covenant contained in this Agreement with respect to any period during which any Specified Transaction occurs, the Consolidated Total Debt to Consolidated EBITDA Ratio, the Consolidated First Lien Secured Debt to Consolidated EBITDA Ratio, and the First Lien Secured Leverage Test shall each be calculated with respect to such period and such Specified Transaction on a Pro Forma Basis.</w:t>
      </w:r>
    </w:p>
    <w:p>
      <w:pPr>
        <w:spacing w:after="0" w:line="186" w:lineRule="exact"/>
        <w:rPr>
          <w:rFonts w:ascii="Arial" w:cs="Arial" w:eastAsia="Arial" w:hAnsi="Arial"/>
          <w:sz w:val="18"/>
          <w:szCs w:val="18"/>
          <w:color w:val="auto"/>
        </w:rPr>
      </w:pPr>
    </w:p>
    <w:p>
      <w:pPr>
        <w:ind w:right="140" w:firstLine="656"/>
        <w:spacing w:after="0" w:line="277" w:lineRule="auto"/>
        <w:tabs>
          <w:tab w:leader="none" w:pos="1024" w:val="left"/>
        </w:tabs>
        <w:numPr>
          <w:ilvl w:val="0"/>
          <w:numId w:val="87"/>
        </w:numPr>
        <w:rPr>
          <w:rFonts w:ascii="Arial" w:cs="Arial" w:eastAsia="Arial" w:hAnsi="Arial"/>
          <w:sz w:val="18"/>
          <w:szCs w:val="18"/>
          <w:color w:val="auto"/>
        </w:rPr>
      </w:pPr>
      <w:r>
        <w:rPr>
          <w:rFonts w:ascii="Arial" w:cs="Arial" w:eastAsia="Arial" w:hAnsi="Arial"/>
          <w:sz w:val="18"/>
          <w:szCs w:val="18"/>
          <w:color w:val="auto"/>
        </w:rPr>
        <w:t>Where reference is made to “Holdings and the Restricted Subsidiaries on a consolidated basis” or similar language, such consolidation shall not include any Subsidiaries of Holdings other than Restricted Subsidiaries.</w:t>
      </w:r>
    </w:p>
    <w:p>
      <w:pPr>
        <w:spacing w:after="0" w:line="170"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Rounding</w:t>
      </w:r>
      <w:r>
        <w:rPr>
          <w:rFonts w:ascii="Arial" w:cs="Arial" w:eastAsia="Arial" w:hAnsi="Arial"/>
          <w:sz w:val="16"/>
          <w:szCs w:val="16"/>
          <w:color w:val="auto"/>
        </w:rPr>
        <w:t>. Any financial ratios required to be maintained by Holdings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w:t>
      </w:r>
    </w:p>
    <w:p>
      <w:pPr>
        <w:spacing w:after="0" w:line="149"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References to Agreements Laws, Etc</w:t>
      </w:r>
      <w:r>
        <w:rPr>
          <w:rFonts w:ascii="Arial" w:cs="Arial" w:eastAsia="Arial" w:hAnsi="Arial"/>
          <w:sz w:val="17"/>
          <w:szCs w:val="17"/>
          <w:color w:val="auto"/>
        </w:rPr>
        <w:t>. Unless otherwise expressly provided herein, (a) references to organizational documents, agreements (including the Credit Documents), and other Contractual Requirements shall be deemed to include all subsequent amendments, restatements, amendment, and restatements, extensions, supplements, modifications, replacements, refinancings, renewals, or increases, but only to the extent that such amendments, restatements, amendment, and restatements, extensions, supplements, modifications, replacements, refinancings, renewals, or increases are permitted by any Credit Document; and (b) references to any Requirement of Law shall include all statutory and regulatory provisions consolidating, amending, replacing, supplementing, or interpreting such Requirement of Law.</w:t>
      </w:r>
    </w:p>
    <w:p>
      <w:pPr>
        <w:spacing w:after="0" w:line="178"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u w:val="single" w:color="auto"/>
          <w:color w:val="auto"/>
        </w:rPr>
        <w:t>Exchange Rates</w:t>
      </w:r>
      <w:r>
        <w:rPr>
          <w:rFonts w:ascii="Arial" w:cs="Arial" w:eastAsia="Arial" w:hAnsi="Arial"/>
          <w:sz w:val="16"/>
          <w:szCs w:val="16"/>
          <w:color w:val="auto"/>
        </w:rPr>
        <w:t xml:space="preserve">. Notwithstanding the foregoing, for purposes of any determination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or any determination under any other provision of this Agreement expressly requiring the use of a current exchange rate, all amounts incurred, outstanding, or proposed to be incurred or outstanding in currencies other than Dollars shall be translated into Dollars at the Spot Rate;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for purposes of determining compliance with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with respect to the amount of any Indebtedness, Restricted Investment, Lien, Asset Sale, or Restricted Payment in a currency other than Dollars, no Default or Event of Default shall be deemed to have occurred solely as a result of changes in rates of exchange occurring after the time such Indebtedness, Lien or Restricted Investment is incurred or Asset Sale or Restricted Payment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the foregoing provisions of this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shall otherwise apply to such Sections, including with respect to determining whether any Indebtedness, Lien, or Investment may be incurred or Asset Sale or Restricted Payment made at any time under such Sections. For purposes of any determination of Consolidated Total Debt or Consolidated First Lien Secured Debt, amounts in</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341" w:right="339" w:bottom="1440" w:gutter="0" w:footer="0" w:header="0"/>
        </w:sectPr>
      </w:pPr>
    </w:p>
    <w:bookmarkStart w:id="141" w:name="page142"/>
    <w:bookmarkEnd w:id="141"/>
    <w:p>
      <w:pPr>
        <w:ind w:right="520"/>
        <w:spacing w:after="0" w:line="277" w:lineRule="auto"/>
        <w:rPr>
          <w:sz w:val="20"/>
          <w:szCs w:val="20"/>
          <w:color w:val="auto"/>
        </w:rPr>
      </w:pPr>
      <w:r>
        <w:rPr>
          <w:rFonts w:ascii="Arial" w:cs="Arial" w:eastAsia="Arial" w:hAnsi="Arial"/>
          <w:sz w:val="18"/>
          <w:szCs w:val="18"/>
          <w:color w:val="auto"/>
        </w:rPr>
        <w:t>currencies other than Dollars shall be translated into Dollars at the currency exchange rates used in preparing the most recently delivered Section 9.1 Financials..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u w:val="single" w:color="auto"/>
          <w:color w:val="auto"/>
        </w:rPr>
        <w:t>Rates</w:t>
      </w:r>
      <w:r>
        <w:rPr>
          <w:rFonts w:ascii="Arial" w:cs="Arial" w:eastAsia="Arial" w:hAnsi="Arial"/>
          <w:sz w:val="18"/>
          <w:szCs w:val="18"/>
          <w:color w:val="auto"/>
        </w:rPr>
        <w:t>. The Administrative Agent does not warrant, nor accept responsibility, nor shall the Administrative Agent have any liability with respect to the administration, submission, or any other matter related to the rates in the definition of “LIBOR Rate” or with respect to any rate that is an alternative or replacement for or successor to any such rate (including, without limitation, any LIBOR Successor Rate) or the effect of any of the foregoing, or of any LIBOR Successor Rate Conforming Changes.</w:t>
      </w:r>
    </w:p>
    <w:p>
      <w:pPr>
        <w:spacing w:after="0" w:line="18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u w:val="single" w:color="auto"/>
          <w:color w:val="auto"/>
        </w:rPr>
        <w:t>Times of Day</w:t>
      </w:r>
      <w:r>
        <w:rPr>
          <w:rFonts w:ascii="Arial" w:cs="Arial" w:eastAsia="Arial" w:hAnsi="Arial"/>
          <w:sz w:val="18"/>
          <w:szCs w:val="18"/>
          <w:color w:val="auto"/>
        </w:rPr>
        <w:t>. Unless otherwise specified, all references herein to times of day shall be references to Eastern time (daylight or standard, as applicable).</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1.9 </w:t>
      </w:r>
      <w:r>
        <w:rPr>
          <w:rFonts w:ascii="Arial" w:cs="Arial" w:eastAsia="Arial" w:hAnsi="Arial"/>
          <w:sz w:val="18"/>
          <w:szCs w:val="18"/>
          <w:u w:val="single" w:color="auto"/>
          <w:color w:val="auto"/>
        </w:rPr>
        <w:t>Timing of Payment or Performance</w:t>
      </w:r>
      <w:r>
        <w:rPr>
          <w:rFonts w:ascii="Arial" w:cs="Arial" w:eastAsia="Arial" w:hAnsi="Arial"/>
          <w:sz w:val="18"/>
          <w:szCs w:val="18"/>
          <w:color w:val="auto"/>
        </w:rPr>
        <w:t>. Except as otherwise provided herein, when the payment of any obligation or the performance of any covenant, duty, or obligation is stated to be due or performance required on (or before) a day which is not a Business Day, the date of such payment (other than as described in the definition of “Interest Period”) or performance shall extend to the immediately succeeding Business Day, and such extension of time shall be reflected in computing interest or fees, as the case may be.</w:t>
      </w:r>
    </w:p>
    <w:p>
      <w:pPr>
        <w:spacing w:after="0" w:line="187"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 xml:space="preserve">1.10 </w:t>
      </w:r>
      <w:r>
        <w:rPr>
          <w:rFonts w:ascii="Arial" w:cs="Arial" w:eastAsia="Arial" w:hAnsi="Arial"/>
          <w:sz w:val="16"/>
          <w:szCs w:val="16"/>
          <w:u w:val="single" w:color="auto"/>
          <w:color w:val="auto"/>
        </w:rPr>
        <w:t>Certifications</w:t>
      </w:r>
      <w:r>
        <w:rPr>
          <w:rFonts w:ascii="Arial" w:cs="Arial" w:eastAsia="Arial" w:hAnsi="Arial"/>
          <w:sz w:val="16"/>
          <w:szCs w:val="16"/>
          <w:color w:val="auto"/>
        </w:rPr>
        <w:t>. All certifications to be made hereunder by an officer or representative of a Credit Party shall be made by such a Person in his or her capacity solely as an officer or a representative of such Credit Party, on such Credit Party’s behalf and not in such Person’s individual capacity.</w:t>
      </w:r>
    </w:p>
    <w:p>
      <w:pPr>
        <w:spacing w:after="0" w:line="124"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Compliance with Certain Sections</w:t>
      </w:r>
      <w:r>
        <w:rPr>
          <w:rFonts w:ascii="Arial" w:cs="Arial" w:eastAsia="Arial" w:hAnsi="Arial"/>
          <w:sz w:val="17"/>
          <w:szCs w:val="17"/>
          <w:color w:val="auto"/>
        </w:rPr>
        <w:t xml:space="preserve">. In the event that any Lien, Investment, Indebtedness (whether at the time of incurrence or upon application of all or a portion of the proceeds thereof), disposition, Restricted Payment, Affiliate transaction, Contractual Requirement, or prepayment of Indebtedness meets the criteria of one or more than one of the categories of transactions then permitted pursuant to any clause or subsection of </w:t>
      </w:r>
      <w:r>
        <w:rPr>
          <w:rFonts w:ascii="Arial" w:cs="Arial" w:eastAsia="Arial" w:hAnsi="Arial"/>
          <w:sz w:val="17"/>
          <w:szCs w:val="17"/>
          <w:u w:val="single" w:color="auto"/>
          <w:color w:val="auto"/>
        </w:rPr>
        <w:t>Section 9.9</w:t>
      </w:r>
      <w:r>
        <w:rPr>
          <w:rFonts w:ascii="Arial" w:cs="Arial" w:eastAsia="Arial" w:hAnsi="Arial"/>
          <w:sz w:val="17"/>
          <w:szCs w:val="17"/>
          <w:color w:val="auto"/>
        </w:rPr>
        <w:t xml:space="preserve"> or any clause or subsection of </w:t>
      </w:r>
      <w:r>
        <w:rPr>
          <w:rFonts w:ascii="Arial" w:cs="Arial" w:eastAsia="Arial" w:hAnsi="Arial"/>
          <w:sz w:val="17"/>
          <w:szCs w:val="17"/>
          <w:u w:val="single" w:color="auto"/>
          <w:color w:val="auto"/>
        </w:rPr>
        <w:t>Sections 10.1</w:t>
      </w:r>
      <w:r>
        <w:rPr>
          <w:rFonts w:ascii="Arial" w:cs="Arial" w:eastAsia="Arial" w:hAnsi="Arial"/>
          <w:sz w:val="17"/>
          <w:szCs w:val="17"/>
          <w:color w:val="auto"/>
        </w:rPr>
        <w:t xml:space="preserve">, </w:t>
      </w:r>
      <w:r>
        <w:rPr>
          <w:rFonts w:ascii="Arial" w:cs="Arial" w:eastAsia="Arial" w:hAnsi="Arial"/>
          <w:sz w:val="17"/>
          <w:szCs w:val="17"/>
          <w:u w:val="single" w:color="auto"/>
          <w:color w:val="auto"/>
        </w:rPr>
        <w:t>10.2</w:t>
      </w:r>
      <w:r>
        <w:rPr>
          <w:rFonts w:ascii="Arial" w:cs="Arial" w:eastAsia="Arial" w:hAnsi="Arial"/>
          <w:sz w:val="17"/>
          <w:szCs w:val="17"/>
          <w:color w:val="auto"/>
        </w:rPr>
        <w:t xml:space="preserve">, </w:t>
      </w:r>
      <w:r>
        <w:rPr>
          <w:rFonts w:ascii="Arial" w:cs="Arial" w:eastAsia="Arial" w:hAnsi="Arial"/>
          <w:sz w:val="17"/>
          <w:szCs w:val="17"/>
          <w:u w:val="single" w:color="auto"/>
          <w:color w:val="auto"/>
        </w:rPr>
        <w:t>10.3</w:t>
      </w:r>
      <w:r>
        <w:rPr>
          <w:rFonts w:ascii="Arial" w:cs="Arial" w:eastAsia="Arial" w:hAnsi="Arial"/>
          <w:sz w:val="17"/>
          <w:szCs w:val="17"/>
          <w:color w:val="auto"/>
        </w:rPr>
        <w:t xml:space="preserve">, </w:t>
      </w:r>
      <w:r>
        <w:rPr>
          <w:rFonts w:ascii="Arial" w:cs="Arial" w:eastAsia="Arial" w:hAnsi="Arial"/>
          <w:sz w:val="17"/>
          <w:szCs w:val="17"/>
          <w:u w:val="single" w:color="auto"/>
          <w:color w:val="auto"/>
        </w:rPr>
        <w:t>10.4</w:t>
      </w:r>
      <w:r>
        <w:rPr>
          <w:rFonts w:ascii="Arial" w:cs="Arial" w:eastAsia="Arial" w:hAnsi="Arial"/>
          <w:sz w:val="17"/>
          <w:szCs w:val="17"/>
          <w:color w:val="auto"/>
        </w:rPr>
        <w:t xml:space="preserve">, </w:t>
      </w:r>
      <w:r>
        <w:rPr>
          <w:rFonts w:ascii="Arial" w:cs="Arial" w:eastAsia="Arial" w:hAnsi="Arial"/>
          <w:sz w:val="17"/>
          <w:szCs w:val="17"/>
          <w:u w:val="single" w:color="auto"/>
          <w:color w:val="auto"/>
        </w:rPr>
        <w:t>10.5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10.6</w:t>
      </w:r>
      <w:r>
        <w:rPr>
          <w:rFonts w:ascii="Arial" w:cs="Arial" w:eastAsia="Arial" w:hAnsi="Arial"/>
          <w:sz w:val="17"/>
          <w:szCs w:val="17"/>
          <w:color w:val="auto"/>
        </w:rPr>
        <w:t xml:space="preserve"> then, such transaction (or portion thereof) at any time shall be allocated to one or more of such clauses or subsections within the relevant sections as determined by the Borrower in its sole discretion at such time.</w:t>
      </w:r>
    </w:p>
    <w:p>
      <w:pPr>
        <w:spacing w:after="0" w:line="176"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u w:val="single" w:color="auto"/>
          <w:color w:val="auto"/>
        </w:rPr>
        <w:t>Pro Forma and Other Calculations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67" w:lineRule="auto"/>
        <w:tabs>
          <w:tab w:leader="none" w:pos="1028"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For purposes of calculating </w:t>
      </w:r>
      <w:r>
        <w:rPr>
          <w:rFonts w:ascii="Arial" w:cs="Arial" w:eastAsia="Arial" w:hAnsi="Arial"/>
          <w:sz w:val="17"/>
          <w:szCs w:val="17"/>
          <w:color w:val="FF0000"/>
          <w:strike w:val="1"/>
        </w:rPr>
        <w:t>the Fixed Charge Coverage Ratio</w:t>
      </w:r>
      <w:r>
        <w:rPr>
          <w:rFonts w:ascii="Arial" w:cs="Arial" w:eastAsia="Arial" w:hAnsi="Arial"/>
          <w:sz w:val="17"/>
          <w:szCs w:val="17"/>
          <w:u w:val="single" w:color="auto"/>
          <w:color w:val="0000FF"/>
        </w:rPr>
        <w:t>any financial ratio</w:t>
      </w:r>
      <w:r>
        <w:rPr>
          <w:rFonts w:ascii="Arial" w:cs="Arial" w:eastAsia="Arial" w:hAnsi="Arial"/>
          <w:sz w:val="17"/>
          <w:szCs w:val="17"/>
          <w:color w:val="auto"/>
        </w:rPr>
        <w:t xml:space="preserve">, Investments, acquisitions, dispositions, mergers, consolidations, and disposed operations (as determined in accordance with GAAP) that have been made by Holdings or any Restricted Subsidiary during the Test Period or subsequent to such Test Period and on or prior to or simultaneously with the date of determination shall be calculated on a Pro Forma Basis assuming that all such Investments, acquisitions, dispositions, mergers, consolidations, and disposed operations (and the change in any associated fixed charge obligations and the change in Consolidated EBITDA resulting therefrom) had occurred on the first day of the Test Period. If since the beginning of such period any Person (that subsequently became a Restricted Subsidiary or was merged with or into Holdings or any Restricted Subsidiary since the beginning of such period) shall have made any Investment, acquisition, disposition, merger, consolidation, or disposed operation that would have required adjustment pursuant to this definition, then the </w:t>
      </w:r>
      <w:r>
        <w:rPr>
          <w:rFonts w:ascii="Arial" w:cs="Arial" w:eastAsia="Arial" w:hAnsi="Arial"/>
          <w:sz w:val="17"/>
          <w:szCs w:val="17"/>
          <w:color w:val="FF0000"/>
          <w:strike w:val="1"/>
        </w:rPr>
        <w:t>Fixed Charge Coverage Ratio</w:t>
      </w:r>
      <w:r>
        <w:rPr>
          <w:rFonts w:ascii="Arial" w:cs="Arial" w:eastAsia="Arial" w:hAnsi="Arial"/>
          <w:sz w:val="17"/>
          <w:szCs w:val="17"/>
          <w:u w:val="single" w:color="auto"/>
          <w:color w:val="0000FF"/>
        </w:rPr>
        <w:t>applicable financial ratio</w:t>
      </w:r>
      <w:r>
        <w:rPr>
          <w:rFonts w:ascii="Arial" w:cs="Arial" w:eastAsia="Arial" w:hAnsi="Arial"/>
          <w:sz w:val="17"/>
          <w:szCs w:val="17"/>
          <w:color w:val="auto"/>
        </w:rPr>
        <w:t xml:space="preserve"> shall be calculated giving Pro Forma Effect thereto for such Test Period as if such Investment, acquisition, disposition, merger, consolidation, or disposed operation had occurred at the beginning of the Test Period. Notwithstanding anything to the contrary herein, with respect to any amounts incurred or transactions entered into (or consummated) in reliance on a provision of this Agreement that does not require compliance with a financial ratio or test (including, without limitation</w:t>
      </w:r>
      <w:r>
        <w:rPr>
          <w:rFonts w:ascii="Arial" w:cs="Arial" w:eastAsia="Arial" w:hAnsi="Arial"/>
          <w:sz w:val="17"/>
          <w:szCs w:val="17"/>
          <w:color w:val="FF0000"/>
          <w:strike w:val="1"/>
        </w:rPr>
        <w:t>, the Fixed Charge</w:t>
      </w:r>
      <w:r>
        <w:rPr>
          <w:rFonts w:ascii="Arial" w:cs="Arial" w:eastAsia="Arial" w:hAnsi="Arial"/>
          <w:sz w:val="17"/>
          <w:szCs w:val="17"/>
          <w:color w:val="auto"/>
        </w:rPr>
        <w:t xml:space="preserve"> </w:t>
      </w:r>
      <w:r>
        <w:rPr>
          <w:rFonts w:ascii="Arial" w:cs="Arial" w:eastAsia="Arial" w:hAnsi="Arial"/>
          <w:sz w:val="17"/>
          <w:szCs w:val="17"/>
          <w:color w:val="FF0000"/>
          <w:strike w:val="1"/>
        </w:rPr>
        <w:t>Coverage Ratio</w:t>
      </w:r>
      <w:r>
        <w:rPr>
          <w:rFonts w:ascii="Arial" w:cs="Arial" w:eastAsia="Arial" w:hAnsi="Arial"/>
          <w:sz w:val="17"/>
          <w:szCs w:val="17"/>
          <w:color w:val="000000"/>
        </w:rPr>
        <w:t>, the Consolidated First Lien Secured Debt to Consolidated EBITDA Ratio and Consolidated Total Debt to Consolidated EBITDA Ratio)</w:t>
      </w:r>
      <w:r>
        <w:rPr>
          <w:rFonts w:ascii="Arial" w:cs="Arial" w:eastAsia="Arial" w:hAnsi="Arial"/>
          <w:sz w:val="17"/>
          <w:szCs w:val="17"/>
          <w:color w:val="FF0000"/>
        </w:rPr>
        <w:t xml:space="preserve"> </w:t>
      </w:r>
      <w:r>
        <w:rPr>
          <w:rFonts w:ascii="Arial" w:cs="Arial" w:eastAsia="Arial" w:hAnsi="Arial"/>
          <w:sz w:val="17"/>
          <w:szCs w:val="17"/>
          <w:color w:val="000000"/>
        </w:rPr>
        <w:t>(any such amounts, the “</w:t>
      </w:r>
      <w:r>
        <w:rPr>
          <w:rFonts w:ascii="Arial" w:cs="Arial" w:eastAsia="Arial" w:hAnsi="Arial"/>
          <w:sz w:val="17"/>
          <w:szCs w:val="17"/>
          <w:b w:val="1"/>
          <w:bCs w:val="1"/>
          <w:color w:val="000000"/>
        </w:rPr>
        <w:t>Fixed Amounts</w:t>
      </w:r>
      <w:r>
        <w:rPr>
          <w:rFonts w:ascii="Arial" w:cs="Arial" w:eastAsia="Arial" w:hAnsi="Arial"/>
          <w:sz w:val="17"/>
          <w:szCs w:val="17"/>
          <w:color w:val="000000"/>
        </w:rPr>
        <w:t>”) substantially concurrently with any amounts Incurred or transactions entered into (or consummated) in reliance on a provision of this Agreement that requires compliance with any such financial ratio or test (any such amounts, the “</w:t>
      </w:r>
      <w:r>
        <w:rPr>
          <w:rFonts w:ascii="Arial" w:cs="Arial" w:eastAsia="Arial" w:hAnsi="Arial"/>
          <w:sz w:val="17"/>
          <w:szCs w:val="17"/>
          <w:b w:val="1"/>
          <w:bCs w:val="1"/>
          <w:color w:val="000000"/>
        </w:rPr>
        <w:t>Incurrence Based Amounts</w:t>
      </w:r>
      <w:r>
        <w:rPr>
          <w:rFonts w:ascii="Arial" w:cs="Arial" w:eastAsia="Arial" w:hAnsi="Arial"/>
          <w:sz w:val="17"/>
          <w:szCs w:val="17"/>
          <w:color w:val="000000"/>
        </w:rPr>
        <w:t>”), it is understood and agreed that the Fixed Amounts (and any cash proceeds thereof) shall be disregarded in the calculation of the financial ratio or test applicable to the Incurrence Based Amounts in connection with such substantially concurrent Incurrence, except that Incurrences of Indebtedness and Liens constituting Fixed Amounts shall be taken into</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320" w:top="341" w:right="35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t xml:space="preserve">account for purposes of Incurrence Based Amounts other than Incurrence Based Amounts contained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185" w:lineRule="exact"/>
        <w:rPr>
          <w:sz w:val="20"/>
          <w:szCs w:val="20"/>
          <w:color w:val="auto"/>
        </w:rPr>
      </w:pPr>
    </w:p>
    <w:p>
      <w:pPr>
        <w:ind w:firstLine="656"/>
        <w:spacing w:after="0" w:line="286" w:lineRule="auto"/>
        <w:tabs>
          <w:tab w:leader="none" w:pos="1034"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Whenever Pro Forma Effect is to be given to a transaction, the pro forma calculations shall be made in good faith by a responsible financial or accounting officer of the Borrower (and may include, for the avoidance of doubt and without duplication, cost savings, and operating expense reductions resulting from such Investment, acquisition, merger, or consolidation which is being given Pro Forma Effect that have been or are expected to be realized;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costs savings and operating expense reductions are made in compliance with the definition of “Pro Forma Adjustment”). If any Indebtedness bears a floating rate of interest and is being given Pro Forma Effect, the interest on such Indebtedness shall be calculated as if the rate in effect on the date of determination had been the applicable rate for the entire period (taking into account for such entire period, any Hedging Obligation applicable to such Indebtedness with a remaining term of 12 months or longer, and in the case of any Hedging Obligation applicable to such Indebtedness with a remaining term of less than 12 months, taking into account such Hedging Obligation to the extent of its remaining term). Interest on a Capitalized Lease Obligation shall be deemed to accrue at an interest rate reasonably determined by a responsible financial or accounting officer of Holdings to be the rate of interest implicit in such Capitalized Lease Obligation in accordance with GAAP. For purposes of making the computation referred to above, interest on any Indebtedness under a revolving credit facility computed on a Pro Forma Basis shall be computed based upon the average daily balance of such Indebtedness during the applicable period (or, if lower, the greater of (i) maximum commitments under such revolving credit facilities as of the date of determination and (ii) the aggregate principal amount of loans outstanding under such a revolving credit facilities on such date). Interest on Indebtedness that may optionally be determined at an interest rate based upon a factor of a prime or similar rate, a eurocurrency interbank offered rate, or other rate, shall be deemed to have been based upon the rate actually chosen, or, if none, then based upon such optional rate chosen as the Borrower may designate.</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any action being taken solely in connection with a Limited Condition Transaction, for purposes of:</w:t>
      </w:r>
    </w:p>
    <w:p>
      <w:pPr>
        <w:spacing w:after="0" w:line="185" w:lineRule="exact"/>
        <w:rPr>
          <w:sz w:val="20"/>
          <w:szCs w:val="20"/>
          <w:color w:val="auto"/>
        </w:rPr>
      </w:pPr>
    </w:p>
    <w:p>
      <w:pPr>
        <w:ind w:left="660" w:firstLine="887"/>
        <w:spacing w:after="0" w:line="342" w:lineRule="auto"/>
        <w:tabs>
          <w:tab w:leader="none" w:pos="1901" w:val="left"/>
        </w:tabs>
        <w:numPr>
          <w:ilvl w:val="0"/>
          <w:numId w:val="90"/>
        </w:numPr>
        <w:rPr>
          <w:rFonts w:ascii="Arial" w:cs="Arial" w:eastAsia="Arial" w:hAnsi="Arial"/>
          <w:sz w:val="16"/>
          <w:szCs w:val="16"/>
          <w:color w:val="auto"/>
        </w:rPr>
      </w:pPr>
      <w:r>
        <w:rPr>
          <w:rFonts w:ascii="Arial" w:cs="Arial" w:eastAsia="Arial" w:hAnsi="Arial"/>
          <w:sz w:val="16"/>
          <w:szCs w:val="16"/>
          <w:color w:val="auto"/>
        </w:rPr>
        <w:t>determining compliance with any provision of this Agreement which requires the calculation of the Consolidated First Lien Secured Debt to Consolidated EBITDA Ratio</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0000FF"/>
        </w:rPr>
        <w:t>or</w:t>
      </w:r>
      <w:r>
        <w:rPr>
          <w:rFonts w:ascii="Arial" w:cs="Arial" w:eastAsia="Arial" w:hAnsi="Arial"/>
          <w:sz w:val="16"/>
          <w:szCs w:val="16"/>
          <w:color w:val="auto"/>
        </w:rPr>
        <w:t xml:space="preserve"> Consolidated Total Debt to Consolidated EBITDA Ratio </w:t>
      </w:r>
      <w:r>
        <w:rPr>
          <w:rFonts w:ascii="Arial" w:cs="Arial" w:eastAsia="Arial" w:hAnsi="Arial"/>
          <w:sz w:val="16"/>
          <w:szCs w:val="16"/>
          <w:color w:val="FF0000"/>
          <w:strike w:val="1"/>
        </w:rPr>
        <w:t>or the Fixed Charge Coverage Ratio</w:t>
      </w:r>
      <w:r>
        <w:rPr>
          <w:rFonts w:ascii="Arial" w:cs="Arial" w:eastAsia="Arial" w:hAnsi="Arial"/>
          <w:sz w:val="16"/>
          <w:szCs w:val="16"/>
          <w:color w:val="auto"/>
        </w:rPr>
        <w:t>; or</w:t>
      </w:r>
    </w:p>
    <w:p>
      <w:pPr>
        <w:spacing w:after="0" w:line="83" w:lineRule="exact"/>
        <w:rPr>
          <w:rFonts w:ascii="Arial" w:cs="Arial" w:eastAsia="Arial" w:hAnsi="Arial"/>
          <w:sz w:val="16"/>
          <w:szCs w:val="16"/>
          <w:color w:val="auto"/>
        </w:rPr>
      </w:pPr>
    </w:p>
    <w:p>
      <w:pPr>
        <w:jc w:val="both"/>
        <w:ind w:left="660" w:right="200" w:firstLine="887"/>
        <w:spacing w:after="0" w:line="263" w:lineRule="auto"/>
        <w:tabs>
          <w:tab w:leader="none" w:pos="1951"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other than for purposes of determining the satisfaction of the conditions precedent to extensions of credit under the Revolving Credit Commitment, determining the accuracy of representations and warranties in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and/or whether a Default or Event of Default shall have occurred and be continuing under </w:t>
      </w:r>
      <w:r>
        <w:rPr>
          <w:rFonts w:ascii="Arial" w:cs="Arial" w:eastAsia="Arial" w:hAnsi="Arial"/>
          <w:sz w:val="18"/>
          <w:szCs w:val="18"/>
          <w:u w:val="single" w:color="auto"/>
          <w:color w:val="auto"/>
        </w:rPr>
        <w:t>Section 11</w:t>
      </w:r>
      <w:r>
        <w:rPr>
          <w:rFonts w:ascii="Arial" w:cs="Arial" w:eastAsia="Arial" w:hAnsi="Arial"/>
          <w:sz w:val="18"/>
          <w:szCs w:val="18"/>
          <w:color w:val="auto"/>
        </w:rPr>
        <w:t>; or</w:t>
      </w:r>
    </w:p>
    <w:p>
      <w:pPr>
        <w:spacing w:after="0" w:line="143" w:lineRule="exact"/>
        <w:rPr>
          <w:rFonts w:ascii="Arial" w:cs="Arial" w:eastAsia="Arial" w:hAnsi="Arial"/>
          <w:sz w:val="18"/>
          <w:szCs w:val="18"/>
          <w:color w:val="auto"/>
        </w:rPr>
      </w:pPr>
    </w:p>
    <w:p>
      <w:pPr>
        <w:ind w:left="660" w:right="480" w:firstLine="887"/>
        <w:spacing w:after="0" w:line="277" w:lineRule="auto"/>
        <w:tabs>
          <w:tab w:leader="none" w:pos="2001" w:val="left"/>
        </w:tabs>
        <w:numPr>
          <w:ilvl w:val="0"/>
          <w:numId w:val="90"/>
        </w:numPr>
        <w:rPr>
          <w:rFonts w:ascii="Arial" w:cs="Arial" w:eastAsia="Arial" w:hAnsi="Arial"/>
          <w:sz w:val="18"/>
          <w:szCs w:val="18"/>
          <w:color w:val="auto"/>
        </w:rPr>
      </w:pPr>
      <w:r>
        <w:rPr>
          <w:rFonts w:ascii="Arial" w:cs="Arial" w:eastAsia="Arial" w:hAnsi="Arial"/>
          <w:sz w:val="18"/>
          <w:szCs w:val="18"/>
          <w:color w:val="auto"/>
        </w:rPr>
        <w:t>testing availability under baskets set forth in this agreement (including baskets measured as a percentage of Consolidated EBITDA or Consolidated Total Assets);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in each case, at the option of the Borrower (the Borrower’s election to exercise such option in connection with any Limited Condition Transaction, an</w:t>
      </w:r>
    </w:p>
    <w:p>
      <w:pPr>
        <w:spacing w:after="0" w:line="35"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LCT Election</w:t>
      </w:r>
      <w:r>
        <w:rPr>
          <w:rFonts w:ascii="Arial" w:cs="Arial" w:eastAsia="Arial" w:hAnsi="Arial"/>
          <w:sz w:val="17"/>
          <w:szCs w:val="17"/>
          <w:color w:val="auto"/>
        </w:rPr>
        <w:t>”) (it being understood and agreed that the Borrower may elect to revoke any LCT Election in its sole discretion), the date of determination of whether any such action is permitted hereunder, shall be deemed to be the date the definitive agreements for such Limited Condition Transaction are entered into (the “</w:t>
      </w:r>
      <w:r>
        <w:rPr>
          <w:rFonts w:ascii="Arial" w:cs="Arial" w:eastAsia="Arial" w:hAnsi="Arial"/>
          <w:sz w:val="17"/>
          <w:szCs w:val="17"/>
          <w:b w:val="1"/>
          <w:bCs w:val="1"/>
          <w:color w:val="auto"/>
        </w:rPr>
        <w:t>LCT Test Date</w:t>
      </w:r>
      <w:r>
        <w:rPr>
          <w:rFonts w:ascii="Arial" w:cs="Arial" w:eastAsia="Arial" w:hAnsi="Arial"/>
          <w:sz w:val="17"/>
          <w:szCs w:val="17"/>
          <w:color w:val="auto"/>
        </w:rPr>
        <w:t>”), and if, after giving Pro Forma Effect to the Limited Condition Transaction and the other transactions to be entered into in connection therewith (including any Incurrence of Indebtedness and the use of proceeds thereof) as if they had occurred at the beginning of the most recent Test Period ending prior to the LCT Test Date, the Borrower could have taken such action on the relevant LCT Test Date in compliance with such ratio or basket, such ratio or basket shall be deemed to have been complied with. For the avoidance of doubt, if the Borrower has made an LCT Election and any of the ratios or baskets for which compliance was determined or tested as of the LCT Test Date are exceeded as a result of fluctuations in any such ratio or basket, including due to fluctuations in Consolidated EBITDA of the Borrower or the Person subject to such Limited Condition Transaction, at or prior to the consummation of the relevant transaction or action, such baskets or ratios will not be deemed to have been exceeded as a result of such fluctuations. If the Borrower has made an LCT Election for any Limited Condition Transaction, then in connection with any subsequent calculation of any ratio or basket availability with</w:t>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320" w:top="341" w:right="379" w:bottom="1440" w:gutter="0" w:footer="0" w:header="0"/>
        </w:sectPr>
      </w:pPr>
    </w:p>
    <w:bookmarkStart w:id="143" w:name="page144"/>
    <w:bookmarkEnd w:id="143"/>
    <w:p>
      <w:pPr>
        <w:ind w:right="20"/>
        <w:spacing w:after="0" w:line="291" w:lineRule="auto"/>
        <w:rPr>
          <w:sz w:val="20"/>
          <w:szCs w:val="20"/>
          <w:color w:val="auto"/>
        </w:rPr>
      </w:pPr>
      <w:r>
        <w:rPr>
          <w:rFonts w:ascii="Arial" w:cs="Arial" w:eastAsia="Arial" w:hAnsi="Arial"/>
          <w:sz w:val="16"/>
          <w:szCs w:val="16"/>
          <w:color w:val="auto"/>
        </w:rPr>
        <w:t>respect to the Incurrence of Indebtedness or Liens, or the making of Restricted Payments, mergers, the conveyance, lease or other transfer of all or substantially all of the assets of the Borrower, the prepayment, redemption, purchase, defeasance or other satisfaction of Indebtedness, or the designation of an Unrestricted Subsidiary on or following the relevant LCT Test Date and prior to the earlier of (i) the date on which such Limited Condition Transaction is consummated or (ii) the date that the definitive agreement for such Limited Condition Transaction is terminated or expires without consummation of such Limited Condition Transaction, any such ratio or basket shall be calculated on a Pro Forma Basis assuming such Limited Condition Transaction and other transactions in connection therewith (including any Incurrence of Indebtedness and the use of proceeds thereof) have been consummated until such time as the Limited Condition Transaction has been consummated or the definitive agreement with respect thereto has been terminated or expires.</w:t>
      </w:r>
    </w:p>
    <w:p>
      <w:pPr>
        <w:spacing w:after="0" w:line="126" w:lineRule="exact"/>
        <w:rPr>
          <w:sz w:val="20"/>
          <w:szCs w:val="20"/>
          <w:color w:val="auto"/>
        </w:rPr>
      </w:pPr>
    </w:p>
    <w:p>
      <w:pPr>
        <w:ind w:right="20" w:firstLine="656"/>
        <w:spacing w:after="0" w:line="259" w:lineRule="auto"/>
        <w:tabs>
          <w:tab w:leader="none" w:pos="1028"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or in any classification under GAAP of any Person, business, assets or operations in respect of which a definitive agreement for the disposition thereof has been entered into as discontinued operations, no Pro Forma Effect shall be given to any discontinued operations (and the EBITDA attributable to any such Person, business, assets or operations shall not be excluded for any purposes hereunder) until such disposition shall have been consummated.</w:t>
      </w:r>
    </w:p>
    <w:p>
      <w:pPr>
        <w:spacing w:after="0" w:line="146" w:lineRule="exact"/>
        <w:rPr>
          <w:rFonts w:ascii="Arial" w:cs="Arial" w:eastAsia="Arial" w:hAnsi="Arial"/>
          <w:sz w:val="18"/>
          <w:szCs w:val="18"/>
          <w:color w:val="auto"/>
        </w:rPr>
      </w:pPr>
    </w:p>
    <w:p>
      <w:pPr>
        <w:ind w:right="60" w:firstLine="656"/>
        <w:spacing w:after="0" w:line="277" w:lineRule="auto"/>
        <w:tabs>
          <w:tab w:leader="none" w:pos="1028"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determination of Consolidated Total Assets shall be made by reference to the last day of the Test Period most recently ended on or prior to the relevant date of determination.</w:t>
      </w:r>
    </w:p>
    <w:p>
      <w:pPr>
        <w:spacing w:after="0" w:line="13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Divisions</w:t>
      </w:r>
      <w:r>
        <w:rPr>
          <w:rFonts w:ascii="Arial" w:cs="Arial" w:eastAsia="Arial" w:hAnsi="Arial"/>
          <w:sz w:val="18"/>
          <w:szCs w:val="18"/>
          <w:color w:val="auto"/>
        </w:rPr>
        <w:t>. For all purposes under the Credit Documents, in connection with any division or plan of division under Delaware law (or any comparable event under a different jurisdiction’s laws): (a) if any asset, right, obligation or liability of any Person becomes an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47"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u w:val="single" w:color="auto"/>
          <w:color w:val="auto"/>
        </w:rPr>
        <w:t>Amendment and Restatement</w:t>
      </w:r>
      <w:r>
        <w:rPr>
          <w:rFonts w:ascii="Arial" w:cs="Arial" w:eastAsia="Arial" w:hAnsi="Arial"/>
          <w:sz w:val="17"/>
          <w:szCs w:val="17"/>
          <w:color w:val="auto"/>
        </w:rPr>
        <w:t xml:space="preserve">. This Agreement shall amend and restate the Original Credit Agreement in its entirety, with the parties hereby agreeing that there is no novation of the Original Credit Agreement or any other Credit Document and from and after the effectiveness of this Agreement, the rights and obligations of the parties under the Original Credit Agreement shall be subsumed and governed by this Agreement. From and after the effectiveness of this Agreement, the Obligations under the Original Credit Agreement shall continue as Obligations under this Agreement and the Credit Documents until otherwise paid in accordance with the terms hereof. The Security Documents and the grant of Liens on all of the Collateral described therein do and shall continue to secure the payment of all Obligations. Without limiting the generality of the foregoing, the parties hereto acknowledge and agree that the Liens securing the “Obligations” as defined in the Original Credit Agreement, shall from and after the Restatement Effective Date secure the payment and performance of all Obligations for the benefit of the Collateral Agent and the Secured Parties, and all such Liens shall continue in full force and effect after giving effect to this Agreement and are hereby confirmed and reaffirmed by each of the Credit Parties. The parties hereto further acknowledge and agree that all “Collateral Documents” as defined in the Original Credit Agreement shall remain in full force and effect after the Restatement Effective Date in favor of and for the benefit of the Collateral Agent and the Secured Parties (with each reference therein to the collateral agent, the credit agreement or a credit document being a reference to the Collateral Agent, this Agreement or the other Credit Documents, as applicable), and each Credit Party hereby confirms and ratifies its obligations thereunder. For the avoidance of doubt, unless otherwise expressly provided herein, upon the Restatement Effective Date, any basket which permits a certain amount of a given type of transaction over the life of the Credit Agreement (however denominated) shall be reset such that any use of such baskets on or subsequent to the Closing Date but prior to the Restatement Effective Date shall be disregarded for purposes of testing such basket;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1.14</w:t>
      </w:r>
      <w:r>
        <w:rPr>
          <w:rFonts w:ascii="Arial" w:cs="Arial" w:eastAsia="Arial" w:hAnsi="Arial"/>
          <w:sz w:val="17"/>
          <w:szCs w:val="17"/>
          <w:color w:val="auto"/>
        </w:rPr>
        <w:t xml:space="preserve"> shall be construed to (i) prohibit any transaction occurring prior to the Restatement Effective Date utilizing the corresponding baskets under the Original Credit Agreement or (ii) apply to the calculation of any adjustment to Consolidated EBITDA (or any related definition).</w:t>
      </w:r>
    </w:p>
    <w:p>
      <w:pPr>
        <w:spacing w:after="0" w:line="14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Amount and Terms of Credit</w:t>
      </w:r>
    </w:p>
    <w:p>
      <w:pPr>
        <w:spacing w:after="0" w:line="18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Commitments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320" w:top="341" w:right="359" w:bottom="1440" w:gutter="0" w:footer="0" w:header="0"/>
        </w:sectPr>
      </w:pPr>
    </w:p>
    <w:bookmarkStart w:id="144" w:name="page145"/>
    <w:bookmarkEnd w:id="144"/>
    <w:p>
      <w:pPr>
        <w:ind w:left="-20" w:right="20" w:firstLine="656"/>
        <w:spacing w:after="0" w:line="271" w:lineRule="auto"/>
        <w:tabs>
          <w:tab w:leader="none" w:pos="1007"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Term A Loans</w:t>
      </w:r>
      <w:r>
        <w:rPr>
          <w:rFonts w:ascii="Arial" w:cs="Arial" w:eastAsia="Arial" w:hAnsi="Arial"/>
          <w:sz w:val="17"/>
          <w:szCs w:val="17"/>
          <w:i w:val="1"/>
          <w:iCs w:val="1"/>
          <w:color w:val="auto"/>
        </w:rPr>
        <w:t>.</w:t>
      </w:r>
      <w:r>
        <w:rPr>
          <w:rFonts w:ascii="Arial" w:cs="Arial" w:eastAsia="Arial" w:hAnsi="Arial"/>
          <w:sz w:val="17"/>
          <w:szCs w:val="17"/>
          <w:color w:val="auto"/>
        </w:rPr>
        <w:t xml:space="preserve"> Subject to and upon the terms and conditions of the Restatement Agreement and this Agreement, the Term A Lenders agree to make the Term A Loans to the Borrower on the Restatement Effective Date, which Term A Loans shall not exceed for any such Term A Lender the Term A Loan Commitment of such Lender and in the aggregate shall not exceed $420,000,000. Such Term Loans (i) may at the option of the Borrower be incurred and maintained as, and/or converted into, ABR Loans or LIBOR Loans;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Term Loans made by each of the Lenders pursuant to the same Borrowing shall, unless otherwise specifically provided herein, consist entirely of Term Loans of the same Type, (ii) may be repaid or prepaid in accordance with the provisions hereof, but once repaid or prepaid, may not be reborrowed, (iii) shall not exceed for any such Lender the Term A Loan Commitment of such Lender, and (iv) shall not exceed in the aggregate the Total Term A Loan Commitments. On the Term A Loan Maturity Date, all then unpaid Term A Loans shall be repaid in full in Dollars.</w:t>
      </w:r>
    </w:p>
    <w:p>
      <w:pPr>
        <w:spacing w:after="0" w:line="124" w:lineRule="exact"/>
        <w:rPr>
          <w:rFonts w:ascii="Arial" w:cs="Arial" w:eastAsia="Arial" w:hAnsi="Arial"/>
          <w:sz w:val="17"/>
          <w:szCs w:val="17"/>
          <w:color w:val="auto"/>
        </w:rPr>
      </w:pPr>
    </w:p>
    <w:p>
      <w:pPr>
        <w:ind w:left="-20" w:firstLine="656"/>
        <w:spacing w:after="0" w:line="286" w:lineRule="auto"/>
        <w:tabs>
          <w:tab w:leader="none" w:pos="1018" w:val="left"/>
        </w:tabs>
        <w:numPr>
          <w:ilvl w:val="0"/>
          <w:numId w:val="92"/>
        </w:numPr>
        <w:rPr>
          <w:rFonts w:ascii="Arial" w:cs="Arial" w:eastAsia="Arial" w:hAnsi="Arial"/>
          <w:sz w:val="16"/>
          <w:szCs w:val="16"/>
          <w:color w:val="auto"/>
        </w:rPr>
      </w:pPr>
      <w:r>
        <w:rPr>
          <w:rFonts w:ascii="Arial" w:cs="Arial" w:eastAsia="Arial" w:hAnsi="Arial"/>
          <w:sz w:val="16"/>
          <w:szCs w:val="16"/>
          <w:color w:val="auto"/>
        </w:rPr>
        <w:t>Subject to and upon the terms and conditions herein set forth each Revolving Credit Lender severally agrees to make Revolving Credit Loans denominated in Dollars to the Borrower from its applicable lending office (each, a “</w:t>
      </w:r>
      <w:r>
        <w:rPr>
          <w:rFonts w:ascii="Arial" w:cs="Arial" w:eastAsia="Arial" w:hAnsi="Arial"/>
          <w:sz w:val="16"/>
          <w:szCs w:val="16"/>
          <w:b w:val="1"/>
          <w:bCs w:val="1"/>
          <w:color w:val="auto"/>
        </w:rPr>
        <w:t>Revolving Credit Loan</w:t>
      </w:r>
      <w:r>
        <w:rPr>
          <w:rFonts w:ascii="Arial" w:cs="Arial" w:eastAsia="Arial" w:hAnsi="Arial"/>
          <w:sz w:val="16"/>
          <w:szCs w:val="16"/>
          <w:color w:val="auto"/>
        </w:rPr>
        <w:t xml:space="preserve">”) in an aggregate principal amount not to exceed at any time outstanding the amount of such Revolving Credit Lender’s Revolving Credit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of the foregoing such Revolving Credit Loans (A) shall be made at any time and from time to time on and after the Restatement Effective Date and prior to the Revolving Credit Maturity Date, (B) may, at the option of the Borrower be incurred and maintained as, and/or converted into, ABR Loans or LIBOR Loans that are Revolving Credit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Revolving Credit Loans made by each of the Lenders pursuant to the same Borrowing shall, unless otherwise specifically provided herein, consist entirely of Revolving Credit Loans of the same Type, (C) may be repaid (without premium or penalty) and reborrowed in accordance with the provisions hereof, (D) shall not, for any Lender at any time, after giving effect thereto and to the application of the proceeds thereof, result in such Revolving Credit Lender’s Revolving Credit Exposure in respect of any Class of Revolving Loans at such time exceeding such Revolving Credit Lender’s Revolving Credit Commitment in respect of such Class of Revolving Loan at such time and (E) shall not, after giving effect thereto and to the application of the proceeds thereof, result at any time in the aggregate amount of the Revolving Credit Lenders’ Revolving Credit Exposures at such time exceeding the Total Revolving Credit Commitment then in effect or the aggregate amount of the Revolving Credit Lenders’ Revolving Credit Exposures of any Class of Revolving Loans at such time exceeding the aggregate Revolving Credit Commitment with respect to such Class.</w:t>
      </w:r>
    </w:p>
    <w:p>
      <w:pPr>
        <w:spacing w:after="0" w:line="119" w:lineRule="exact"/>
        <w:rPr>
          <w:rFonts w:ascii="Arial" w:cs="Arial" w:eastAsia="Arial" w:hAnsi="Arial"/>
          <w:sz w:val="16"/>
          <w:szCs w:val="16"/>
          <w:color w:val="auto"/>
        </w:rPr>
      </w:pPr>
    </w:p>
    <w:p>
      <w:pPr>
        <w:ind w:left="-20" w:right="80" w:firstLine="656"/>
        <w:spacing w:after="0" w:line="288" w:lineRule="auto"/>
        <w:tabs>
          <w:tab w:leader="none" w:pos="1008" w:val="left"/>
        </w:tabs>
        <w:numPr>
          <w:ilvl w:val="0"/>
          <w:numId w:val="92"/>
        </w:numPr>
        <w:rPr>
          <w:rFonts w:ascii="Arial" w:cs="Arial" w:eastAsia="Arial" w:hAnsi="Arial"/>
          <w:sz w:val="16"/>
          <w:szCs w:val="16"/>
          <w:color w:val="auto"/>
        </w:rPr>
      </w:pPr>
      <w:r>
        <w:rPr>
          <w:rFonts w:ascii="Arial" w:cs="Arial" w:eastAsia="Arial" w:hAnsi="Arial"/>
          <w:sz w:val="16"/>
          <w:szCs w:val="16"/>
          <w:color w:val="auto"/>
        </w:rPr>
        <w:t>Subject to and upon the terms and conditions herein set forth, the Swingline Lender in its individual capacity agrees, at any time and from time to time on and after the Restatement Effective Date and prior to the Swingline Maturity Date, to make a loan or loans (each, a “</w:t>
      </w:r>
      <w:r>
        <w:rPr>
          <w:rFonts w:ascii="Arial" w:cs="Arial" w:eastAsia="Arial" w:hAnsi="Arial"/>
          <w:sz w:val="16"/>
          <w:szCs w:val="16"/>
          <w:b w:val="1"/>
          <w:bCs w:val="1"/>
          <w:color w:val="auto"/>
        </w:rPr>
        <w:t>Swingline Loan</w:t>
      </w:r>
      <w:r>
        <w:rPr>
          <w:rFonts w:ascii="Arial" w:cs="Arial" w:eastAsia="Arial" w:hAnsi="Arial"/>
          <w:sz w:val="16"/>
          <w:szCs w:val="16"/>
          <w:color w:val="auto"/>
        </w:rPr>
        <w:t>” and, collectively the “</w:t>
      </w:r>
      <w:r>
        <w:rPr>
          <w:rFonts w:ascii="Arial" w:cs="Arial" w:eastAsia="Arial" w:hAnsi="Arial"/>
          <w:sz w:val="16"/>
          <w:szCs w:val="16"/>
          <w:b w:val="1"/>
          <w:bCs w:val="1"/>
          <w:color w:val="auto"/>
        </w:rPr>
        <w:t>Swingline Loans</w:t>
      </w:r>
      <w:r>
        <w:rPr>
          <w:rFonts w:ascii="Arial" w:cs="Arial" w:eastAsia="Arial" w:hAnsi="Arial"/>
          <w:sz w:val="16"/>
          <w:szCs w:val="16"/>
          <w:color w:val="auto"/>
        </w:rPr>
        <w:t xml:space="preserve">”) to the Borrower, which Swingline Loans (i) shall be ABR Loans, (ii) shall have the benefit of the provisions of </w:t>
      </w:r>
      <w:r>
        <w:rPr>
          <w:rFonts w:ascii="Arial" w:cs="Arial" w:eastAsia="Arial" w:hAnsi="Arial"/>
          <w:sz w:val="16"/>
          <w:szCs w:val="16"/>
          <w:u w:val="single" w:color="auto"/>
          <w:color w:val="auto"/>
        </w:rPr>
        <w:t>Section 2.1(d)</w:t>
      </w:r>
      <w:r>
        <w:rPr>
          <w:rFonts w:ascii="Arial" w:cs="Arial" w:eastAsia="Arial" w:hAnsi="Arial"/>
          <w:sz w:val="16"/>
          <w:szCs w:val="16"/>
          <w:color w:val="auto"/>
        </w:rPr>
        <w:t xml:space="preserve">, (iii) shall not exceed at any time outstanding the Swingline Commitment, (iv) shall not, after giving effect thereto and to the application of the proceeds thereof, result at any time in the aggregate amount of the Revolving Credit Lenders’ Revolving Credit Exposures at such time exceeding the Revolving Credit Commitment then in effect, and (v) may be repaid and reborrowed in accordance with the provisions hereof. On the Swingline Maturity Date, all Swingline Loans shall be repaid in full. The Swingline Lender shall not make any Swingline Loan after receiving a written notice from Holdings, the Borrower, the Administrative Agent or the Required Revolving Credit Lenders stating that a Default or Event of Default exists and is continuing until such time as the Swingline Lender shall have received written notice of (i) rescission of all such notices from the party or parties originally delivering such notice or (ii) the waiver of such Default or Event of Default in accordance with the provisions of </w:t>
      </w:r>
      <w:r>
        <w:rPr>
          <w:rFonts w:ascii="Arial" w:cs="Arial" w:eastAsia="Arial" w:hAnsi="Arial"/>
          <w:sz w:val="16"/>
          <w:szCs w:val="16"/>
          <w:u w:val="single" w:color="auto"/>
          <w:color w:val="auto"/>
        </w:rPr>
        <w:t>Section 13.1</w:t>
      </w:r>
      <w:r>
        <w:rPr>
          <w:rFonts w:ascii="Arial" w:cs="Arial" w:eastAsia="Arial" w:hAnsi="Arial"/>
          <w:sz w:val="16"/>
          <w:szCs w:val="16"/>
          <w:color w:val="auto"/>
        </w:rPr>
        <w:t>.</w:t>
      </w:r>
    </w:p>
    <w:p>
      <w:pPr>
        <w:spacing w:after="0" w:line="114" w:lineRule="exact"/>
        <w:rPr>
          <w:rFonts w:ascii="Arial" w:cs="Arial" w:eastAsia="Arial" w:hAnsi="Arial"/>
          <w:sz w:val="16"/>
          <w:szCs w:val="16"/>
          <w:color w:val="auto"/>
        </w:rPr>
      </w:pPr>
    </w:p>
    <w:p>
      <w:pPr>
        <w:ind w:left="-20" w:firstLine="656"/>
        <w:spacing w:after="0" w:line="271" w:lineRule="auto"/>
        <w:tabs>
          <w:tab w:leader="none" w:pos="1018" w:val="left"/>
        </w:tabs>
        <w:numPr>
          <w:ilvl w:val="0"/>
          <w:numId w:val="92"/>
        </w:numPr>
        <w:rPr>
          <w:rFonts w:ascii="Arial" w:cs="Arial" w:eastAsia="Arial" w:hAnsi="Arial"/>
          <w:sz w:val="17"/>
          <w:szCs w:val="17"/>
          <w:color w:val="auto"/>
        </w:rPr>
      </w:pPr>
      <w:r>
        <w:rPr>
          <w:rFonts w:ascii="Arial" w:cs="Arial" w:eastAsia="Arial" w:hAnsi="Arial"/>
          <w:sz w:val="17"/>
          <w:szCs w:val="17"/>
          <w:color w:val="auto"/>
        </w:rPr>
        <w:t>On any Business Day, the Swingline Lender may, in its sole discretion, give notice to each Revolving Credit Lender that all then-outstanding Swingline Loans shall be funded with a Borrowing of Revolving Credit Loans, in which case (i) Revolving Credit Loans constituting ABR Loans shall be made on the immediately succeeding Business Day (each such Borrowing, a “</w:t>
      </w:r>
      <w:r>
        <w:rPr>
          <w:rFonts w:ascii="Arial" w:cs="Arial" w:eastAsia="Arial" w:hAnsi="Arial"/>
          <w:sz w:val="17"/>
          <w:szCs w:val="17"/>
          <w:b w:val="1"/>
          <w:bCs w:val="1"/>
          <w:color w:val="auto"/>
        </w:rPr>
        <w:t>Mandatory Borrowing</w:t>
      </w:r>
      <w:r>
        <w:rPr>
          <w:rFonts w:ascii="Arial" w:cs="Arial" w:eastAsia="Arial" w:hAnsi="Arial"/>
          <w:sz w:val="17"/>
          <w:szCs w:val="17"/>
          <w:color w:val="auto"/>
        </w:rPr>
        <w:t>”) by each Revolving Credit Lender pro rata based on each Revolving Credit Lender’s Revolving Credit Commitment Percentage, and the proceeds thereof shall be applied directly to the Swingline Lender to repay the Swingline Lender for such outstanding Swingline Loans. Each Revolving Credit Lender hereby irrevocably agrees to make such Revolving Credit Loans upon one Business Day’s notice pursuant to each Mandatory Borrowing in the amount and in the manner specified in the preceding sentence and on the date specified to it in writing by the Swingline Lender notwithstanding (i) that the amount of the Mandatory Borrowing may not comply with the minimum amount for each Borrowing specified in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340" w:top="341" w:right="339" w:bottom="1440" w:gutter="0" w:footer="0" w:header="0"/>
        </w:sectPr>
      </w:pPr>
    </w:p>
    <w:bookmarkStart w:id="145" w:name="page146"/>
    <w:bookmarkEnd w:id="145"/>
    <w:p>
      <w:pPr>
        <w:ind w:right="20"/>
        <w:spacing w:after="0" w:line="270" w:lineRule="auto"/>
        <w:rPr>
          <w:sz w:val="20"/>
          <w:szCs w:val="20"/>
          <w:color w:val="auto"/>
        </w:rPr>
      </w:pP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(ii) whether any conditions specified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are then satisfied, (iii) whether a Default or an Event of Default has occurred and is continuing, (iv) the date of such Mandatory Borrowing, or (v) any reduction in the Total Revolving Credit Commitment after any such Swingline Loans were made. In the event that, in the sole judgment of the Swingline Lender, any Mandatory Borrowing cannot for any reason be made on the date otherwise required above (including as a result of the commencement of a proceeding under the Bankruptcy Code in respect of the Borrower), each Revolving Credit Lender hereby agrees that it shall forthwith purchase from the Swingline Lender (without recourse or warranty) such participation of the outstanding Swingline Loans as shall be necessary to cause the Lenders to share in such Swingline Loans ratably based upon their respective Revolving Credit Commitment Percentages;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principal and interest payable on such Swingline Loans shall be for the account of the Swingline Lender until the date the respective participation is purchased and, to the extent attributable to the purchased participation, shall be payable to such Lender purchasing same from and after such date of purchase.</w:t>
      </w:r>
    </w:p>
    <w:p>
      <w:pPr>
        <w:spacing w:after="0" w:line="123" w:lineRule="exact"/>
        <w:rPr>
          <w:sz w:val="20"/>
          <w:szCs w:val="20"/>
          <w:color w:val="auto"/>
        </w:rPr>
      </w:pPr>
    </w:p>
    <w:p>
      <w:pPr>
        <w:ind w:right="20" w:firstLine="656"/>
        <w:spacing w:after="0" w:line="269" w:lineRule="auto"/>
        <w:tabs>
          <w:tab w:leader="none" w:pos="1028" w:val="left"/>
        </w:tabs>
        <w:numPr>
          <w:ilvl w:val="0"/>
          <w:numId w:val="93"/>
        </w:numPr>
        <w:rPr>
          <w:rFonts w:ascii="Arial" w:cs="Arial" w:eastAsia="Arial" w:hAnsi="Arial"/>
          <w:sz w:val="17"/>
          <w:szCs w:val="17"/>
          <w:color w:val="auto"/>
        </w:rPr>
      </w:pPr>
      <w:r>
        <w:rPr>
          <w:rFonts w:ascii="Arial" w:cs="Arial" w:eastAsia="Arial" w:hAnsi="Arial"/>
          <w:sz w:val="17"/>
          <w:szCs w:val="17"/>
          <w:color w:val="auto"/>
        </w:rPr>
        <w:t>If the maturity date shall have occurred in respect of any tranche of Revolving Credit Commitments (the “</w:t>
      </w:r>
      <w:r>
        <w:rPr>
          <w:rFonts w:ascii="Arial" w:cs="Arial" w:eastAsia="Arial" w:hAnsi="Arial"/>
          <w:sz w:val="17"/>
          <w:szCs w:val="17"/>
          <w:b w:val="1"/>
          <w:bCs w:val="1"/>
          <w:color w:val="auto"/>
        </w:rPr>
        <w:t>Expiring Credit Commitment</w:t>
      </w:r>
      <w:r>
        <w:rPr>
          <w:rFonts w:ascii="Arial" w:cs="Arial" w:eastAsia="Arial" w:hAnsi="Arial"/>
          <w:sz w:val="17"/>
          <w:szCs w:val="17"/>
          <w:color w:val="auto"/>
        </w:rPr>
        <w:t>”) at a time when another tranche or tranches of Revolving Credit Commitments is or are in effect with a longer maturity date (each a “</w:t>
      </w:r>
      <w:r>
        <w:rPr>
          <w:rFonts w:ascii="Arial" w:cs="Arial" w:eastAsia="Arial" w:hAnsi="Arial"/>
          <w:sz w:val="17"/>
          <w:szCs w:val="17"/>
          <w:b w:val="1"/>
          <w:bCs w:val="1"/>
          <w:color w:val="auto"/>
        </w:rPr>
        <w:t>Non-Expiring Credit</w:t>
      </w:r>
      <w:r>
        <w:rPr>
          <w:rFonts w:ascii="Arial" w:cs="Arial" w:eastAsia="Arial" w:hAnsi="Arial"/>
          <w:sz w:val="17"/>
          <w:szCs w:val="17"/>
          <w:color w:val="auto"/>
        </w:rPr>
        <w:t xml:space="preserve"> </w:t>
      </w:r>
      <w:r>
        <w:rPr>
          <w:rFonts w:ascii="Arial" w:cs="Arial" w:eastAsia="Arial" w:hAnsi="Arial"/>
          <w:sz w:val="17"/>
          <w:szCs w:val="17"/>
          <w:b w:val="1"/>
          <w:bCs w:val="1"/>
          <w:color w:val="auto"/>
        </w:rPr>
        <w:t>Commitment</w:t>
      </w:r>
      <w:r>
        <w:rPr>
          <w:rFonts w:ascii="Arial" w:cs="Arial" w:eastAsia="Arial" w:hAnsi="Arial"/>
          <w:sz w:val="17"/>
          <w:szCs w:val="17"/>
          <w:color w:val="auto"/>
        </w:rPr>
        <w:t>” and collectively, the “</w:t>
      </w:r>
      <w:r>
        <w:rPr>
          <w:rFonts w:ascii="Arial" w:cs="Arial" w:eastAsia="Arial" w:hAnsi="Arial"/>
          <w:sz w:val="17"/>
          <w:szCs w:val="17"/>
          <w:b w:val="1"/>
          <w:bCs w:val="1"/>
          <w:color w:val="auto"/>
        </w:rPr>
        <w:t>Non-Expiring Credit Commitments</w:t>
      </w:r>
      <w:r>
        <w:rPr>
          <w:rFonts w:ascii="Arial" w:cs="Arial" w:eastAsia="Arial" w:hAnsi="Arial"/>
          <w:sz w:val="17"/>
          <w:szCs w:val="17"/>
          <w:color w:val="auto"/>
        </w:rPr>
        <w:t>”), then with respect to each outstanding Swingline Loan, if consented to by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Swingline Lender (such consent not to be unreasonably withheld, conditioned or delayed), on the earliest occurring maturity date such Swingline Loan shall be deemed reallocated to the tranche or tranches of the Non-Expiring Credit Commitments on a pro rata basis;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(x) to the extent that the amount of such reallocation would cause the aggregate credit exposure to exceed the aggregate amount of such Non-Expiring Credit Commitments, immediately prior to such reallocation the amount of Swing Line Loans to be reallocated equal to such excess shall be repaid or Cash Collateralized and (y) notwithstanding the foregoing, if a Default or Event of Default has occurred and is continuing, the Borrower shall still be obligated to pay Swingline Loans allocated to the Revolving Credit Lenders holding the Expiring Credit Commitments at the maturity date of the Expiring Credit Commitment or if the Loans have been accelerated prior to the maturity date of the Expiring Credit Commitment. Upon the maturity date of any tranche of Revolving Credit Commitments, the sublimit for Swingline Loans may be reduced as agreed between the Swingline Lender and the Borrower, without the consent of any other Person.</w:t>
      </w:r>
    </w:p>
    <w:p>
      <w:pPr>
        <w:spacing w:after="0" w:line="129"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Minimum Amount of Each Borrowing; Maximum Number of Borrowings</w:t>
      </w:r>
      <w:r>
        <w:rPr>
          <w:rFonts w:ascii="Arial" w:cs="Arial" w:eastAsia="Arial" w:hAnsi="Arial"/>
          <w:sz w:val="17"/>
          <w:szCs w:val="17"/>
          <w:color w:val="auto"/>
        </w:rPr>
        <w:t xml:space="preserve">. The aggregate principal amount of each Borrowing of Term Loans or Revolving Credit Loans shall be in a minimum amount of at least the Minimum Borrowing Amount for such Type of Loans and in a multiple of $100,000 in excess thereof and Swingline Loans shall be in a minimum amount of $500,000 and in a multiple of $100,000 in excess thereof (except that Mandatory Borrowings shall be made in the amounts required by </w:t>
      </w:r>
      <w:r>
        <w:rPr>
          <w:rFonts w:ascii="Arial" w:cs="Arial" w:eastAsia="Arial" w:hAnsi="Arial"/>
          <w:sz w:val="17"/>
          <w:szCs w:val="17"/>
          <w:u w:val="single" w:color="auto"/>
          <w:color w:val="auto"/>
        </w:rPr>
        <w:t>Section 2.1(d)</w:t>
      </w:r>
      <w:r>
        <w:rPr>
          <w:rFonts w:ascii="Arial" w:cs="Arial" w:eastAsia="Arial" w:hAnsi="Arial"/>
          <w:sz w:val="17"/>
          <w:szCs w:val="17"/>
          <w:color w:val="auto"/>
        </w:rPr>
        <w:t xml:space="preserve"> and Revolving Credit Loans to reimburse the Letter of Credit Issuer with respect to any Unpaid Drawing shall be made in the amounts required by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as applicable). More than one Borrowing may be incurred on any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no time shall there be outstanding more than five Borrowings of LIBOR Loans that are Term Loans and ten Borrowings of LIBOR Loans that are Revolving Credit Loans under this Agreement.</w:t>
      </w:r>
    </w:p>
    <w:p>
      <w:pPr>
        <w:spacing w:after="0" w:line="123"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u w:val="single" w:color="auto"/>
          <w:color w:val="auto"/>
        </w:rPr>
        <w:t>Notice of Borrowing</w:t>
      </w:r>
      <w:r>
        <w:rPr>
          <w:rFonts w:ascii="Arial" w:cs="Arial" w:eastAsia="Arial" w:hAnsi="Arial"/>
          <w:sz w:val="17"/>
          <w:szCs w:val="17"/>
          <w:color w:val="auto"/>
        </w:rPr>
        <w:t>.</w:t>
      </w:r>
    </w:p>
    <w:p>
      <w:pPr>
        <w:spacing w:after="0" w:line="171" w:lineRule="exact"/>
        <w:rPr>
          <w:sz w:val="20"/>
          <w:szCs w:val="20"/>
          <w:color w:val="auto"/>
        </w:rPr>
      </w:pPr>
    </w:p>
    <w:p>
      <w:pPr>
        <w:ind w:firstLine="656"/>
        <w:spacing w:after="0" w:line="269" w:lineRule="auto"/>
        <w:tabs>
          <w:tab w:leader="none" w:pos="1024"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Borrower shall give the Administrative Agent at the Administrative Agent’s Office prior to 12:00 p.m. (New York City time) (i) in the case of a Borrowing of Term A Loans that are to be ABR Loans, at least one Business Day’s prior written notice and (ii) in the case of a Borrowing of Term A Loans to be made on the Restatement Effective Date if such Term A Loans are to be LIBOR Loans, at least two Business Day’s prior written notice. Such notice (a “</w:t>
      </w:r>
      <w:r>
        <w:rPr>
          <w:rFonts w:ascii="Arial" w:cs="Arial" w:eastAsia="Arial" w:hAnsi="Arial"/>
          <w:sz w:val="17"/>
          <w:szCs w:val="17"/>
          <w:b w:val="1"/>
          <w:bCs w:val="1"/>
          <w:color w:val="auto"/>
        </w:rPr>
        <w:t>Notice of Borrowing</w:t>
      </w:r>
      <w:r>
        <w:rPr>
          <w:rFonts w:ascii="Arial" w:cs="Arial" w:eastAsia="Arial" w:hAnsi="Arial"/>
          <w:sz w:val="17"/>
          <w:szCs w:val="17"/>
          <w:color w:val="auto"/>
        </w:rPr>
        <w:t>”) shall specify (A) the aggregate principal amount of the Term Loans to be made, (B) the date of the Borrowing (which shall be the Restatement Effective Date) and (C) whether the Term A Loans shall consist of ABR Loans and/or LIBOR Loans and, if the Term A Loans are to include LIBOR Loans, the Interest Period to be initially applicable thereto. A Notice of Borrowing may be in such other form as may be approved by the Administrative Agent (including any form on an electronic platform or electronic transmission system as shall be approved by the Administrative Agent), appropriately completed and signed by an Authorized Officer of the Borrower. A Notice of Borrowing may be given by (x) telephone or (y) a written Notice of Borrowing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telephonic notice must be confirmed promptly by delivery to the Administrative Agent of a written Notice of Borrowing. If no election as to the Type of Borrowing is specified in any such notice, then the</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341" w:right="339" w:bottom="1440" w:gutter="0" w:footer="0" w:header="0"/>
        </w:sectPr>
      </w:pPr>
    </w:p>
    <w:bookmarkStart w:id="146" w:name="page147"/>
    <w:bookmarkEnd w:id="146"/>
    <w:p>
      <w:pPr>
        <w:ind w:right="20"/>
        <w:spacing w:after="0" w:line="311" w:lineRule="auto"/>
        <w:rPr>
          <w:sz w:val="20"/>
          <w:szCs w:val="20"/>
          <w:color w:val="auto"/>
        </w:rPr>
      </w:pPr>
      <w:r>
        <w:rPr>
          <w:rFonts w:ascii="Arial" w:cs="Arial" w:eastAsia="Arial" w:hAnsi="Arial"/>
          <w:sz w:val="16"/>
          <w:szCs w:val="16"/>
          <w:color w:val="auto"/>
        </w:rPr>
        <w:t xml:space="preserve">requested Borrowing shall be an ABR Borrowing. If no Interest Period with respect to any Borrowing of LIBOR Loans is specified in any such notice, then the Borrower shall be deemed to have selected an Interest Period of one month’s duration. The Administrative Agent shall promptly advise the applicable Lenders of any notice given pursuant to this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(and the contents thereof), and of each Lender’s pro rata share of the requested Borrowing.</w:t>
      </w:r>
    </w:p>
    <w:p>
      <w:pPr>
        <w:spacing w:after="0" w:line="108" w:lineRule="exact"/>
        <w:rPr>
          <w:sz w:val="20"/>
          <w:szCs w:val="20"/>
          <w:color w:val="auto"/>
        </w:rPr>
      </w:pPr>
    </w:p>
    <w:p>
      <w:pPr>
        <w:ind w:right="120" w:firstLine="656"/>
        <w:spacing w:after="0" w:line="269" w:lineRule="auto"/>
        <w:tabs>
          <w:tab w:leader="none" w:pos="1034"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Whenever the Borrower desires to incur Revolving Credit Loans (other than Mandatory Borrowings or borrowings to repay Unpaid Drawings), the Borrower shall give the Administrative Agent at the Administrative Agent’s Office, (i) prior to 12:00 noon (New York City Time) at least three Business Days’ prior written notice of each Borrowing of LIBOR Loans that are Revolving Credit Loans and (ii) prior to 10:00 a.m. (New York City time) on the day of such Borrowing prior written notice of each Borrowing of Revolving Credit Loans that are ABR Loans. Such Notice may be given by telephone;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telephonic notice must be confirmed promptly by delivery to the Administrative Agent of a Notice of Borrowing. Each such Notice of Borrowing, except as otherwise expressly provided in </w:t>
      </w:r>
      <w:r>
        <w:rPr>
          <w:rFonts w:ascii="Arial" w:cs="Arial" w:eastAsia="Arial" w:hAnsi="Arial"/>
          <w:sz w:val="17"/>
          <w:szCs w:val="17"/>
          <w:u w:val="single" w:color="auto"/>
          <w:color w:val="auto"/>
        </w:rPr>
        <w:t>Section 2.10</w:t>
      </w:r>
      <w:r>
        <w:rPr>
          <w:rFonts w:ascii="Arial" w:cs="Arial" w:eastAsia="Arial" w:hAnsi="Arial"/>
          <w:sz w:val="17"/>
          <w:szCs w:val="17"/>
          <w:color w:val="auto"/>
        </w:rPr>
        <w:t>, shall specify (x) the aggregate principal amount of the Revolving Credit Loans to be made pursuant to such Borrowing, (y) the date of Borrowing (which shall be a Business Day) and (z) whether the respective Borrowing shall consist of ABR Loans or LIBOR Loans that are Revolving Credit Loans and, if LIBOR Loans that are Revolving Credit Loans, the Interest Period to be initially applicable thereto. The Administrative Agent shall promptly give each Revolving Credit Lender written notice of each proposed Borrowing of Revolving Credit Loans, of such Lender’s Revolving Credit Commitment Percentage thereof, of the identity of the Borrower, and of the other matters covered by the related Notice of Borrowing.</w:t>
      </w:r>
    </w:p>
    <w:p>
      <w:pPr>
        <w:spacing w:after="0" w:line="141" w:lineRule="exact"/>
        <w:rPr>
          <w:rFonts w:ascii="Arial" w:cs="Arial" w:eastAsia="Arial" w:hAnsi="Arial"/>
          <w:sz w:val="17"/>
          <w:szCs w:val="17"/>
          <w:color w:val="auto"/>
        </w:rPr>
      </w:pPr>
    </w:p>
    <w:p>
      <w:pPr>
        <w:ind w:firstLine="656"/>
        <w:spacing w:after="0" w:line="259" w:lineRule="auto"/>
        <w:tabs>
          <w:tab w:leader="none" w:pos="1024" w:val="left"/>
        </w:tabs>
        <w:numPr>
          <w:ilvl w:val="0"/>
          <w:numId w:val="95"/>
        </w:numPr>
        <w:rPr>
          <w:rFonts w:ascii="Arial" w:cs="Arial" w:eastAsia="Arial" w:hAnsi="Arial"/>
          <w:sz w:val="18"/>
          <w:szCs w:val="18"/>
          <w:color w:val="auto"/>
        </w:rPr>
      </w:pPr>
      <w:r>
        <w:rPr>
          <w:rFonts w:ascii="Arial" w:cs="Arial" w:eastAsia="Arial" w:hAnsi="Arial"/>
          <w:sz w:val="18"/>
          <w:szCs w:val="18"/>
          <w:color w:val="auto"/>
        </w:rPr>
        <w:t>Whenever the Borrower desires to incur Swingline Loans hereunder, the Borrower shall give the Swingline Lender written notice with a copy to the Administrative Agent of each Borrowing of Swingline Loans prior to 2:00 p.m. (New York City time) on the date of such Borrowing. Each such notice shall specify (x) the aggregate principal amount of the Swingline Loans to be made pursuant to such Borrowing and (y) the date of Borrowing (which shall be a Business Day).</w:t>
      </w:r>
    </w:p>
    <w:p>
      <w:pPr>
        <w:spacing w:after="0" w:line="146" w:lineRule="exact"/>
        <w:rPr>
          <w:rFonts w:ascii="Arial" w:cs="Arial" w:eastAsia="Arial" w:hAnsi="Arial"/>
          <w:sz w:val="18"/>
          <w:szCs w:val="18"/>
          <w:color w:val="auto"/>
        </w:rPr>
      </w:pPr>
    </w:p>
    <w:p>
      <w:pPr>
        <w:ind w:right="160" w:firstLine="656"/>
        <w:spacing w:after="0" w:line="277" w:lineRule="auto"/>
        <w:tabs>
          <w:tab w:leader="none" w:pos="1038"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Mandatory Borrowings shall be made upon the notice specified in </w:t>
      </w:r>
      <w:r>
        <w:rPr>
          <w:rFonts w:ascii="Arial" w:cs="Arial" w:eastAsia="Arial" w:hAnsi="Arial"/>
          <w:sz w:val="18"/>
          <w:szCs w:val="18"/>
          <w:u w:val="single" w:color="auto"/>
          <w:color w:val="auto"/>
        </w:rPr>
        <w:t>Section 2.1(d)</w:t>
      </w:r>
      <w:r>
        <w:rPr>
          <w:rFonts w:ascii="Arial" w:cs="Arial" w:eastAsia="Arial" w:hAnsi="Arial"/>
          <w:sz w:val="18"/>
          <w:szCs w:val="18"/>
          <w:color w:val="auto"/>
        </w:rPr>
        <w:t>, with the Borrower irrevocably agreeing, by its incurrence of any Swingline Loan, to the making of Mandatory Borrowings as set forth in such Section.</w:t>
      </w:r>
    </w:p>
    <w:p>
      <w:pPr>
        <w:spacing w:after="0" w:line="129" w:lineRule="exact"/>
        <w:rPr>
          <w:rFonts w:ascii="Arial" w:cs="Arial" w:eastAsia="Arial" w:hAnsi="Arial"/>
          <w:sz w:val="18"/>
          <w:szCs w:val="18"/>
          <w:color w:val="auto"/>
        </w:rPr>
      </w:pPr>
    </w:p>
    <w:p>
      <w:pPr>
        <w:ind w:left="1040" w:hanging="384"/>
        <w:spacing w:after="0"/>
        <w:tabs>
          <w:tab w:leader="none" w:pos="10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Borrowings to reimburse Unpaid Drawings shall be made upon the notice specified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right="140" w:firstLine="656"/>
        <w:spacing w:after="0" w:line="263" w:lineRule="auto"/>
        <w:tabs>
          <w:tab w:leader="none" w:pos="1004" w:val="left"/>
        </w:tabs>
        <w:numPr>
          <w:ilvl w:val="0"/>
          <w:numId w:val="95"/>
        </w:numPr>
        <w:rPr>
          <w:rFonts w:ascii="Arial" w:cs="Arial" w:eastAsia="Arial" w:hAnsi="Arial"/>
          <w:sz w:val="18"/>
          <w:szCs w:val="18"/>
          <w:color w:val="auto"/>
        </w:rPr>
      </w:pPr>
      <w:r>
        <w:rPr>
          <w:rFonts w:ascii="Arial" w:cs="Arial" w:eastAsia="Arial" w:hAnsi="Arial"/>
          <w:sz w:val="18"/>
          <w:szCs w:val="18"/>
          <w:color w:val="auto"/>
        </w:rPr>
        <w:t>Without in any way limiting the obligation of the Borrower to confirm in writing any notice it shall give hereunder by telephone (which obligation is absolute), the Administrative Agent may act prior to receipt of written confirmation without liability upon the basis of such telephonic notice believed by the Administrative Agent in good faith to be from an Authorized Officer of Holdings or the Borrower.</w:t>
      </w:r>
    </w:p>
    <w:p>
      <w:pPr>
        <w:spacing w:after="0" w:line="143"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Disbursement of Funds</w:t>
      </w:r>
      <w:r>
        <w:rPr>
          <w:rFonts w:ascii="Arial" w:cs="Arial" w:eastAsia="Arial" w:hAnsi="Arial"/>
          <w:sz w:val="16"/>
          <w:szCs w:val="16"/>
          <w:color w:val="auto"/>
        </w:rPr>
        <w:t>.</w:t>
      </w:r>
    </w:p>
    <w:p>
      <w:pPr>
        <w:spacing w:after="0" w:line="185" w:lineRule="exact"/>
        <w:rPr>
          <w:sz w:val="20"/>
          <w:szCs w:val="20"/>
          <w:color w:val="auto"/>
        </w:rPr>
      </w:pPr>
    </w:p>
    <w:p>
      <w:pPr>
        <w:ind w:right="140" w:firstLine="656"/>
        <w:spacing w:after="0" w:line="275" w:lineRule="auto"/>
        <w:tabs>
          <w:tab w:leader="none" w:pos="1028" w:val="left"/>
        </w:tabs>
        <w:numPr>
          <w:ilvl w:val="0"/>
          <w:numId w:val="96"/>
        </w:numPr>
        <w:rPr>
          <w:rFonts w:ascii="Arial" w:cs="Arial" w:eastAsia="Arial" w:hAnsi="Arial"/>
          <w:sz w:val="17"/>
          <w:szCs w:val="17"/>
          <w:color w:val="auto"/>
        </w:rPr>
      </w:pPr>
      <w:r>
        <w:rPr>
          <w:rFonts w:ascii="Arial" w:cs="Arial" w:eastAsia="Arial" w:hAnsi="Arial"/>
          <w:sz w:val="17"/>
          <w:szCs w:val="17"/>
          <w:color w:val="auto"/>
        </w:rPr>
        <w:t xml:space="preserve">No later than 2:00 p.m. (New York City time) on the date specified in each Notice of Borrowing (including Mandatory Borrowings), each Lender shall make available its pro rata portion, if any, of each Borrowing requested to be made on such date in the manner provided below;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on the Restatement Effective Date, such funds may be made available at such earlier time as may be agreed among the Lenders, Holdings, and the Administrative Agent for the purpose of consummating the Transactions;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all Swingline Loans shall be made available to the Borrower in the full amount thereof by the Swingline Lender no later than 4:00 p.m. (New York City time).</w:t>
      </w:r>
    </w:p>
    <w:p>
      <w:pPr>
        <w:spacing w:after="0" w:line="135" w:lineRule="exact"/>
        <w:rPr>
          <w:rFonts w:ascii="Arial" w:cs="Arial" w:eastAsia="Arial" w:hAnsi="Arial"/>
          <w:sz w:val="17"/>
          <w:szCs w:val="17"/>
          <w:color w:val="auto"/>
        </w:rPr>
      </w:pPr>
    </w:p>
    <w:p>
      <w:pPr>
        <w:ind w:right="20" w:firstLine="656"/>
        <w:spacing w:after="0" w:line="257" w:lineRule="auto"/>
        <w:tabs>
          <w:tab w:leader="none" w:pos="1038" w:val="left"/>
        </w:tabs>
        <w:numPr>
          <w:ilvl w:val="0"/>
          <w:numId w:val="96"/>
        </w:numPr>
        <w:rPr>
          <w:rFonts w:ascii="Arial" w:cs="Arial" w:eastAsia="Arial" w:hAnsi="Arial"/>
          <w:sz w:val="18"/>
          <w:szCs w:val="18"/>
          <w:color w:val="auto"/>
        </w:rPr>
      </w:pPr>
      <w:r>
        <w:rPr>
          <w:rFonts w:ascii="Arial" w:cs="Arial" w:eastAsia="Arial" w:hAnsi="Arial"/>
          <w:sz w:val="18"/>
          <w:szCs w:val="18"/>
          <w:color w:val="auto"/>
        </w:rPr>
        <w:t>Each Lender shall make available all amounts it is to fund to the Borrower under any Borrowing for its applicable Commitments, in Dollars and in immediately available funds, to the Administrative Agent at the Administrative Agent’s Office and the Administrative Agent will (except in the case of Mandatory Borrowings and Borrowings to repay Unpaid Drawings) make available to the Borrower, by depositing to an account designated by Holdings or the Borrower to the Administrative Agent the aggregate of the amounts so made available in Dollars. Unless the Administrative Agent shall have been notified by any Lender prior to the date of any such Borrowing that</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341" w:right="339" w:bottom="1440" w:gutter="0" w:footer="0" w:header="0"/>
        </w:sectPr>
      </w:pPr>
    </w:p>
    <w:bookmarkStart w:id="147" w:name="page148"/>
    <w:bookmarkEnd w:id="147"/>
    <w:p>
      <w:pPr>
        <w:spacing w:after="0" w:line="269" w:lineRule="auto"/>
        <w:rPr>
          <w:sz w:val="20"/>
          <w:szCs w:val="20"/>
          <w:color w:val="auto"/>
        </w:rPr>
      </w:pPr>
      <w:r>
        <w:rPr>
          <w:rFonts w:ascii="Arial" w:cs="Arial" w:eastAsia="Arial" w:hAnsi="Arial"/>
          <w:sz w:val="17"/>
          <w:szCs w:val="17"/>
          <w:color w:val="auto"/>
        </w:rPr>
        <w:t xml:space="preserve">such Lender does not intend to make available to the Administrative Agent its portion of the Borrowing or Borrowings to be made on such date, the Administrative Agent may assume that such Lender has made such amount available to the Administrative Agent on such date of Borrowing, and the Administrative Agent, in reliance upon such assumption, may (in its sole discretion and without any obligation to do so) make available to the Borrower a corresponding amount. If such corresponding amount is not in fact made available to the Administrative Agent by such Lender and the Administrative Agent has made available such amount to the Borrower, the Administrative Agent shall be entitled to recover such corresponding amount from such Lender. If such Lender does not pay such corresponding amount forthwith upon the Administrative Agent’s demand therefor the Administrative Agent shall promptly notify the Borrower and the Borrower shall immediately pay such corresponding amount to the Administrative Agent in Dollars. The Administrative Agent shall also be entitled to recover from such Lender or the Borrower interest on such corresponding amount in respect of each day from the date such corresponding amount was made available by the Administrative Agent to the Borrower to the date such corresponding amount is recovered by the Administrative Agent, at a rate per annum equal to (i) if paid by such Lender, the Overnight Rate or (ii) if paid by the Borrower, the then-applicable rate of interest or fees, calculated in accordance with </w:t>
      </w:r>
      <w:r>
        <w:rPr>
          <w:rFonts w:ascii="Arial" w:cs="Arial" w:eastAsia="Arial" w:hAnsi="Arial"/>
          <w:sz w:val="17"/>
          <w:szCs w:val="17"/>
          <w:u w:val="single" w:color="auto"/>
          <w:color w:val="auto"/>
        </w:rPr>
        <w:t>Section 2.8</w:t>
      </w:r>
      <w:r>
        <w:rPr>
          <w:rFonts w:ascii="Arial" w:cs="Arial" w:eastAsia="Arial" w:hAnsi="Arial"/>
          <w:sz w:val="17"/>
          <w:szCs w:val="17"/>
          <w:color w:val="auto"/>
        </w:rPr>
        <w:t>, for the respective Loans.</w:t>
      </w:r>
    </w:p>
    <w:p>
      <w:pPr>
        <w:spacing w:after="0" w:line="141" w:lineRule="exact"/>
        <w:rPr>
          <w:sz w:val="20"/>
          <w:szCs w:val="20"/>
          <w:color w:val="auto"/>
        </w:rPr>
      </w:pPr>
    </w:p>
    <w:p>
      <w:pPr>
        <w:ind w:right="20" w:firstLine="656"/>
        <w:spacing w:after="0" w:line="263" w:lineRule="auto"/>
        <w:tabs>
          <w:tab w:leader="none" w:pos="1028"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shall be deemed to relieve any Lender from its obligation to, fulfill its commitments hereunder or to prejudice any rights that the Borrower may have against any Lender as a result of any default by such Lender hereunder (it being understood, however, that no Lender shall be responsible for the failure of any other Lender to fulfill its commitments hereunder).</w:t>
      </w:r>
    </w:p>
    <w:p>
      <w:pPr>
        <w:spacing w:after="0" w:line="18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Repayment of Loans; Evidence of Debt</w:t>
      </w:r>
      <w:r>
        <w:rPr>
          <w:rFonts w:ascii="Arial" w:cs="Arial" w:eastAsia="Arial" w:hAnsi="Arial"/>
          <w:sz w:val="16"/>
          <w:szCs w:val="16"/>
          <w:color w:val="auto"/>
        </w:rPr>
        <w:t>.</w:t>
      </w:r>
    </w:p>
    <w:p>
      <w:pPr>
        <w:spacing w:after="0" w:line="225" w:lineRule="exact"/>
        <w:rPr>
          <w:sz w:val="20"/>
          <w:szCs w:val="20"/>
          <w:color w:val="auto"/>
        </w:rPr>
      </w:pPr>
    </w:p>
    <w:p>
      <w:pPr>
        <w:jc w:val="both"/>
        <w:ind w:right="60" w:firstLine="656"/>
        <w:spacing w:after="0" w:line="263" w:lineRule="auto"/>
        <w:tabs>
          <w:tab w:leader="none" w:pos="1024"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Borrower shall repay to the Administrative Agent, for the benefit of the applicable Lenders, on the Term A Loan Maturity Date, the then outstanding Term A Loans. The Borrower shall repay to the Administrative Agent for the benefit of the Revolving Credit Lenders, on the Revolving Credit Maturity Date, the then outstanding Revolving Credit Loans.</w:t>
      </w:r>
    </w:p>
    <w:p>
      <w:pPr>
        <w:spacing w:after="0" w:line="183" w:lineRule="exact"/>
        <w:rPr>
          <w:rFonts w:ascii="Arial" w:cs="Arial" w:eastAsia="Arial" w:hAnsi="Arial"/>
          <w:sz w:val="18"/>
          <w:szCs w:val="18"/>
          <w:color w:val="auto"/>
        </w:rPr>
      </w:pPr>
    </w:p>
    <w:p>
      <w:pPr>
        <w:ind w:right="20" w:firstLine="656"/>
        <w:spacing w:after="0" w:line="259" w:lineRule="auto"/>
        <w:tabs>
          <w:tab w:leader="none" w:pos="1034"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Borrower shall repay to the Administrative Agent for the benefit of the Term A Lenders, (x) on each date set forth below (or if not a Business Day the immediately preceding Business Day) (each, a “</w:t>
      </w:r>
      <w:r>
        <w:rPr>
          <w:rFonts w:ascii="Arial" w:cs="Arial" w:eastAsia="Arial" w:hAnsi="Arial"/>
          <w:sz w:val="18"/>
          <w:szCs w:val="18"/>
          <w:b w:val="1"/>
          <w:bCs w:val="1"/>
          <w:color w:val="auto"/>
        </w:rPr>
        <w:t>Term A Loan Repayment Date</w:t>
      </w:r>
      <w:r>
        <w:rPr>
          <w:rFonts w:ascii="Arial" w:cs="Arial" w:eastAsia="Arial" w:hAnsi="Arial"/>
          <w:sz w:val="18"/>
          <w:szCs w:val="18"/>
          <w:color w:val="auto"/>
        </w:rPr>
        <w:t>”), a principal amount equal to the applicable amount set forth below opposite such Term A Loan Repayment Date and (y) on the Term A Loan Maturity Date, any remaining outstanding amount of Term A Loans (each, a “</w:t>
      </w:r>
      <w:r>
        <w:rPr>
          <w:rFonts w:ascii="Arial" w:cs="Arial" w:eastAsia="Arial" w:hAnsi="Arial"/>
          <w:sz w:val="18"/>
          <w:szCs w:val="18"/>
          <w:b w:val="1"/>
          <w:bCs w:val="1"/>
          <w:color w:val="auto"/>
        </w:rPr>
        <w:t>Term A Loan Repayment Amount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2060" w:type="dxa"/>
        <w:tblCellMar>
          <w:top w:w="0" w:type="dxa"/>
          <w:left w:w="0" w:type="dxa"/>
          <w:bottom w:w="0" w:type="dxa"/>
          <w:right w:w="0" w:type="dxa"/>
        </w:tblCellMar>
      </w:tblPr>
      <w:tr>
        <w:trPr>
          <w:trHeight w:val="234"/>
        </w:trPr>
        <w:tc>
          <w:tcPr>
            <w:tcW w:w="3400" w:type="dxa"/>
            <w:vAlign w:val="bottom"/>
          </w:tcPr>
          <w:p>
            <w:pPr>
              <w:jc w:val="center"/>
              <w:ind w:right="950"/>
              <w:spacing w:after="0"/>
              <w:rPr>
                <w:sz w:val="20"/>
                <w:szCs w:val="20"/>
                <w:color w:val="auto"/>
              </w:rPr>
            </w:pPr>
            <w:r>
              <w:rPr>
                <w:rFonts w:ascii="Arial" w:cs="Arial" w:eastAsia="Arial" w:hAnsi="Arial"/>
                <w:sz w:val="18"/>
                <w:szCs w:val="18"/>
                <w:b w:val="1"/>
                <w:bCs w:val="1"/>
                <w:color w:val="auto"/>
                <w:w w:val="92"/>
              </w:rPr>
              <w:t>Term A Loan Repayment Date</w:t>
            </w:r>
          </w:p>
        </w:tc>
        <w:tc>
          <w:tcPr>
            <w:tcW w:w="3680" w:type="dxa"/>
            <w:vAlign w:val="bottom"/>
          </w:tcPr>
          <w:p>
            <w:pPr>
              <w:jc w:val="center"/>
              <w:ind w:left="950"/>
              <w:spacing w:after="0"/>
              <w:rPr>
                <w:sz w:val="20"/>
                <w:szCs w:val="20"/>
                <w:color w:val="auto"/>
              </w:rPr>
            </w:pPr>
            <w:r>
              <w:rPr>
                <w:rFonts w:ascii="Arial" w:cs="Arial" w:eastAsia="Arial" w:hAnsi="Arial"/>
                <w:sz w:val="18"/>
                <w:szCs w:val="18"/>
                <w:b w:val="1"/>
                <w:bCs w:val="1"/>
                <w:color w:val="auto"/>
                <w:w w:val="92"/>
              </w:rPr>
              <w:t>Term A Loan Repayment Amount</w:t>
            </w:r>
          </w:p>
        </w:tc>
      </w:tr>
      <w:tr>
        <w:trPr>
          <w:trHeight w:val="270"/>
        </w:trPr>
        <w:tc>
          <w:tcPr>
            <w:tcW w:w="3400" w:type="dxa"/>
            <w:vAlign w:val="bottom"/>
          </w:tcPr>
          <w:p>
            <w:pPr>
              <w:jc w:val="center"/>
              <w:ind w:right="950"/>
              <w:spacing w:after="0"/>
              <w:rPr>
                <w:sz w:val="20"/>
                <w:szCs w:val="20"/>
                <w:color w:val="auto"/>
              </w:rPr>
            </w:pPr>
            <w:r>
              <w:rPr>
                <w:rFonts w:ascii="Arial" w:cs="Arial" w:eastAsia="Arial" w:hAnsi="Arial"/>
                <w:sz w:val="18"/>
                <w:szCs w:val="18"/>
                <w:color w:val="auto"/>
                <w:w w:val="88"/>
              </w:rPr>
              <w:t>December 27, 2019</w:t>
            </w:r>
          </w:p>
        </w:tc>
        <w:tc>
          <w:tcPr>
            <w:tcW w:w="3680" w:type="dxa"/>
            <w:vAlign w:val="bottom"/>
          </w:tcPr>
          <w:p>
            <w:pPr>
              <w:jc w:val="center"/>
              <w:ind w:left="950"/>
              <w:spacing w:after="0"/>
              <w:rPr>
                <w:sz w:val="20"/>
                <w:szCs w:val="20"/>
                <w:color w:val="auto"/>
              </w:rPr>
            </w:pPr>
            <w:r>
              <w:rPr>
                <w:rFonts w:ascii="Arial" w:cs="Arial" w:eastAsia="Arial" w:hAnsi="Arial"/>
                <w:sz w:val="18"/>
                <w:szCs w:val="18"/>
                <w:color w:val="auto"/>
                <w:w w:val="88"/>
              </w:rPr>
              <w:t>$2,625,000</w:t>
            </w:r>
          </w:p>
        </w:tc>
      </w:tr>
      <w:tr>
        <w:trPr>
          <w:trHeight w:val="270"/>
        </w:trPr>
        <w:tc>
          <w:tcPr>
            <w:tcW w:w="3400" w:type="dxa"/>
            <w:vAlign w:val="bottom"/>
          </w:tcPr>
          <w:p>
            <w:pPr>
              <w:jc w:val="center"/>
              <w:ind w:right="950"/>
              <w:spacing w:after="0"/>
              <w:rPr>
                <w:sz w:val="20"/>
                <w:szCs w:val="20"/>
                <w:color w:val="auto"/>
              </w:rPr>
            </w:pPr>
            <w:r>
              <w:rPr>
                <w:rFonts w:ascii="Arial" w:cs="Arial" w:eastAsia="Arial" w:hAnsi="Arial"/>
                <w:sz w:val="18"/>
                <w:szCs w:val="18"/>
                <w:color w:val="auto"/>
                <w:w w:val="92"/>
              </w:rPr>
              <w:t>March 27, 2020</w:t>
            </w:r>
          </w:p>
        </w:tc>
        <w:tc>
          <w:tcPr>
            <w:tcW w:w="3680" w:type="dxa"/>
            <w:vAlign w:val="bottom"/>
          </w:tcPr>
          <w:p>
            <w:pPr>
              <w:jc w:val="center"/>
              <w:ind w:left="950"/>
              <w:spacing w:after="0"/>
              <w:rPr>
                <w:sz w:val="20"/>
                <w:szCs w:val="20"/>
                <w:color w:val="auto"/>
              </w:rPr>
            </w:pPr>
            <w:r>
              <w:rPr>
                <w:rFonts w:ascii="Arial" w:cs="Arial" w:eastAsia="Arial" w:hAnsi="Arial"/>
                <w:sz w:val="18"/>
                <w:szCs w:val="18"/>
                <w:color w:val="auto"/>
                <w:w w:val="88"/>
              </w:rPr>
              <w:t>$2,625,000</w:t>
            </w:r>
          </w:p>
        </w:tc>
      </w:tr>
      <w:tr>
        <w:trPr>
          <w:trHeight w:val="270"/>
        </w:trPr>
        <w:tc>
          <w:tcPr>
            <w:tcW w:w="3400" w:type="dxa"/>
            <w:vAlign w:val="bottom"/>
          </w:tcPr>
          <w:p>
            <w:pPr>
              <w:jc w:val="center"/>
              <w:ind w:right="950"/>
              <w:spacing w:after="0"/>
              <w:rPr>
                <w:sz w:val="20"/>
                <w:szCs w:val="20"/>
                <w:color w:val="auto"/>
              </w:rPr>
            </w:pPr>
            <w:r>
              <w:rPr>
                <w:rFonts w:ascii="Arial" w:cs="Arial" w:eastAsia="Arial" w:hAnsi="Arial"/>
                <w:sz w:val="18"/>
                <w:szCs w:val="18"/>
                <w:color w:val="auto"/>
                <w:w w:val="87"/>
              </w:rPr>
              <w:t>June 26, 2020</w:t>
            </w:r>
          </w:p>
        </w:tc>
        <w:tc>
          <w:tcPr>
            <w:tcW w:w="3680" w:type="dxa"/>
            <w:vAlign w:val="bottom"/>
          </w:tcPr>
          <w:p>
            <w:pPr>
              <w:jc w:val="center"/>
              <w:ind w:left="950"/>
              <w:spacing w:after="0"/>
              <w:rPr>
                <w:sz w:val="20"/>
                <w:szCs w:val="20"/>
                <w:color w:val="auto"/>
              </w:rPr>
            </w:pPr>
            <w:r>
              <w:rPr>
                <w:rFonts w:ascii="Arial" w:cs="Arial" w:eastAsia="Arial" w:hAnsi="Arial"/>
                <w:sz w:val="18"/>
                <w:szCs w:val="18"/>
                <w:color w:val="auto"/>
                <w:w w:val="88"/>
              </w:rPr>
              <w:t>$2,625,000</w:t>
            </w:r>
          </w:p>
        </w:tc>
      </w:tr>
      <w:tr>
        <w:trPr>
          <w:trHeight w:val="270"/>
        </w:trPr>
        <w:tc>
          <w:tcPr>
            <w:tcW w:w="3400" w:type="dxa"/>
            <w:vAlign w:val="bottom"/>
          </w:tcPr>
          <w:p>
            <w:pPr>
              <w:jc w:val="center"/>
              <w:ind w:right="950"/>
              <w:spacing w:after="0"/>
              <w:rPr>
                <w:sz w:val="20"/>
                <w:szCs w:val="20"/>
                <w:color w:val="auto"/>
              </w:rPr>
            </w:pPr>
            <w:r>
              <w:rPr>
                <w:rFonts w:ascii="Arial" w:cs="Arial" w:eastAsia="Arial" w:hAnsi="Arial"/>
                <w:sz w:val="18"/>
                <w:szCs w:val="18"/>
                <w:color w:val="auto"/>
                <w:w w:val="88"/>
              </w:rPr>
              <w:t>September 25, 2020</w:t>
            </w:r>
          </w:p>
        </w:tc>
        <w:tc>
          <w:tcPr>
            <w:tcW w:w="3680" w:type="dxa"/>
            <w:vAlign w:val="bottom"/>
          </w:tcPr>
          <w:p>
            <w:pPr>
              <w:jc w:val="center"/>
              <w:ind w:left="950"/>
              <w:spacing w:after="0"/>
              <w:rPr>
                <w:sz w:val="20"/>
                <w:szCs w:val="20"/>
                <w:color w:val="auto"/>
              </w:rPr>
            </w:pPr>
            <w:r>
              <w:rPr>
                <w:rFonts w:ascii="Arial" w:cs="Arial" w:eastAsia="Arial" w:hAnsi="Arial"/>
                <w:sz w:val="18"/>
                <w:szCs w:val="18"/>
                <w:color w:val="auto"/>
                <w:w w:val="88"/>
              </w:rPr>
              <w:t>$2,625,000</w:t>
            </w:r>
          </w:p>
        </w:tc>
      </w:tr>
      <w:tr>
        <w:trPr>
          <w:trHeight w:val="270"/>
        </w:trPr>
        <w:tc>
          <w:tcPr>
            <w:tcW w:w="3400" w:type="dxa"/>
            <w:vAlign w:val="bottom"/>
          </w:tcPr>
          <w:p>
            <w:pPr>
              <w:jc w:val="center"/>
              <w:ind w:right="950"/>
              <w:spacing w:after="0"/>
              <w:rPr>
                <w:sz w:val="20"/>
                <w:szCs w:val="20"/>
                <w:color w:val="auto"/>
              </w:rPr>
            </w:pPr>
            <w:r>
              <w:rPr>
                <w:rFonts w:ascii="Arial" w:cs="Arial" w:eastAsia="Arial" w:hAnsi="Arial"/>
                <w:sz w:val="18"/>
                <w:szCs w:val="18"/>
                <w:color w:val="auto"/>
                <w:w w:val="89"/>
              </w:rPr>
              <w:t>January 1, 2021</w:t>
            </w:r>
          </w:p>
        </w:tc>
        <w:tc>
          <w:tcPr>
            <w:tcW w:w="3680" w:type="dxa"/>
            <w:vAlign w:val="bottom"/>
          </w:tcPr>
          <w:p>
            <w:pPr>
              <w:jc w:val="center"/>
              <w:ind w:left="950"/>
              <w:spacing w:after="0"/>
              <w:rPr>
                <w:sz w:val="20"/>
                <w:szCs w:val="20"/>
                <w:color w:val="auto"/>
              </w:rPr>
            </w:pPr>
            <w:r>
              <w:rPr>
                <w:rFonts w:ascii="Arial" w:cs="Arial" w:eastAsia="Arial" w:hAnsi="Arial"/>
                <w:sz w:val="18"/>
                <w:szCs w:val="18"/>
                <w:color w:val="auto"/>
                <w:w w:val="88"/>
              </w:rPr>
              <w:t>$2,625,000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341" w:right="339" w:bottom="1440" w:gutter="0" w:footer="0" w:header="0"/>
        </w:sectPr>
      </w:pPr>
    </w:p>
    <w:bookmarkStart w:id="148" w:name="page149"/>
    <w:bookmarkEnd w:id="148"/>
    <w:tbl>
      <w:tblPr>
        <w:tblLayout w:type="fixed"/>
        <w:tblInd w:w="1980" w:type="dxa"/>
        <w:tblCellMar>
          <w:top w:w="0" w:type="dxa"/>
          <w:left w:w="0" w:type="dxa"/>
          <w:bottom w:w="0" w:type="dxa"/>
          <w:right w:w="0" w:type="dxa"/>
        </w:tblCellMar>
      </w:tblPr>
      <w:tr>
        <w:trPr>
          <w:trHeight w:val="234"/>
        </w:trPr>
        <w:tc>
          <w:tcPr>
            <w:tcW w:w="3020" w:type="dxa"/>
            <w:vAlign w:val="bottom"/>
          </w:tcPr>
          <w:p>
            <w:pPr>
              <w:jc w:val="center"/>
              <w:ind w:right="570"/>
              <w:spacing w:after="0"/>
              <w:rPr>
                <w:sz w:val="20"/>
                <w:szCs w:val="20"/>
                <w:color w:val="auto"/>
              </w:rPr>
            </w:pPr>
            <w:r>
              <w:rPr>
                <w:rFonts w:ascii="Arial" w:cs="Arial" w:eastAsia="Arial" w:hAnsi="Arial"/>
                <w:sz w:val="18"/>
                <w:szCs w:val="18"/>
                <w:b w:val="1"/>
                <w:bCs w:val="1"/>
                <w:color w:val="auto"/>
                <w:w w:val="92"/>
              </w:rPr>
              <w:t>Term A Loan Repayment Date</w:t>
            </w:r>
          </w:p>
        </w:tc>
        <w:tc>
          <w:tcPr>
            <w:tcW w:w="4860" w:type="dxa"/>
            <w:vAlign w:val="bottom"/>
          </w:tcPr>
          <w:p>
            <w:pPr>
              <w:jc w:val="center"/>
              <w:ind w:left="570"/>
              <w:spacing w:after="0"/>
              <w:rPr>
                <w:sz w:val="20"/>
                <w:szCs w:val="20"/>
                <w:color w:val="auto"/>
              </w:rPr>
            </w:pPr>
            <w:r>
              <w:rPr>
                <w:rFonts w:ascii="Arial" w:cs="Arial" w:eastAsia="Arial" w:hAnsi="Arial"/>
                <w:sz w:val="18"/>
                <w:szCs w:val="18"/>
                <w:b w:val="1"/>
                <w:bCs w:val="1"/>
                <w:color w:val="auto"/>
                <w:w w:val="92"/>
              </w:rPr>
              <w:t>Term A Loan Repayment Amount</w:t>
            </w:r>
          </w:p>
        </w:tc>
      </w:tr>
      <w:tr>
        <w:trPr>
          <w:trHeight w:val="270"/>
        </w:trPr>
        <w:tc>
          <w:tcPr>
            <w:tcW w:w="3020" w:type="dxa"/>
            <w:vAlign w:val="bottom"/>
          </w:tcPr>
          <w:p>
            <w:pPr>
              <w:jc w:val="center"/>
              <w:ind w:right="570"/>
              <w:spacing w:after="0"/>
              <w:rPr>
                <w:sz w:val="20"/>
                <w:szCs w:val="20"/>
                <w:color w:val="auto"/>
              </w:rPr>
            </w:pPr>
            <w:r>
              <w:rPr>
                <w:rFonts w:ascii="Arial" w:cs="Arial" w:eastAsia="Arial" w:hAnsi="Arial"/>
                <w:sz w:val="18"/>
                <w:szCs w:val="18"/>
                <w:color w:val="auto"/>
                <w:w w:val="94"/>
              </w:rPr>
              <w:t>April 2, 2021</w:t>
            </w:r>
          </w:p>
        </w:tc>
        <w:tc>
          <w:tcPr>
            <w:tcW w:w="4860" w:type="dxa"/>
            <w:vAlign w:val="bottom"/>
          </w:tcPr>
          <w:p>
            <w:pPr>
              <w:jc w:val="center"/>
              <w:ind w:left="570"/>
              <w:spacing w:after="0"/>
              <w:rPr>
                <w:sz w:val="20"/>
                <w:szCs w:val="20"/>
                <w:color w:val="auto"/>
              </w:rPr>
            </w:pPr>
            <w:r>
              <w:rPr>
                <w:rFonts w:ascii="Arial" w:cs="Arial" w:eastAsia="Arial" w:hAnsi="Arial"/>
                <w:sz w:val="18"/>
                <w:szCs w:val="18"/>
                <w:color w:val="auto"/>
                <w:w w:val="88"/>
              </w:rPr>
              <w:t>$2,625,000</w:t>
            </w:r>
          </w:p>
        </w:tc>
      </w:tr>
      <w:tr>
        <w:trPr>
          <w:trHeight w:val="270"/>
        </w:trPr>
        <w:tc>
          <w:tcPr>
            <w:tcW w:w="3020" w:type="dxa"/>
            <w:vAlign w:val="bottom"/>
          </w:tcPr>
          <w:p>
            <w:pPr>
              <w:jc w:val="center"/>
              <w:ind w:right="570"/>
              <w:spacing w:after="0"/>
              <w:rPr>
                <w:sz w:val="20"/>
                <w:szCs w:val="20"/>
                <w:color w:val="auto"/>
              </w:rPr>
            </w:pPr>
            <w:r>
              <w:rPr>
                <w:rFonts w:ascii="Arial" w:cs="Arial" w:eastAsia="Arial" w:hAnsi="Arial"/>
                <w:sz w:val="18"/>
                <w:szCs w:val="18"/>
                <w:color w:val="auto"/>
                <w:w w:val="90"/>
              </w:rPr>
              <w:t>July 2, 2021</w:t>
            </w:r>
          </w:p>
        </w:tc>
        <w:tc>
          <w:tcPr>
            <w:tcW w:w="4860" w:type="dxa"/>
            <w:vAlign w:val="bottom"/>
          </w:tcPr>
          <w:p>
            <w:pPr>
              <w:jc w:val="center"/>
              <w:ind w:left="570"/>
              <w:spacing w:after="0"/>
              <w:rPr>
                <w:sz w:val="20"/>
                <w:szCs w:val="20"/>
                <w:color w:val="auto"/>
              </w:rPr>
            </w:pPr>
            <w:r>
              <w:rPr>
                <w:rFonts w:ascii="Arial" w:cs="Arial" w:eastAsia="Arial" w:hAnsi="Arial"/>
                <w:sz w:val="18"/>
                <w:szCs w:val="18"/>
                <w:color w:val="auto"/>
                <w:w w:val="88"/>
              </w:rPr>
              <w:t>$2,625,000</w:t>
            </w:r>
          </w:p>
        </w:tc>
      </w:tr>
      <w:tr>
        <w:trPr>
          <w:trHeight w:val="270"/>
        </w:trPr>
        <w:tc>
          <w:tcPr>
            <w:tcW w:w="3020" w:type="dxa"/>
            <w:vAlign w:val="bottom"/>
          </w:tcPr>
          <w:p>
            <w:pPr>
              <w:jc w:val="center"/>
              <w:ind w:right="570"/>
              <w:spacing w:after="0"/>
              <w:rPr>
                <w:sz w:val="20"/>
                <w:szCs w:val="20"/>
                <w:color w:val="auto"/>
              </w:rPr>
            </w:pPr>
            <w:r>
              <w:rPr>
                <w:rFonts w:ascii="Arial" w:cs="Arial" w:eastAsia="Arial" w:hAnsi="Arial"/>
                <w:sz w:val="18"/>
                <w:szCs w:val="18"/>
                <w:color w:val="auto"/>
                <w:w w:val="89"/>
              </w:rPr>
              <w:t>October 1, 2021</w:t>
            </w:r>
          </w:p>
        </w:tc>
        <w:tc>
          <w:tcPr>
            <w:tcW w:w="4860" w:type="dxa"/>
            <w:vAlign w:val="bottom"/>
          </w:tcPr>
          <w:p>
            <w:pPr>
              <w:jc w:val="center"/>
              <w:ind w:left="570"/>
              <w:spacing w:after="0"/>
              <w:rPr>
                <w:sz w:val="20"/>
                <w:szCs w:val="20"/>
                <w:color w:val="auto"/>
              </w:rPr>
            </w:pPr>
            <w:r>
              <w:rPr>
                <w:rFonts w:ascii="Arial" w:cs="Arial" w:eastAsia="Arial" w:hAnsi="Arial"/>
                <w:sz w:val="18"/>
                <w:szCs w:val="18"/>
                <w:color w:val="auto"/>
                <w:w w:val="88"/>
              </w:rPr>
              <w:t>$2,625,000</w:t>
            </w:r>
          </w:p>
        </w:tc>
      </w:tr>
      <w:tr>
        <w:trPr>
          <w:trHeight w:val="270"/>
        </w:trPr>
        <w:tc>
          <w:tcPr>
            <w:tcW w:w="3020" w:type="dxa"/>
            <w:vAlign w:val="bottom"/>
          </w:tcPr>
          <w:p>
            <w:pPr>
              <w:jc w:val="center"/>
              <w:ind w:right="590"/>
              <w:spacing w:after="0"/>
              <w:rPr>
                <w:sz w:val="20"/>
                <w:szCs w:val="20"/>
                <w:color w:val="auto"/>
              </w:rPr>
            </w:pPr>
            <w:r>
              <w:rPr>
                <w:rFonts w:ascii="Arial" w:cs="Arial" w:eastAsia="Arial" w:hAnsi="Arial"/>
                <w:sz w:val="18"/>
                <w:szCs w:val="18"/>
                <w:color w:val="auto"/>
                <w:w w:val="89"/>
              </w:rPr>
              <w:t>December 31, 2021</w:t>
            </w:r>
          </w:p>
        </w:tc>
        <w:tc>
          <w:tcPr>
            <w:tcW w:w="4860" w:type="dxa"/>
            <w:vAlign w:val="bottom"/>
          </w:tcPr>
          <w:p>
            <w:pPr>
              <w:jc w:val="center"/>
              <w:ind w:left="570"/>
              <w:spacing w:after="0"/>
              <w:rPr>
                <w:sz w:val="20"/>
                <w:szCs w:val="20"/>
                <w:color w:val="auto"/>
              </w:rPr>
            </w:pPr>
            <w:r>
              <w:rPr>
                <w:rFonts w:ascii="Arial" w:cs="Arial" w:eastAsia="Arial" w:hAnsi="Arial"/>
                <w:sz w:val="18"/>
                <w:szCs w:val="18"/>
                <w:color w:val="auto"/>
                <w:w w:val="88"/>
              </w:rPr>
              <w:t>$2,625,000</w:t>
            </w:r>
          </w:p>
        </w:tc>
      </w:tr>
      <w:tr>
        <w:trPr>
          <w:trHeight w:val="270"/>
        </w:trPr>
        <w:tc>
          <w:tcPr>
            <w:tcW w:w="3020" w:type="dxa"/>
            <w:vAlign w:val="bottom"/>
          </w:tcPr>
          <w:p>
            <w:pPr>
              <w:jc w:val="center"/>
              <w:ind w:right="570"/>
              <w:spacing w:after="0"/>
              <w:rPr>
                <w:sz w:val="20"/>
                <w:szCs w:val="20"/>
                <w:color w:val="auto"/>
              </w:rPr>
            </w:pPr>
            <w:r>
              <w:rPr>
                <w:rFonts w:ascii="Arial" w:cs="Arial" w:eastAsia="Arial" w:hAnsi="Arial"/>
                <w:sz w:val="18"/>
                <w:szCs w:val="18"/>
                <w:color w:val="auto"/>
                <w:w w:val="94"/>
              </w:rPr>
              <w:t>April 1, 2022</w:t>
            </w:r>
          </w:p>
        </w:tc>
        <w:tc>
          <w:tcPr>
            <w:tcW w:w="4860" w:type="dxa"/>
            <w:vAlign w:val="bottom"/>
          </w:tcPr>
          <w:p>
            <w:pPr>
              <w:jc w:val="center"/>
              <w:ind w:left="570"/>
              <w:spacing w:after="0"/>
              <w:rPr>
                <w:sz w:val="20"/>
                <w:szCs w:val="20"/>
                <w:color w:val="auto"/>
              </w:rPr>
            </w:pPr>
            <w:r>
              <w:rPr>
                <w:rFonts w:ascii="Arial" w:cs="Arial" w:eastAsia="Arial" w:hAnsi="Arial"/>
                <w:sz w:val="18"/>
                <w:szCs w:val="18"/>
                <w:color w:val="auto"/>
                <w:w w:val="88"/>
              </w:rPr>
              <w:t>$2,625,000</w:t>
            </w:r>
          </w:p>
        </w:tc>
      </w:tr>
      <w:tr>
        <w:trPr>
          <w:trHeight w:val="270"/>
        </w:trPr>
        <w:tc>
          <w:tcPr>
            <w:tcW w:w="3020" w:type="dxa"/>
            <w:vAlign w:val="bottom"/>
          </w:tcPr>
          <w:p>
            <w:pPr>
              <w:jc w:val="center"/>
              <w:ind w:right="570"/>
              <w:spacing w:after="0"/>
              <w:rPr>
                <w:sz w:val="20"/>
                <w:szCs w:val="20"/>
                <w:color w:val="auto"/>
              </w:rPr>
            </w:pPr>
            <w:r>
              <w:rPr>
                <w:rFonts w:ascii="Arial" w:cs="Arial" w:eastAsia="Arial" w:hAnsi="Arial"/>
                <w:sz w:val="18"/>
                <w:szCs w:val="18"/>
                <w:color w:val="auto"/>
                <w:w w:val="90"/>
              </w:rPr>
              <w:t>July 1, 2022</w:t>
            </w:r>
          </w:p>
        </w:tc>
        <w:tc>
          <w:tcPr>
            <w:tcW w:w="4860" w:type="dxa"/>
            <w:vAlign w:val="bottom"/>
          </w:tcPr>
          <w:p>
            <w:pPr>
              <w:jc w:val="center"/>
              <w:ind w:left="570"/>
              <w:spacing w:after="0"/>
              <w:rPr>
                <w:sz w:val="20"/>
                <w:szCs w:val="20"/>
                <w:color w:val="auto"/>
              </w:rPr>
            </w:pPr>
            <w:r>
              <w:rPr>
                <w:rFonts w:ascii="Arial" w:cs="Arial" w:eastAsia="Arial" w:hAnsi="Arial"/>
                <w:sz w:val="18"/>
                <w:szCs w:val="18"/>
                <w:color w:val="auto"/>
                <w:w w:val="88"/>
              </w:rPr>
              <w:t>$2,625,000</w:t>
            </w:r>
          </w:p>
        </w:tc>
      </w:tr>
      <w:tr>
        <w:trPr>
          <w:trHeight w:val="270"/>
        </w:trPr>
        <w:tc>
          <w:tcPr>
            <w:tcW w:w="3020" w:type="dxa"/>
            <w:vAlign w:val="bottom"/>
          </w:tcPr>
          <w:p>
            <w:pPr>
              <w:jc w:val="center"/>
              <w:ind w:right="570"/>
              <w:spacing w:after="0"/>
              <w:rPr>
                <w:sz w:val="20"/>
                <w:szCs w:val="20"/>
                <w:color w:val="auto"/>
              </w:rPr>
            </w:pPr>
            <w:r>
              <w:rPr>
                <w:rFonts w:ascii="Arial" w:cs="Arial" w:eastAsia="Arial" w:hAnsi="Arial"/>
                <w:sz w:val="18"/>
                <w:szCs w:val="18"/>
                <w:color w:val="auto"/>
                <w:w w:val="88"/>
              </w:rPr>
              <w:t>September 30, 2022</w:t>
            </w:r>
          </w:p>
        </w:tc>
        <w:tc>
          <w:tcPr>
            <w:tcW w:w="4860" w:type="dxa"/>
            <w:vAlign w:val="bottom"/>
          </w:tcPr>
          <w:p>
            <w:pPr>
              <w:jc w:val="center"/>
              <w:ind w:left="570"/>
              <w:spacing w:after="0"/>
              <w:rPr>
                <w:sz w:val="20"/>
                <w:szCs w:val="20"/>
                <w:color w:val="auto"/>
              </w:rPr>
            </w:pPr>
            <w:r>
              <w:rPr>
                <w:rFonts w:ascii="Arial" w:cs="Arial" w:eastAsia="Arial" w:hAnsi="Arial"/>
                <w:sz w:val="18"/>
                <w:szCs w:val="18"/>
                <w:color w:val="auto"/>
                <w:w w:val="88"/>
              </w:rPr>
              <w:t>$2,625,000</w:t>
            </w:r>
          </w:p>
        </w:tc>
      </w:tr>
      <w:tr>
        <w:trPr>
          <w:trHeight w:val="270"/>
        </w:trPr>
        <w:tc>
          <w:tcPr>
            <w:tcW w:w="3020" w:type="dxa"/>
            <w:vAlign w:val="bottom"/>
          </w:tcPr>
          <w:p>
            <w:pPr>
              <w:jc w:val="center"/>
              <w:ind w:right="590"/>
              <w:spacing w:after="0"/>
              <w:rPr>
                <w:sz w:val="20"/>
                <w:szCs w:val="20"/>
                <w:color w:val="auto"/>
              </w:rPr>
            </w:pPr>
            <w:r>
              <w:rPr>
                <w:rFonts w:ascii="Arial" w:cs="Arial" w:eastAsia="Arial" w:hAnsi="Arial"/>
                <w:sz w:val="18"/>
                <w:szCs w:val="18"/>
                <w:color w:val="auto"/>
                <w:w w:val="89"/>
              </w:rPr>
              <w:t>December 30, 2022</w:t>
            </w:r>
          </w:p>
        </w:tc>
        <w:tc>
          <w:tcPr>
            <w:tcW w:w="4860" w:type="dxa"/>
            <w:vAlign w:val="bottom"/>
          </w:tcPr>
          <w:p>
            <w:pPr>
              <w:jc w:val="center"/>
              <w:ind w:left="570"/>
              <w:spacing w:after="0"/>
              <w:rPr>
                <w:sz w:val="20"/>
                <w:szCs w:val="20"/>
                <w:color w:val="auto"/>
              </w:rPr>
            </w:pPr>
            <w:r>
              <w:rPr>
                <w:rFonts w:ascii="Arial" w:cs="Arial" w:eastAsia="Arial" w:hAnsi="Arial"/>
                <w:sz w:val="18"/>
                <w:szCs w:val="18"/>
                <w:color w:val="auto"/>
                <w:w w:val="88"/>
              </w:rPr>
              <w:t>$5,250,000</w:t>
            </w:r>
          </w:p>
        </w:tc>
      </w:tr>
      <w:tr>
        <w:trPr>
          <w:trHeight w:val="270"/>
        </w:trPr>
        <w:tc>
          <w:tcPr>
            <w:tcW w:w="3020" w:type="dxa"/>
            <w:vAlign w:val="bottom"/>
          </w:tcPr>
          <w:p>
            <w:pPr>
              <w:jc w:val="center"/>
              <w:ind w:right="590"/>
              <w:spacing w:after="0"/>
              <w:rPr>
                <w:sz w:val="20"/>
                <w:szCs w:val="20"/>
                <w:color w:val="auto"/>
              </w:rPr>
            </w:pPr>
            <w:r>
              <w:rPr>
                <w:rFonts w:ascii="Arial" w:cs="Arial" w:eastAsia="Arial" w:hAnsi="Arial"/>
                <w:sz w:val="18"/>
                <w:szCs w:val="18"/>
                <w:color w:val="auto"/>
                <w:w w:val="91"/>
              </w:rPr>
              <w:t>March 31, 2023</w:t>
            </w:r>
          </w:p>
        </w:tc>
        <w:tc>
          <w:tcPr>
            <w:tcW w:w="4860" w:type="dxa"/>
            <w:vAlign w:val="bottom"/>
          </w:tcPr>
          <w:p>
            <w:pPr>
              <w:jc w:val="center"/>
              <w:ind w:left="570"/>
              <w:spacing w:after="0"/>
              <w:rPr>
                <w:sz w:val="20"/>
                <w:szCs w:val="20"/>
                <w:color w:val="auto"/>
              </w:rPr>
            </w:pPr>
            <w:r>
              <w:rPr>
                <w:rFonts w:ascii="Arial" w:cs="Arial" w:eastAsia="Arial" w:hAnsi="Arial"/>
                <w:sz w:val="18"/>
                <w:szCs w:val="18"/>
                <w:color w:val="auto"/>
                <w:w w:val="88"/>
              </w:rPr>
              <w:t>$5,250,000</w:t>
            </w:r>
          </w:p>
        </w:tc>
      </w:tr>
      <w:tr>
        <w:trPr>
          <w:trHeight w:val="270"/>
        </w:trPr>
        <w:tc>
          <w:tcPr>
            <w:tcW w:w="3020" w:type="dxa"/>
            <w:vAlign w:val="bottom"/>
          </w:tcPr>
          <w:p>
            <w:pPr>
              <w:jc w:val="center"/>
              <w:ind w:right="570"/>
              <w:spacing w:after="0"/>
              <w:rPr>
                <w:sz w:val="20"/>
                <w:szCs w:val="20"/>
                <w:color w:val="auto"/>
              </w:rPr>
            </w:pPr>
            <w:r>
              <w:rPr>
                <w:rFonts w:ascii="Arial" w:cs="Arial" w:eastAsia="Arial" w:hAnsi="Arial"/>
                <w:sz w:val="18"/>
                <w:szCs w:val="18"/>
                <w:color w:val="auto"/>
                <w:w w:val="87"/>
              </w:rPr>
              <w:t>June 30, 2023</w:t>
            </w:r>
          </w:p>
        </w:tc>
        <w:tc>
          <w:tcPr>
            <w:tcW w:w="4860" w:type="dxa"/>
            <w:vAlign w:val="bottom"/>
          </w:tcPr>
          <w:p>
            <w:pPr>
              <w:jc w:val="center"/>
              <w:ind w:left="570"/>
              <w:spacing w:after="0"/>
              <w:rPr>
                <w:sz w:val="20"/>
                <w:szCs w:val="20"/>
                <w:color w:val="auto"/>
              </w:rPr>
            </w:pPr>
            <w:r>
              <w:rPr>
                <w:rFonts w:ascii="Arial" w:cs="Arial" w:eastAsia="Arial" w:hAnsi="Arial"/>
                <w:sz w:val="18"/>
                <w:szCs w:val="18"/>
                <w:color w:val="auto"/>
                <w:w w:val="88"/>
              </w:rPr>
              <w:t>$5,250,000</w:t>
            </w:r>
          </w:p>
        </w:tc>
      </w:tr>
      <w:tr>
        <w:trPr>
          <w:trHeight w:val="270"/>
        </w:trPr>
        <w:tc>
          <w:tcPr>
            <w:tcW w:w="3020" w:type="dxa"/>
            <w:vAlign w:val="bottom"/>
          </w:tcPr>
          <w:p>
            <w:pPr>
              <w:jc w:val="center"/>
              <w:ind w:right="570"/>
              <w:spacing w:after="0"/>
              <w:rPr>
                <w:sz w:val="20"/>
                <w:szCs w:val="20"/>
                <w:color w:val="auto"/>
              </w:rPr>
            </w:pPr>
            <w:r>
              <w:rPr>
                <w:rFonts w:ascii="Arial" w:cs="Arial" w:eastAsia="Arial" w:hAnsi="Arial"/>
                <w:sz w:val="18"/>
                <w:szCs w:val="18"/>
                <w:color w:val="auto"/>
                <w:w w:val="88"/>
              </w:rPr>
              <w:t>September 29, 2023</w:t>
            </w:r>
          </w:p>
        </w:tc>
        <w:tc>
          <w:tcPr>
            <w:tcW w:w="4860" w:type="dxa"/>
            <w:vAlign w:val="bottom"/>
          </w:tcPr>
          <w:p>
            <w:pPr>
              <w:jc w:val="center"/>
              <w:ind w:left="570"/>
              <w:spacing w:after="0"/>
              <w:rPr>
                <w:sz w:val="20"/>
                <w:szCs w:val="20"/>
                <w:color w:val="auto"/>
              </w:rPr>
            </w:pPr>
            <w:r>
              <w:rPr>
                <w:rFonts w:ascii="Arial" w:cs="Arial" w:eastAsia="Arial" w:hAnsi="Arial"/>
                <w:sz w:val="18"/>
                <w:szCs w:val="18"/>
                <w:color w:val="auto"/>
                <w:w w:val="88"/>
              </w:rPr>
              <w:t>$5,250,000</w:t>
            </w:r>
          </w:p>
        </w:tc>
      </w:tr>
      <w:tr>
        <w:trPr>
          <w:trHeight w:val="270"/>
        </w:trPr>
        <w:tc>
          <w:tcPr>
            <w:tcW w:w="3020" w:type="dxa"/>
            <w:vAlign w:val="bottom"/>
          </w:tcPr>
          <w:p>
            <w:pPr>
              <w:jc w:val="center"/>
              <w:ind w:right="590"/>
              <w:spacing w:after="0"/>
              <w:rPr>
                <w:sz w:val="20"/>
                <w:szCs w:val="20"/>
                <w:color w:val="auto"/>
              </w:rPr>
            </w:pPr>
            <w:r>
              <w:rPr>
                <w:rFonts w:ascii="Arial" w:cs="Arial" w:eastAsia="Arial" w:hAnsi="Arial"/>
                <w:sz w:val="18"/>
                <w:szCs w:val="18"/>
                <w:color w:val="auto"/>
                <w:w w:val="89"/>
              </w:rPr>
              <w:t>December 29, 2023</w:t>
            </w:r>
          </w:p>
        </w:tc>
        <w:tc>
          <w:tcPr>
            <w:tcW w:w="4860" w:type="dxa"/>
            <w:vAlign w:val="bottom"/>
          </w:tcPr>
          <w:p>
            <w:pPr>
              <w:jc w:val="center"/>
              <w:ind w:left="570"/>
              <w:spacing w:after="0"/>
              <w:rPr>
                <w:sz w:val="20"/>
                <w:szCs w:val="20"/>
                <w:color w:val="auto"/>
              </w:rPr>
            </w:pPr>
            <w:r>
              <w:rPr>
                <w:rFonts w:ascii="Arial" w:cs="Arial" w:eastAsia="Arial" w:hAnsi="Arial"/>
                <w:sz w:val="18"/>
                <w:szCs w:val="18"/>
                <w:color w:val="auto"/>
                <w:w w:val="88"/>
              </w:rPr>
              <w:t>$5,250,000</w:t>
            </w:r>
          </w:p>
        </w:tc>
      </w:tr>
      <w:tr>
        <w:trPr>
          <w:trHeight w:val="270"/>
        </w:trPr>
        <w:tc>
          <w:tcPr>
            <w:tcW w:w="3020" w:type="dxa"/>
            <w:vAlign w:val="bottom"/>
          </w:tcPr>
          <w:p>
            <w:pPr>
              <w:jc w:val="center"/>
              <w:ind w:right="590"/>
              <w:spacing w:after="0"/>
              <w:rPr>
                <w:sz w:val="20"/>
                <w:szCs w:val="20"/>
                <w:color w:val="auto"/>
              </w:rPr>
            </w:pPr>
            <w:r>
              <w:rPr>
                <w:rFonts w:ascii="Arial" w:cs="Arial" w:eastAsia="Arial" w:hAnsi="Arial"/>
                <w:sz w:val="18"/>
                <w:szCs w:val="18"/>
                <w:color w:val="auto"/>
                <w:w w:val="91"/>
              </w:rPr>
              <w:t>March 29, 2024</w:t>
            </w:r>
          </w:p>
        </w:tc>
        <w:tc>
          <w:tcPr>
            <w:tcW w:w="4860" w:type="dxa"/>
            <w:vAlign w:val="bottom"/>
          </w:tcPr>
          <w:p>
            <w:pPr>
              <w:jc w:val="center"/>
              <w:ind w:left="570"/>
              <w:spacing w:after="0"/>
              <w:rPr>
                <w:sz w:val="20"/>
                <w:szCs w:val="20"/>
                <w:color w:val="auto"/>
              </w:rPr>
            </w:pPr>
            <w:r>
              <w:rPr>
                <w:rFonts w:ascii="Arial" w:cs="Arial" w:eastAsia="Arial" w:hAnsi="Arial"/>
                <w:sz w:val="18"/>
                <w:szCs w:val="18"/>
                <w:color w:val="auto"/>
                <w:w w:val="88"/>
              </w:rPr>
              <w:t>$5,250,000</w:t>
            </w:r>
          </w:p>
        </w:tc>
      </w:tr>
      <w:tr>
        <w:trPr>
          <w:trHeight w:val="270"/>
        </w:trPr>
        <w:tc>
          <w:tcPr>
            <w:tcW w:w="3020" w:type="dxa"/>
            <w:vAlign w:val="bottom"/>
          </w:tcPr>
          <w:p>
            <w:pPr>
              <w:jc w:val="center"/>
              <w:ind w:right="570"/>
              <w:spacing w:after="0"/>
              <w:rPr>
                <w:sz w:val="20"/>
                <w:szCs w:val="20"/>
                <w:color w:val="auto"/>
              </w:rPr>
            </w:pPr>
            <w:r>
              <w:rPr>
                <w:rFonts w:ascii="Arial" w:cs="Arial" w:eastAsia="Arial" w:hAnsi="Arial"/>
                <w:sz w:val="18"/>
                <w:szCs w:val="18"/>
                <w:color w:val="auto"/>
                <w:w w:val="87"/>
              </w:rPr>
              <w:t>June 28, 2024</w:t>
            </w:r>
          </w:p>
        </w:tc>
        <w:tc>
          <w:tcPr>
            <w:tcW w:w="4860" w:type="dxa"/>
            <w:vAlign w:val="bottom"/>
          </w:tcPr>
          <w:p>
            <w:pPr>
              <w:jc w:val="center"/>
              <w:ind w:left="570"/>
              <w:spacing w:after="0"/>
              <w:rPr>
                <w:sz w:val="20"/>
                <w:szCs w:val="20"/>
                <w:color w:val="auto"/>
              </w:rPr>
            </w:pPr>
            <w:r>
              <w:rPr>
                <w:rFonts w:ascii="Arial" w:cs="Arial" w:eastAsia="Arial" w:hAnsi="Arial"/>
                <w:sz w:val="18"/>
                <w:szCs w:val="18"/>
                <w:color w:val="auto"/>
                <w:w w:val="88"/>
              </w:rPr>
              <w:t>$5,250,000</w:t>
            </w:r>
          </w:p>
        </w:tc>
      </w:tr>
      <w:tr>
        <w:trPr>
          <w:trHeight w:val="270"/>
        </w:trPr>
        <w:tc>
          <w:tcPr>
            <w:tcW w:w="3020" w:type="dxa"/>
            <w:vAlign w:val="bottom"/>
          </w:tcPr>
          <w:p>
            <w:pPr>
              <w:jc w:val="center"/>
              <w:ind w:right="590"/>
              <w:spacing w:after="0"/>
              <w:rPr>
                <w:sz w:val="20"/>
                <w:szCs w:val="20"/>
                <w:color w:val="auto"/>
              </w:rPr>
            </w:pPr>
            <w:r>
              <w:rPr>
                <w:rFonts w:ascii="Arial" w:cs="Arial" w:eastAsia="Arial" w:hAnsi="Arial"/>
                <w:sz w:val="18"/>
                <w:szCs w:val="18"/>
                <w:color w:val="auto"/>
                <w:w w:val="93"/>
              </w:rPr>
              <w:t>Term A Loan Maturity Date</w:t>
            </w:r>
          </w:p>
        </w:tc>
        <w:tc>
          <w:tcPr>
            <w:tcW w:w="4860" w:type="dxa"/>
            <w:vAlign w:val="bottom"/>
          </w:tcPr>
          <w:p>
            <w:pPr>
              <w:jc w:val="center"/>
              <w:ind w:left="550"/>
              <w:spacing w:after="0"/>
              <w:rPr>
                <w:sz w:val="20"/>
                <w:szCs w:val="20"/>
                <w:color w:val="auto"/>
              </w:rPr>
            </w:pPr>
            <w:r>
              <w:rPr>
                <w:rFonts w:ascii="Arial" w:cs="Arial" w:eastAsia="Arial" w:hAnsi="Arial"/>
                <w:sz w:val="18"/>
                <w:szCs w:val="18"/>
                <w:color w:val="auto"/>
                <w:w w:val="91"/>
              </w:rPr>
              <w:t>Remaining outstanding principal amount of Term A Loans</w:t>
            </w:r>
          </w:p>
        </w:tc>
      </w:tr>
    </w:tbl>
    <w:p>
      <w:pPr>
        <w:spacing w:after="0" w:line="200" w:lineRule="exact"/>
        <w:rPr>
          <w:sz w:val="20"/>
          <w:szCs w:val="20"/>
          <w:color w:val="auto"/>
        </w:rPr>
      </w:pPr>
    </w:p>
    <w:p>
      <w:pPr>
        <w:spacing w:after="0" w:line="245" w:lineRule="exact"/>
        <w:rPr>
          <w:sz w:val="20"/>
          <w:szCs w:val="20"/>
          <w:color w:val="auto"/>
        </w:rPr>
      </w:pPr>
    </w:p>
    <w:p>
      <w:pPr>
        <w:ind w:left="-80" w:firstLine="656"/>
        <w:spacing w:after="0" w:line="273" w:lineRule="auto"/>
        <w:tabs>
          <w:tab w:leader="none" w:pos="948"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In the event that any New Term Loans are made, such New Term Loans shall, subject to </w:t>
      </w:r>
      <w:r>
        <w:rPr>
          <w:rFonts w:ascii="Arial" w:cs="Arial" w:eastAsia="Arial" w:hAnsi="Arial"/>
          <w:sz w:val="17"/>
          <w:szCs w:val="17"/>
          <w:u w:val="single" w:color="auto"/>
          <w:color w:val="auto"/>
        </w:rPr>
        <w:t>Section 2.14(d)</w:t>
      </w:r>
      <w:r>
        <w:rPr>
          <w:rFonts w:ascii="Arial" w:cs="Arial" w:eastAsia="Arial" w:hAnsi="Arial"/>
          <w:sz w:val="17"/>
          <w:szCs w:val="17"/>
          <w:color w:val="auto"/>
        </w:rPr>
        <w:t>, be repaid by the Borrower in the amounts (each, a “</w:t>
      </w:r>
      <w:r>
        <w:rPr>
          <w:rFonts w:ascii="Arial" w:cs="Arial" w:eastAsia="Arial" w:hAnsi="Arial"/>
          <w:sz w:val="17"/>
          <w:szCs w:val="17"/>
          <w:b w:val="1"/>
          <w:bCs w:val="1"/>
          <w:color w:val="auto"/>
        </w:rPr>
        <w:t>New Term Loan Repayment Amount</w:t>
      </w:r>
      <w:r>
        <w:rPr>
          <w:rFonts w:ascii="Arial" w:cs="Arial" w:eastAsia="Arial" w:hAnsi="Arial"/>
          <w:sz w:val="17"/>
          <w:szCs w:val="17"/>
          <w:color w:val="auto"/>
        </w:rPr>
        <w:t>”) and on the dates (each a “</w:t>
      </w:r>
      <w:r>
        <w:rPr>
          <w:rFonts w:ascii="Arial" w:cs="Arial" w:eastAsia="Arial" w:hAnsi="Arial"/>
          <w:sz w:val="17"/>
          <w:szCs w:val="17"/>
          <w:b w:val="1"/>
          <w:bCs w:val="1"/>
          <w:color w:val="auto"/>
        </w:rPr>
        <w:t>New Term Loan Repayment Date</w:t>
      </w:r>
      <w:r>
        <w:rPr>
          <w:rFonts w:ascii="Arial" w:cs="Arial" w:eastAsia="Arial" w:hAnsi="Arial"/>
          <w:sz w:val="17"/>
          <w:szCs w:val="17"/>
          <w:color w:val="auto"/>
        </w:rPr>
        <w:t xml:space="preserve">”) set forth in the applicable Joinder Agreement and subject to any adjustment to ensure fungibility with the other Term Loans as reasonably determined by the Administrative Agent and the Borrower. In the event that any Extended Term Loans are established, such Extended Term Loans shall, subject to </w:t>
      </w:r>
      <w:r>
        <w:rPr>
          <w:rFonts w:ascii="Arial" w:cs="Arial" w:eastAsia="Arial" w:hAnsi="Arial"/>
          <w:sz w:val="17"/>
          <w:szCs w:val="17"/>
          <w:u w:val="single" w:color="auto"/>
          <w:color w:val="auto"/>
        </w:rPr>
        <w:t>Section 2.14(g)</w:t>
      </w:r>
      <w:r>
        <w:rPr>
          <w:rFonts w:ascii="Arial" w:cs="Arial" w:eastAsia="Arial" w:hAnsi="Arial"/>
          <w:sz w:val="17"/>
          <w:szCs w:val="17"/>
          <w:color w:val="auto"/>
        </w:rPr>
        <w:t>, be repaid by the Borrower in the amounts (each such amount with respect to any Extended Repayment Date, an “</w:t>
      </w:r>
      <w:r>
        <w:rPr>
          <w:rFonts w:ascii="Arial" w:cs="Arial" w:eastAsia="Arial" w:hAnsi="Arial"/>
          <w:sz w:val="17"/>
          <w:szCs w:val="17"/>
          <w:b w:val="1"/>
          <w:bCs w:val="1"/>
          <w:color w:val="auto"/>
        </w:rPr>
        <w:t>Extended Term Loan Repayment Amount</w:t>
      </w:r>
      <w:r>
        <w:rPr>
          <w:rFonts w:ascii="Arial" w:cs="Arial" w:eastAsia="Arial" w:hAnsi="Arial"/>
          <w:sz w:val="17"/>
          <w:szCs w:val="17"/>
          <w:color w:val="auto"/>
        </w:rPr>
        <w:t>”) and on the dates (each, an “</w:t>
      </w:r>
      <w:r>
        <w:rPr>
          <w:rFonts w:ascii="Arial" w:cs="Arial" w:eastAsia="Arial" w:hAnsi="Arial"/>
          <w:sz w:val="17"/>
          <w:szCs w:val="17"/>
          <w:b w:val="1"/>
          <w:bCs w:val="1"/>
          <w:color w:val="auto"/>
        </w:rPr>
        <w:t>Extended Repayment Date</w:t>
      </w:r>
      <w:r>
        <w:rPr>
          <w:rFonts w:ascii="Arial" w:cs="Arial" w:eastAsia="Arial" w:hAnsi="Arial"/>
          <w:sz w:val="17"/>
          <w:szCs w:val="17"/>
          <w:color w:val="auto"/>
        </w:rPr>
        <w:t>”) set forth in the applicable Extension Amendment.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00"/>
          </w:cols>
          <w:pgMar w:left="400" w:top="499" w:right="399" w:bottom="1440" w:gutter="0" w:footer="0" w:header="0"/>
        </w:sectPr>
      </w:pPr>
    </w:p>
    <w:bookmarkStart w:id="149" w:name="page150"/>
    <w:bookmarkEnd w:id="149"/>
    <w:p>
      <w:pPr>
        <w:jc w:val="both"/>
        <w:ind w:left="-20" w:right="120" w:firstLine="656"/>
        <w:spacing w:after="0" w:line="286" w:lineRule="auto"/>
        <w:tabs>
          <w:tab w:leader="none" w:pos="1018" w:val="left"/>
        </w:tabs>
        <w:numPr>
          <w:ilvl w:val="0"/>
          <w:numId w:val="100"/>
        </w:numPr>
        <w:rPr>
          <w:rFonts w:ascii="Arial" w:cs="Arial" w:eastAsia="Arial" w:hAnsi="Arial"/>
          <w:sz w:val="17"/>
          <w:szCs w:val="17"/>
          <w:color w:val="auto"/>
        </w:rPr>
      </w:pPr>
      <w:r>
        <w:rPr>
          <w:rFonts w:ascii="Arial" w:cs="Arial" w:eastAsia="Arial" w:hAnsi="Arial"/>
          <w:sz w:val="17"/>
          <w:szCs w:val="17"/>
          <w:color w:val="auto"/>
        </w:rPr>
        <w:t>Each Lender shall maintain in accordance with its usual practice an account or accounts evidencing the Indebtedness of the Borrower to the appropriate lending office of such Lender resulting from each Loan made by such lending office of such Lender from time to time, including the amounts of principal and interest payable and paid to such lending office of such Lender from time to time under this Agreement.</w:t>
      </w:r>
    </w:p>
    <w:p>
      <w:pPr>
        <w:spacing w:after="0" w:line="124" w:lineRule="exact"/>
        <w:rPr>
          <w:rFonts w:ascii="Arial" w:cs="Arial" w:eastAsia="Arial" w:hAnsi="Arial"/>
          <w:sz w:val="17"/>
          <w:szCs w:val="17"/>
          <w:color w:val="auto"/>
        </w:rPr>
      </w:pPr>
    </w:p>
    <w:p>
      <w:pPr>
        <w:ind w:left="-20" w:firstLine="656"/>
        <w:spacing w:after="0" w:line="275" w:lineRule="auto"/>
        <w:tabs>
          <w:tab w:leader="none" w:pos="1004"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The Administrative Agent shall maintain the Register pursuant to </w:t>
      </w:r>
      <w:r>
        <w:rPr>
          <w:rFonts w:ascii="Arial" w:cs="Arial" w:eastAsia="Arial" w:hAnsi="Arial"/>
          <w:sz w:val="17"/>
          <w:szCs w:val="17"/>
          <w:u w:val="single" w:color="auto"/>
          <w:color w:val="auto"/>
        </w:rPr>
        <w:t>Section 13.6(b)</w:t>
      </w:r>
      <w:r>
        <w:rPr>
          <w:rFonts w:ascii="Arial" w:cs="Arial" w:eastAsia="Arial" w:hAnsi="Arial"/>
          <w:sz w:val="17"/>
          <w:szCs w:val="17"/>
          <w:color w:val="auto"/>
        </w:rPr>
        <w:t>, and a subaccount for each Lender, in which Register and subaccounts (taken together) shall be recorded (i) the amount of each Loan made hereunder, whether such Loan is a Term A Loan, New Term Loan, Revolving Credit Loan or Swingline Loan, as applicable, the Type of each Loan made, the name of the Borrower and the Interest Period, if any, applicable thereto, (ii) the amount of any principal or interest due and payable or to become due and payable from the Borrower to each Lender hereunder, and (iii) the amount of any sum received by the Administrative Agent hereunder from the Borrower and each Lender’s share thereof.</w:t>
      </w:r>
    </w:p>
    <w:p>
      <w:pPr>
        <w:spacing w:after="0" w:line="135" w:lineRule="exact"/>
        <w:rPr>
          <w:rFonts w:ascii="Arial" w:cs="Arial" w:eastAsia="Arial" w:hAnsi="Arial"/>
          <w:sz w:val="17"/>
          <w:szCs w:val="17"/>
          <w:color w:val="auto"/>
        </w:rPr>
      </w:pPr>
    </w:p>
    <w:p>
      <w:pPr>
        <w:ind w:left="-20" w:right="100" w:firstLine="656"/>
        <w:spacing w:after="0" w:line="255" w:lineRule="auto"/>
        <w:tabs>
          <w:tab w:leader="none" w:pos="98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The entries made in the Register and accounts and subaccounts maintained pursuant to </w:t>
      </w:r>
      <w:r>
        <w:rPr>
          <w:rFonts w:ascii="Arial" w:cs="Arial" w:eastAsia="Arial" w:hAnsi="Arial"/>
          <w:sz w:val="18"/>
          <w:szCs w:val="18"/>
          <w:u w:val="single" w:color="auto"/>
          <w:color w:val="auto"/>
        </w:rPr>
        <w:t>clauses (d)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shall, to the extent permitted by applicable law, be prima facie evidence of the existence and amounts of the obligations of the Borrower therein recorded;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event of any inconsistency between the Registrar and any such account or subaccount, the Registrar shall govern,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failure of any Lender, the Administrative Agent or the Swingline Lender to maintain such account, such Register or subaccount, as applicable, or any error therein, shall not in any manner affect the obligation of the Borrower to repay (with applicable interest) the Loans made to the Borrower by such Lender in accordance with the terms of this Agreement.</w:t>
      </w:r>
    </w:p>
    <w:p>
      <w:pPr>
        <w:spacing w:after="0" w:line="151" w:lineRule="exact"/>
        <w:rPr>
          <w:rFonts w:ascii="Arial" w:cs="Arial" w:eastAsia="Arial" w:hAnsi="Arial"/>
          <w:sz w:val="18"/>
          <w:szCs w:val="18"/>
          <w:color w:val="auto"/>
        </w:rPr>
      </w:pPr>
    </w:p>
    <w:p>
      <w:pPr>
        <w:ind w:left="-20" w:right="20" w:firstLine="656"/>
        <w:spacing w:after="0" w:line="273" w:lineRule="auto"/>
        <w:tabs>
          <w:tab w:leader="none" w:pos="1014"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The Borrower hereby agrees that, upon request of any Lender at any time and from time to time after the Borrower has made an initial borrowing hereunder, the Borrower shall provide to such Lender, at the Borrower’s own expense, a promissory note, substantially in the form of </w:t>
      </w:r>
      <w:r>
        <w:rPr>
          <w:rFonts w:ascii="Arial" w:cs="Arial" w:eastAsia="Arial" w:hAnsi="Arial"/>
          <w:sz w:val="17"/>
          <w:szCs w:val="17"/>
          <w:u w:val="single" w:color="auto"/>
          <w:color w:val="auto"/>
        </w:rPr>
        <w:t>Exhibit G-1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G-2</w:t>
      </w:r>
      <w:r>
        <w:rPr>
          <w:rFonts w:ascii="Arial" w:cs="Arial" w:eastAsia="Arial" w:hAnsi="Arial"/>
          <w:sz w:val="17"/>
          <w:szCs w:val="17"/>
          <w:color w:val="auto"/>
        </w:rPr>
        <w:t xml:space="preserve">, as applicable, evidencing the (i) Revolving Loans or Swingline Loans and (ii) Term A Loans (including New Term Loans), respectively, owing to such Lender. Thereafter, unless otherwise agreed to by the applicable Lender, the Loans evidenced by such promissory note and interest thereon shall at all times (including after assignment pursuant to </w:t>
      </w:r>
      <w:r>
        <w:rPr>
          <w:rFonts w:ascii="Arial" w:cs="Arial" w:eastAsia="Arial" w:hAnsi="Arial"/>
          <w:sz w:val="17"/>
          <w:szCs w:val="17"/>
          <w:u w:val="single" w:color="auto"/>
          <w:color w:val="auto"/>
        </w:rPr>
        <w:t>Section 13.6</w:t>
      </w:r>
      <w:r>
        <w:rPr>
          <w:rFonts w:ascii="Arial" w:cs="Arial" w:eastAsia="Arial" w:hAnsi="Arial"/>
          <w:sz w:val="17"/>
          <w:szCs w:val="17"/>
          <w:color w:val="auto"/>
        </w:rPr>
        <w:t>) be represented by one or more promissory notes in such form payable to the order of the payee named therein (or, if requested by such payee, to such payee and its registered assigns).</w:t>
      </w:r>
    </w:p>
    <w:p>
      <w:pPr>
        <w:spacing w:after="0" w:line="137"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Conversions and Continuations</w:t>
      </w:r>
      <w:r>
        <w:rPr>
          <w:rFonts w:ascii="Arial" w:cs="Arial" w:eastAsia="Arial" w:hAnsi="Arial"/>
          <w:sz w:val="16"/>
          <w:szCs w:val="16"/>
          <w:color w:val="auto"/>
        </w:rPr>
        <w:t>.</w:t>
      </w:r>
    </w:p>
    <w:p>
      <w:pPr>
        <w:spacing w:after="0" w:line="185" w:lineRule="exact"/>
        <w:rPr>
          <w:sz w:val="20"/>
          <w:szCs w:val="20"/>
          <w:color w:val="auto"/>
        </w:rPr>
      </w:pPr>
    </w:p>
    <w:p>
      <w:pPr>
        <w:ind w:left="-20" w:right="20" w:firstLine="656"/>
        <w:spacing w:after="0" w:line="267" w:lineRule="auto"/>
        <w:tabs>
          <w:tab w:leader="none" w:pos="100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Subject to the penultimate sentence of this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(x) the Borrower shall have the option on any Business Day to convert all or a portion equal to at least $5,000,000 of the outstanding principal amount of Term Loans of one Type or Revolving Credit Loans of one Type into a Borrowing or Borrowings of another Type and (y) the Borrower shall have the option on any Business Day to continue the outstanding principal amount of any LIBOR Loans as LIBOR Loans for an additional Interest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 partial conversion of LIBOR Loans shall reduce the outstanding principal amount of LIBOR Loans made pursuant to a single Borrowing to less than the Minimum Borrowing Amount, (ii) ABR Loans may not be converted into LIBOR Loans if an Event of Default is in existence on the date of the conversion and the Administrative Agent has or the Required Lenders have determined in its or their sole discretion not to permit such conversion, (iii) LIBOR Loans may not be continued as LIBOR Loans for an additional Interest Period if an Event of Default is in existence on the date of the proposed continuation and the Administrative Agent has or the Required Lenders have determined in its or their sole discretion not to permit such continuation, and (iv) Borrowings resulting from conversions pursuant to 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shall be limited in number as provided in </w:t>
      </w:r>
      <w:r>
        <w:rPr>
          <w:rFonts w:ascii="Arial" w:cs="Arial" w:eastAsia="Arial" w:hAnsi="Arial"/>
          <w:sz w:val="17"/>
          <w:szCs w:val="17"/>
          <w:u w:val="single" w:color="auto"/>
          <w:color w:val="auto"/>
        </w:rPr>
        <w:t>Section 2.2</w:t>
      </w:r>
      <w:r>
        <w:rPr>
          <w:rFonts w:ascii="Arial" w:cs="Arial" w:eastAsia="Arial" w:hAnsi="Arial"/>
          <w:sz w:val="17"/>
          <w:szCs w:val="17"/>
          <w:color w:val="auto"/>
        </w:rPr>
        <w:t>. Each such conversion or continuation shall be effected by the Borrower by giving the Administrative Agent at the Administrative Agent’s Office prior to 1:00 p.m. (New York City time) at least (i) three Business Days prior, in the case of a continuation of or conversion to LIBOR Loans (other than in the case of a notice delivered on the Restatement Effective Date, which shall be deemed to be effective on the Restatement Effective Date), or (ii) one Business Day prior in the case of a conversion into ABR Loans (each, a “</w:t>
      </w:r>
      <w:r>
        <w:rPr>
          <w:rFonts w:ascii="Arial" w:cs="Arial" w:eastAsia="Arial" w:hAnsi="Arial"/>
          <w:sz w:val="17"/>
          <w:szCs w:val="17"/>
          <w:b w:val="1"/>
          <w:bCs w:val="1"/>
          <w:color w:val="auto"/>
        </w:rPr>
        <w:t>Notice of Conversion or Continuation</w:t>
      </w:r>
      <w:r>
        <w:rPr>
          <w:rFonts w:ascii="Arial" w:cs="Arial" w:eastAsia="Arial" w:hAnsi="Arial"/>
          <w:sz w:val="17"/>
          <w:szCs w:val="17"/>
          <w:color w:val="auto"/>
        </w:rPr>
        <w:t xml:space="preserve">” substantially in the form of </w:t>
      </w:r>
      <w:r>
        <w:rPr>
          <w:rFonts w:ascii="Arial" w:cs="Arial" w:eastAsia="Arial" w:hAnsi="Arial"/>
          <w:sz w:val="17"/>
          <w:szCs w:val="17"/>
          <w:u w:val="single" w:color="auto"/>
          <w:color w:val="auto"/>
        </w:rPr>
        <w:t>Exhibit K</w:t>
      </w:r>
      <w:r>
        <w:rPr>
          <w:rFonts w:ascii="Arial" w:cs="Arial" w:eastAsia="Arial" w:hAnsi="Arial"/>
          <w:sz w:val="17"/>
          <w:szCs w:val="17"/>
          <w:color w:val="auto"/>
        </w:rPr>
        <w:t xml:space="preserve">) specifying the Loans to be so converted or continued, the Type of Loans to be converted or continued into and, if such Loans are to be converted into or continued as LIBOR Loans, the Interest Period to be initially applicable thereto. Such notice may be given by (A) telephone, or (B) a Notice of Conversion;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telephonic notice must be confirmed immediately by delivery to the Administrative Agent of a Notice of Conversion. A Notice of Conversion</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00"/>
          </w:cols>
          <w:pgMar w:left="340" w:top="341" w:right="359" w:bottom="1440" w:gutter="0" w:footer="0" w:header="0"/>
        </w:sectPr>
      </w:pPr>
    </w:p>
    <w:bookmarkStart w:id="150" w:name="page151"/>
    <w:bookmarkEnd w:id="150"/>
    <w:p>
      <w:pPr>
        <w:ind w:right="260"/>
        <w:spacing w:after="0" w:line="275" w:lineRule="auto"/>
        <w:rPr>
          <w:sz w:val="20"/>
          <w:szCs w:val="20"/>
          <w:color w:val="auto"/>
        </w:rPr>
      </w:pPr>
      <w:r>
        <w:rPr>
          <w:rFonts w:ascii="Arial" w:cs="Arial" w:eastAsia="Arial" w:hAnsi="Arial"/>
          <w:sz w:val="17"/>
          <w:szCs w:val="17"/>
          <w:color w:val="auto"/>
        </w:rPr>
        <w:t>or Continuation may be in such other form as may be approved by the Administrative Agent (including any form on an electronic platform or electronic transmission system as shall be approved by the Administrative Agent) and shall be appropriately completed and signed by an Authorized Officer of the Borrower. If no Interest Period is specified in any such notice with respect to any conversion to or continuation as a LIBOR Loan, the Borrower shall be deemed to have selected an Interest Period of one month’s duration. The Administrative Agent shall give each applicable Lender notice as promptly as practicable of any such proposed conversion or continuation affecting any of its Loans.</w:t>
      </w:r>
    </w:p>
    <w:p>
      <w:pPr>
        <w:spacing w:after="0" w:line="122" w:lineRule="exact"/>
        <w:rPr>
          <w:sz w:val="20"/>
          <w:szCs w:val="20"/>
          <w:color w:val="auto"/>
        </w:rPr>
      </w:pPr>
    </w:p>
    <w:p>
      <w:pPr>
        <w:ind w:firstLine="656"/>
        <w:spacing w:after="0" w:line="275" w:lineRule="auto"/>
        <w:tabs>
          <w:tab w:leader="none" w:pos="1038"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If any Event of Default is in existence at the time of any proposed continuation of any LIBOR Loans and the Administrative Agent has or the Required Lenders have determined in its or their sole discretion not to permit such continuation, such LIBOR Loans shall be automatically converted on the last day of the current Interest Period into ABR Loans. If upon the expiration of any Interest Period in respect of LIBOR Loans, the Borrower has failed to elect a new Interest Period to be applicable thereto as provided in </w:t>
      </w:r>
      <w:r>
        <w:rPr>
          <w:rFonts w:ascii="Arial" w:cs="Arial" w:eastAsia="Arial" w:hAnsi="Arial"/>
          <w:sz w:val="17"/>
          <w:szCs w:val="17"/>
          <w:u w:val="single" w:color="auto"/>
          <w:color w:val="auto"/>
        </w:rPr>
        <w:t>clause (a)</w:t>
      </w:r>
      <w:r>
        <w:rPr>
          <w:rFonts w:ascii="Arial" w:cs="Arial" w:eastAsia="Arial" w:hAnsi="Arial"/>
          <w:sz w:val="17"/>
          <w:szCs w:val="17"/>
          <w:color w:val="auto"/>
        </w:rPr>
        <w:t>, the Borrower shall be deemed to have elected to convert such Borrowing of LIBOR Loans into a Borrowing of ABR Loans, effective as of the expiration date of such current Interest Period.</w:t>
      </w:r>
    </w:p>
    <w:p>
      <w:pPr>
        <w:spacing w:after="0" w:line="122"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Pro Rata Borrowings</w:t>
      </w:r>
      <w:r>
        <w:rPr>
          <w:rFonts w:ascii="Arial" w:cs="Arial" w:eastAsia="Arial" w:hAnsi="Arial"/>
          <w:sz w:val="17"/>
          <w:szCs w:val="17"/>
          <w:color w:val="auto"/>
        </w:rPr>
        <w:t>. Each Borrowing of Term A Loans under this Agreement shall be made by the Lenders pro rata on the basis of their then-applicable Term A Loan Commitments. Each Borrowing of Revolving Credit Loans under this Agreement shall be made by the Revolving Credit Lenders pro rata on the basis of their then-applicable Revolving Credit Commitment Percentages. Each Borrowing of New Term Loans under this Agreement shall be made by the Lenders pro rata on the basis of their then-applicable New Term Loan Commitments. It is understood that (a) no Lender shall be responsible for any default by any other Lender in its obligation to make Loans hereunder and that each Lender severally but not jointly shall be obligated to make the Loans provided to be made by it hereunder, regardless of the failure of any other Lender to fulfill its commitments hereunder and (b) other than as expressly provided herein with respect to a Defaulting Lender, failure by a Lender to perform any of its obligations under any of the Credit Documents shall not release any Person from performance of its obligation, under any Credit Document.</w:t>
      </w:r>
    </w:p>
    <w:p>
      <w:pPr>
        <w:spacing w:after="0" w:line="12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171" w:lineRule="exact"/>
        <w:rPr>
          <w:sz w:val="20"/>
          <w:szCs w:val="20"/>
          <w:color w:val="auto"/>
        </w:rPr>
      </w:pPr>
    </w:p>
    <w:p>
      <w:pPr>
        <w:ind w:right="280" w:firstLine="656"/>
        <w:spacing w:after="0" w:line="263" w:lineRule="auto"/>
        <w:tabs>
          <w:tab w:leader="none" w:pos="102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The unpaid principal amount of each ABR Loan shall bear interest from the date of the Borrowing thereof until maturity (whether by acceleration or otherwise) at a rate per annum that shall at all times be the Applicable Margin for ABR Loans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ABR, in each case, in effect from time to time.</w:t>
      </w:r>
    </w:p>
    <w:p>
      <w:pPr>
        <w:spacing w:after="0" w:line="129" w:lineRule="exact"/>
        <w:rPr>
          <w:rFonts w:ascii="Arial" w:cs="Arial" w:eastAsia="Arial" w:hAnsi="Arial"/>
          <w:sz w:val="18"/>
          <w:szCs w:val="18"/>
          <w:color w:val="auto"/>
        </w:rPr>
      </w:pPr>
    </w:p>
    <w:p>
      <w:pPr>
        <w:ind w:right="100" w:firstLine="656"/>
        <w:spacing w:after="0" w:line="342" w:lineRule="auto"/>
        <w:tabs>
          <w:tab w:leader="none" w:pos="1034"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The unpaid principal amount of each LIBOR Loan shall bear interest from the date of the Borrowing thereof until maturity thereof (whether by acceleration or otherwise) at a rate per annum that shall at all times be the Applicable Margin for LIBOR Loans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relevant LIBOR Rate.</w:t>
      </w:r>
    </w:p>
    <w:p>
      <w:pPr>
        <w:spacing w:after="0" w:line="69" w:lineRule="exact"/>
        <w:rPr>
          <w:rFonts w:ascii="Arial" w:cs="Arial" w:eastAsia="Arial" w:hAnsi="Arial"/>
          <w:sz w:val="16"/>
          <w:szCs w:val="16"/>
          <w:color w:val="auto"/>
        </w:rPr>
      </w:pPr>
    </w:p>
    <w:p>
      <w:pPr>
        <w:ind w:right="40" w:firstLine="656"/>
        <w:spacing w:after="0" w:line="275" w:lineRule="auto"/>
        <w:tabs>
          <w:tab w:leader="none" w:pos="102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If all or a portion of (i) the principal amount of any Loan or (ii) any interest payable thereon or any other amount payable hereunder shall not be paid when due (whether at the stated maturity, by acceleration or otherwise), such overdue amount shall bear interest at a rate per annum (the “</w:t>
      </w:r>
      <w:r>
        <w:rPr>
          <w:rFonts w:ascii="Arial" w:cs="Arial" w:eastAsia="Arial" w:hAnsi="Arial"/>
          <w:sz w:val="17"/>
          <w:szCs w:val="17"/>
          <w:b w:val="1"/>
          <w:bCs w:val="1"/>
          <w:color w:val="auto"/>
        </w:rPr>
        <w:t>Default</w:t>
      </w:r>
      <w:r>
        <w:rPr>
          <w:rFonts w:ascii="Arial" w:cs="Arial" w:eastAsia="Arial" w:hAnsi="Arial"/>
          <w:sz w:val="17"/>
          <w:szCs w:val="17"/>
          <w:color w:val="auto"/>
        </w:rPr>
        <w:t xml:space="preserve"> </w:t>
      </w:r>
      <w:r>
        <w:rPr>
          <w:rFonts w:ascii="Arial" w:cs="Arial" w:eastAsia="Arial" w:hAnsi="Arial"/>
          <w:sz w:val="17"/>
          <w:szCs w:val="17"/>
          <w:b w:val="1"/>
          <w:bCs w:val="1"/>
          <w:color w:val="auto"/>
        </w:rPr>
        <w:t>Rate</w:t>
      </w:r>
      <w:r>
        <w:rPr>
          <w:rFonts w:ascii="Arial" w:cs="Arial" w:eastAsia="Arial" w:hAnsi="Arial"/>
          <w:sz w:val="17"/>
          <w:szCs w:val="17"/>
          <w:color w:val="auto"/>
        </w:rPr>
        <w:t>”) that is (x) in the case of overdue principal, the rate that would otherwise be applicable thereto</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plus</w:t>
      </w:r>
      <w:r>
        <w:rPr>
          <w:rFonts w:ascii="Arial" w:cs="Arial" w:eastAsia="Arial" w:hAnsi="Arial"/>
          <w:sz w:val="17"/>
          <w:szCs w:val="17"/>
          <w:b w:val="1"/>
          <w:bCs w:val="1"/>
          <w:color w:val="auto"/>
        </w:rPr>
        <w:t xml:space="preserve"> </w:t>
      </w:r>
      <w:r>
        <w:rPr>
          <w:rFonts w:ascii="Arial" w:cs="Arial" w:eastAsia="Arial" w:hAnsi="Arial"/>
          <w:sz w:val="17"/>
          <w:szCs w:val="17"/>
          <w:color w:val="auto"/>
        </w:rPr>
        <w:t>2.00% or (y) in the case of any other overdue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amount, including overdue interest, to the extent permitted by applicable law, the rate described in </w:t>
      </w:r>
      <w:r>
        <w:rPr>
          <w:rFonts w:ascii="Arial" w:cs="Arial" w:eastAsia="Arial" w:hAnsi="Arial"/>
          <w:sz w:val="17"/>
          <w:szCs w:val="17"/>
          <w:u w:val="single" w:color="auto"/>
          <w:color w:val="auto"/>
        </w:rPr>
        <w:t>Section 2.8(a)</w:t>
      </w:r>
      <w:r>
        <w:rPr>
          <w:rFonts w:ascii="Arial" w:cs="Arial" w:eastAsia="Arial" w:hAnsi="Arial"/>
          <w:sz w:val="17"/>
          <w:szCs w:val="17"/>
          <w:color w:val="auto"/>
        </w:rPr>
        <w:t xml:space="preserve"> for the applicable Class </w:t>
      </w:r>
      <w:r>
        <w:rPr>
          <w:rFonts w:ascii="Arial" w:cs="Arial" w:eastAsia="Arial" w:hAnsi="Arial"/>
          <w:sz w:val="17"/>
          <w:szCs w:val="17"/>
          <w:i w:val="1"/>
          <w:iCs w:val="1"/>
          <w:color w:val="auto"/>
        </w:rPr>
        <w:t>plus</w:t>
      </w:r>
      <w:r>
        <w:rPr>
          <w:rFonts w:ascii="Arial" w:cs="Arial" w:eastAsia="Arial" w:hAnsi="Arial"/>
          <w:sz w:val="17"/>
          <w:szCs w:val="17"/>
          <w:color w:val="auto"/>
        </w:rPr>
        <w:t xml:space="preserve"> 2.00% from the date of such non-payment to the date on which such amount is paid in full (after as well as before judgment).</w:t>
      </w:r>
    </w:p>
    <w:p>
      <w:pPr>
        <w:spacing w:after="0" w:line="122" w:lineRule="exact"/>
        <w:rPr>
          <w:rFonts w:ascii="Arial" w:cs="Arial" w:eastAsia="Arial" w:hAnsi="Arial"/>
          <w:sz w:val="17"/>
          <w:szCs w:val="17"/>
          <w:color w:val="auto"/>
        </w:rPr>
      </w:pPr>
    </w:p>
    <w:p>
      <w:pPr>
        <w:ind w:firstLine="656"/>
        <w:spacing w:after="0" w:line="254" w:lineRule="auto"/>
        <w:tabs>
          <w:tab w:leader="none" w:pos="103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Interest on each Loan shall accrue from and including the date of any Borrowing to but excluding the date of any repayment thereof and shall be payable in the same currency in which the Loan is denominated;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that is repaid on the same date on which it is made shall bear interest for one day. Except as provided below, interest shall be payable (i) in respect of each ABR Loan, quarterly in arrears on the last Business Day of March, June, September and December, (ii) in respect of each LIBOR Loan, on the last day of each Interest Period applicable thereto and, in the case of an Interest Period in excess of three months, on each date occurring at three-month intervals after the first day of such Interest Period, and (iii) in respect of each Loan, (A) except in the case of ABR Revolving Credit Loans on any prepayment in respect thereof, (B) at maturity (whether by acceleration or otherwise), and (C) after such maturity, on demand.</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320" w:top="341" w:right="359" w:bottom="1440" w:gutter="0" w:footer="0" w:header="0"/>
        </w:sectPr>
      </w:pPr>
    </w:p>
    <w:bookmarkStart w:id="151" w:name="page152"/>
    <w:bookmarkEnd w:id="151"/>
    <w:p>
      <w:pPr>
        <w:ind w:left="1020" w:hanging="364"/>
        <w:spacing w:after="0"/>
        <w:tabs>
          <w:tab w:leader="none" w:pos="10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All computations of interest hereunder shall be made in accordance with </w:t>
      </w:r>
      <w:r>
        <w:rPr>
          <w:rFonts w:ascii="Arial" w:cs="Arial" w:eastAsia="Arial" w:hAnsi="Arial"/>
          <w:sz w:val="18"/>
          <w:szCs w:val="18"/>
          <w:u w:val="single" w:color="auto"/>
          <w:color w:val="auto"/>
        </w:rPr>
        <w:t>Section 5.5</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220" w:firstLine="656"/>
        <w:spacing w:after="0" w:line="342" w:lineRule="auto"/>
        <w:tabs>
          <w:tab w:leader="none" w:pos="1004"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Administrative Agent, upon determining the interest rate for any Borrowing of LIBOR Loans, shall promptly notify the Borrower and the relevant Lenders thereof. Each such determination shall, absent clearly demonstrable error, be final and conclusive and binding on all parties hereto.</w:t>
      </w:r>
    </w:p>
    <w:p>
      <w:pPr>
        <w:spacing w:after="0" w:line="12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Interest Periods</w:t>
      </w:r>
      <w:r>
        <w:rPr>
          <w:rFonts w:ascii="Arial" w:cs="Arial" w:eastAsia="Arial" w:hAnsi="Arial"/>
          <w:sz w:val="18"/>
          <w:szCs w:val="18"/>
          <w:color w:val="auto"/>
        </w:rPr>
        <w:t xml:space="preserve">. At the time the Borrower gives a Notice of Borrowing or Notice of Conversion or Continuation in respect of the making of, or conversion into or continuation as, a Borrowing of LIBOR Loans in accordance with </w:t>
      </w:r>
      <w:r>
        <w:rPr>
          <w:rFonts w:ascii="Arial" w:cs="Arial" w:eastAsia="Arial" w:hAnsi="Arial"/>
          <w:sz w:val="18"/>
          <w:szCs w:val="18"/>
          <w:u w:val="single" w:color="auto"/>
          <w:color w:val="auto"/>
        </w:rPr>
        <w:t>Section 2.6(a)</w:t>
      </w:r>
      <w:r>
        <w:rPr>
          <w:rFonts w:ascii="Arial" w:cs="Arial" w:eastAsia="Arial" w:hAnsi="Arial"/>
          <w:sz w:val="18"/>
          <w:szCs w:val="18"/>
          <w:color w:val="auto"/>
        </w:rPr>
        <w:t>, the Borrower shall give the Administrative Agent written notice of the Interest Period applicable to such Borrowing, which Interest Period shall, at the option of the Borrower be a one, two, three or six month period (or if available to all the Lenders making such LIBOR Loans as determined by such Lenders in good faith based on prevailing market conditions, a twelve month or shorter period).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anything to the contrary contained above:</w:t>
      </w:r>
    </w:p>
    <w:p>
      <w:pPr>
        <w:spacing w:after="0" w:line="225" w:lineRule="exact"/>
        <w:rPr>
          <w:sz w:val="20"/>
          <w:szCs w:val="20"/>
          <w:color w:val="auto"/>
        </w:rPr>
      </w:pPr>
    </w:p>
    <w:p>
      <w:pPr>
        <w:ind w:left="660" w:right="60" w:firstLine="644"/>
        <w:spacing w:after="0" w:line="263" w:lineRule="auto"/>
        <w:tabs>
          <w:tab w:leader="none" w:pos="168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initial Interest Period for any Borrowing of LIBOR Loans shall commence on the date of such Borrowing (including the date of any conversion from a Borrowing of ABR Loans) and each Interest Period occurring thereafter in respect of such Borrowing shall commence on the day on which the next preceding Interest Period expires;</w:t>
      </w:r>
    </w:p>
    <w:p>
      <w:pPr>
        <w:spacing w:after="0" w:line="102" w:lineRule="exact"/>
        <w:rPr>
          <w:rFonts w:ascii="Arial" w:cs="Arial" w:eastAsia="Arial" w:hAnsi="Arial"/>
          <w:sz w:val="18"/>
          <w:szCs w:val="18"/>
          <w:color w:val="auto"/>
        </w:rPr>
      </w:pPr>
    </w:p>
    <w:p>
      <w:pPr>
        <w:ind w:left="660" w:right="20" w:firstLine="644"/>
        <w:spacing w:after="0" w:line="263" w:lineRule="auto"/>
        <w:tabs>
          <w:tab w:leader="none" w:pos="169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if any Interest Period relating to a Borrowing of LIBOR Loans begins on the last Business Day of a calendar month or begins on a day for which there is no numerically corresponding day in the calendar month at the end of such Interest Period, such Interest Period shall end on the last Business Day of the calendar month at the end of such Interest Period;</w:t>
      </w:r>
    </w:p>
    <w:p>
      <w:pPr>
        <w:spacing w:after="0" w:line="102" w:lineRule="exact"/>
        <w:rPr>
          <w:rFonts w:ascii="Arial" w:cs="Arial" w:eastAsia="Arial" w:hAnsi="Arial"/>
          <w:sz w:val="18"/>
          <w:szCs w:val="18"/>
          <w:color w:val="auto"/>
        </w:rPr>
      </w:pPr>
    </w:p>
    <w:p>
      <w:pPr>
        <w:ind w:left="660" w:right="100" w:firstLine="644"/>
        <w:spacing w:after="0" w:line="259" w:lineRule="auto"/>
        <w:tabs>
          <w:tab w:leader="none" w:pos="168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if any Interest Period would otherwise expire on a day that is not a Business Day, such Interest Period shall expire on the next succeeding Business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any Interest Period in respect of a LIBOR Loan would otherwise expire on a day that is not a Business Day but is a day of the month after which no further Business Day occurs in such month, such Interest Period shall expire on the immediately preceding Business Day; and</w:t>
      </w:r>
    </w:p>
    <w:p>
      <w:pPr>
        <w:spacing w:after="0" w:line="105" w:lineRule="exact"/>
        <w:rPr>
          <w:rFonts w:ascii="Arial" w:cs="Arial" w:eastAsia="Arial" w:hAnsi="Arial"/>
          <w:sz w:val="18"/>
          <w:szCs w:val="18"/>
          <w:color w:val="auto"/>
        </w:rPr>
      </w:pPr>
    </w:p>
    <w:p>
      <w:pPr>
        <w:ind w:left="660" w:right="240" w:firstLine="644"/>
        <w:spacing w:after="0" w:line="277" w:lineRule="auto"/>
        <w:tabs>
          <w:tab w:leader="none" w:pos="169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Borrower shall not be entitled to elect any Interest Period in respect of any LIBOR Loan if such Interest Period would extend beyond the Maturity Date of such Loan.</w:t>
      </w:r>
    </w:p>
    <w:p>
      <w:pPr>
        <w:spacing w:after="0" w:line="89"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u w:val="single" w:color="auto"/>
          <w:color w:val="auto"/>
        </w:rPr>
        <w:t>Increased Costs, Illegality, Etc</w:t>
      </w:r>
      <w:r>
        <w:rPr>
          <w:rFonts w:ascii="Arial" w:cs="Arial" w:eastAsia="Arial" w:hAnsi="Arial"/>
          <w:sz w:val="16"/>
          <w:szCs w:val="16"/>
          <w:color w:val="auto"/>
        </w:rPr>
        <w:t>.</w:t>
      </w:r>
    </w:p>
    <w:p>
      <w:pPr>
        <w:spacing w:after="0" w:line="225" w:lineRule="exact"/>
        <w:rPr>
          <w:sz w:val="20"/>
          <w:szCs w:val="20"/>
          <w:color w:val="auto"/>
        </w:rPr>
      </w:pPr>
    </w:p>
    <w:p>
      <w:pPr>
        <w:ind w:right="160" w:firstLine="656"/>
        <w:spacing w:after="0" w:line="311" w:lineRule="auto"/>
        <w:tabs>
          <w:tab w:leader="none" w:pos="102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In the event that (x) in the case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below, the Administrative Agent and (y) in the case of </w:t>
      </w:r>
      <w:r>
        <w:rPr>
          <w:rFonts w:ascii="Arial" w:cs="Arial" w:eastAsia="Arial" w:hAnsi="Arial"/>
          <w:sz w:val="16"/>
          <w:szCs w:val="16"/>
          <w:u w:val="single" w:color="auto"/>
          <w:color w:val="auto"/>
        </w:rPr>
        <w:t>clauses (ii)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below, the Required Term Loan Lenders (with respect to Term Loans) or the Required Revolving Credit Lenders (with respect to Revolving Credit Commitments) shall have reasonably determined (which determination shall, absent clearly demonstrable error, be final and conclusive and binding upon all parties hereto):</w:t>
      </w:r>
    </w:p>
    <w:p>
      <w:pPr>
        <w:spacing w:after="0" w:line="148" w:lineRule="exact"/>
        <w:rPr>
          <w:rFonts w:ascii="Arial" w:cs="Arial" w:eastAsia="Arial" w:hAnsi="Arial"/>
          <w:sz w:val="16"/>
          <w:szCs w:val="16"/>
          <w:color w:val="auto"/>
        </w:rPr>
      </w:pPr>
    </w:p>
    <w:p>
      <w:pPr>
        <w:ind w:left="660" w:firstLine="887"/>
        <w:spacing w:after="0" w:line="259" w:lineRule="auto"/>
        <w:tabs>
          <w:tab w:leader="none" w:pos="1901" w:val="left"/>
        </w:tabs>
        <w:numPr>
          <w:ilvl w:val="1"/>
          <w:numId w:val="106"/>
        </w:numPr>
        <w:rPr>
          <w:rFonts w:ascii="Arial" w:cs="Arial" w:eastAsia="Arial" w:hAnsi="Arial"/>
          <w:sz w:val="18"/>
          <w:szCs w:val="18"/>
          <w:color w:val="auto"/>
        </w:rPr>
      </w:pPr>
      <w:r>
        <w:rPr>
          <w:rFonts w:ascii="Arial" w:cs="Arial" w:eastAsia="Arial" w:hAnsi="Arial"/>
          <w:sz w:val="18"/>
          <w:szCs w:val="18"/>
          <w:color w:val="auto"/>
        </w:rPr>
        <w:t>on any date for determining the LIBOR Rate for any Interest Period that (x) deposits in the principal amounts and currencies of the Loans comprising such LIBOR Borrowing are not generally available in the relevant market or (y) by reason of any changes arising on or after the Restatement Effective Date affecting the interbank LIBOR market, adequate and fair means do not exist for ascertaining the applicable interest rate on the basis provided for in the definition of “LIBOR Rate”; or</w:t>
      </w:r>
    </w:p>
    <w:p>
      <w:pPr>
        <w:spacing w:after="0" w:line="186" w:lineRule="exact"/>
        <w:rPr>
          <w:rFonts w:ascii="Arial" w:cs="Arial" w:eastAsia="Arial" w:hAnsi="Arial"/>
          <w:sz w:val="18"/>
          <w:szCs w:val="18"/>
          <w:color w:val="auto"/>
        </w:rPr>
      </w:pPr>
    </w:p>
    <w:p>
      <w:pPr>
        <w:ind w:left="660" w:right="40" w:firstLine="887"/>
        <w:spacing w:after="0" w:line="263" w:lineRule="auto"/>
        <w:tabs>
          <w:tab w:leader="none" w:pos="1951"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at any time, that such Lenders shall incur increased costs or reductions in the amounts received or receivable hereunder with respect to any LIBOR Loans (including any increased costs or reductions attributable to Taxes, other than any increase or reduction attributable to Indemnified Taxes, Excluded Taxes or Other Taxes) because of any Change in Law; or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00"/>
          </w:cols>
          <w:pgMar w:left="320" w:top="341" w:right="379" w:bottom="1440" w:gutter="0" w:footer="0" w:header="0"/>
        </w:sectPr>
      </w:pPr>
    </w:p>
    <w:bookmarkStart w:id="152" w:name="page153"/>
    <w:bookmarkEnd w:id="152"/>
    <w:p>
      <w:pPr>
        <w:jc w:val="both"/>
        <w:ind w:left="660" w:right="40" w:firstLine="887"/>
        <w:spacing w:after="0" w:line="301" w:lineRule="auto"/>
        <w:tabs>
          <w:tab w:leader="none" w:pos="2001"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at any time, that the making or continuance of any LIBOR Loan has become unlawful by compliance by such Lenders in good faith with any law, governmental rule, regulation, guideline or order (or would conflict with any such governmental rule, regulation, guideline or order not having the force of law even though the failure to comply therewith would not be unlawful), or has become impracticable as a result of a contingency occurring after the Restatement Effective Date that materially and adversely affects the interbank LIBOR market;</w:t>
      </w:r>
    </w:p>
    <w:p>
      <w:pPr>
        <w:spacing w:after="0" w:line="15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(such Loans, “</w:t>
      </w:r>
      <w:r>
        <w:rPr>
          <w:rFonts w:ascii="Arial" w:cs="Arial" w:eastAsia="Arial" w:hAnsi="Arial"/>
          <w:sz w:val="16"/>
          <w:szCs w:val="16"/>
          <w:b w:val="1"/>
          <w:bCs w:val="1"/>
          <w:color w:val="auto"/>
        </w:rPr>
        <w:t>Impacted Loans</w:t>
      </w:r>
      <w:r>
        <w:rPr>
          <w:rFonts w:ascii="Arial" w:cs="Arial" w:eastAsia="Arial" w:hAnsi="Arial"/>
          <w:sz w:val="16"/>
          <w:szCs w:val="16"/>
          <w:color w:val="auto"/>
        </w:rPr>
        <w:t xml:space="preserve">”), then, and in any such event, such Required Term Loan Lenders or Required Revolving Credit Lenders, as applicable (or the Administrative Agent, in the case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shall within a reasonable time thereafter give notice (if by telephone, confirmed in writing) to Holdings, the Borrower, and to the Administrative Agent of such determination (which notice the Administrative Agent shall promptly transmit to each of the other Lenders). Thereafter (x) in the case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LIBOR Loans shall no longer be available until such time as the Administrative Agent notifies Holdings, the Borrower and the Lenders that the circumstances giving rise to such notice by the Administrative Agent no longer exist (which notice the Administrative Agent agrees to give at such time when such circumstances no longer exist), and any Notice of Borrowing or Notice of Conversion given by the Borrower with respect to LIBOR Loans that have not yet been incurred shall be deemed rescinded by the Borrower, (y) in the case of </w:t>
      </w:r>
      <w:r>
        <w:rPr>
          <w:rFonts w:ascii="Arial" w:cs="Arial" w:eastAsia="Arial" w:hAnsi="Arial"/>
          <w:sz w:val="16"/>
          <w:szCs w:val="16"/>
          <w:u w:val="single" w:color="auto"/>
          <w:color w:val="auto"/>
        </w:rPr>
        <w:t>clause</w:t>
      </w:r>
    </w:p>
    <w:p>
      <w:pPr>
        <w:spacing w:after="0" w:line="1" w:lineRule="exact"/>
        <w:rPr>
          <w:sz w:val="20"/>
          <w:szCs w:val="20"/>
          <w:color w:val="auto"/>
        </w:rPr>
      </w:pPr>
    </w:p>
    <w:p>
      <w:pPr>
        <w:ind w:right="140" w:firstLine="8"/>
        <w:spacing w:after="0" w:line="269" w:lineRule="auto"/>
        <w:tabs>
          <w:tab w:leader="none" w:pos="265" w:val="left"/>
        </w:tabs>
        <w:numPr>
          <w:ilvl w:val="0"/>
          <w:numId w:val="108"/>
        </w:numPr>
        <w:rPr>
          <w:rFonts w:ascii="Arial" w:cs="Arial" w:eastAsia="Arial" w:hAnsi="Arial"/>
          <w:sz w:val="17"/>
          <w:szCs w:val="17"/>
          <w:u w:val="single" w:color="auto"/>
          <w:color w:val="auto"/>
        </w:rPr>
      </w:pPr>
      <w:r>
        <w:rPr>
          <w:rFonts w:ascii="Arial" w:cs="Arial" w:eastAsia="Arial" w:hAnsi="Arial"/>
          <w:sz w:val="17"/>
          <w:szCs w:val="17"/>
          <w:color w:val="auto"/>
        </w:rPr>
        <w:t xml:space="preserve">above, the Borrower shall pay to such Lenders, promptly after receipt of written demand therefor such additional amounts (in the form of an increased rate of, or a different method of calculating, interest or otherwise as such Required Term Loan Lenders or Required Revolving Credit Lenders, as applicable, in their reasonable discretion shall determine) as shall be required to compensate such Lenders for such actual increased costs or reductions in amounts receivable hereunder (it being agreed that a written notice as to the additional amounts owed to such Lenders, showing in reasonable detail the basis for the calculation thereof, submitted to the Borrower by such Lenders shall, absent clearly demonstrable error, be final and conclusive and binding upon all parties hereto), and (z) in the case of </w:t>
      </w:r>
      <w:r>
        <w:rPr>
          <w:rFonts w:ascii="Arial" w:cs="Arial" w:eastAsia="Arial" w:hAnsi="Arial"/>
          <w:sz w:val="17"/>
          <w:szCs w:val="17"/>
          <w:u w:val="single" w:color="auto"/>
          <w:color w:val="auto"/>
        </w:rPr>
        <w:t>subclause (iii)</w:t>
      </w:r>
      <w:r>
        <w:rPr>
          <w:rFonts w:ascii="Arial" w:cs="Arial" w:eastAsia="Arial" w:hAnsi="Arial"/>
          <w:sz w:val="17"/>
          <w:szCs w:val="17"/>
          <w:color w:val="auto"/>
        </w:rPr>
        <w:t xml:space="preserve"> above, the Borrower shall take one of the actions specified in </w:t>
      </w:r>
      <w:r>
        <w:rPr>
          <w:rFonts w:ascii="Arial" w:cs="Arial" w:eastAsia="Arial" w:hAnsi="Arial"/>
          <w:sz w:val="17"/>
          <w:szCs w:val="17"/>
          <w:u w:val="single" w:color="auto"/>
          <w:color w:val="auto"/>
        </w:rPr>
        <w:t>subclause (x)</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(y)</w:t>
      </w:r>
      <w:r>
        <w:rPr>
          <w:rFonts w:ascii="Arial" w:cs="Arial" w:eastAsia="Arial" w:hAnsi="Arial"/>
          <w:sz w:val="17"/>
          <w:szCs w:val="17"/>
          <w:color w:val="auto"/>
        </w:rPr>
        <w:t xml:space="preserve">, as applicable, of </w:t>
      </w:r>
      <w:r>
        <w:rPr>
          <w:rFonts w:ascii="Arial" w:cs="Arial" w:eastAsia="Arial" w:hAnsi="Arial"/>
          <w:sz w:val="17"/>
          <w:szCs w:val="17"/>
          <w:u w:val="single" w:color="auto"/>
          <w:color w:val="auto"/>
        </w:rPr>
        <w:t>Section 2.10(b)</w:t>
      </w:r>
      <w:r>
        <w:rPr>
          <w:rFonts w:ascii="Arial" w:cs="Arial" w:eastAsia="Arial" w:hAnsi="Arial"/>
          <w:sz w:val="17"/>
          <w:szCs w:val="17"/>
          <w:color w:val="auto"/>
        </w:rPr>
        <w:t xml:space="preserve"> promptly and, in any event, within the time period required by law.</w:t>
      </w:r>
    </w:p>
    <w:p>
      <w:pPr>
        <w:spacing w:after="0" w:line="99" w:lineRule="exact"/>
        <w:rPr>
          <w:rFonts w:ascii="Arial" w:cs="Arial" w:eastAsia="Arial" w:hAnsi="Arial"/>
          <w:sz w:val="17"/>
          <w:szCs w:val="17"/>
          <w:u w:val="single" w:color="auto"/>
          <w:color w:val="auto"/>
        </w:rPr>
      </w:pPr>
    </w:p>
    <w:p>
      <w:pPr>
        <w:jc w:val="both"/>
        <w:ind w:firstLine="656"/>
        <w:spacing w:after="0" w:line="286" w:lineRule="auto"/>
        <w:tabs>
          <w:tab w:leader="none" w:pos="1028" w:val="left"/>
        </w:tabs>
        <w:numPr>
          <w:ilvl w:val="1"/>
          <w:numId w:val="108"/>
        </w:numPr>
        <w:rPr>
          <w:rFonts w:ascii="Arial" w:cs="Arial" w:eastAsia="Arial" w:hAnsi="Arial"/>
          <w:sz w:val="16"/>
          <w:szCs w:val="16"/>
          <w:color w:val="auto"/>
        </w:rPr>
      </w:pPr>
      <w:r>
        <w:rPr>
          <w:rFonts w:ascii="Arial" w:cs="Arial" w:eastAsia="Arial" w:hAnsi="Arial"/>
          <w:sz w:val="16"/>
          <w:szCs w:val="16"/>
          <w:color w:val="auto"/>
        </w:rPr>
        <w:t xml:space="preserve">At any time that any LIBOR Loan is affected by the circumstances described in </w:t>
      </w:r>
      <w:r>
        <w:rPr>
          <w:rFonts w:ascii="Arial" w:cs="Arial" w:eastAsia="Arial" w:hAnsi="Arial"/>
          <w:sz w:val="16"/>
          <w:szCs w:val="16"/>
          <w:u w:val="single" w:color="auto"/>
          <w:color w:val="auto"/>
        </w:rPr>
        <w:t>Section 2.10(a)(ii)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the Borrower may (and in the case of a LIBOR Loan affected pursuant to </w:t>
      </w:r>
      <w:r>
        <w:rPr>
          <w:rFonts w:ascii="Arial" w:cs="Arial" w:eastAsia="Arial" w:hAnsi="Arial"/>
          <w:sz w:val="16"/>
          <w:szCs w:val="16"/>
          <w:u w:val="single" w:color="auto"/>
          <w:color w:val="auto"/>
        </w:rPr>
        <w:t>Section 2.10(a)(iii)</w:t>
      </w:r>
      <w:r>
        <w:rPr>
          <w:rFonts w:ascii="Arial" w:cs="Arial" w:eastAsia="Arial" w:hAnsi="Arial"/>
          <w:sz w:val="16"/>
          <w:szCs w:val="16"/>
          <w:color w:val="auto"/>
        </w:rPr>
        <w:t xml:space="preserve"> shall) either (x) if a Notice of Borrowing or Notice of Conversion or Continuation with respect to the affected LIBOR Loan has been submitted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but the affected LIBOR Loan has not been funded or continued, cancel such requested Borrowing by giving the Administrative Agent written notice thereof on the same date that the Borrower was notified by Lenders pursuant to </w:t>
      </w:r>
      <w:r>
        <w:rPr>
          <w:rFonts w:ascii="Arial" w:cs="Arial" w:eastAsia="Arial" w:hAnsi="Arial"/>
          <w:sz w:val="16"/>
          <w:szCs w:val="16"/>
          <w:u w:val="single" w:color="auto"/>
          <w:color w:val="auto"/>
        </w:rPr>
        <w:t>Section</w:t>
      </w:r>
    </w:p>
    <w:p>
      <w:pPr>
        <w:spacing w:after="0" w:line="1" w:lineRule="exact"/>
        <w:rPr>
          <w:rFonts w:ascii="Arial" w:cs="Arial" w:eastAsia="Arial" w:hAnsi="Arial"/>
          <w:sz w:val="16"/>
          <w:szCs w:val="16"/>
          <w:color w:val="auto"/>
        </w:rPr>
      </w:pPr>
    </w:p>
    <w:p>
      <w:pPr>
        <w:ind w:right="12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2.10(a)(ii)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or (y) if the affected LIBOR Loan is then outstanding, upon at least three Business Days’ notice to the Administrative Agent, require the affected Lender to convert each such LIBOR Loan into an ABR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more than one Lender is affected at any time, then all affected Lenders must be treated in the same manner pursuant to this </w:t>
      </w:r>
      <w:r>
        <w:rPr>
          <w:rFonts w:ascii="Arial" w:cs="Arial" w:eastAsia="Arial" w:hAnsi="Arial"/>
          <w:sz w:val="18"/>
          <w:szCs w:val="18"/>
          <w:u w:val="single" w:color="auto"/>
          <w:color w:val="auto"/>
        </w:rPr>
        <w:t>Section 2.10(b)</w:t>
      </w:r>
      <w:r>
        <w:rPr>
          <w:rFonts w:ascii="Arial" w:cs="Arial" w:eastAsia="Arial" w:hAnsi="Arial"/>
          <w:sz w:val="18"/>
          <w:szCs w:val="18"/>
          <w:color w:val="auto"/>
        </w:rPr>
        <w:t>.</w:t>
      </w:r>
    </w:p>
    <w:p>
      <w:pPr>
        <w:spacing w:after="0" w:line="189" w:lineRule="exact"/>
        <w:rPr>
          <w:rFonts w:ascii="Arial" w:cs="Arial" w:eastAsia="Arial" w:hAnsi="Arial"/>
          <w:sz w:val="16"/>
          <w:szCs w:val="16"/>
          <w:color w:val="auto"/>
        </w:rPr>
      </w:pPr>
    </w:p>
    <w:p>
      <w:pPr>
        <w:ind w:firstLine="656"/>
        <w:spacing w:after="0" w:line="287" w:lineRule="auto"/>
        <w:tabs>
          <w:tab w:leader="none" w:pos="1028" w:val="left"/>
        </w:tabs>
        <w:numPr>
          <w:ilvl w:val="1"/>
          <w:numId w:val="108"/>
        </w:numPr>
        <w:rPr>
          <w:rFonts w:ascii="Arial" w:cs="Arial" w:eastAsia="Arial" w:hAnsi="Arial"/>
          <w:sz w:val="16"/>
          <w:szCs w:val="16"/>
          <w:color w:val="auto"/>
        </w:rPr>
      </w:pPr>
      <w:r>
        <w:rPr>
          <w:rFonts w:ascii="Arial" w:cs="Arial" w:eastAsia="Arial" w:hAnsi="Arial"/>
          <w:sz w:val="16"/>
          <w:szCs w:val="16"/>
          <w:color w:val="auto"/>
        </w:rPr>
        <w:t xml:space="preserve">If, after the Restatement Effective Date, any Change in Law relating to capital adequacy or liquidity of any Lender or compliance by any Lender or its parent with any Change in Law relating to capital adequacy or liquidity occurring after the Restatement Effective Date, has or would have the effect of reducing the actual rate of return on such Lender’s or its parent’s or its Affiliate’s capital or assets as a consequence of such Lender’s commitments or obligations hereunder to a level below that which such Lender or its parent or its Affiliate could have achieved but for such Change in Law (taking into consideration such Lender’s or its parent’s policies with respect to capital adequacy or liquidity), then from time to time, promptly after demand by such Lender (with a copy to the Administrative Agent), the Borrower shall pay to such Lender such actual additional amount or amounts as will compensate such Lender or its parent for such actual reduction, it being understood and agreed, however, that a Lender shall not be entitled to such compensation to the extent such Lender is not imposing such charges on, or requesting such compensation from, borrowers (similarly situated to the Borrower hereunder) under comparable syndicated credit facilities similar to the Credit Facilities. Each Lender, upon determining in good faith that any additional amounts will be payable pursuant to this </w:t>
      </w:r>
      <w:r>
        <w:rPr>
          <w:rFonts w:ascii="Arial" w:cs="Arial" w:eastAsia="Arial" w:hAnsi="Arial"/>
          <w:sz w:val="16"/>
          <w:szCs w:val="16"/>
          <w:u w:val="single" w:color="auto"/>
          <w:color w:val="auto"/>
        </w:rPr>
        <w:t>Section 2.10(c)</w:t>
      </w:r>
      <w:r>
        <w:rPr>
          <w:rFonts w:ascii="Arial" w:cs="Arial" w:eastAsia="Arial" w:hAnsi="Arial"/>
          <w:sz w:val="16"/>
          <w:szCs w:val="16"/>
          <w:color w:val="auto"/>
        </w:rPr>
        <w:t xml:space="preserve">, will give prompt written notice thereof to the Borrower, which notice shall set forth in reasonable detail the basis of the calculation of such additional amounts, although the failure to give any such notice shall not,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release or diminish the Borrower’s obligations to pay additional amounts pursuant to this </w:t>
      </w:r>
      <w:r>
        <w:rPr>
          <w:rFonts w:ascii="Arial" w:cs="Arial" w:eastAsia="Arial" w:hAnsi="Arial"/>
          <w:sz w:val="16"/>
          <w:szCs w:val="16"/>
          <w:u w:val="single" w:color="auto"/>
          <w:color w:val="auto"/>
        </w:rPr>
        <w:t>Section 2.10(c)</w:t>
      </w:r>
      <w:r>
        <w:rPr>
          <w:rFonts w:ascii="Arial" w:cs="Arial" w:eastAsia="Arial" w:hAnsi="Arial"/>
          <w:sz w:val="16"/>
          <w:szCs w:val="16"/>
          <w:color w:val="auto"/>
        </w:rPr>
        <w:t xml:space="preserve"> promptly following receipt of such notice.</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341" w:right="339" w:bottom="1440" w:gutter="0" w:footer="0" w:header="0"/>
        </w:sectPr>
      </w:pPr>
    </w:p>
    <w:bookmarkStart w:id="153" w:name="page154"/>
    <w:bookmarkEnd w:id="153"/>
    <w:p>
      <w:pPr>
        <w:ind w:right="180" w:firstLine="656"/>
        <w:spacing w:after="0" w:line="259" w:lineRule="auto"/>
        <w:tabs>
          <w:tab w:leader="none" w:pos="103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or any other Credit Documents, if the Administrative Agent (after consultation with the Borrower) determines (which determination shall be conclusive absent manifest error), or the Borrower or Required Lenders notify the Administrative Agent (with, in the case of the Required Lenders, a copy to Borrower) that the Borrower or Required Lenders (as applicable) have determined, that:</w:t>
      </w:r>
    </w:p>
    <w:p>
      <w:pPr>
        <w:spacing w:after="0" w:line="186" w:lineRule="exact"/>
        <w:rPr>
          <w:rFonts w:ascii="Arial" w:cs="Arial" w:eastAsia="Arial" w:hAnsi="Arial"/>
          <w:sz w:val="18"/>
          <w:szCs w:val="18"/>
          <w:color w:val="auto"/>
        </w:rPr>
      </w:pPr>
    </w:p>
    <w:p>
      <w:pPr>
        <w:ind w:left="660" w:right="20" w:firstLine="887"/>
        <w:spacing w:after="0" w:line="342" w:lineRule="auto"/>
        <w:tabs>
          <w:tab w:leader="none" w:pos="1901" w:val="left"/>
        </w:tabs>
        <w:numPr>
          <w:ilvl w:val="1"/>
          <w:numId w:val="109"/>
        </w:numPr>
        <w:rPr>
          <w:rFonts w:ascii="Arial" w:cs="Arial" w:eastAsia="Arial" w:hAnsi="Arial"/>
          <w:sz w:val="16"/>
          <w:szCs w:val="16"/>
          <w:color w:val="auto"/>
        </w:rPr>
      </w:pPr>
      <w:r>
        <w:rPr>
          <w:rFonts w:ascii="Arial" w:cs="Arial" w:eastAsia="Arial" w:hAnsi="Arial"/>
          <w:sz w:val="16"/>
          <w:szCs w:val="16"/>
          <w:color w:val="auto"/>
        </w:rPr>
        <w:t>adequate and reasonable means do not exist for ascertaining LIBOR for any requested Interest Period, including, without limitation, because the LIBOR Screen Rate is not available or published on a current basis and such circumstances are unlikely to be temporary; or</w:t>
      </w:r>
    </w:p>
    <w:p>
      <w:pPr>
        <w:spacing w:after="0" w:line="123" w:lineRule="exact"/>
        <w:rPr>
          <w:rFonts w:ascii="Arial" w:cs="Arial" w:eastAsia="Arial" w:hAnsi="Arial"/>
          <w:sz w:val="16"/>
          <w:szCs w:val="16"/>
          <w:color w:val="auto"/>
        </w:rPr>
      </w:pPr>
    </w:p>
    <w:p>
      <w:pPr>
        <w:ind w:left="660" w:right="60" w:firstLine="887"/>
        <w:spacing w:after="0" w:line="263" w:lineRule="auto"/>
        <w:tabs>
          <w:tab w:leader="none" w:pos="1951"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administrator of the LIBOR Screen Rate or a Governmental Authority having jurisdiction over the Administrative Agent has made a public statement identifying a specific date after which LIBOR or the LIBOR Screen Rate shall no longer be made available, or used for determining the interest rate of loans (such specific date, the “</w:t>
      </w:r>
      <w:r>
        <w:rPr>
          <w:rFonts w:ascii="Arial" w:cs="Arial" w:eastAsia="Arial" w:hAnsi="Arial"/>
          <w:sz w:val="18"/>
          <w:szCs w:val="18"/>
          <w:b w:val="1"/>
          <w:bCs w:val="1"/>
          <w:color w:val="auto"/>
        </w:rPr>
        <w:t>Scheduled Unavailability Date</w:t>
      </w:r>
      <w:r>
        <w:rPr>
          <w:rFonts w:ascii="Arial" w:cs="Arial" w:eastAsia="Arial" w:hAnsi="Arial"/>
          <w:sz w:val="18"/>
          <w:szCs w:val="18"/>
          <w:color w:val="auto"/>
        </w:rPr>
        <w:t>”), or</w:t>
      </w:r>
    </w:p>
    <w:p>
      <w:pPr>
        <w:spacing w:after="0" w:line="183" w:lineRule="exact"/>
        <w:rPr>
          <w:rFonts w:ascii="Arial" w:cs="Arial" w:eastAsia="Arial" w:hAnsi="Arial"/>
          <w:sz w:val="18"/>
          <w:szCs w:val="18"/>
          <w:color w:val="auto"/>
        </w:rPr>
      </w:pPr>
    </w:p>
    <w:p>
      <w:pPr>
        <w:ind w:left="660" w:right="100" w:firstLine="887"/>
        <w:spacing w:after="0" w:line="277" w:lineRule="auto"/>
        <w:tabs>
          <w:tab w:leader="none" w:pos="2001" w:val="left"/>
        </w:tabs>
        <w:numPr>
          <w:ilvl w:val="1"/>
          <w:numId w:val="109"/>
        </w:numPr>
        <w:rPr>
          <w:rFonts w:ascii="Arial" w:cs="Arial" w:eastAsia="Arial" w:hAnsi="Arial"/>
          <w:sz w:val="18"/>
          <w:szCs w:val="18"/>
          <w:color w:val="auto"/>
        </w:rPr>
      </w:pPr>
      <w:r>
        <w:rPr>
          <w:rFonts w:ascii="Arial" w:cs="Arial" w:eastAsia="Arial" w:hAnsi="Arial"/>
          <w:sz w:val="18"/>
          <w:szCs w:val="18"/>
          <w:color w:val="auto"/>
        </w:rPr>
        <w:t>syndicated loans currently being executed, or that include language similar to that contained in this Section, are being executed or amended (as applicable) to incorporate or adopt a new benchmark interest rate to replace LIBOR,</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then, reasonably promptly after such determination by the Administrative Agent or receipt by the Administrative Agent of such notice , as applicable, the Administrative Agent and the Borrower may amend this Agreement to replace LIBOR with an alternate benchmark rate (including any mathematical or other adjustments to the benchmark (if any) incorporated therein), giving due consideration to any evolving or then existing convention for similar Dollar denominated syndicated credit facilities for such alternative benchmarks (any such proposed rate, a “</w:t>
      </w:r>
      <w:r>
        <w:rPr>
          <w:rFonts w:ascii="Arial" w:cs="Arial" w:eastAsia="Arial" w:hAnsi="Arial"/>
          <w:sz w:val="18"/>
          <w:szCs w:val="18"/>
          <w:b w:val="1"/>
          <w:bCs w:val="1"/>
          <w:color w:val="auto"/>
        </w:rPr>
        <w:t>LIBOR Successor Rate</w:t>
      </w:r>
      <w:r>
        <w:rPr>
          <w:rFonts w:ascii="Arial" w:cs="Arial" w:eastAsia="Arial" w:hAnsi="Arial"/>
          <w:sz w:val="18"/>
          <w:szCs w:val="18"/>
          <w:color w:val="auto"/>
        </w:rPr>
        <w:t>”), together with any proposed LIBOR Successor Rate Conforming Changes (as defined below) and any such amendment shall become effective at 5:00 p.m. (New York time)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do not accept such amendment.</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If no LIBOR Successor Rate has been determined and the circumstances under clause (i) above exist or the Scheduled Unavailability Date has occurred (as applicable), the Administrative Agent will promptly so notify the Borrower and each Lender. Thereafter, (x) the obligation of the Lenders to make or maintain LIBOR Loans shall be suspended, (to the extent of the affected LIBOR Loans or Interest Periods), and (y) the LIBOR Rate component shall no longer be utilized in determining the ABR. Upon receipt of such notice, the Borrower may revoke any pending request for a Borrowing of, conversion to or continuation of LIBOR Loans (to the extent of the affected LIBOR Loans or Interest Periods) or, failing that, will be deemed to have converted such request into a request for a Borrowing of ABR Loans (subject to the foregoing clause (y)) in the amount specified therein.</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Notwithstanding anything else herein, any definition of “LIBOR Successor Rate” shall provide that in no event shall such LIBOR Successor Rate be less than </w:t>
      </w:r>
      <w:r>
        <w:rPr>
          <w:rFonts w:ascii="Arial" w:cs="Arial" w:eastAsia="Arial" w:hAnsi="Arial"/>
          <w:sz w:val="18"/>
          <w:szCs w:val="18"/>
          <w:color w:val="FF0000"/>
          <w:strike w:val="1"/>
        </w:rPr>
        <w:t>zero</w:t>
      </w:r>
      <w:r>
        <w:rPr>
          <w:rFonts w:ascii="Arial" w:cs="Arial" w:eastAsia="Arial" w:hAnsi="Arial"/>
          <w:sz w:val="18"/>
          <w:szCs w:val="18"/>
          <w:u w:val="single" w:color="auto"/>
          <w:color w:val="0000FF"/>
        </w:rPr>
        <w:t>1.00%</w:t>
      </w:r>
      <w:r>
        <w:rPr>
          <w:rFonts w:ascii="Arial" w:cs="Arial" w:eastAsia="Arial" w:hAnsi="Arial"/>
          <w:sz w:val="18"/>
          <w:szCs w:val="18"/>
          <w:color w:val="auto"/>
        </w:rPr>
        <w:t xml:space="preserve"> for purposes of this Agreement</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Compensation</w:t>
      </w:r>
      <w:r>
        <w:rPr>
          <w:rFonts w:ascii="Arial" w:cs="Arial" w:eastAsia="Arial" w:hAnsi="Arial"/>
          <w:sz w:val="17"/>
          <w:szCs w:val="17"/>
          <w:color w:val="auto"/>
        </w:rPr>
        <w:t xml:space="preserve">. If (a) any payment of principal of any LIBOR Loan is made by the Borrower to or for the account of a Lender other than on the last day of the Interest Period for such LIBOR Loan as a result of a payment or conversion pursuant to </w:t>
      </w:r>
      <w:r>
        <w:rPr>
          <w:rFonts w:ascii="Arial" w:cs="Arial" w:eastAsia="Arial" w:hAnsi="Arial"/>
          <w:sz w:val="17"/>
          <w:szCs w:val="17"/>
          <w:u w:val="single" w:color="auto"/>
          <w:color w:val="auto"/>
        </w:rPr>
        <w:t>Sections 2.5</w:t>
      </w:r>
      <w:r>
        <w:rPr>
          <w:rFonts w:ascii="Arial" w:cs="Arial" w:eastAsia="Arial" w:hAnsi="Arial"/>
          <w:sz w:val="17"/>
          <w:szCs w:val="17"/>
          <w:color w:val="auto"/>
        </w:rPr>
        <w:t xml:space="preserve">, </w:t>
      </w:r>
      <w:r>
        <w:rPr>
          <w:rFonts w:ascii="Arial" w:cs="Arial" w:eastAsia="Arial" w:hAnsi="Arial"/>
          <w:sz w:val="17"/>
          <w:szCs w:val="17"/>
          <w:u w:val="single" w:color="auto"/>
          <w:color w:val="auto"/>
        </w:rPr>
        <w:t>2.6</w:t>
      </w:r>
      <w:r>
        <w:rPr>
          <w:rFonts w:ascii="Arial" w:cs="Arial" w:eastAsia="Arial" w:hAnsi="Arial"/>
          <w:sz w:val="17"/>
          <w:szCs w:val="17"/>
          <w:color w:val="auto"/>
        </w:rPr>
        <w:t xml:space="preserve">, </w:t>
      </w:r>
      <w:r>
        <w:rPr>
          <w:rFonts w:ascii="Arial" w:cs="Arial" w:eastAsia="Arial" w:hAnsi="Arial"/>
          <w:sz w:val="17"/>
          <w:szCs w:val="17"/>
          <w:u w:val="single" w:color="auto"/>
          <w:color w:val="auto"/>
        </w:rPr>
        <w:t>2.10</w:t>
      </w:r>
      <w:r>
        <w:rPr>
          <w:rFonts w:ascii="Arial" w:cs="Arial" w:eastAsia="Arial" w:hAnsi="Arial"/>
          <w:sz w:val="17"/>
          <w:szCs w:val="17"/>
          <w:color w:val="auto"/>
        </w:rPr>
        <w:t xml:space="preserve">, </w:t>
      </w:r>
      <w:r>
        <w:rPr>
          <w:rFonts w:ascii="Arial" w:cs="Arial" w:eastAsia="Arial" w:hAnsi="Arial"/>
          <w:sz w:val="17"/>
          <w:szCs w:val="17"/>
          <w:u w:val="single" w:color="auto"/>
          <w:color w:val="auto"/>
        </w:rPr>
        <w:t>5.1</w:t>
      </w:r>
      <w:r>
        <w:rPr>
          <w:rFonts w:ascii="Arial" w:cs="Arial" w:eastAsia="Arial" w:hAnsi="Arial"/>
          <w:sz w:val="17"/>
          <w:szCs w:val="17"/>
          <w:color w:val="auto"/>
        </w:rPr>
        <w:t xml:space="preserve">, </w:t>
      </w:r>
      <w:r>
        <w:rPr>
          <w:rFonts w:ascii="Arial" w:cs="Arial" w:eastAsia="Arial" w:hAnsi="Arial"/>
          <w:sz w:val="17"/>
          <w:szCs w:val="17"/>
          <w:u w:val="single" w:color="auto"/>
          <w:color w:val="auto"/>
        </w:rPr>
        <w:t>5.2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13.7</w:t>
      </w:r>
      <w:r>
        <w:rPr>
          <w:rFonts w:ascii="Arial" w:cs="Arial" w:eastAsia="Arial" w:hAnsi="Arial"/>
          <w:sz w:val="17"/>
          <w:szCs w:val="17"/>
          <w:color w:val="auto"/>
        </w:rPr>
        <w:t xml:space="preserve">, as a result of acceleration of the maturity of the Loans pursuant to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or for any other reason, (b) any Borrowing of LIBOR Loans is not made as a result of a withdrawn Notice of Borrowing or a failure to satisfy borrowing conditions, (c) any ABR Loan is not converted into a LIBOR Loan as a result of a withdrawn Notice of Conversion or Continuation, (d) any LIBOR Loan is not continued as a LIBOR Loan, as the case may be, as a result of a withdrawn Notice of Conversion or Continuation or (e) any prepayment of principal of any LIBOR Loan is not made as a result of a withdrawn notice of prepayment pursuant to </w:t>
      </w:r>
      <w:r>
        <w:rPr>
          <w:rFonts w:ascii="Arial" w:cs="Arial" w:eastAsia="Arial" w:hAnsi="Arial"/>
          <w:sz w:val="17"/>
          <w:szCs w:val="17"/>
          <w:u w:val="single" w:color="auto"/>
          <w:color w:val="auto"/>
        </w:rPr>
        <w:t>Sections 5.1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5.2</w:t>
      </w:r>
      <w:r>
        <w:rPr>
          <w:rFonts w:ascii="Arial" w:cs="Arial" w:eastAsia="Arial" w:hAnsi="Arial"/>
          <w:sz w:val="17"/>
          <w:szCs w:val="17"/>
          <w:color w:val="auto"/>
        </w:rPr>
        <w:t>, the Borrower shall, after receipt of a written request by such Lender (which request shall set forth in reasonable detail the basis for requesting such amount), promptly pay to the Administrative Agent for the account of such Lender any amounts required to compensate such Lender for any additional losses, costs or expenses that such Lender may reasonably incur as a result of such payment, failure to convert, failure to continue or failure to prepay, including any loss, cost or expense (excluding loss of anticipated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341" w:right="339" w:bottom="1440" w:gutter="0" w:footer="0" w:header="0"/>
        </w:sectPr>
      </w:pPr>
    </w:p>
    <w:bookmarkStart w:id="154" w:name="page155"/>
    <w:bookmarkEnd w:id="154"/>
    <w:p>
      <w:pPr>
        <w:ind w:right="100"/>
        <w:spacing w:after="0" w:line="259" w:lineRule="auto"/>
        <w:rPr>
          <w:sz w:val="20"/>
          <w:szCs w:val="20"/>
          <w:color w:val="auto"/>
        </w:rPr>
      </w:pPr>
      <w:r>
        <w:rPr>
          <w:rFonts w:ascii="Arial" w:cs="Arial" w:eastAsia="Arial" w:hAnsi="Arial"/>
          <w:sz w:val="18"/>
          <w:szCs w:val="18"/>
          <w:color w:val="auto"/>
        </w:rPr>
        <w:t xml:space="preserve">profits) actually incurred by reason of the liquidation or reemployment of deposits or other funds acquired by any Lender to fund or maintain such LIBOR Loan. A certificate of a Lender setting forth the amount or amounts necessary to compensate such Lender as specified in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and setting forth in reasonable detail the manner in which such amount or amounts were determined shall be delivered to the Borrower and shall be conclusive, absent manifest error.</w:t>
      </w:r>
    </w:p>
    <w:p>
      <w:pPr>
        <w:spacing w:after="0" w:line="187"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Change of Lending Office</w:t>
      </w:r>
      <w:r>
        <w:rPr>
          <w:rFonts w:ascii="Arial" w:cs="Arial" w:eastAsia="Arial" w:hAnsi="Arial"/>
          <w:sz w:val="17"/>
          <w:szCs w:val="17"/>
          <w:color w:val="auto"/>
        </w:rPr>
        <w:t xml:space="preserve">. Each Lender agrees that, upon the occurrence of any event giving rise to the operation of </w:t>
      </w:r>
      <w:r>
        <w:rPr>
          <w:rFonts w:ascii="Arial" w:cs="Arial" w:eastAsia="Arial" w:hAnsi="Arial"/>
          <w:sz w:val="17"/>
          <w:szCs w:val="17"/>
          <w:u w:val="single" w:color="auto"/>
          <w:color w:val="auto"/>
        </w:rPr>
        <w:t>Sections 2.10(a)(ii)</w:t>
      </w:r>
      <w:r>
        <w:rPr>
          <w:rFonts w:ascii="Arial" w:cs="Arial" w:eastAsia="Arial" w:hAnsi="Arial"/>
          <w:sz w:val="17"/>
          <w:szCs w:val="17"/>
          <w:color w:val="auto"/>
        </w:rPr>
        <w:t xml:space="preserve">, </w:t>
      </w:r>
      <w:r>
        <w:rPr>
          <w:rFonts w:ascii="Arial" w:cs="Arial" w:eastAsia="Arial" w:hAnsi="Arial"/>
          <w:sz w:val="17"/>
          <w:szCs w:val="17"/>
          <w:u w:val="single" w:color="auto"/>
          <w:color w:val="auto"/>
        </w:rPr>
        <w:t>2.10(a)(iii)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2.10(b)</w:t>
      </w:r>
      <w:r>
        <w:rPr>
          <w:rFonts w:ascii="Arial" w:cs="Arial" w:eastAsia="Arial" w:hAnsi="Arial"/>
          <w:sz w:val="17"/>
          <w:szCs w:val="17"/>
          <w:color w:val="auto"/>
        </w:rPr>
        <w:t xml:space="preserve">, </w:t>
      </w:r>
      <w:r>
        <w:rPr>
          <w:rFonts w:ascii="Arial" w:cs="Arial" w:eastAsia="Arial" w:hAnsi="Arial"/>
          <w:sz w:val="17"/>
          <w:szCs w:val="17"/>
          <w:u w:val="single" w:color="auto"/>
          <w:color w:val="auto"/>
        </w:rPr>
        <w:t>3.5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5.4</w:t>
      </w:r>
      <w:r>
        <w:rPr>
          <w:rFonts w:ascii="Arial" w:cs="Arial" w:eastAsia="Arial" w:hAnsi="Arial"/>
          <w:sz w:val="17"/>
          <w:szCs w:val="17"/>
          <w:color w:val="auto"/>
        </w:rPr>
        <w:t xml:space="preserve"> with respect to such Lender, it will, if requested by the Borrower use reasonable efforts (subject to overall policy considerations of such Lender) to designate another lending office for any Loans affected by such event;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designation is made on such terms that such Lender and its lending office suffer no unreimbursed cost or other material economic, legal or regulatory disadvantage, with the object of avoiding the consequence of the event giving rise to the operation of any such Section. Nothing in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shall affect or postpone any of the obligations of the Borrower or the right of any Lender provided in </w:t>
      </w:r>
      <w:r>
        <w:rPr>
          <w:rFonts w:ascii="Arial" w:cs="Arial" w:eastAsia="Arial" w:hAnsi="Arial"/>
          <w:sz w:val="17"/>
          <w:szCs w:val="17"/>
          <w:u w:val="single" w:color="auto"/>
          <w:color w:val="auto"/>
        </w:rPr>
        <w:t>Sections 2.10</w:t>
      </w:r>
      <w:r>
        <w:rPr>
          <w:rFonts w:ascii="Arial" w:cs="Arial" w:eastAsia="Arial" w:hAnsi="Arial"/>
          <w:sz w:val="17"/>
          <w:szCs w:val="17"/>
          <w:color w:val="auto"/>
        </w:rPr>
        <w:t xml:space="preserve">, </w:t>
      </w:r>
      <w:r>
        <w:rPr>
          <w:rFonts w:ascii="Arial" w:cs="Arial" w:eastAsia="Arial" w:hAnsi="Arial"/>
          <w:sz w:val="17"/>
          <w:szCs w:val="17"/>
          <w:u w:val="single" w:color="auto"/>
          <w:color w:val="auto"/>
        </w:rPr>
        <w:t>3.5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5.4</w:t>
      </w:r>
      <w:r>
        <w:rPr>
          <w:rFonts w:ascii="Arial" w:cs="Arial" w:eastAsia="Arial" w:hAnsi="Arial"/>
          <w:sz w:val="17"/>
          <w:szCs w:val="17"/>
          <w:color w:val="auto"/>
        </w:rPr>
        <w:t>.</w:t>
      </w:r>
    </w:p>
    <w:p>
      <w:pPr>
        <w:spacing w:after="0" w:line="17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u w:val="single" w:color="auto"/>
          <w:color w:val="auto"/>
        </w:rPr>
        <w:t>Notice of Certain Costs</w:t>
      </w:r>
      <w:r>
        <w:rPr>
          <w:rFonts w:ascii="Arial" w:cs="Arial" w:eastAsia="Arial" w:hAnsi="Arial"/>
          <w:sz w:val="16"/>
          <w:szCs w:val="16"/>
          <w:color w:val="auto"/>
        </w:rPr>
        <w:t>. Notwithstanding anything in this Agreement to the contrary, to the extent any notice required by</w:t>
      </w:r>
      <w:r>
        <w:rPr>
          <w:rFonts w:ascii="Arial" w:cs="Arial" w:eastAsia="Arial" w:hAnsi="Arial"/>
          <w:sz w:val="16"/>
          <w:szCs w:val="16"/>
          <w:u w:val="single" w:color="auto"/>
          <w:color w:val="auto"/>
        </w:rPr>
        <w:t xml:space="preserve"> Sections 2.10</w:t>
      </w:r>
      <w:r>
        <w:rPr>
          <w:rFonts w:ascii="Arial" w:cs="Arial" w:eastAsia="Arial" w:hAnsi="Arial"/>
          <w:sz w:val="16"/>
          <w:szCs w:val="16"/>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is given by any Lender more than 120 days after such Lender has knowledge (or should have had knowledge) of the occurrence of the event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giving rise to the additional cost, reduction in amounts, loss, or other additional amounts described in such Sections, such Lender shall not be entitled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compensation under </w:t>
      </w:r>
      <w:r>
        <w:rPr>
          <w:rFonts w:ascii="Arial" w:cs="Arial" w:eastAsia="Arial" w:hAnsi="Arial"/>
          <w:sz w:val="16"/>
          <w:szCs w:val="16"/>
          <w:u w:val="single" w:color="auto"/>
          <w:color w:val="auto"/>
        </w:rPr>
        <w:t>Sections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5.4</w:t>
      </w:r>
      <w:r>
        <w:rPr>
          <w:rFonts w:ascii="Arial" w:cs="Arial" w:eastAsia="Arial" w:hAnsi="Arial"/>
          <w:sz w:val="16"/>
          <w:szCs w:val="16"/>
          <w:color w:val="auto"/>
        </w:rPr>
        <w:t>, as the case may be, for any such amounts incurred or accruing prior to the 121st day prior to the giving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such notice to the Borrower.</w:t>
      </w:r>
    </w:p>
    <w:p>
      <w:pPr>
        <w:spacing w:after="0" w:line="21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u w:val="single" w:color="auto"/>
          <w:color w:val="auto"/>
        </w:rPr>
        <w:t>Incremental Facilities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82" w:lineRule="auto"/>
        <w:tabs>
          <w:tab w:leader="none" w:pos="1024"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Borrower may by written notice to Administrative Agent elect to request the establishment of one or more (x) additional tranches of term loans (the commitments thereto, the “</w:t>
      </w:r>
      <w:r>
        <w:rPr>
          <w:rFonts w:ascii="Arial" w:cs="Arial" w:eastAsia="Arial" w:hAnsi="Arial"/>
          <w:sz w:val="16"/>
          <w:szCs w:val="16"/>
          <w:b w:val="1"/>
          <w:bCs w:val="1"/>
          <w:color w:val="auto"/>
        </w:rPr>
        <w:t>New Term Loan Commitments</w:t>
      </w:r>
      <w:r>
        <w:rPr>
          <w:rFonts w:ascii="Arial" w:cs="Arial" w:eastAsia="Arial" w:hAnsi="Arial"/>
          <w:sz w:val="16"/>
          <w:szCs w:val="16"/>
          <w:color w:val="auto"/>
        </w:rPr>
        <w:t>”), (y) increases in Revolving Credit Commitments (the “</w:t>
      </w:r>
      <w:r>
        <w:rPr>
          <w:rFonts w:ascii="Arial" w:cs="Arial" w:eastAsia="Arial" w:hAnsi="Arial"/>
          <w:sz w:val="16"/>
          <w:szCs w:val="16"/>
          <w:b w:val="1"/>
          <w:bCs w:val="1"/>
          <w:color w:val="auto"/>
        </w:rPr>
        <w:t>New Revolving Credit</w:t>
      </w:r>
      <w:r>
        <w:rPr>
          <w:rFonts w:ascii="Arial" w:cs="Arial" w:eastAsia="Arial" w:hAnsi="Arial"/>
          <w:sz w:val="16"/>
          <w:szCs w:val="16"/>
          <w:color w:val="auto"/>
        </w:rPr>
        <w:t xml:space="preserve"> </w:t>
      </w:r>
      <w:r>
        <w:rPr>
          <w:rFonts w:ascii="Arial" w:cs="Arial" w:eastAsia="Arial" w:hAnsi="Arial"/>
          <w:sz w:val="16"/>
          <w:szCs w:val="16"/>
          <w:b w:val="1"/>
          <w:bCs w:val="1"/>
          <w:color w:val="auto"/>
        </w:rPr>
        <w:t>Commitments</w:t>
      </w:r>
      <w:r>
        <w:rPr>
          <w:rFonts w:ascii="Arial" w:cs="Arial" w:eastAsia="Arial" w:hAnsi="Arial"/>
          <w:sz w:val="16"/>
          <w:szCs w:val="16"/>
          <w:color w:val="auto"/>
        </w:rPr>
        <w:t>” and together with the New Term Loan Commitments, the “</w:t>
      </w:r>
      <w:r>
        <w:rPr>
          <w:rFonts w:ascii="Arial" w:cs="Arial" w:eastAsia="Arial" w:hAnsi="Arial"/>
          <w:sz w:val="16"/>
          <w:szCs w:val="16"/>
          <w:b w:val="1"/>
          <w:bCs w:val="1"/>
          <w:color w:val="auto"/>
        </w:rPr>
        <w:t>New Loan Commitments</w:t>
      </w:r>
      <w:r>
        <w:rPr>
          <w:rFonts w:ascii="Arial" w:cs="Arial" w:eastAsia="Arial" w:hAnsi="Arial"/>
          <w:sz w:val="16"/>
          <w:szCs w:val="16"/>
          <w:color w:val="auto"/>
        </w:rPr>
        <w:t>”), by an aggregate amount not in excess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Maximum Incremental Facilities Amount in the aggregate and not less than $10,000,000 individually (or such lesser amount as (x) may be approved by the Administrative Agent or (y) shall constitute the difference between the Maximum Incremental Facilities Amount and all such New Loan Commitments obtained on or prior to such date). Each such notice shall specify the date (each, an “</w:t>
      </w:r>
      <w:r>
        <w:rPr>
          <w:rFonts w:ascii="Arial" w:cs="Arial" w:eastAsia="Arial" w:hAnsi="Arial"/>
          <w:sz w:val="16"/>
          <w:szCs w:val="16"/>
          <w:b w:val="1"/>
          <w:bCs w:val="1"/>
          <w:color w:val="auto"/>
        </w:rPr>
        <w:t>Increased Amount Date</w:t>
      </w:r>
      <w:r>
        <w:rPr>
          <w:rFonts w:ascii="Arial" w:cs="Arial" w:eastAsia="Arial" w:hAnsi="Arial"/>
          <w:sz w:val="16"/>
          <w:szCs w:val="16"/>
          <w:color w:val="auto"/>
        </w:rPr>
        <w:t xml:space="preserve">”) on which the Borrower proposes that the New Loan Commitments shall be effective. In connection with the incurrence of any Indebtedness under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at the request of the Administrative Agent, the Borrower shall provide to the Administrative Agent a certificate certifying that the New Loan Commitments do not exceed the Maximum Incremental Facilities Amount, which certificate shall be in reasonable detail and shall provide the calculations and basis therefor. The Borrower may approach any Lender or any Person (other than a natural Person) to provide all or a portion of the New Loan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Lender offered or approached to provide all or a portion of the New Loan Commitments may elect or decline, in its sole discretion, to provide a New Loan Commitment. In each case, such New Loan Commitments shall become effective as of the applicable Increased Amount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Event of Default (except in connection with an acquisition or investment, no Event of Default under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shall exist on such Increased Amount Date before or after giving effect to such New Loan Commitments, as applicable, (ii) the New Loan Commitments shall be effected pursuant to one or more Joinder Agreements executed and delivered by the Borrower and Administrative Agent, and each of which shall be recorded in the Register and shall be subject to the requirements set forth in </w:t>
      </w:r>
      <w:r>
        <w:rPr>
          <w:rFonts w:ascii="Arial" w:cs="Arial" w:eastAsia="Arial" w:hAnsi="Arial"/>
          <w:sz w:val="16"/>
          <w:szCs w:val="16"/>
          <w:u w:val="single" w:color="auto"/>
          <w:color w:val="auto"/>
        </w:rPr>
        <w:t>Section 5.4(e)</w:t>
      </w:r>
      <w:r>
        <w:rPr>
          <w:rFonts w:ascii="Arial" w:cs="Arial" w:eastAsia="Arial" w:hAnsi="Arial"/>
          <w:sz w:val="16"/>
          <w:szCs w:val="16"/>
          <w:color w:val="auto"/>
        </w:rPr>
        <w:t xml:space="preserve">, and (iii) the Borrower shall make any payments required pursuant to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in connection with the New Loan Commitments, as applicable. No Lender shall have any obligation to provide any Commitments pursuant to this </w:t>
      </w:r>
      <w:r>
        <w:rPr>
          <w:rFonts w:ascii="Arial" w:cs="Arial" w:eastAsia="Arial" w:hAnsi="Arial"/>
          <w:sz w:val="16"/>
          <w:szCs w:val="16"/>
          <w:u w:val="single" w:color="auto"/>
          <w:color w:val="auto"/>
        </w:rPr>
        <w:t>Section</w:t>
      </w:r>
    </w:p>
    <w:p>
      <w:pPr>
        <w:spacing w:after="0" w:line="11" w:lineRule="exact"/>
        <w:rPr>
          <w:rFonts w:ascii="Arial" w:cs="Arial" w:eastAsia="Arial" w:hAnsi="Arial"/>
          <w:sz w:val="16"/>
          <w:szCs w:val="16"/>
          <w:color w:val="auto"/>
        </w:rPr>
      </w:pPr>
    </w:p>
    <w:p>
      <w:pPr>
        <w:ind w:right="80"/>
        <w:spacing w:after="0" w:line="252" w:lineRule="auto"/>
        <w:rPr>
          <w:rFonts w:ascii="Arial" w:cs="Arial" w:eastAsia="Arial" w:hAnsi="Arial"/>
          <w:sz w:val="16"/>
          <w:szCs w:val="16"/>
          <w:color w:val="auto"/>
        </w:rPr>
      </w:pPr>
      <w:r>
        <w:rPr>
          <w:rFonts w:ascii="Arial" w:cs="Arial" w:eastAsia="Arial" w:hAnsi="Arial"/>
          <w:sz w:val="18"/>
          <w:szCs w:val="18"/>
          <w:u w:val="single" w:color="auto"/>
          <w:color w:val="auto"/>
        </w:rPr>
        <w:t>2.14(a)</w:t>
      </w:r>
      <w:r>
        <w:rPr>
          <w:rFonts w:ascii="Arial" w:cs="Arial" w:eastAsia="Arial" w:hAnsi="Arial"/>
          <w:sz w:val="18"/>
          <w:szCs w:val="18"/>
          <w:color w:val="auto"/>
        </w:rPr>
        <w:t>. Any New Term Loans made on an Increased Amount Date shall</w:t>
      </w:r>
      <w:r>
        <w:rPr>
          <w:rFonts w:ascii="Arial" w:cs="Arial" w:eastAsia="Arial" w:hAnsi="Arial"/>
          <w:sz w:val="18"/>
          <w:szCs w:val="18"/>
          <w:color w:val="FF0000"/>
          <w:strike w:val="1"/>
        </w:rPr>
        <w:t>, at the election of the Borrower and agreed to by Lenders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constitute an increase in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 then existing Class of Term Loans under this Agreement; provided that if the upfront fees payable to any Lender</w:t>
      </w:r>
      <w:r>
        <w:rPr>
          <w:rFonts w:ascii="Arial" w:cs="Arial" w:eastAsia="Arial" w:hAnsi="Arial"/>
          <w:sz w:val="18"/>
          <w:szCs w:val="18"/>
          <w:color w:val="0000FF"/>
        </w:rPr>
        <w:t xml:space="preserve"> </w:t>
      </w:r>
      <w:r>
        <w:rPr>
          <w:rFonts w:ascii="Arial" w:cs="Arial" w:eastAsia="Arial" w:hAnsi="Arial"/>
          <w:sz w:val="18"/>
          <w:szCs w:val="18"/>
          <w:color w:val="000000"/>
        </w:rPr>
        <w:t>providing</w:t>
      </w:r>
      <w:r>
        <w:rPr>
          <w:rFonts w:ascii="Arial" w:cs="Arial" w:eastAsia="Arial" w:hAnsi="Arial"/>
          <w:sz w:val="18"/>
          <w:szCs w:val="18"/>
          <w:color w:val="0000FF"/>
        </w:rPr>
        <w:t xml:space="preserve"> </w:t>
      </w:r>
      <w:r>
        <w:rPr>
          <w:rFonts w:ascii="Arial" w:cs="Arial" w:eastAsia="Arial" w:hAnsi="Arial"/>
          <w:sz w:val="18"/>
          <w:szCs w:val="18"/>
          <w:color w:val="FF0000"/>
          <w:strike w:val="1"/>
        </w:rPr>
        <w:t>such</w:t>
      </w:r>
      <w:r>
        <w:rPr>
          <w:rFonts w:ascii="Arial" w:cs="Arial" w:eastAsia="Arial" w:hAnsi="Arial"/>
          <w:sz w:val="18"/>
          <w:szCs w:val="18"/>
          <w:color w:val="0000FF"/>
        </w:rPr>
        <w:t xml:space="preserve"> </w:t>
      </w:r>
      <w:r>
        <w:rPr>
          <w:rFonts w:ascii="Arial" w:cs="Arial" w:eastAsia="Arial" w:hAnsi="Arial"/>
          <w:sz w:val="18"/>
          <w:szCs w:val="18"/>
          <w:color w:val="000000"/>
        </w:rPr>
        <w:t>New</w:t>
      </w:r>
      <w:r>
        <w:rPr>
          <w:rFonts w:ascii="Arial" w:cs="Arial" w:eastAsia="Arial" w:hAnsi="Arial"/>
          <w:sz w:val="18"/>
          <w:szCs w:val="18"/>
          <w:color w:val="0000FF"/>
        </w:rPr>
        <w:t xml:space="preserve"> </w:t>
      </w:r>
      <w:r>
        <w:rPr>
          <w:rFonts w:ascii="Arial" w:cs="Arial" w:eastAsia="Arial" w:hAnsi="Arial"/>
          <w:sz w:val="18"/>
          <w:szCs w:val="18"/>
          <w:color w:val="FF0000"/>
          <w:strike w:val="1"/>
        </w:rPr>
        <w:t>Term Loan</w:t>
      </w:r>
      <w:r>
        <w:rPr>
          <w:rFonts w:ascii="Arial" w:cs="Arial" w:eastAsia="Arial" w:hAnsi="Arial"/>
          <w:sz w:val="18"/>
          <w:szCs w:val="18"/>
          <w:color w:val="0000FF"/>
        </w:rPr>
        <w:t xml:space="preserve"> </w:t>
      </w:r>
      <w:r>
        <w:rPr>
          <w:rFonts w:ascii="Arial" w:cs="Arial" w:eastAsia="Arial" w:hAnsi="Arial"/>
          <w:sz w:val="18"/>
          <w:szCs w:val="18"/>
          <w:color w:val="FF0000"/>
          <w:strike w:val="1"/>
        </w:rPr>
        <w:t>Commitments, be designated as (a) a separate series (a “</w:t>
      </w:r>
      <w:r>
        <w:rPr>
          <w:rFonts w:ascii="Arial" w:cs="Arial" w:eastAsia="Arial" w:hAnsi="Arial"/>
          <w:sz w:val="18"/>
          <w:szCs w:val="18"/>
          <w:b w:val="1"/>
          <w:bCs w:val="1"/>
          <w:color w:val="FF0000"/>
          <w:strike w:val="1"/>
        </w:rPr>
        <w:t>Series</w:t>
      </w:r>
      <w:r>
        <w:rPr>
          <w:rFonts w:ascii="Arial" w:cs="Arial" w:eastAsia="Arial" w:hAnsi="Arial"/>
          <w:sz w:val="18"/>
          <w:szCs w:val="18"/>
          <w:color w:val="FF0000"/>
          <w:strike w:val="1"/>
        </w:rPr>
        <w:t>”) of New Term Loans for all purposes of this Agreement or (b) as part of a Series of existing Term Loans for all purposes of this Agreement</w:t>
      </w:r>
      <w:r>
        <w:rPr>
          <w:rFonts w:ascii="Arial" w:cs="Arial" w:eastAsia="Arial" w:hAnsi="Arial"/>
          <w:sz w:val="18"/>
          <w:szCs w:val="18"/>
          <w:u w:val="single" w:color="auto"/>
          <w:color w:val="0000FF"/>
          <w:strike w:val="1"/>
        </w:rPr>
        <w:t>Loan Commitments are higher than the upfront fees paid to the existing Lenders in the primary</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syndication of the Term A Loans and Revolving Commitments, the Borrower shall pay the differential (in basis points) to each the existing Lender with respect to its Revolving Commitments and Term A Loans</w:t>
      </w:r>
      <w:r>
        <w:rPr>
          <w:rFonts w:ascii="Arial" w:cs="Arial" w:eastAsia="Arial" w:hAnsi="Arial"/>
          <w:sz w:val="18"/>
          <w:szCs w:val="18"/>
          <w:color w:val="000000"/>
          <w:strike w:val="1"/>
        </w:rPr>
        <w: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341" w:right="339" w:bottom="1440" w:gutter="0" w:footer="0" w:header="0"/>
        </w:sectPr>
      </w:pPr>
    </w:p>
    <w:bookmarkStart w:id="155" w:name="page156"/>
    <w:bookmarkEnd w:id="155"/>
    <w:p>
      <w:pPr>
        <w:ind w:left="-20" w:right="40" w:firstLine="656"/>
        <w:spacing w:after="0" w:line="269" w:lineRule="auto"/>
        <w:tabs>
          <w:tab w:leader="none" w:pos="1018" w:val="left"/>
        </w:tabs>
        <w:numPr>
          <w:ilvl w:val="0"/>
          <w:numId w:val="111"/>
        </w:numPr>
        <w:rPr>
          <w:rFonts w:ascii="Arial" w:cs="Arial" w:eastAsia="Arial" w:hAnsi="Arial"/>
          <w:sz w:val="17"/>
          <w:szCs w:val="17"/>
          <w:color w:val="auto"/>
        </w:rPr>
      </w:pPr>
      <w:r>
        <w:rPr>
          <w:rFonts w:ascii="Arial" w:cs="Arial" w:eastAsia="Arial" w:hAnsi="Arial"/>
          <w:sz w:val="17"/>
          <w:szCs w:val="17"/>
          <w:color w:val="auto"/>
        </w:rPr>
        <w:t>On any Increased Amount Date on which New Revolving Credit Commitments (and each Loan made under a New Revolving Credit Commitment (a “</w:t>
      </w:r>
      <w:r>
        <w:rPr>
          <w:rFonts w:ascii="Arial" w:cs="Arial" w:eastAsia="Arial" w:hAnsi="Arial"/>
          <w:sz w:val="17"/>
          <w:szCs w:val="17"/>
          <w:b w:val="1"/>
          <w:bCs w:val="1"/>
          <w:color w:val="auto"/>
        </w:rPr>
        <w:t>New Revolving Credit Loan</w:t>
      </w:r>
      <w:r>
        <w:rPr>
          <w:rFonts w:ascii="Arial" w:cs="Arial" w:eastAsia="Arial" w:hAnsi="Arial"/>
          <w:sz w:val="17"/>
          <w:szCs w:val="17"/>
          <w:color w:val="auto"/>
        </w:rPr>
        <w:t>”) are effected, subject to the satisfaction of the foregoing terms and conditions, each of the Lenders with Revolving Credit Commitments of such Class shall assign to each Lender with a New Revolving Credit Commitment (each, a “</w:t>
      </w:r>
      <w:r>
        <w:rPr>
          <w:rFonts w:ascii="Arial" w:cs="Arial" w:eastAsia="Arial" w:hAnsi="Arial"/>
          <w:sz w:val="17"/>
          <w:szCs w:val="17"/>
          <w:b w:val="1"/>
          <w:bCs w:val="1"/>
          <w:color w:val="auto"/>
        </w:rPr>
        <w:t>New Revolving Loan</w:t>
      </w:r>
      <w:r>
        <w:rPr>
          <w:rFonts w:ascii="Arial" w:cs="Arial" w:eastAsia="Arial" w:hAnsi="Arial"/>
          <w:sz w:val="17"/>
          <w:szCs w:val="17"/>
          <w:color w:val="auto"/>
        </w:rPr>
        <w:t xml:space="preserve"> </w:t>
      </w:r>
      <w:r>
        <w:rPr>
          <w:rFonts w:ascii="Arial" w:cs="Arial" w:eastAsia="Arial" w:hAnsi="Arial"/>
          <w:sz w:val="17"/>
          <w:szCs w:val="17"/>
          <w:b w:val="1"/>
          <w:bCs w:val="1"/>
          <w:color w:val="auto"/>
        </w:rPr>
        <w:t>Lender</w:t>
      </w:r>
      <w:r>
        <w:rPr>
          <w:rFonts w:ascii="Arial" w:cs="Arial" w:eastAsia="Arial" w:hAnsi="Arial"/>
          <w:sz w:val="17"/>
          <w:szCs w:val="17"/>
          <w:color w:val="auto"/>
        </w:rPr>
        <w:t>”) and each of the New Revolving Loan Lenders shall purchase from each of the Lenders with Revolving Credit Commitments of such Class, at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principal amount thereof, such interests in the Revolving Credit Loans outstanding on such Increased Amount Date as shall be necessary in order that, after giving effect to all such assignments and purchases, the Revolving Credit Loans of such Class will be held by existing Revolving Credit Lenders and New Revolving Loan Lenders ratably in accordance with their Revolving Credit Commitments of such Class after giving effect to the addition of such New Revolving Credit Commitments to the Revolving Credit Commitments and each New Revolving Loan Lender and shall become a Lender with respect to the New Revolving Credit Commitment and all matters relating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Administrative Agent, the Swingline Lender and the Letter of Credit Issuer shall have consented (not to be unreasonably withheld or delayed) to such Lender’s or New Revolving Loan Lender’s providing such New Revolving Credit Commitment to the extent such consent, if any, would be required under </w:t>
      </w:r>
      <w:r>
        <w:rPr>
          <w:rFonts w:ascii="Arial" w:cs="Arial" w:eastAsia="Arial" w:hAnsi="Arial"/>
          <w:sz w:val="17"/>
          <w:szCs w:val="17"/>
          <w:u w:val="single" w:color="auto"/>
          <w:color w:val="auto"/>
        </w:rPr>
        <w:t>Section 13.6(b)</w:t>
      </w:r>
      <w:r>
        <w:rPr>
          <w:rFonts w:ascii="Arial" w:cs="Arial" w:eastAsia="Arial" w:hAnsi="Arial"/>
          <w:sz w:val="17"/>
          <w:szCs w:val="17"/>
          <w:color w:val="auto"/>
        </w:rPr>
        <w:t xml:space="preserve"> for an assignment of Revolving Loans or Revolving Credit Commitments, as applicable, to such Lender or New Revolving Loan Lender.</w:t>
      </w:r>
    </w:p>
    <w:p>
      <w:pPr>
        <w:spacing w:after="0" w:line="124" w:lineRule="exact"/>
        <w:rPr>
          <w:rFonts w:ascii="Arial" w:cs="Arial" w:eastAsia="Arial" w:hAnsi="Arial"/>
          <w:sz w:val="17"/>
          <w:szCs w:val="17"/>
          <w:color w:val="auto"/>
        </w:rPr>
      </w:pPr>
    </w:p>
    <w:p>
      <w:pPr>
        <w:ind w:left="-20" w:right="40" w:firstLine="656"/>
        <w:spacing w:after="0" w:line="275" w:lineRule="auto"/>
        <w:tabs>
          <w:tab w:leader="none" w:pos="1008" w:val="left"/>
        </w:tabs>
        <w:numPr>
          <w:ilvl w:val="0"/>
          <w:numId w:val="111"/>
        </w:numPr>
        <w:rPr>
          <w:rFonts w:ascii="Arial" w:cs="Arial" w:eastAsia="Arial" w:hAnsi="Arial"/>
          <w:sz w:val="17"/>
          <w:szCs w:val="17"/>
          <w:color w:val="auto"/>
        </w:rPr>
      </w:pPr>
      <w:r>
        <w:rPr>
          <w:rFonts w:ascii="Arial" w:cs="Arial" w:eastAsia="Arial" w:hAnsi="Arial"/>
          <w:sz w:val="17"/>
          <w:szCs w:val="17"/>
          <w:color w:val="auto"/>
        </w:rPr>
        <w:t>On any Increased Amount Date on which any New Term Loan Commitments of any Series are effective, subject to the satisfaction of the foregoing terms and conditions, (i) each Lender with a New Term Loan Commitment (each, a “</w:t>
      </w:r>
      <w:r>
        <w:rPr>
          <w:rFonts w:ascii="Arial" w:cs="Arial" w:eastAsia="Arial" w:hAnsi="Arial"/>
          <w:sz w:val="17"/>
          <w:szCs w:val="17"/>
          <w:b w:val="1"/>
          <w:bCs w:val="1"/>
          <w:color w:val="auto"/>
        </w:rPr>
        <w:t>New Term Loan Lender</w:t>
      </w:r>
      <w:r>
        <w:rPr>
          <w:rFonts w:ascii="Arial" w:cs="Arial" w:eastAsia="Arial" w:hAnsi="Arial"/>
          <w:sz w:val="17"/>
          <w:szCs w:val="17"/>
          <w:color w:val="auto"/>
        </w:rPr>
        <w:t>”) of any Series shall make a Loan to the Borrower (a “</w:t>
      </w:r>
      <w:r>
        <w:rPr>
          <w:rFonts w:ascii="Arial" w:cs="Arial" w:eastAsia="Arial" w:hAnsi="Arial"/>
          <w:sz w:val="17"/>
          <w:szCs w:val="17"/>
          <w:b w:val="1"/>
          <w:bCs w:val="1"/>
          <w:color w:val="auto"/>
        </w:rPr>
        <w:t>New Term Loan</w:t>
      </w:r>
      <w:r>
        <w:rPr>
          <w:rFonts w:ascii="Arial" w:cs="Arial" w:eastAsia="Arial" w:hAnsi="Arial"/>
          <w:sz w:val="17"/>
          <w:szCs w:val="17"/>
          <w:color w:val="auto"/>
        </w:rPr>
        <w:t>” and, together with the New Revolving Credit Loans, the “</w:t>
      </w:r>
      <w:r>
        <w:rPr>
          <w:rFonts w:ascii="Arial" w:cs="Arial" w:eastAsia="Arial" w:hAnsi="Arial"/>
          <w:sz w:val="17"/>
          <w:szCs w:val="17"/>
          <w:b w:val="1"/>
          <w:bCs w:val="1"/>
          <w:color w:val="auto"/>
        </w:rPr>
        <w:t>Incremental Loans</w:t>
      </w:r>
      <w:r>
        <w:rPr>
          <w:rFonts w:ascii="Arial" w:cs="Arial" w:eastAsia="Arial" w:hAnsi="Arial"/>
          <w:sz w:val="17"/>
          <w:szCs w:val="17"/>
          <w:color w:val="auto"/>
        </w:rPr>
        <w:t>”) in an amount equal to its New Term Loan Commitment of such Series, and (ii) each New Term Loan Lender of any Series shall become a Lender hereunder with respect to the New Term Loan Commitment of such Series and the New Term Loans of such Series made pursuant thereto.</w:t>
      </w:r>
    </w:p>
    <w:p>
      <w:pPr>
        <w:spacing w:after="0" w:line="122" w:lineRule="exact"/>
        <w:rPr>
          <w:rFonts w:ascii="Arial" w:cs="Arial" w:eastAsia="Arial" w:hAnsi="Arial"/>
          <w:sz w:val="17"/>
          <w:szCs w:val="17"/>
          <w:color w:val="auto"/>
        </w:rPr>
      </w:pPr>
    </w:p>
    <w:p>
      <w:pPr>
        <w:ind w:left="-20" w:firstLine="656"/>
        <w:spacing w:after="0" w:line="287" w:lineRule="auto"/>
        <w:tabs>
          <w:tab w:leader="none" w:pos="1014"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terms and provisions of the New Term Loans and New Term Loan Commitments of any Series shall be on terms and documentation set forth in the Joinder Agreement as determined by the Borrower</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provided</w:t>
      </w:r>
      <w:r>
        <w:rPr>
          <w:rFonts w:ascii="Arial" w:cs="Arial" w:eastAsia="Arial" w:hAnsi="Arial"/>
          <w:sz w:val="16"/>
          <w:szCs w:val="16"/>
          <w:color w:val="auto"/>
        </w:rPr>
        <w:t xml:space="preserve"> </w:t>
      </w:r>
      <w:r>
        <w:rPr>
          <w:rFonts w:ascii="Arial" w:cs="Arial" w:eastAsia="Arial" w:hAnsi="Arial"/>
          <w:sz w:val="16"/>
          <w:szCs w:val="16"/>
          <w:color w:val="FF0000"/>
          <w:strike w:val="1"/>
        </w:rPr>
        <w:t>that (i) the applicable New Term Loan Maturity Date of each Series shall be no</w:t>
      </w:r>
      <w:r>
        <w:rPr>
          <w:rFonts w:ascii="Arial" w:cs="Arial" w:eastAsia="Arial" w:hAnsi="Arial"/>
          <w:sz w:val="16"/>
          <w:szCs w:val="16"/>
          <w:color w:val="auto"/>
        </w:rPr>
        <w:t xml:space="preserve"> </w:t>
      </w:r>
      <w:r>
        <w:rPr>
          <w:rFonts w:ascii="Arial" w:cs="Arial" w:eastAsia="Arial" w:hAnsi="Arial"/>
          <w:sz w:val="16"/>
          <w:szCs w:val="16"/>
          <w:color w:val="FF0000"/>
          <w:strike w:val="1"/>
        </w:rPr>
        <w:t>earlier than the Term A Loan Maturity Date; (ii) the weighted average life to maturity of all New Term Loans shall be no shorter than the weighted average life to maturity of the then existing Term A Loans as calculated without giving effect to any prepayments made in connection with the Term Loans; (iii) the pricing, interest rate margins, discounts, premiums, rate floors, fees, and amortization schedule applicable to any New Term Loans shall be determined by the Borrower and the Lenders thereunder;; and (iv) to the extent such terms and documentation are not consistent with the then existing Term Loans (except to the extent permitted by clause (i), (ii) or (iii) above), they shall be reasonably satisfactory to the Administrative Agent (it being understood that, (1) to the extent that any financial maintenance covenant is added for the benefit of any such Indebtedness, no consent shall be required by the Administrative Agent or any of the Lenders if such financial maintenance covenant is also added for the benefit of any corresponding Loans remaining outstanding after the issuance or incurrence of such Indebtedness or (2) no consent shall be required by the Administrative Agent or any of the Lenders if any covenants or other provisions are only applicable after the Latest Term Loan Maturity Date)</w:t>
      </w:r>
      <w:r>
        <w:rPr>
          <w:rFonts w:ascii="Arial" w:cs="Arial" w:eastAsia="Arial" w:hAnsi="Arial"/>
          <w:sz w:val="16"/>
          <w:szCs w:val="16"/>
          <w:u w:val="single" w:color="auto"/>
          <w:color w:val="0000FF"/>
          <w:strike w:val="1"/>
        </w:rPr>
        <w:t>, which shall be identical to the Term Loans of any then existing Class</w:t>
      </w:r>
      <w:r>
        <w:rPr>
          <w:rFonts w:ascii="Arial" w:cs="Arial" w:eastAsia="Arial" w:hAnsi="Arial"/>
          <w:sz w:val="16"/>
          <w:szCs w:val="16"/>
          <w:color w:val="000000"/>
          <w:strike w:val="1"/>
        </w:rPr>
        <w:t>.</w:t>
      </w:r>
    </w:p>
    <w:p>
      <w:pPr>
        <w:spacing w:after="0" w:line="117" w:lineRule="exact"/>
        <w:rPr>
          <w:rFonts w:ascii="Arial" w:cs="Arial" w:eastAsia="Arial" w:hAnsi="Arial"/>
          <w:sz w:val="16"/>
          <w:szCs w:val="16"/>
          <w:color w:val="auto"/>
        </w:rPr>
      </w:pPr>
    </w:p>
    <w:p>
      <w:pPr>
        <w:ind w:left="-20" w:right="20" w:firstLine="656"/>
        <w:spacing w:after="0" w:line="277" w:lineRule="auto"/>
        <w:tabs>
          <w:tab w:leader="none" w:pos="100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New Revolving Credit Commitments shall be identical to the Revolving Credit Commitments of the applicable Class (other than with respect to upfront fees) and other than the Maturity Date and as set forth in this </w:t>
      </w:r>
      <w:r>
        <w:rPr>
          <w:rFonts w:ascii="Arial" w:cs="Arial" w:eastAsia="Arial" w:hAnsi="Arial"/>
          <w:sz w:val="18"/>
          <w:szCs w:val="18"/>
          <w:u w:val="single" w:color="auto"/>
          <w:color w:val="auto"/>
        </w:rPr>
        <w:t>Section 2.14(e)</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left="-20" w:right="40" w:firstLine="656"/>
        <w:spacing w:after="0" w:line="342" w:lineRule="auto"/>
        <w:tabs>
          <w:tab w:leader="none" w:pos="988"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Each Joinder Agreement may, without the consent of any other Lenders, effect technical and corresponding amendments to this Agreement and the other Credit Documents as may be necessary or appropriate, in the opinion of the Administrative Agent, to effect the provision of this </w:t>
      </w:r>
      <w:r>
        <w:rPr>
          <w:rFonts w:ascii="Arial" w:cs="Arial" w:eastAsia="Arial" w:hAnsi="Arial"/>
          <w:sz w:val="16"/>
          <w:szCs w:val="16"/>
          <w:u w:val="single" w:color="auto"/>
          <w:color w:val="auto"/>
        </w:rPr>
        <w:t>Section 2.14</w:t>
      </w:r>
      <w:r>
        <w:rPr>
          <w:rFonts w:ascii="Arial" w:cs="Arial" w:eastAsia="Arial" w:hAnsi="Arial"/>
          <w:sz w:val="16"/>
          <w:szCs w:val="16"/>
          <w:color w:val="auto"/>
        </w:rPr>
        <w:t>.</w:t>
      </w:r>
    </w:p>
    <w:p>
      <w:pPr>
        <w:spacing w:after="0" w:line="65" w:lineRule="exact"/>
        <w:rPr>
          <w:rFonts w:ascii="Arial" w:cs="Arial" w:eastAsia="Arial" w:hAnsi="Arial"/>
          <w:sz w:val="16"/>
          <w:szCs w:val="16"/>
          <w:color w:val="auto"/>
        </w:rPr>
      </w:pPr>
    </w:p>
    <w:p>
      <w:pPr>
        <w:ind w:left="-20" w:right="60" w:firstLine="656"/>
        <w:spacing w:after="0" w:line="258" w:lineRule="auto"/>
        <w:tabs>
          <w:tab w:leader="none" w:pos="101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 The Borrower may at any time and from time to time request that all or a portion of the Term Loans of any Class (an “</w:t>
      </w:r>
      <w:r>
        <w:rPr>
          <w:rFonts w:ascii="Arial" w:cs="Arial" w:eastAsia="Arial" w:hAnsi="Arial"/>
          <w:sz w:val="18"/>
          <w:szCs w:val="18"/>
          <w:b w:val="1"/>
          <w:bCs w:val="1"/>
          <w:color w:val="auto"/>
        </w:rPr>
        <w:t>Existing Term</w:t>
      </w:r>
      <w:r>
        <w:rPr>
          <w:rFonts w:ascii="Arial" w:cs="Arial" w:eastAsia="Arial" w:hAnsi="Arial"/>
          <w:sz w:val="18"/>
          <w:szCs w:val="18"/>
          <w:color w:val="auto"/>
        </w:rPr>
        <w:t xml:space="preserve"> </w:t>
      </w:r>
      <w:r>
        <w:rPr>
          <w:rFonts w:ascii="Arial" w:cs="Arial" w:eastAsia="Arial" w:hAnsi="Arial"/>
          <w:sz w:val="18"/>
          <w:szCs w:val="18"/>
          <w:b w:val="1"/>
          <w:bCs w:val="1"/>
          <w:color w:val="auto"/>
        </w:rPr>
        <w:t>Loan Class</w:t>
      </w:r>
      <w:r>
        <w:rPr>
          <w:rFonts w:ascii="Arial" w:cs="Arial" w:eastAsia="Arial" w:hAnsi="Arial"/>
          <w:sz w:val="18"/>
          <w:szCs w:val="18"/>
          <w:color w:val="auto"/>
        </w:rPr>
        <w:t>”) be converted to extend the scheduled maturity date(s) of any payment of principal with respect to all or a portion of any principal amount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Term Loans (any such Term Loans which have been so converted, “</w:t>
      </w:r>
      <w:r>
        <w:rPr>
          <w:rFonts w:ascii="Arial" w:cs="Arial" w:eastAsia="Arial" w:hAnsi="Arial"/>
          <w:sz w:val="18"/>
          <w:szCs w:val="18"/>
          <w:b w:val="1"/>
          <w:bCs w:val="1"/>
          <w:color w:val="auto"/>
        </w:rPr>
        <w:t>Extended Term Loans</w:t>
      </w:r>
      <w:r>
        <w:rPr>
          <w:rFonts w:ascii="Arial" w:cs="Arial" w:eastAsia="Arial" w:hAnsi="Arial"/>
          <w:sz w:val="18"/>
          <w:szCs w:val="18"/>
          <w:color w:val="auto"/>
        </w:rPr>
        <w:t xml:space="preserve">”) and to provide for other terms consistent with this </w:t>
      </w:r>
      <w:r>
        <w:rPr>
          <w:rFonts w:ascii="Arial" w:cs="Arial" w:eastAsia="Arial" w:hAnsi="Arial"/>
          <w:sz w:val="18"/>
          <w:szCs w:val="18"/>
          <w:u w:val="single" w:color="auto"/>
          <w:color w:val="auto"/>
        </w:rPr>
        <w:t>Section 2.14(g)</w:t>
      </w:r>
      <w:r>
        <w:rPr>
          <w:rFonts w:ascii="Arial" w:cs="Arial" w:eastAsia="Arial" w:hAnsi="Arial"/>
          <w:sz w:val="18"/>
          <w:szCs w:val="18"/>
          <w:color w:val="auto"/>
        </w:rPr>
        <w:t>. In order to establish any Extended Term Loans, the Borrower shall provide a notice to the Administrative Agent (who shall provide a copy of such notice to each of the Lenders of the applicable Existing</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340" w:top="341" w:right="339" w:bottom="1440" w:gutter="0" w:footer="0" w:header="0"/>
        </w:sectPr>
      </w:pPr>
    </w:p>
    <w:bookmarkStart w:id="156" w:name="page157"/>
    <w:bookmarkEnd w:id="156"/>
    <w:p>
      <w:pPr>
        <w:spacing w:after="0" w:line="267" w:lineRule="auto"/>
        <w:rPr>
          <w:sz w:val="20"/>
          <w:szCs w:val="20"/>
          <w:color w:val="auto"/>
        </w:rPr>
      </w:pPr>
      <w:r>
        <w:rPr>
          <w:rFonts w:ascii="Arial" w:cs="Arial" w:eastAsia="Arial" w:hAnsi="Arial"/>
          <w:sz w:val="17"/>
          <w:szCs w:val="17"/>
          <w:color w:val="auto"/>
        </w:rPr>
        <w:t>Term Loan Class which such request shall be offered equally to all such Lenders) (a “</w:t>
      </w:r>
      <w:r>
        <w:rPr>
          <w:rFonts w:ascii="Arial" w:cs="Arial" w:eastAsia="Arial" w:hAnsi="Arial"/>
          <w:sz w:val="17"/>
          <w:szCs w:val="17"/>
          <w:b w:val="1"/>
          <w:bCs w:val="1"/>
          <w:color w:val="auto"/>
        </w:rPr>
        <w:t>Term Loan Extension Request</w:t>
      </w:r>
      <w:r>
        <w:rPr>
          <w:rFonts w:ascii="Arial" w:cs="Arial" w:eastAsia="Arial" w:hAnsi="Arial"/>
          <w:sz w:val="17"/>
          <w:szCs w:val="17"/>
          <w:color w:val="auto"/>
        </w:rPr>
        <w:t>”) setting forth the proposed terms of the Extended Term Loans to be established, which shall not be materially more restrictive to the Credit Parties (as determined in good faith by the Borrower), when taken as a whole, than the terms of the Term Loans of the Existing Term Loan Class unless the Lenders of the Term Loans of such applicable Existing Term Loan Class receive the benefit of such more restrictive terms (a “</w:t>
      </w:r>
      <w:r>
        <w:rPr>
          <w:rFonts w:ascii="Arial" w:cs="Arial" w:eastAsia="Arial" w:hAnsi="Arial"/>
          <w:sz w:val="17"/>
          <w:szCs w:val="17"/>
          <w:b w:val="1"/>
          <w:bCs w:val="1"/>
          <w:color w:val="auto"/>
        </w:rPr>
        <w:t>Permitted Other Provision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(x) the scheduled final maturity date shall be extended and all or any of the scheduled amortization payments of principal of the Extended Term Loans may be delayed to later dates than the scheduled amortization of principal of the Term Loans of such Existing Term Loan Class (with any such delay resulting in a corresponding adjustment to the scheduled amortization payments reflected in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or in the Joinder Agreement, as the case may be, with respect to the Existing Term Loan Class from which such Extended Term Loans were converted, in each case as more particularly set forth in paragraph (iv) of this </w:t>
      </w:r>
      <w:r>
        <w:rPr>
          <w:rFonts w:ascii="Arial" w:cs="Arial" w:eastAsia="Arial" w:hAnsi="Arial"/>
          <w:sz w:val="17"/>
          <w:szCs w:val="17"/>
          <w:u w:val="single" w:color="auto"/>
          <w:color w:val="auto"/>
        </w:rPr>
        <w:t>Section 2.14(g)</w:t>
      </w:r>
      <w:r>
        <w:rPr>
          <w:rFonts w:ascii="Arial" w:cs="Arial" w:eastAsia="Arial" w:hAnsi="Arial"/>
          <w:sz w:val="17"/>
          <w:szCs w:val="17"/>
          <w:color w:val="auto"/>
        </w:rPr>
        <w:t xml:space="preserve"> below), (y) (A) the interest margins with respect to the Extended Term Loans may be higher or lower than the interest margins for the Term Loans of such Existing Term Loan Class and/or (B) additional fees, premiums or AHYDO payments may be payable to the Lenders providing such Extended Term Loans in addition to or in lieu of any increased margins contemplated by the preceding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in each case, to the extent provided in the applicable Extension Amendment and to the extent that any Permitted Other Provision (including a financial maintenance covenant) is added for the benefit of any such Indebtedness, no consent shall be required by the Administrative Agent or any of the Lenders if such Permitted Other Provision is also added for the benefit of any corresponding Loans remaining outstanding after the issuance or incurrence of such Indebtedness. Notwithstanding anything to the contrary in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or otherwise, no Extended Term Loans may be optionally prepaid prior to the date on which the Existing Term Loan Class from which they were converted is repaid in full, except in accordance with the last sentence of </w:t>
      </w:r>
      <w:r>
        <w:rPr>
          <w:rFonts w:ascii="Arial" w:cs="Arial" w:eastAsia="Arial" w:hAnsi="Arial"/>
          <w:sz w:val="17"/>
          <w:szCs w:val="17"/>
          <w:u w:val="single" w:color="auto"/>
          <w:color w:val="auto"/>
        </w:rPr>
        <w:t>Section 5.1(a)</w:t>
      </w:r>
      <w:r>
        <w:rPr>
          <w:rFonts w:ascii="Arial" w:cs="Arial" w:eastAsia="Arial" w:hAnsi="Arial"/>
          <w:sz w:val="17"/>
          <w:szCs w:val="17"/>
          <w:color w:val="auto"/>
        </w:rPr>
        <w:t>. No Lender shall have any obligation to agree to have any of its Term Loans of any Existing Term Loan Class converted into Extended Term Loans pursuant to any Extension Request. Any Extended Term Loans of any Extension Series shall constitute a separate Class of Term Loans from the Existing Term Loan Class from which they were converted.</w:t>
      </w:r>
    </w:p>
    <w:p>
      <w:pPr>
        <w:spacing w:after="0" w:line="30" w:lineRule="exact"/>
        <w:rPr>
          <w:sz w:val="20"/>
          <w:szCs w:val="20"/>
          <w:color w:val="auto"/>
        </w:rPr>
      </w:pPr>
    </w:p>
    <w:p>
      <w:pPr>
        <w:ind w:right="20" w:firstLine="899"/>
        <w:spacing w:after="0" w:line="283" w:lineRule="auto"/>
        <w:tabs>
          <w:tab w:leader="none" w:pos="1287"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The Borrower may at any time and from time to time request that all or a portion of the Revolving Credit Commitments of any Class, any Extended Revolving Credit Commitments and/or any New Revolving Credit Commitments, each existing at the time of such request (each, an “</w:t>
      </w:r>
      <w:r>
        <w:rPr>
          <w:rFonts w:ascii="Arial" w:cs="Arial" w:eastAsia="Arial" w:hAnsi="Arial"/>
          <w:sz w:val="16"/>
          <w:szCs w:val="16"/>
          <w:b w:val="1"/>
          <w:bCs w:val="1"/>
          <w:color w:val="auto"/>
        </w:rPr>
        <w:t>Existing</w:t>
      </w:r>
      <w:r>
        <w:rPr>
          <w:rFonts w:ascii="Arial" w:cs="Arial" w:eastAsia="Arial" w:hAnsi="Arial"/>
          <w:sz w:val="16"/>
          <w:szCs w:val="16"/>
          <w:color w:val="auto"/>
        </w:rPr>
        <w:t xml:space="preserve"> </w:t>
      </w:r>
      <w:r>
        <w:rPr>
          <w:rFonts w:ascii="Arial" w:cs="Arial" w:eastAsia="Arial" w:hAnsi="Arial"/>
          <w:sz w:val="16"/>
          <w:szCs w:val="16"/>
          <w:b w:val="1"/>
          <w:bCs w:val="1"/>
          <w:color w:val="auto"/>
        </w:rPr>
        <w:t>Revolving Credit Commitment</w:t>
      </w:r>
      <w:r>
        <w:rPr>
          <w:rFonts w:ascii="Arial" w:cs="Arial" w:eastAsia="Arial" w:hAnsi="Arial"/>
          <w:sz w:val="16"/>
          <w:szCs w:val="16"/>
          <w:color w:val="auto"/>
        </w:rPr>
        <w:t>” and any related revolving credit loans thereunder, “</w:t>
      </w:r>
      <w:r>
        <w:rPr>
          <w:rFonts w:ascii="Arial" w:cs="Arial" w:eastAsia="Arial" w:hAnsi="Arial"/>
          <w:sz w:val="16"/>
          <w:szCs w:val="16"/>
          <w:b w:val="1"/>
          <w:bCs w:val="1"/>
          <w:color w:val="auto"/>
        </w:rPr>
        <w:t>Existing Revolving Credit Loans</w:t>
      </w:r>
      <w:r>
        <w:rPr>
          <w:rFonts w:ascii="Arial" w:cs="Arial" w:eastAsia="Arial" w:hAnsi="Arial"/>
          <w:sz w:val="16"/>
          <w:szCs w:val="16"/>
          <w:color w:val="auto"/>
        </w:rPr>
        <w:t>”; each Existing Revolving Credit</w:t>
      </w:r>
      <w:r>
        <w:rPr>
          <w:rFonts w:ascii="Arial" w:cs="Arial" w:eastAsia="Arial" w:hAnsi="Arial"/>
          <w:sz w:val="16"/>
          <w:szCs w:val="16"/>
          <w:b w:val="1"/>
          <w:bCs w:val="1"/>
          <w:color w:val="auto"/>
        </w:rPr>
        <w:t xml:space="preserve"> </w:t>
      </w:r>
      <w:r>
        <w:rPr>
          <w:rFonts w:ascii="Arial" w:cs="Arial" w:eastAsia="Arial" w:hAnsi="Arial"/>
          <w:sz w:val="16"/>
          <w:szCs w:val="16"/>
          <w:color w:val="auto"/>
        </w:rPr>
        <w:t>Commitment and related Existing Revolving Credit Loans together being referred to as an “</w:t>
      </w:r>
      <w:r>
        <w:rPr>
          <w:rFonts w:ascii="Arial" w:cs="Arial" w:eastAsia="Arial" w:hAnsi="Arial"/>
          <w:sz w:val="16"/>
          <w:szCs w:val="16"/>
          <w:b w:val="1"/>
          <w:bCs w:val="1"/>
          <w:color w:val="auto"/>
        </w:rPr>
        <w:t>Existing Revolving Credit Class</w:t>
      </w:r>
      <w:r>
        <w:rPr>
          <w:rFonts w:ascii="Arial" w:cs="Arial" w:eastAsia="Arial" w:hAnsi="Arial"/>
          <w:sz w:val="16"/>
          <w:szCs w:val="16"/>
          <w:color w:val="auto"/>
        </w:rPr>
        <w:t>”) be converted to extend the termination date thereof and the scheduled maturity date(s) of any payment of principal with respect to all or a portion of any principal amount of Loans related to such Existing Revolving Credit Commitments (any such Existing Revolving Credit Commitments which have been so extended, “</w:t>
      </w:r>
      <w:r>
        <w:rPr>
          <w:rFonts w:ascii="Arial" w:cs="Arial" w:eastAsia="Arial" w:hAnsi="Arial"/>
          <w:sz w:val="16"/>
          <w:szCs w:val="16"/>
          <w:b w:val="1"/>
          <w:bCs w:val="1"/>
          <w:color w:val="auto"/>
        </w:rPr>
        <w:t>Extended</w:t>
      </w:r>
      <w:r>
        <w:rPr>
          <w:rFonts w:ascii="Arial" w:cs="Arial" w:eastAsia="Arial" w:hAnsi="Arial"/>
          <w:sz w:val="16"/>
          <w:szCs w:val="16"/>
          <w:color w:val="auto"/>
        </w:rPr>
        <w:t xml:space="preserve"> </w:t>
      </w:r>
      <w:r>
        <w:rPr>
          <w:rFonts w:ascii="Arial" w:cs="Arial" w:eastAsia="Arial" w:hAnsi="Arial"/>
          <w:sz w:val="16"/>
          <w:szCs w:val="16"/>
          <w:b w:val="1"/>
          <w:bCs w:val="1"/>
          <w:color w:val="auto"/>
        </w:rPr>
        <w:t>Revolving Credit Commitments</w:t>
      </w:r>
      <w:r>
        <w:rPr>
          <w:rFonts w:ascii="Arial" w:cs="Arial" w:eastAsia="Arial" w:hAnsi="Arial"/>
          <w:sz w:val="16"/>
          <w:szCs w:val="16"/>
          <w:color w:val="auto"/>
        </w:rPr>
        <w:t>” and any related Loans, “</w:t>
      </w:r>
      <w:r>
        <w:rPr>
          <w:rFonts w:ascii="Arial" w:cs="Arial" w:eastAsia="Arial" w:hAnsi="Arial"/>
          <w:sz w:val="16"/>
          <w:szCs w:val="16"/>
          <w:b w:val="1"/>
          <w:bCs w:val="1"/>
          <w:color w:val="auto"/>
        </w:rPr>
        <w:t>Extended Revolving Credit Loans</w:t>
      </w:r>
      <w:r>
        <w:rPr>
          <w:rFonts w:ascii="Arial" w:cs="Arial" w:eastAsia="Arial" w:hAnsi="Arial"/>
          <w:sz w:val="16"/>
          <w:szCs w:val="16"/>
          <w:color w:val="auto"/>
        </w:rPr>
        <w:t>”) and to provide for other terms consistent with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2.14(g)</w:t>
      </w:r>
      <w:r>
        <w:rPr>
          <w:rFonts w:ascii="Arial" w:cs="Arial" w:eastAsia="Arial" w:hAnsi="Arial"/>
          <w:sz w:val="16"/>
          <w:szCs w:val="16"/>
          <w:color w:val="auto"/>
        </w:rPr>
        <w:t>. In order to establish any Extended Revolving Credit Commitments, the Borrower shall provide a notice to the Administrative Agent (who shall provide a copy of such notice to each of the Lenders of the applicable Class of Existing Revolving Credit Commitments which such request shall be offered equally to all such Lenders) setting forth the proposed terms of the Extended Revolving Credit Commitments to be established, which shall not be materially more restrictive to the Credit Parties (as determined in good faith by the Borrower), when taken as a whole, than the terms of the applicable Existing Revolving Credit Commitments (the “</w:t>
      </w:r>
      <w:r>
        <w:rPr>
          <w:rFonts w:ascii="Arial" w:cs="Arial" w:eastAsia="Arial" w:hAnsi="Arial"/>
          <w:sz w:val="16"/>
          <w:szCs w:val="16"/>
          <w:b w:val="1"/>
          <w:bCs w:val="1"/>
          <w:color w:val="auto"/>
        </w:rPr>
        <w:t>Specified Existing Revolving Credit Commitment</w:t>
      </w:r>
      <w:r>
        <w:rPr>
          <w:rFonts w:ascii="Arial" w:cs="Arial" w:eastAsia="Arial" w:hAnsi="Arial"/>
          <w:sz w:val="16"/>
          <w:szCs w:val="16"/>
          <w:color w:val="auto"/>
        </w:rPr>
        <w:t xml:space="preserve">”) unless (x) the Lenders providing existing Revolving Credit Loans receive the benefit of such more restrictive terms or (y) any such provisions apply after the Revolving Credit Termination Date, in each case, to the extent provided in the applicable Extension Amendment;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 all or any of the final maturity dates of such Extended Revolving Credit Commitments may be delayed to later dates than the final maturity dates of the Specified Existing Revolving Credit Commitments, (x)</w:t>
      </w:r>
    </w:p>
    <w:p>
      <w:pPr>
        <w:ind w:right="140" w:firstLine="8"/>
        <w:spacing w:after="0" w:line="269" w:lineRule="auto"/>
        <w:tabs>
          <w:tab w:leader="none" w:pos="29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 xml:space="preserve">the interest margins with respect to the Extended Revolving Credit Commitments may be higher or lower than the interest margins for the Specified Existing Revolving Credit Commitments and/or (B) additional fees and premiums may be payable to the Lenders providing such Extended Revolving Credit Commitments in addition to or in lieu of any increased margins contemplated by the preceding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and (y) the revolving credit commitment fee rate with respect to the Extended Revolving Credit Commitments may be higher or lower than the revolving credit commitment fee rate for the Specified Existing Revolving Credit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to the contrary in this </w:t>
      </w:r>
      <w:r>
        <w:rPr>
          <w:rFonts w:ascii="Arial" w:cs="Arial" w:eastAsia="Arial" w:hAnsi="Arial"/>
          <w:sz w:val="17"/>
          <w:szCs w:val="17"/>
          <w:u w:val="single" w:color="auto"/>
          <w:color w:val="auto"/>
        </w:rPr>
        <w:t>Section 2.14(g)</w:t>
      </w:r>
      <w:r>
        <w:rPr>
          <w:rFonts w:ascii="Arial" w:cs="Arial" w:eastAsia="Arial" w:hAnsi="Arial"/>
          <w:sz w:val="17"/>
          <w:szCs w:val="17"/>
          <w:color w:val="auto"/>
        </w:rPr>
        <w:t xml:space="preserve"> or otherwise, (1) the borrowing and repayment (other than in connection with a permanent repayment and termination of commitments) of Loans with respect to any Original Revolving Credit Commitments shall be made on a pro rata basis with all other Original Revolving Credit</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320" w:top="337" w:right="359" w:bottom="1440" w:gutter="0" w:footer="0" w:header="0"/>
        </w:sectPr>
      </w:pPr>
    </w:p>
    <w:bookmarkStart w:id="157" w:name="page158"/>
    <w:bookmarkEnd w:id="157"/>
    <w:p>
      <w:pPr>
        <w:spacing w:after="0" w:line="272" w:lineRule="auto"/>
        <w:rPr>
          <w:sz w:val="20"/>
          <w:szCs w:val="20"/>
          <w:color w:val="auto"/>
        </w:rPr>
      </w:pPr>
      <w:r>
        <w:rPr>
          <w:rFonts w:ascii="Arial" w:cs="Arial" w:eastAsia="Arial" w:hAnsi="Arial"/>
          <w:sz w:val="17"/>
          <w:szCs w:val="17"/>
          <w:color w:val="auto"/>
        </w:rPr>
        <w:t xml:space="preserve">Commitments and (2) assignments and participations of Extended Revolving Credit Commitments and Extended Revolving Credit Loans shall be governed by the same assignment and participation provisions applicable to Revolving Credit Commitments and the Revolving Credit Loans related to such Commitments set forth in </w:t>
      </w:r>
      <w:r>
        <w:rPr>
          <w:rFonts w:ascii="Arial" w:cs="Arial" w:eastAsia="Arial" w:hAnsi="Arial"/>
          <w:sz w:val="17"/>
          <w:szCs w:val="17"/>
          <w:u w:val="single" w:color="auto"/>
          <w:color w:val="auto"/>
        </w:rPr>
        <w:t>Section 13.6</w:t>
      </w:r>
      <w:r>
        <w:rPr>
          <w:rFonts w:ascii="Arial" w:cs="Arial" w:eastAsia="Arial" w:hAnsi="Arial"/>
          <w:sz w:val="17"/>
          <w:szCs w:val="17"/>
          <w:color w:val="auto"/>
        </w:rPr>
        <w:t>. No Lender shall have any obligation to agree to have any of its Revolving Credit Loans or Revolving Credit Commitments of any Existing Revolving Credit Class converted into Extended Revolving Credit Loans or Extended Revolving Credit Commitments pursuant to any Extension Request. Any Extended Revolving Credit Commitments of any Extension Series shall constitute a separate Class of revolving credit commitments from the Specified Existing Revolving Credit Commitments and from any other Existing Revolving Credit Commitments (together with any other Extended Revolving Credit Commitments so established on such date).</w:t>
      </w:r>
    </w:p>
    <w:p>
      <w:pPr>
        <w:spacing w:after="0" w:line="11" w:lineRule="exact"/>
        <w:rPr>
          <w:sz w:val="20"/>
          <w:szCs w:val="20"/>
          <w:color w:val="auto"/>
        </w:rPr>
      </w:pPr>
    </w:p>
    <w:p>
      <w:pPr>
        <w:ind w:right="20" w:firstLine="899"/>
        <w:spacing w:after="0" w:line="285" w:lineRule="auto"/>
        <w:tabs>
          <w:tab w:leader="none" w:pos="1331"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Any Lender (an “</w:t>
      </w:r>
      <w:r>
        <w:rPr>
          <w:rFonts w:ascii="Arial" w:cs="Arial" w:eastAsia="Arial" w:hAnsi="Arial"/>
          <w:sz w:val="16"/>
          <w:szCs w:val="16"/>
          <w:b w:val="1"/>
          <w:bCs w:val="1"/>
          <w:color w:val="auto"/>
        </w:rPr>
        <w:t>Extending Lender</w:t>
      </w:r>
      <w:r>
        <w:rPr>
          <w:rFonts w:ascii="Arial" w:cs="Arial" w:eastAsia="Arial" w:hAnsi="Arial"/>
          <w:sz w:val="16"/>
          <w:szCs w:val="16"/>
          <w:color w:val="auto"/>
        </w:rPr>
        <w:t>”) wishing to have all or a portion of its Term Loans, Revolving Credit Commitments, New Revolving Credit Commitment or Extended Revolving Credit Commitment of the Existing Class or Existing Classes subject to such Extension Request converted into Extended Term Loans or Extended Revolving Credit Commitments, as applicable, shall notify the Administrative Agent (an “</w:t>
      </w:r>
      <w:r>
        <w:rPr>
          <w:rFonts w:ascii="Arial" w:cs="Arial" w:eastAsia="Arial" w:hAnsi="Arial"/>
          <w:sz w:val="16"/>
          <w:szCs w:val="16"/>
          <w:b w:val="1"/>
          <w:bCs w:val="1"/>
          <w:color w:val="auto"/>
        </w:rPr>
        <w:t>Extension</w:t>
      </w:r>
      <w:r>
        <w:rPr>
          <w:rFonts w:ascii="Arial" w:cs="Arial" w:eastAsia="Arial" w:hAnsi="Arial"/>
          <w:sz w:val="16"/>
          <w:szCs w:val="16"/>
          <w:color w:val="auto"/>
        </w:rPr>
        <w:t xml:space="preserve"> </w:t>
      </w:r>
      <w:r>
        <w:rPr>
          <w:rFonts w:ascii="Arial" w:cs="Arial" w:eastAsia="Arial" w:hAnsi="Arial"/>
          <w:sz w:val="16"/>
          <w:szCs w:val="16"/>
          <w:b w:val="1"/>
          <w:bCs w:val="1"/>
          <w:color w:val="auto"/>
        </w:rPr>
        <w:t>Election</w:t>
      </w:r>
      <w:r>
        <w:rPr>
          <w:rFonts w:ascii="Arial" w:cs="Arial" w:eastAsia="Arial" w:hAnsi="Arial"/>
          <w:sz w:val="16"/>
          <w:szCs w:val="16"/>
          <w:color w:val="auto"/>
        </w:rPr>
        <w:t>”) on or prior to the date specified in such Extension Request of the amount of its Term Loans, Revolving Credit Commitments, New Revolving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Credit Commitment or Extended Revolving Credit Commitment of the Existing Class or Existing Classes subject to such Extension Request that it has elected to convert into Extended Term Loans or Extended Revolving Credit Commitments, as applicable. In the event that the aggregate amount of Term Loans, Revolving Credit Commitments, New Revolving Credit Commitment or Extended Revolving Credit Commitment of the Existing Class or Existing Classes subject to Extension Elections exceeds the amount of Extended Term Loans or Extended Revolving Credit Commitments, as applicable, requested pursuant to the Extension Request, Term Loans or Revolving Credit Commitments, New Revolving Credit Commitments or Extended Revolving Credit Commitments of the Existing Class or Existing Classes subject to Extension Elections shall be converted to Extended Term Loans or Extended Revolving Credit Commitments, as applicable, on a pro rata basis based on the amount of Term Loans, Revolving Credit Commitments, New Revolving Credit Commitment or Extended Revolving Credit Commitment included in each such Extension Election. Notwithstanding the conversion of any Existing Revolving Credit Commitment into an Extended Revolving Credit Commitment, such Extended Revolving Credit Commitment shall be treated identically to all other Original Revolving Credit Commitments for purposes of the obligations of a Revolving Credit Lender in respect of Swingline Loans under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and Letters of Credit under </w:t>
      </w:r>
      <w:r>
        <w:rPr>
          <w:rFonts w:ascii="Arial" w:cs="Arial" w:eastAsia="Arial" w:hAnsi="Arial"/>
          <w:sz w:val="16"/>
          <w:szCs w:val="16"/>
          <w:u w:val="single" w:color="auto"/>
          <w:color w:val="auto"/>
        </w:rPr>
        <w:t>Section 3</w:t>
      </w:r>
      <w:r>
        <w:rPr>
          <w:rFonts w:ascii="Arial" w:cs="Arial" w:eastAsia="Arial" w:hAnsi="Arial"/>
          <w:sz w:val="16"/>
          <w:szCs w:val="16"/>
          <w:color w:val="auto"/>
        </w:rPr>
        <w:t>, except that the applicable Extension Amendment may provide that the Swingline Maturity Date and/or the L/C Facility Maturity Date may be extended and the related obligations to make Swingline Loans and issue Letters of Credit may be continued so long as the Swingline Lender and/or the Letter of Credit Issuer, as applicable, have consented to such extensions in their sole discretion (it being understood that no consent of any other Lender shall be required in connection with any such extension).</w:t>
      </w:r>
    </w:p>
    <w:p>
      <w:pPr>
        <w:spacing w:after="0" w:line="94" w:lineRule="exact"/>
        <w:rPr>
          <w:rFonts w:ascii="Arial" w:cs="Arial" w:eastAsia="Arial" w:hAnsi="Arial"/>
          <w:sz w:val="16"/>
          <w:szCs w:val="16"/>
          <w:color w:val="auto"/>
        </w:rPr>
      </w:pPr>
    </w:p>
    <w:p>
      <w:pPr>
        <w:ind w:left="1340" w:hanging="441"/>
        <w:spacing w:after="0"/>
        <w:tabs>
          <w:tab w:leader="none" w:pos="13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Extended Term Loans or Extended Revolving Credit Commitments, as applicable, shall be established pursuant to an amendment (an</w:t>
      </w:r>
    </w:p>
    <w:p>
      <w:pPr>
        <w:spacing w:after="0" w:line="4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Extension Amendment</w:t>
      </w:r>
      <w:r>
        <w:rPr>
          <w:rFonts w:ascii="Arial" w:cs="Arial" w:eastAsia="Arial" w:hAnsi="Arial"/>
          <w:sz w:val="16"/>
          <w:szCs w:val="16"/>
          <w:color w:val="auto"/>
        </w:rPr>
        <w:t xml:space="preserve">”) to this Agreement (which, except to the extent expressly contemplated by the penultimate sentence of this </w:t>
      </w:r>
      <w:r>
        <w:rPr>
          <w:rFonts w:ascii="Arial" w:cs="Arial" w:eastAsia="Arial" w:hAnsi="Arial"/>
          <w:sz w:val="16"/>
          <w:szCs w:val="16"/>
          <w:u w:val="single" w:color="auto"/>
          <w:color w:val="auto"/>
        </w:rPr>
        <w:t>Section 2.14(g)(iv)</w:t>
      </w:r>
      <w:r>
        <w:rPr>
          <w:rFonts w:ascii="Arial" w:cs="Arial" w:eastAsia="Arial" w:hAnsi="Arial"/>
          <w:sz w:val="16"/>
          <w:szCs w:val="16"/>
          <w:color w:val="auto"/>
        </w:rPr>
        <w:t xml:space="preserve"> and notwithstanding anything to the contrary set forth in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shall not require the consent of any Lender other than the Extending Lenders with respect to the Extended Term Loans or Extended Revolving Credit Commitments, as applicable, established thereby) executed by the Credit Parties, the Administrative Agent and the Extending Lenders. No Extension Amendment shall provide for any tranche of Extended Term Loans or Extended Revolving Credit Commitments in an aggregate principal amount that is less than $10,000,000. In addition to any terms and changes required or permitted by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2.14(g)(i)</w:t>
      </w:r>
      <w:r>
        <w:rPr>
          <w:rFonts w:ascii="Arial" w:cs="Arial" w:eastAsia="Arial" w:hAnsi="Arial"/>
          <w:sz w:val="16"/>
          <w:szCs w:val="16"/>
          <w:color w:val="auto"/>
        </w:rPr>
        <w:t xml:space="preserve">, each Extension Amendment (x) shall amend the scheduled amortization payments pursuant to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or the applicable Joinder Agreement with respect to the Existing Term Loan Class from which the Extended Term Loans were converted to reduce each scheduled Repayment Amount for the Existing Term Loan Class in the same proportion as the amount of Term Loans of the Existing Term Loan Class is to be converted pursuant to such Extension Amendment (it being understood that the amount of any Repayment Amount payable with respect to any individual Term Loan of such Existing Term Loan Class that is not an Extended Term Loan shall not be reduced as a result thereof) and (y) may, but shall not be required to, impose additional requirements (not inconsistent with the provisions of this Agreement in effect at such time) with respect to the final maturity and weighted average life to maturity of New Term Loans incurred following the date of such Extension Amendment. Notwithstanding anything to the contrary in this </w:t>
      </w:r>
      <w:r>
        <w:rPr>
          <w:rFonts w:ascii="Arial" w:cs="Arial" w:eastAsia="Arial" w:hAnsi="Arial"/>
          <w:sz w:val="16"/>
          <w:szCs w:val="16"/>
          <w:u w:val="single" w:color="auto"/>
          <w:color w:val="auto"/>
        </w:rPr>
        <w:t>Section 2.14(g)</w:t>
      </w:r>
      <w:r>
        <w:rPr>
          <w:rFonts w:ascii="Arial" w:cs="Arial" w:eastAsia="Arial" w:hAnsi="Arial"/>
          <w:sz w:val="16"/>
          <w:szCs w:val="16"/>
          <w:color w:val="auto"/>
        </w:rPr>
        <w:t xml:space="preserve"> and without limiting the generality or applicability of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to any Section 2.14 Additional Amendments, any Extension Amendment may provide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341" w:right="339" w:bottom="1440" w:gutter="0" w:footer="0" w:header="0"/>
        </w:sectPr>
      </w:pPr>
    </w:p>
    <w:bookmarkStart w:id="158" w:name="page159"/>
    <w:bookmarkEnd w:id="158"/>
    <w:p>
      <w:pPr>
        <w:ind w:right="100"/>
        <w:spacing w:after="0" w:line="273" w:lineRule="auto"/>
        <w:rPr>
          <w:sz w:val="20"/>
          <w:szCs w:val="20"/>
          <w:color w:val="auto"/>
        </w:rPr>
      </w:pPr>
      <w:r>
        <w:rPr>
          <w:rFonts w:ascii="Arial" w:cs="Arial" w:eastAsia="Arial" w:hAnsi="Arial"/>
          <w:sz w:val="17"/>
          <w:szCs w:val="17"/>
          <w:color w:val="auto"/>
        </w:rPr>
        <w:t>for additional terms and/or additional amendments other than those referred to or contemplated above (any such additional amendment, a “</w:t>
      </w:r>
      <w:r>
        <w:rPr>
          <w:rFonts w:ascii="Arial" w:cs="Arial" w:eastAsia="Arial" w:hAnsi="Arial"/>
          <w:sz w:val="17"/>
          <w:szCs w:val="17"/>
          <w:b w:val="1"/>
          <w:bCs w:val="1"/>
          <w:color w:val="auto"/>
        </w:rPr>
        <w:t>Section 2.14</w:t>
      </w:r>
      <w:r>
        <w:rPr>
          <w:rFonts w:ascii="Arial" w:cs="Arial" w:eastAsia="Arial" w:hAnsi="Arial"/>
          <w:sz w:val="17"/>
          <w:szCs w:val="17"/>
          <w:color w:val="auto"/>
        </w:rPr>
        <w:t xml:space="preserve"> </w:t>
      </w:r>
      <w:r>
        <w:rPr>
          <w:rFonts w:ascii="Arial" w:cs="Arial" w:eastAsia="Arial" w:hAnsi="Arial"/>
          <w:sz w:val="17"/>
          <w:szCs w:val="17"/>
          <w:b w:val="1"/>
          <w:bCs w:val="1"/>
          <w:color w:val="auto"/>
        </w:rPr>
        <w:t>Additional Amendment</w:t>
      </w:r>
      <w:r>
        <w:rPr>
          <w:rFonts w:ascii="Arial" w:cs="Arial" w:eastAsia="Arial" w:hAnsi="Arial"/>
          <w:sz w:val="17"/>
          <w:szCs w:val="17"/>
          <w:color w:val="auto"/>
        </w:rPr>
        <w:t>”) to this Agreement and the other Credit Documents;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that such Section 2.14 Additional Amendments are within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requirements of </w:t>
      </w:r>
      <w:r>
        <w:rPr>
          <w:rFonts w:ascii="Arial" w:cs="Arial" w:eastAsia="Arial" w:hAnsi="Arial"/>
          <w:sz w:val="17"/>
          <w:szCs w:val="17"/>
          <w:u w:val="single" w:color="auto"/>
          <w:color w:val="auto"/>
        </w:rPr>
        <w:t>Section 2.14(g)(i)</w:t>
      </w:r>
      <w:r>
        <w:rPr>
          <w:rFonts w:ascii="Arial" w:cs="Arial" w:eastAsia="Arial" w:hAnsi="Arial"/>
          <w:sz w:val="17"/>
          <w:szCs w:val="17"/>
          <w:color w:val="auto"/>
        </w:rPr>
        <w:t xml:space="preserve"> and do not become effective prior to the time that such Section 2.14 Additional Amendments have been consented to (including, without limitation, pursuant to (1) consents applicable to holders of New Term Loans and New Revolving Credit Commitments provided for in any Joinder Agreement and (2) consents applicable to holders of any Extended Term Loans or Extended Revolving Credit Commitments provided for in any Extension Amendment) by such of the Lenders, Credit Parties and other parties (if any) as may be required in order for such Section 2.14 Additional Amendments to become effective in accordance with </w:t>
      </w:r>
      <w:r>
        <w:rPr>
          <w:rFonts w:ascii="Arial" w:cs="Arial" w:eastAsia="Arial" w:hAnsi="Arial"/>
          <w:sz w:val="17"/>
          <w:szCs w:val="17"/>
          <w:u w:val="single" w:color="auto"/>
          <w:color w:val="auto"/>
        </w:rPr>
        <w:t>Section 13.1</w:t>
      </w:r>
      <w:r>
        <w:rPr>
          <w:rFonts w:ascii="Arial" w:cs="Arial" w:eastAsia="Arial" w:hAnsi="Arial"/>
          <w:sz w:val="17"/>
          <w:szCs w:val="17"/>
          <w:color w:val="auto"/>
        </w:rPr>
        <w:t>.</w:t>
      </w:r>
    </w:p>
    <w:p>
      <w:pPr>
        <w:spacing w:after="0" w:line="95" w:lineRule="exact"/>
        <w:rPr>
          <w:sz w:val="20"/>
          <w:szCs w:val="20"/>
          <w:color w:val="auto"/>
        </w:rPr>
      </w:pPr>
    </w:p>
    <w:p>
      <w:pPr>
        <w:ind w:firstLine="899"/>
        <w:spacing w:after="0" w:line="286" w:lineRule="auto"/>
        <w:tabs>
          <w:tab w:leader="none" w:pos="1281"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Agreement, (A) on any date on which any Existing Class is converted to extend the related scheduled maturity date(s) in accordance with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(an “</w:t>
      </w:r>
      <w:r>
        <w:rPr>
          <w:rFonts w:ascii="Arial" w:cs="Arial" w:eastAsia="Arial" w:hAnsi="Arial"/>
          <w:sz w:val="16"/>
          <w:szCs w:val="16"/>
          <w:b w:val="1"/>
          <w:bCs w:val="1"/>
          <w:color w:val="auto"/>
        </w:rPr>
        <w:t>Extension Date</w:t>
      </w:r>
      <w:r>
        <w:rPr>
          <w:rFonts w:ascii="Arial" w:cs="Arial" w:eastAsia="Arial" w:hAnsi="Arial"/>
          <w:sz w:val="16"/>
          <w:szCs w:val="16"/>
          <w:color w:val="auto"/>
        </w:rPr>
        <w:t>”), (I) in the case of the existing Term Loans of each Extending Lender, the aggregate principal amount of such existing Term Loans shall be deemed reduced by an amount equal to the aggregate principal amount of Extended Term Loans so converted by such Lender on such date, and the Extended Term Loans shall be established as a separate Class of Term Loans (together with any other Extended Term Loans so established on such date), and (II) in the case of the Specified Existing Revolving Credit Commitments of each Extending Lender, the aggregate principal amount of such Specified Existing Revolving Credit Commitments shall be deemed reduced by an amount equal to the aggregate principal amount of Extended Revolving Credit Commitments so converted by such Lender on such date, and such Extended Revolving Credit Commitments shall be established as a separate Class of revolving credit commitments from the Specified Existing Revolving Credit Commitments and from any other Existing Revolving Credit Commitments (together with any other Extended Revolving Credit Commitments so established on such date) and (B) if, on any Extension Date, any Loans of any Extending Lender are outstanding under the applicable Specified Existing Revolving Credit Commitments, such Loans (and any related participations) shall be deemed to be allocated as Extended Revolving Credit Loans (and related participations) and Existing Revolving Credit Loans (and related participations) in the same proportion as such Extending Lender’s Specified Existing Revolving Credit Commitments to Extended Revolving Credit Commitments.</w:t>
      </w:r>
    </w:p>
    <w:p>
      <w:pPr>
        <w:spacing w:after="0" w:line="92" w:lineRule="exact"/>
        <w:rPr>
          <w:rFonts w:ascii="Arial" w:cs="Arial" w:eastAsia="Arial" w:hAnsi="Arial"/>
          <w:sz w:val="16"/>
          <w:szCs w:val="16"/>
          <w:color w:val="auto"/>
        </w:rPr>
      </w:pPr>
    </w:p>
    <w:p>
      <w:pPr>
        <w:ind w:right="60" w:firstLine="899"/>
        <w:spacing w:after="0" w:line="255" w:lineRule="auto"/>
        <w:tabs>
          <w:tab w:leader="none" w:pos="132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The Administrative Agent and the Lenders (other than the Swingline Lender to the extent such consent is expressly required by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hereby consent to the consummation of the transactions contemplated by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(including, for the avoidance of doubt, payment of any interest, fees, or premium in respect of any Extended Term Loans and/or Extended Revolving Credit Commitments on such terms as may be set forth in the relevant Extension Amendment) and hereby waive the requirements of any provision of this Agreement (including, without limitation, any pro rata payment or amendment section) or any other Credit Document that may otherwise prohibit or restrict any such extension or any other transaction contemplated by this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1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u w:val="single" w:color="auto"/>
          <w:color w:val="auto"/>
        </w:rPr>
        <w:t>Defaulting Lenders</w:t>
      </w:r>
      <w:r>
        <w:rPr>
          <w:rFonts w:ascii="Arial" w:cs="Arial" w:eastAsia="Arial" w:hAnsi="Arial"/>
          <w:sz w:val="16"/>
          <w:szCs w:val="16"/>
          <w:color w:val="auto"/>
        </w:rPr>
        <w:t>.</w:t>
      </w:r>
    </w:p>
    <w:p>
      <w:pPr>
        <w:spacing w:after="0" w:line="225" w:lineRule="exact"/>
        <w:rPr>
          <w:sz w:val="20"/>
          <w:szCs w:val="20"/>
          <w:color w:val="auto"/>
        </w:rPr>
      </w:pPr>
    </w:p>
    <w:p>
      <w:pPr>
        <w:ind w:right="120" w:firstLine="656"/>
        <w:spacing w:after="0" w:line="277" w:lineRule="auto"/>
        <w:tabs>
          <w:tab w:leader="none" w:pos="1027"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70" w:lineRule="exact"/>
        <w:rPr>
          <w:rFonts w:ascii="Arial" w:cs="Arial" w:eastAsia="Arial" w:hAnsi="Arial"/>
          <w:sz w:val="18"/>
          <w:szCs w:val="18"/>
          <w:color w:val="auto"/>
        </w:rPr>
      </w:pPr>
    </w:p>
    <w:p>
      <w:pPr>
        <w:ind w:left="660" w:right="360" w:firstLine="887"/>
        <w:spacing w:after="0" w:line="277" w:lineRule="auto"/>
        <w:tabs>
          <w:tab w:leader="none" w:pos="1901"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the definition of “Required Lenders” and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right="40" w:firstLine="887"/>
        <w:spacing w:after="0" w:line="259" w:lineRule="auto"/>
        <w:tabs>
          <w:tab w:leader="none" w:pos="1951" w:val="left"/>
        </w:tabs>
        <w:numPr>
          <w:ilvl w:val="1"/>
          <w:numId w:val="116"/>
        </w:numPr>
        <w:rPr>
          <w:rFonts w:ascii="Arial" w:cs="Arial" w:eastAsia="Arial" w:hAnsi="Arial"/>
          <w:sz w:val="18"/>
          <w:szCs w:val="18"/>
          <w:color w:val="auto"/>
        </w:rPr>
      </w:pPr>
      <w:r>
        <w:rPr>
          <w:rFonts w:ascii="Arial" w:cs="Arial" w:eastAsia="Arial" w:hAnsi="Arial"/>
          <w:sz w:val="18"/>
          <w:szCs w:val="18"/>
          <w:u w:val="single" w:color="auto"/>
          <w:color w:val="auto"/>
        </w:rPr>
        <w:t>Defaulting Lender Waterfall</w:t>
      </w:r>
      <w:r>
        <w:rPr>
          <w:rFonts w:ascii="Arial" w:cs="Arial" w:eastAsia="Arial" w:hAnsi="Arial"/>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or otherwise) or received by the Administrative Agent from a Defaulting Lender pursuant to </w:t>
      </w:r>
      <w:r>
        <w:rPr>
          <w:rFonts w:ascii="Arial" w:cs="Arial" w:eastAsia="Arial" w:hAnsi="Arial"/>
          <w:sz w:val="18"/>
          <w:szCs w:val="18"/>
          <w:u w:val="single" w:color="auto"/>
          <w:color w:val="auto"/>
        </w:rPr>
        <w:t>Section 13.8</w:t>
      </w:r>
      <w:r>
        <w:rPr>
          <w:rFonts w:ascii="Arial" w:cs="Arial" w:eastAsia="Arial" w:hAnsi="Arial"/>
          <w:sz w:val="18"/>
          <w:szCs w:val="18"/>
          <w:color w:val="auto"/>
        </w:rPr>
        <w:t xml:space="preserve"> shall be applied at such time or times as may be determined by the Administrative Agent as follows: </w:t>
      </w:r>
      <w:r>
        <w:rPr>
          <w:rFonts w:ascii="Arial" w:cs="Arial" w:eastAsia="Arial" w:hAnsi="Arial"/>
          <w:sz w:val="18"/>
          <w:szCs w:val="18"/>
          <w:i w:val="1"/>
          <w:iCs w:val="1"/>
          <w:color w:val="auto"/>
        </w:rPr>
        <w:t>first</w:t>
      </w:r>
      <w:r>
        <w:rPr>
          <w:rFonts w:ascii="Arial" w:cs="Arial" w:eastAsia="Arial" w:hAnsi="Arial"/>
          <w:sz w:val="18"/>
          <w:szCs w:val="18"/>
          <w:color w:val="auto"/>
        </w:rPr>
        <w:t>, to the payment of any amounts owing by such Defaulting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337" w:right="339" w:bottom="1440" w:gutter="0" w:footer="0" w:header="0"/>
        </w:sectPr>
      </w:pPr>
    </w:p>
    <w:bookmarkStart w:id="159" w:name="page160"/>
    <w:bookmarkEnd w:id="159"/>
    <w:p>
      <w:pPr>
        <w:ind w:left="4" w:right="40"/>
        <w:spacing w:after="0" w:line="285" w:lineRule="auto"/>
        <w:rPr>
          <w:sz w:val="20"/>
          <w:szCs w:val="20"/>
          <w:color w:val="auto"/>
        </w:rPr>
      </w:pPr>
      <w:r>
        <w:rPr>
          <w:rFonts w:ascii="Arial" w:cs="Arial" w:eastAsia="Arial" w:hAnsi="Arial"/>
          <w:sz w:val="16"/>
          <w:szCs w:val="16"/>
          <w:color w:val="auto"/>
        </w:rPr>
        <w:t xml:space="preserve">Lender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the payment on a pro rata basis of any amounts owing by such Defaulting Lender to the Letter of Credit Issuer or Swingline Lender 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to Cash Collateralize the Letter of Credit Issuer’s Fronting Exposure with respect to such Defaulting Lender in accordance with </w:t>
      </w:r>
      <w:r>
        <w:rPr>
          <w:rFonts w:ascii="Arial" w:cs="Arial" w:eastAsia="Arial" w:hAnsi="Arial"/>
          <w:sz w:val="16"/>
          <w:szCs w:val="16"/>
          <w:u w:val="single" w:color="auto"/>
          <w:color w:val="auto"/>
        </w:rPr>
        <w:t>Section 3.8</w:t>
      </w:r>
      <w:r>
        <w:rPr>
          <w:rFonts w:ascii="Arial" w:cs="Arial" w:eastAsia="Arial" w:hAnsi="Arial"/>
          <w:sz w:val="16"/>
          <w:szCs w:val="16"/>
          <w:color w:val="auto"/>
        </w:rPr>
        <w:t xml:space="preserve">;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the Borrower may request (so long as no Default exists), to the funding of any Loan in respect of which such Defaulting Lender has failed to fund its portion thereof as required by this Agreement, as determined by the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Letter of Credit Issuer’s future Fronting Exposure with respect to such Defaulting Lender with respect to future Letters of Credit issued under this Agreement, in accordance with </w:t>
      </w:r>
      <w:r>
        <w:rPr>
          <w:rFonts w:ascii="Arial" w:cs="Arial" w:eastAsia="Arial" w:hAnsi="Arial"/>
          <w:sz w:val="16"/>
          <w:szCs w:val="16"/>
          <w:u w:val="single" w:color="auto"/>
          <w:color w:val="auto"/>
        </w:rPr>
        <w:t>Section 3.8</w:t>
      </w:r>
      <w:r>
        <w:rPr>
          <w:rFonts w:ascii="Arial" w:cs="Arial" w:eastAsia="Arial" w:hAnsi="Arial"/>
          <w:sz w:val="16"/>
          <w:szCs w:val="16"/>
          <w:color w:val="auto"/>
        </w:rPr>
        <w:t xml:space="preserve">;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Borrower, the Lenders, the Letter of Credit Issuer or Swingline Lender as a result of any judgment of a court of competent jurisdiction obtained by the Borrower, any Lender, the Letter of Credit Issuer or the Swingline Lender against such Defaulting Lender as a result of such Defaulting Lender’s breach of its obligations under this Agreement; and </w:t>
      </w:r>
      <w:r>
        <w:rPr>
          <w:rFonts w:ascii="Arial" w:cs="Arial" w:eastAsia="Arial" w:hAnsi="Arial"/>
          <w:sz w:val="16"/>
          <w:szCs w:val="16"/>
          <w:i w:val="1"/>
          <w:iCs w:val="1"/>
          <w:color w:val="auto"/>
        </w:rPr>
        <w:t>seventh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Swingline Loans are held by the Lenders pro rata in accordance with the Commitments hereunder without giving effect to </w:t>
      </w:r>
      <w:r>
        <w:rPr>
          <w:rFonts w:ascii="Arial" w:cs="Arial" w:eastAsia="Arial" w:hAnsi="Arial"/>
          <w:sz w:val="16"/>
          <w:szCs w:val="16"/>
          <w:u w:val="single" w:color="auto"/>
          <w:color w:val="auto"/>
        </w:rPr>
        <w:t>Section 2.16(a)(iv)</w:t>
      </w:r>
      <w:r>
        <w:rPr>
          <w:rFonts w:ascii="Arial" w:cs="Arial" w:eastAsia="Arial" w:hAnsi="Arial"/>
          <w:sz w:val="16"/>
          <w:szCs w:val="16"/>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2.16(a)(ii)</w:t>
      </w:r>
      <w:r>
        <w:rPr>
          <w:rFonts w:ascii="Arial" w:cs="Arial" w:eastAsia="Arial" w:hAnsi="Arial"/>
          <w:sz w:val="16"/>
          <w:szCs w:val="16"/>
          <w:color w:val="auto"/>
        </w:rPr>
        <w:t xml:space="preserve"> shall be deemed paid to and redirected by such Defaulting Lender, and each Lender irrevocably consents hereto.</w:t>
      </w:r>
    </w:p>
    <w:p>
      <w:pPr>
        <w:spacing w:after="0" w:line="115" w:lineRule="exact"/>
        <w:rPr>
          <w:sz w:val="20"/>
          <w:szCs w:val="20"/>
          <w:color w:val="auto"/>
        </w:rPr>
      </w:pPr>
    </w:p>
    <w:p>
      <w:pPr>
        <w:ind w:left="1344" w:hanging="453"/>
        <w:spacing w:after="0"/>
        <w:tabs>
          <w:tab w:leader="none" w:pos="1344" w:val="left"/>
        </w:tabs>
        <w:numPr>
          <w:ilvl w:val="2"/>
          <w:numId w:val="117"/>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4" w:right="120" w:firstLine="644"/>
        <w:spacing w:after="0" w:line="263" w:lineRule="auto"/>
        <w:tabs>
          <w:tab w:leader="none" w:pos="1082"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No Defaulting Lender shall be entitled to receive any fee payable under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for any period during which that Lender is a Defaulting Lender (and the Borrower shall not be required to pay any such fee that otherwise would have been required to have been paid to that Defaulting Lender).</w:t>
      </w:r>
    </w:p>
    <w:p>
      <w:pPr>
        <w:spacing w:after="0" w:line="129" w:lineRule="exact"/>
        <w:rPr>
          <w:rFonts w:ascii="Arial" w:cs="Arial" w:eastAsia="Arial" w:hAnsi="Arial"/>
          <w:sz w:val="18"/>
          <w:szCs w:val="18"/>
          <w:color w:val="auto"/>
        </w:rPr>
      </w:pPr>
    </w:p>
    <w:p>
      <w:pPr>
        <w:ind w:left="4" w:right="80" w:firstLine="644"/>
        <w:spacing w:after="0" w:line="263" w:lineRule="auto"/>
        <w:tabs>
          <w:tab w:leader="none" w:pos="1072" w:val="left"/>
        </w:tabs>
        <w:numPr>
          <w:ilvl w:val="1"/>
          <w:numId w:val="118"/>
        </w:numPr>
        <w:rPr>
          <w:rFonts w:ascii="Arial" w:cs="Arial" w:eastAsia="Arial" w:hAnsi="Arial"/>
          <w:sz w:val="18"/>
          <w:szCs w:val="18"/>
          <w:color w:val="auto"/>
        </w:rPr>
      </w:pPr>
      <w:r>
        <w:rPr>
          <w:rFonts w:ascii="Arial" w:cs="Arial" w:eastAsia="Arial" w:hAnsi="Arial"/>
          <w:sz w:val="18"/>
          <w:szCs w:val="18"/>
          <w:color w:val="auto"/>
        </w:rPr>
        <w:t xml:space="preserve">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Arial" w:cs="Arial" w:eastAsia="Arial" w:hAnsi="Arial"/>
          <w:sz w:val="18"/>
          <w:szCs w:val="18"/>
          <w:u w:val="single" w:color="auto"/>
          <w:color w:val="auto"/>
        </w:rPr>
        <w:t>Section 3.8</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jc w:val="both"/>
        <w:ind w:left="4" w:right="80" w:firstLine="644"/>
        <w:spacing w:after="0" w:line="287" w:lineRule="auto"/>
        <w:tabs>
          <w:tab w:leader="none" w:pos="1069" w:val="left"/>
        </w:tabs>
        <w:numPr>
          <w:ilvl w:val="1"/>
          <w:numId w:val="118"/>
        </w:numPr>
        <w:rPr>
          <w:rFonts w:ascii="Arial" w:cs="Arial" w:eastAsia="Arial" w:hAnsi="Arial"/>
          <w:sz w:val="16"/>
          <w:szCs w:val="16"/>
          <w:color w:val="auto"/>
        </w:rPr>
      </w:pPr>
      <w:r>
        <w:rPr>
          <w:rFonts w:ascii="Arial" w:cs="Arial" w:eastAsia="Arial" w:hAnsi="Arial"/>
          <w:sz w:val="16"/>
          <w:szCs w:val="16"/>
          <w:color w:val="auto"/>
        </w:rPr>
        <w:t xml:space="preserve">With respect to any Letter of Credit Fee not required to be paid to any Defaulting Lender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the Borrower shall (x) pay to each Non-Defaulting Lender that portion of any such fee otherwise payable to such Defaulting Lender with respect to such Defaulting Lender’s participation in L/C Obligations that has been reallocated to such Non-Defaulting Lender pursuant to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below,</w:t>
      </w:r>
    </w:p>
    <w:p>
      <w:pPr>
        <w:spacing w:after="0" w:line="2" w:lineRule="exact"/>
        <w:rPr>
          <w:rFonts w:ascii="Arial" w:cs="Arial" w:eastAsia="Arial" w:hAnsi="Arial"/>
          <w:sz w:val="16"/>
          <w:szCs w:val="16"/>
          <w:color w:val="auto"/>
        </w:rPr>
      </w:pPr>
    </w:p>
    <w:p>
      <w:pPr>
        <w:ind w:left="4" w:right="20" w:hanging="4"/>
        <w:spacing w:after="0" w:line="290" w:lineRule="auto"/>
        <w:tabs>
          <w:tab w:leader="none" w:pos="259" w:val="left"/>
        </w:tabs>
        <w:numPr>
          <w:ilvl w:val="0"/>
          <w:numId w:val="119"/>
        </w:numPr>
        <w:rPr>
          <w:rFonts w:ascii="Arial" w:cs="Arial" w:eastAsia="Arial" w:hAnsi="Arial"/>
          <w:sz w:val="17"/>
          <w:szCs w:val="17"/>
          <w:color w:val="auto"/>
        </w:rPr>
      </w:pPr>
      <w:r>
        <w:rPr>
          <w:rFonts w:ascii="Arial" w:cs="Arial" w:eastAsia="Arial" w:hAnsi="Arial"/>
          <w:sz w:val="17"/>
          <w:szCs w:val="17"/>
          <w:color w:val="auto"/>
        </w:rPr>
        <w:t>pay to the Letter of Credit Issuer the amount of any such fee otherwise payable to such Defaulting Lender to the extent allocable to such Letter of Credit’s Fronting Exposure to such Defaulting Lender, and (z) not be required to pay the remaining amount of any such fee.</w:t>
      </w:r>
    </w:p>
    <w:p>
      <w:pPr>
        <w:spacing w:after="0" w:line="53" w:lineRule="exact"/>
        <w:rPr>
          <w:sz w:val="20"/>
          <w:szCs w:val="20"/>
          <w:color w:val="auto"/>
        </w:rPr>
      </w:pPr>
    </w:p>
    <w:p>
      <w:pPr>
        <w:ind w:left="4" w:firstLine="887"/>
        <w:spacing w:after="0" w:line="272" w:lineRule="auto"/>
        <w:tabs>
          <w:tab w:leader="none" w:pos="1335"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Reallocation of Applicable Percentages to Reduce Fronting Exposure</w:t>
      </w:r>
      <w:r>
        <w:rPr>
          <w:rFonts w:ascii="Arial" w:cs="Arial" w:eastAsia="Arial" w:hAnsi="Arial"/>
          <w:sz w:val="17"/>
          <w:szCs w:val="17"/>
          <w:color w:val="auto"/>
        </w:rPr>
        <w:t xml:space="preserve">. All or any part of such Defaulting Lender’s participation in L/C Obligations and Swingline Loans shall be reallocated among the Non-Defaulting Lenders in accordance with their respective Revolving Credit Commitment Percentages (calculated without regard to such Defaulting Lender’s Commitment) but only to the extent that such reallocation does not cause the aggregate Revolving Credit Exposure of any Non-Defaulting Lender to exceed such Non-Defaulting Lender’s Commitment. </w:t>
      </w:r>
      <w:r>
        <w:rPr>
          <w:rFonts w:ascii="Arial" w:cs="Arial" w:eastAsia="Arial" w:hAnsi="Arial"/>
          <w:sz w:val="17"/>
          <w:szCs w:val="17"/>
          <w:color w:val="FF0000"/>
          <w:strike w:val="1"/>
        </w:rPr>
        <w:t>No</w:t>
      </w:r>
      <w:r>
        <w:rPr>
          <w:rFonts w:ascii="Arial" w:cs="Arial" w:eastAsia="Arial" w:hAnsi="Arial"/>
          <w:sz w:val="17"/>
          <w:szCs w:val="17"/>
          <w:u w:val="single" w:color="auto"/>
          <w:color w:val="0000FF"/>
        </w:rPr>
        <w:t>Subject to Section 13.22, no</w:t>
      </w:r>
      <w:r>
        <w:rPr>
          <w:rFonts w:ascii="Arial" w:cs="Arial" w:eastAsia="Arial" w:hAnsi="Arial"/>
          <w:sz w:val="17"/>
          <w:szCs w:val="17"/>
          <w:color w:val="FF0000"/>
        </w:rPr>
        <w:t xml:space="preserve"> </w:t>
      </w:r>
      <w:r>
        <w:rPr>
          <w:rFonts w:ascii="Arial" w:cs="Arial" w:eastAsia="Arial" w:hAnsi="Arial"/>
          <w:sz w:val="17"/>
          <w:szCs w:val="17"/>
          <w:color w:val="000000"/>
        </w:rPr>
        <w:t>reallocation hereunder shall constitute a waiver or release of any claim of any party hereunder against a Defaulting</w:t>
      </w:r>
      <w:r>
        <w:rPr>
          <w:rFonts w:ascii="Arial" w:cs="Arial" w:eastAsia="Arial" w:hAnsi="Arial"/>
          <w:sz w:val="17"/>
          <w:szCs w:val="17"/>
          <w:color w:val="FF0000"/>
        </w:rPr>
        <w:t xml:space="preserve"> </w:t>
      </w:r>
      <w:r>
        <w:rPr>
          <w:rFonts w:ascii="Arial" w:cs="Arial" w:eastAsia="Arial" w:hAnsi="Arial"/>
          <w:sz w:val="17"/>
          <w:szCs w:val="17"/>
          <w:color w:val="000000"/>
        </w:rPr>
        <w:t>Lender arising from that Lender having become a Defaulting Lender, including any claim of a Non-Defaulting Lender as a result of such Non-Defaulting Lender’s increased exposure following such reallocation.</w:t>
      </w:r>
    </w:p>
    <w:p>
      <w:pPr>
        <w:spacing w:after="0" w:line="200" w:lineRule="exact"/>
        <w:rPr>
          <w:sz w:val="20"/>
          <w:szCs w:val="20"/>
          <w:color w:val="auto"/>
        </w:rPr>
      </w:pPr>
    </w:p>
    <w:p>
      <w:pPr>
        <w:spacing w:after="0" w:line="301" w:lineRule="exact"/>
        <w:rPr>
          <w:sz w:val="20"/>
          <w:szCs w:val="20"/>
          <w:color w:val="auto"/>
        </w:rPr>
      </w:pPr>
    </w:p>
    <w:p>
      <w:pPr>
        <w:ind w:left="4824"/>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544"/>
          </w:cols>
          <w:pgMar w:left="976" w:top="341" w:right="379" w:bottom="1440" w:gutter="0" w:footer="0" w:header="0"/>
        </w:sectPr>
      </w:pPr>
    </w:p>
    <w:bookmarkStart w:id="160" w:name="page161"/>
    <w:bookmarkEnd w:id="160"/>
    <w:p>
      <w:pPr>
        <w:ind w:left="660" w:right="160" w:firstLine="887"/>
        <w:spacing w:after="0" w:line="259" w:lineRule="auto"/>
        <w:tabs>
          <w:tab w:leader="none" w:pos="1941" w:val="left"/>
        </w:tabs>
        <w:numPr>
          <w:ilvl w:val="1"/>
          <w:numId w:val="121"/>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 Line Loans</w:t>
      </w:r>
      <w:r>
        <w:rPr>
          <w:rFonts w:ascii="Arial" w:cs="Arial" w:eastAsia="Arial" w:hAnsi="Arial"/>
          <w:sz w:val="18"/>
          <w:szCs w:val="18"/>
          <w:color w:val="auto"/>
        </w:rPr>
        <w:t xml:space="preserve">. If the reallocation described in </w:t>
      </w:r>
      <w:r>
        <w:rPr>
          <w:rFonts w:ascii="Arial" w:cs="Arial" w:eastAsia="Arial" w:hAnsi="Arial"/>
          <w:sz w:val="18"/>
          <w:szCs w:val="18"/>
          <w:u w:val="single" w:color="auto"/>
          <w:color w:val="auto"/>
        </w:rPr>
        <w:t>clause (a)(iv)</w:t>
      </w:r>
      <w:r>
        <w:rPr>
          <w:rFonts w:ascii="Arial" w:cs="Arial" w:eastAsia="Arial" w:hAnsi="Arial"/>
          <w:sz w:val="18"/>
          <w:szCs w:val="18"/>
          <w:color w:val="auto"/>
        </w:rPr>
        <w:t xml:space="preserve"> above cannot, or can only partially, be effected, the Borrower shall, without prejudice to any right or remedy available to them hereunder or under applicable law, (x) </w:t>
      </w:r>
      <w:r>
        <w:rPr>
          <w:rFonts w:ascii="Arial" w:cs="Arial" w:eastAsia="Arial" w:hAnsi="Arial"/>
          <w:sz w:val="18"/>
          <w:szCs w:val="18"/>
          <w:i w:val="1"/>
          <w:iCs w:val="1"/>
          <w:color w:val="auto"/>
        </w:rPr>
        <w:t>first</w:t>
      </w:r>
      <w:r>
        <w:rPr>
          <w:rFonts w:ascii="Arial" w:cs="Arial" w:eastAsia="Arial" w:hAnsi="Arial"/>
          <w:sz w:val="18"/>
          <w:szCs w:val="18"/>
          <w:color w:val="auto"/>
        </w:rPr>
        <w:t xml:space="preserve">, prepay Swingline Loans in an amount equal to the Swingline Lenders’ Fronting Exposure and (y) </w:t>
      </w:r>
      <w:r>
        <w:rPr>
          <w:rFonts w:ascii="Arial" w:cs="Arial" w:eastAsia="Arial" w:hAnsi="Arial"/>
          <w:sz w:val="18"/>
          <w:szCs w:val="18"/>
          <w:i w:val="1"/>
          <w:iCs w:val="1"/>
          <w:color w:val="auto"/>
        </w:rPr>
        <w:t>second</w:t>
      </w:r>
      <w:r>
        <w:rPr>
          <w:rFonts w:ascii="Arial" w:cs="Arial" w:eastAsia="Arial" w:hAnsi="Arial"/>
          <w:sz w:val="18"/>
          <w:szCs w:val="18"/>
          <w:color w:val="auto"/>
        </w:rPr>
        <w:t xml:space="preserve">, Cash Collateralize the Letter of Credit Issuers’ Fronting Exposure in accordance with the procedures set forth in </w:t>
      </w:r>
      <w:r>
        <w:rPr>
          <w:rFonts w:ascii="Arial" w:cs="Arial" w:eastAsia="Arial" w:hAnsi="Arial"/>
          <w:sz w:val="18"/>
          <w:szCs w:val="18"/>
          <w:u w:val="single" w:color="auto"/>
          <w:color w:val="auto"/>
        </w:rPr>
        <w:t>Section 3.8</w:t>
      </w:r>
      <w:r>
        <w:rPr>
          <w:rFonts w:ascii="Arial" w:cs="Arial" w:eastAsia="Arial" w:hAnsi="Arial"/>
          <w:sz w:val="18"/>
          <w:szCs w:val="18"/>
          <w:color w:val="auto"/>
        </w:rPr>
        <w:t>.</w:t>
      </w:r>
    </w:p>
    <w:p>
      <w:pPr>
        <w:spacing w:after="0" w:line="132" w:lineRule="exact"/>
        <w:rPr>
          <w:rFonts w:ascii="Arial" w:cs="Arial" w:eastAsia="Arial" w:hAnsi="Arial"/>
          <w:sz w:val="18"/>
          <w:szCs w:val="18"/>
          <w:color w:val="auto"/>
        </w:rPr>
      </w:pPr>
    </w:p>
    <w:p>
      <w:pPr>
        <w:ind w:right="40" w:firstLine="656"/>
        <w:spacing w:after="0" w:line="269" w:lineRule="auto"/>
        <w:tabs>
          <w:tab w:leader="none" w:pos="1038" w:val="left"/>
        </w:tabs>
        <w:numPr>
          <w:ilvl w:val="0"/>
          <w:numId w:val="122"/>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Borrower, the Administrative Agent, the Swingline Lender, and the Letter of Credit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Revolving Credit Loans and funded and unfunded participations in Letters of Credit and Swingline Loans to be held on a pro rata basis by the Lenders in accordance with their Revolving Credit Commitment Percentages (without giving effect to </w:t>
      </w:r>
      <w:r>
        <w:rPr>
          <w:rFonts w:ascii="Arial" w:cs="Arial" w:eastAsia="Arial" w:hAnsi="Arial"/>
          <w:sz w:val="17"/>
          <w:szCs w:val="17"/>
          <w:u w:val="single" w:color="auto"/>
          <w:color w:val="auto"/>
        </w:rPr>
        <w:t>Section 2.16(a)(iv)</w:t>
      </w:r>
      <w:r>
        <w:rPr>
          <w:rFonts w:ascii="Arial" w:cs="Arial" w:eastAsia="Arial" w:hAnsi="Arial"/>
          <w:sz w:val="17"/>
          <w:szCs w:val="17"/>
          <w:color w:val="auto"/>
        </w:rPr>
        <w:t xml:space="preserve">),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3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Letters of Credit</w:t>
      </w:r>
    </w:p>
    <w:p>
      <w:pPr>
        <w:spacing w:after="0" w:line="17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Letters of Credit</w:t>
      </w:r>
      <w:r>
        <w:rPr>
          <w:rFonts w:ascii="Arial" w:cs="Arial" w:eastAsia="Arial" w:hAnsi="Arial"/>
          <w:sz w:val="16"/>
          <w:szCs w:val="16"/>
          <w:color w:val="auto"/>
        </w:rPr>
        <w:t>.</w:t>
      </w:r>
    </w:p>
    <w:p>
      <w:pPr>
        <w:spacing w:after="0" w:line="171" w:lineRule="exact"/>
        <w:rPr>
          <w:sz w:val="20"/>
          <w:szCs w:val="20"/>
          <w:color w:val="auto"/>
        </w:rPr>
      </w:pPr>
    </w:p>
    <w:p>
      <w:pPr>
        <w:ind w:right="100" w:firstLine="656"/>
        <w:spacing w:after="0" w:line="254" w:lineRule="auto"/>
        <w:tabs>
          <w:tab w:leader="none" w:pos="1028" w:val="left"/>
        </w:tabs>
        <w:numPr>
          <w:ilvl w:val="1"/>
          <w:numId w:val="123"/>
        </w:numPr>
        <w:rPr>
          <w:rFonts w:ascii="Arial" w:cs="Arial" w:eastAsia="Arial" w:hAnsi="Arial"/>
          <w:sz w:val="18"/>
          <w:szCs w:val="18"/>
          <w:color w:val="auto"/>
        </w:rPr>
      </w:pPr>
      <w:r>
        <w:rPr>
          <w:rFonts w:ascii="Arial" w:cs="Arial" w:eastAsia="Arial" w:hAnsi="Arial"/>
          <w:sz w:val="18"/>
          <w:szCs w:val="18"/>
          <w:color w:val="auto"/>
        </w:rPr>
        <w:t>Subject to and upon the terms and conditions herein set forth, at any time and from time to time after the Restatement Effective Date and prior to the L/C Facility Maturity Date, the Letter of Credit Issuer agrees, in reliance upon the agreements of the Revolving Credit Lenders set forth in this Section 3, to issue from time to time from the Restatement Effective Date through the L/C Facility Maturity Date for the account of the Borrower (or, so long as the Borrower is the primary obligor, for the account of Holdings or any Restricted Subsidiary (other than the Borrower)) letters of credit (the “</w:t>
      </w:r>
      <w:r>
        <w:rPr>
          <w:rFonts w:ascii="Arial" w:cs="Arial" w:eastAsia="Arial" w:hAnsi="Arial"/>
          <w:sz w:val="18"/>
          <w:szCs w:val="18"/>
          <w:b w:val="1"/>
          <w:bCs w:val="1"/>
          <w:color w:val="auto"/>
        </w:rPr>
        <w:t>Letters of Credit</w:t>
      </w:r>
      <w:r>
        <w:rPr>
          <w:rFonts w:ascii="Arial" w:cs="Arial" w:eastAsia="Arial" w:hAnsi="Arial"/>
          <w:sz w:val="18"/>
          <w:szCs w:val="18"/>
          <w:color w:val="auto"/>
        </w:rPr>
        <w:t>” and each, a “</w:t>
      </w:r>
      <w:r>
        <w:rPr>
          <w:rFonts w:ascii="Arial" w:cs="Arial" w:eastAsia="Arial" w:hAnsi="Arial"/>
          <w:sz w:val="18"/>
          <w:szCs w:val="18"/>
          <w:b w:val="1"/>
          <w:bCs w:val="1"/>
          <w:color w:val="auto"/>
        </w:rPr>
        <w:t>Letter of Credit</w:t>
      </w:r>
      <w:r>
        <w:rPr>
          <w:rFonts w:ascii="Arial" w:cs="Arial" w:eastAsia="Arial" w:hAnsi="Arial"/>
          <w:sz w:val="18"/>
          <w:szCs w:val="18"/>
          <w:color w:val="auto"/>
        </w:rPr>
        <w:t>”) in such form as may be approved by the Letter of Credit Issuer in its reasonable discretion. Each Existing Letter of Credit shall be deemed to have been issued under this Agreement by the applicable Letter of Credit Issuer on the Restatement Effective Date.</w:t>
      </w:r>
    </w:p>
    <w:p>
      <w:pPr>
        <w:spacing w:after="0" w:line="140" w:lineRule="exact"/>
        <w:rPr>
          <w:rFonts w:ascii="Arial" w:cs="Arial" w:eastAsia="Arial" w:hAnsi="Arial"/>
          <w:sz w:val="18"/>
          <w:szCs w:val="18"/>
          <w:color w:val="auto"/>
        </w:rPr>
      </w:pPr>
    </w:p>
    <w:p>
      <w:pPr>
        <w:ind w:firstLine="656"/>
        <w:spacing w:after="0" w:line="283" w:lineRule="auto"/>
        <w:tabs>
          <w:tab w:leader="none" w:pos="1038" w:val="left"/>
        </w:tabs>
        <w:numPr>
          <w:ilvl w:val="1"/>
          <w:numId w:val="123"/>
        </w:numPr>
        <w:rPr>
          <w:rFonts w:ascii="Arial" w:cs="Arial" w:eastAsia="Arial" w:hAnsi="Arial"/>
          <w:sz w:val="16"/>
          <w:szCs w:val="16"/>
          <w:color w:val="auto"/>
        </w:rPr>
      </w:pPr>
      <w:r>
        <w:rPr>
          <w:rFonts w:ascii="Arial" w:cs="Arial" w:eastAsia="Arial" w:hAnsi="Arial"/>
          <w:sz w:val="16"/>
          <w:szCs w:val="16"/>
          <w:color w:val="auto"/>
        </w:rPr>
        <w:t xml:space="preserve">Notwithstanding the foregoing, (i) no Letter of Credit shall be issued the Stated Amount of which, when added to the Letters of Credit Outstanding at such time, would exceed the Letter of Credit Commitment then in effect (or with respect to any Letter of Credit Issuer, exceed such Letter of Credit Issuer’s Letter of Credit Commitment); (ii) no Letter of Credit shall be issued the Stated Amount of which would cause the aggregate amount of the Lenders’ Revolving Credit Exposures at the time of the issuance thereof to exceed the Total Revolving Credit Commitment then in effect; (iii) each Letter of Credit shall have an expiration date occurring no later than one year after the date of issuance thereof (except as set forth in </w:t>
      </w:r>
      <w:r>
        <w:rPr>
          <w:rFonts w:ascii="Arial" w:cs="Arial" w:eastAsia="Arial" w:hAnsi="Arial"/>
          <w:sz w:val="16"/>
          <w:szCs w:val="16"/>
          <w:u w:val="single" w:color="auto"/>
          <w:color w:val="auto"/>
        </w:rPr>
        <w:t>Section 3.2(d)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such expiration date occur later than the L/C Facility Maturity Date, in each case, unless otherwise agreed upon by the Administrative Agent, the Letter of Credit Issuer and, unless such Letter of Credit has been Cash Collateralized or backstopped (in the case of a backstop only, on terms reasonably satisfactory to such Letter of Credit Issuer), the Revolving Credit Lenders; (iv) the Letter of Credit shall be denominated in Dollars; (v) no Letter of Credit shall be issued if it would be illegal under any applicable law for the beneficiary of the Letter of Credit to have a Letter of Credit issued in its favor; and (vi) no Letter of Credit shall be issued by the Letter of Credit Issuer after it has received a written notice from any Credit Party or the Administrative Agent or the Required Revolving Credit Lenders stating that a Default or Event of Default has occurred and is continuing until such time as the Letter of Credit Issuer shall have received a written notice of (x) rescission of such notice from the party or parties originally delivering such notice or</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the waiver of such Default or Event of Default in accordance with the provisions of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156" w:lineRule="exact"/>
        <w:rPr>
          <w:rFonts w:ascii="Arial" w:cs="Arial" w:eastAsia="Arial" w:hAnsi="Arial"/>
          <w:sz w:val="18"/>
          <w:szCs w:val="18"/>
          <w:color w:val="auto"/>
        </w:rPr>
      </w:pPr>
    </w:p>
    <w:p>
      <w:pPr>
        <w:ind w:right="760" w:firstLine="656"/>
        <w:spacing w:after="0" w:line="277" w:lineRule="auto"/>
        <w:tabs>
          <w:tab w:leader="none" w:pos="1028" w:val="left"/>
        </w:tabs>
        <w:numPr>
          <w:ilvl w:val="1"/>
          <w:numId w:val="124"/>
        </w:numPr>
        <w:rPr>
          <w:rFonts w:ascii="Arial" w:cs="Arial" w:eastAsia="Arial" w:hAnsi="Arial"/>
          <w:sz w:val="18"/>
          <w:szCs w:val="18"/>
          <w:color w:val="auto"/>
        </w:rPr>
      </w:pPr>
      <w:r>
        <w:rPr>
          <w:rFonts w:ascii="Arial" w:cs="Arial" w:eastAsia="Arial" w:hAnsi="Arial"/>
          <w:sz w:val="18"/>
          <w:szCs w:val="18"/>
          <w:color w:val="auto"/>
        </w:rPr>
        <w:t>Upon at least two Business Days’ prior written notice to the Administrative Agent and the Letter of Credit Issuer (which notice the Administrative Agent shall promptly transmit to each of the Lenders), the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320" w:top="341" w:right="359" w:bottom="1440" w:gutter="0" w:footer="0" w:header="0"/>
        </w:sectPr>
      </w:pPr>
    </w:p>
    <w:bookmarkStart w:id="161" w:name="page162"/>
    <w:bookmarkEnd w:id="161"/>
    <w:p>
      <w:pPr>
        <w:ind w:right="100"/>
        <w:spacing w:after="0" w:line="259" w:lineRule="auto"/>
        <w:rPr>
          <w:sz w:val="20"/>
          <w:szCs w:val="20"/>
          <w:color w:val="auto"/>
        </w:rPr>
      </w:pPr>
      <w:r>
        <w:rPr>
          <w:rFonts w:ascii="Arial" w:cs="Arial" w:eastAsia="Arial" w:hAnsi="Arial"/>
          <w:sz w:val="18"/>
          <w:szCs w:val="18"/>
          <w:color w:val="auto"/>
        </w:rPr>
        <w:t xml:space="preserve">Borrower shall have the right, on any day, permanently to terminate or reduce the Letter of Credit Commitment in whole or in part;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such termination or reduction, the Letters of Credit Outstanding shall not exceed the Letter of Credit Commitment (or with respect to a Letter of Credit Issuer, the Letters of Credit outstanding with respect to Letters of Credit issued by such Letter of Credit Issuer shall not exceed such Letter of Credit Issuer’s Letter of Credit Commitment).</w:t>
      </w:r>
    </w:p>
    <w:p>
      <w:pPr>
        <w:spacing w:after="0" w:line="187" w:lineRule="exact"/>
        <w:rPr>
          <w:sz w:val="20"/>
          <w:szCs w:val="20"/>
          <w:color w:val="auto"/>
        </w:rPr>
      </w:pPr>
    </w:p>
    <w:p>
      <w:pPr>
        <w:ind w:left="1040" w:hanging="384"/>
        <w:spacing w:after="0"/>
        <w:tabs>
          <w:tab w:leader="none" w:pos="10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Letter of Credit Issuer shall not be under any obligation to issue any Letter of Credit if:</w:t>
      </w:r>
    </w:p>
    <w:p>
      <w:pPr>
        <w:spacing w:after="0" w:line="225" w:lineRule="exact"/>
        <w:rPr>
          <w:rFonts w:ascii="Arial" w:cs="Arial" w:eastAsia="Arial" w:hAnsi="Arial"/>
          <w:sz w:val="18"/>
          <w:szCs w:val="18"/>
          <w:color w:val="auto"/>
        </w:rPr>
      </w:pPr>
    </w:p>
    <w:p>
      <w:pPr>
        <w:ind w:left="660" w:right="100" w:firstLine="887"/>
        <w:spacing w:after="0" w:line="254" w:lineRule="auto"/>
        <w:tabs>
          <w:tab w:leader="none" w:pos="1901"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order, judgment or decree of any Governmental Authority or arbitrator shall by its terms enjoin or restrain the Letter of Credit Issuer from issuing such Letter of Credit, or any law applicable to the Letter of Credit Issuer or any request or directive (whether or not having the force of law) from any Governmental Authority with jurisdiction over the Letter of Credit Issuer shall prohibit, or request that the Letter of Credit Issuer refrain from, the issuance of letters of credit generally or such Letter of Credit in particular or shall impose upon the Letter of Credit Issuer with respect to such Letter of Credit any restriction, reserve or capital requirement (in each case, for which the Letter of Credit Issuer is not otherwise compensated hereunder) not in effect on the Restatement Effective Date, or shall impose upon the Letter of Credit Issuer any unreimbursed loss, cost or expense which was not applicable on the Restatement Effective Date and which the Letter of Credit Issuer in good faith deems material to it;</w:t>
      </w:r>
    </w:p>
    <w:p>
      <w:pPr>
        <w:spacing w:after="0" w:line="191" w:lineRule="exact"/>
        <w:rPr>
          <w:rFonts w:ascii="Arial" w:cs="Arial" w:eastAsia="Arial" w:hAnsi="Arial"/>
          <w:sz w:val="18"/>
          <w:szCs w:val="18"/>
          <w:color w:val="auto"/>
        </w:rPr>
      </w:pPr>
    </w:p>
    <w:p>
      <w:pPr>
        <w:ind w:left="1940" w:hanging="393"/>
        <w:spacing w:after="0"/>
        <w:tabs>
          <w:tab w:leader="none" w:pos="194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the issuance of such Letter of Credit would violate one or more policies of the Letter of Credit Issuer applicable to letters of</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credit generally;</w:t>
      </w:r>
    </w:p>
    <w:p>
      <w:pPr>
        <w:spacing w:after="0" w:line="210" w:lineRule="exact"/>
        <w:rPr>
          <w:rFonts w:ascii="Arial" w:cs="Arial" w:eastAsia="Arial" w:hAnsi="Arial"/>
          <w:sz w:val="17"/>
          <w:szCs w:val="17"/>
          <w:color w:val="auto"/>
        </w:rPr>
      </w:pPr>
    </w:p>
    <w:p>
      <w:pPr>
        <w:ind w:left="660" w:right="100" w:firstLine="887"/>
        <w:spacing w:after="0" w:line="277" w:lineRule="auto"/>
        <w:tabs>
          <w:tab w:leader="none" w:pos="2001" w:val="left"/>
        </w:tabs>
        <w:numPr>
          <w:ilvl w:val="1"/>
          <w:numId w:val="125"/>
        </w:numPr>
        <w:rPr>
          <w:rFonts w:ascii="Arial" w:cs="Arial" w:eastAsia="Arial" w:hAnsi="Arial"/>
          <w:sz w:val="18"/>
          <w:szCs w:val="18"/>
          <w:color w:val="auto"/>
        </w:rPr>
      </w:pPr>
      <w:r>
        <w:rPr>
          <w:rFonts w:ascii="Arial" w:cs="Arial" w:eastAsia="Arial" w:hAnsi="Arial"/>
          <w:sz w:val="18"/>
          <w:szCs w:val="18"/>
          <w:color w:val="auto"/>
        </w:rPr>
        <w:t>except as otherwise agreed by the Letter of Credit Issuer, such Letter of Credit is in an initial Stated Amount less than $50,000, in the case of a commercial Letter of Credit, or $10,000, in the case of a standby Letter of Credit;</w:t>
      </w:r>
    </w:p>
    <w:p>
      <w:pPr>
        <w:spacing w:after="0" w:line="170" w:lineRule="exact"/>
        <w:rPr>
          <w:rFonts w:ascii="Arial" w:cs="Arial" w:eastAsia="Arial" w:hAnsi="Arial"/>
          <w:sz w:val="18"/>
          <w:szCs w:val="18"/>
          <w:color w:val="auto"/>
        </w:rPr>
      </w:pPr>
    </w:p>
    <w:p>
      <w:pPr>
        <w:ind w:left="1980" w:hanging="433"/>
        <w:spacing w:after="0"/>
        <w:tabs>
          <w:tab w:leader="none" w:pos="19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such Letter of Credit is denominated in a currency other than Dollars;</w:t>
      </w:r>
    </w:p>
    <w:p>
      <w:pPr>
        <w:spacing w:after="0" w:line="225" w:lineRule="exact"/>
        <w:rPr>
          <w:rFonts w:ascii="Arial" w:cs="Arial" w:eastAsia="Arial" w:hAnsi="Arial"/>
          <w:sz w:val="18"/>
          <w:szCs w:val="18"/>
          <w:color w:val="auto"/>
        </w:rPr>
      </w:pPr>
    </w:p>
    <w:p>
      <w:pPr>
        <w:ind w:left="1940" w:hanging="393"/>
        <w:spacing w:after="0"/>
        <w:tabs>
          <w:tab w:leader="none" w:pos="194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such Letter of Credit contains any provisions for automatic reinstatement of the Stated Amount after any drawing thereunder; or</w:t>
      </w:r>
    </w:p>
    <w:p>
      <w:pPr>
        <w:spacing w:after="0" w:line="248" w:lineRule="exact"/>
        <w:rPr>
          <w:rFonts w:ascii="Arial" w:cs="Arial" w:eastAsia="Arial" w:hAnsi="Arial"/>
          <w:sz w:val="16"/>
          <w:szCs w:val="16"/>
          <w:color w:val="auto"/>
        </w:rPr>
      </w:pPr>
    </w:p>
    <w:p>
      <w:pPr>
        <w:ind w:left="660" w:right="180" w:firstLine="887"/>
        <w:spacing w:after="0" w:line="259" w:lineRule="auto"/>
        <w:tabs>
          <w:tab w:leader="none" w:pos="1991" w:val="left"/>
        </w:tabs>
        <w:numPr>
          <w:ilvl w:val="1"/>
          <w:numId w:val="125"/>
        </w:numPr>
        <w:rPr>
          <w:rFonts w:ascii="Arial" w:cs="Arial" w:eastAsia="Arial" w:hAnsi="Arial"/>
          <w:sz w:val="18"/>
          <w:szCs w:val="18"/>
          <w:color w:val="auto"/>
        </w:rPr>
      </w:pPr>
      <w:r>
        <w:rPr>
          <w:rFonts w:ascii="Arial" w:cs="Arial" w:eastAsia="Arial" w:hAnsi="Arial"/>
          <w:sz w:val="18"/>
          <w:szCs w:val="18"/>
          <w:color w:val="auto"/>
        </w:rPr>
        <w:t xml:space="preserve">a default of any Revolving Credit Lender’s obligations to fund under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exists or any Revolving Credit Lender is at such time a Defaulting Lender hereunder, unless, in each case, the Borrower have entered into arrangements reasonably satisfactory to the Letter of Credit Issuer to eliminate the Letter of Credit Issuer’s risk with respect to such Revolving Credit Lender or such risk has been reallocated in accordance with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firstLine="656"/>
        <w:spacing w:after="0" w:line="277" w:lineRule="auto"/>
        <w:tabs>
          <w:tab w:leader="none" w:pos="100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Letter of Credit Issuer shall not increase the Stated Amount of any Letter of Credit if the Letter of Credit Issuer would not be permitted at such time to issue such Letter of Credit in its amended form under the terms hereof.</w:t>
      </w:r>
    </w:p>
    <w:p>
      <w:pPr>
        <w:spacing w:after="0" w:line="170" w:lineRule="exact"/>
        <w:rPr>
          <w:rFonts w:ascii="Arial" w:cs="Arial" w:eastAsia="Arial" w:hAnsi="Arial"/>
          <w:sz w:val="18"/>
          <w:szCs w:val="18"/>
          <w:color w:val="auto"/>
        </w:rPr>
      </w:pPr>
    </w:p>
    <w:p>
      <w:pPr>
        <w:ind w:right="280" w:firstLine="656"/>
        <w:spacing w:after="0" w:line="263" w:lineRule="auto"/>
        <w:tabs>
          <w:tab w:leader="none" w:pos="103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Letter of Credit Issuer shall be under no obligation to amend any Letter of Credit if (A) the Letter of Credit Issuer would have no obligation at such time to issue such Letter of Credit in its amended form under the terms hereof, or (B) the beneficiary of such Letter of Credit does not accept the proposed amendment to such Letter of Credit.</w:t>
      </w:r>
    </w:p>
    <w:p>
      <w:pPr>
        <w:spacing w:after="0" w:line="183" w:lineRule="exact"/>
        <w:rPr>
          <w:rFonts w:ascii="Arial" w:cs="Arial" w:eastAsia="Arial" w:hAnsi="Arial"/>
          <w:sz w:val="18"/>
          <w:szCs w:val="18"/>
          <w:color w:val="auto"/>
        </w:rPr>
      </w:pPr>
    </w:p>
    <w:p>
      <w:pPr>
        <w:ind w:right="20" w:firstLine="656"/>
        <w:spacing w:after="0" w:line="279" w:lineRule="auto"/>
        <w:tabs>
          <w:tab w:leader="none" w:pos="1034" w:val="left"/>
        </w:tabs>
        <w:numPr>
          <w:ilvl w:val="0"/>
          <w:numId w:val="125"/>
        </w:numPr>
        <w:rPr>
          <w:rFonts w:ascii="Arial" w:cs="Arial" w:eastAsia="Arial" w:hAnsi="Arial"/>
          <w:sz w:val="17"/>
          <w:szCs w:val="17"/>
          <w:color w:val="auto"/>
        </w:rPr>
      </w:pPr>
      <w:r>
        <w:rPr>
          <w:rFonts w:ascii="Arial" w:cs="Arial" w:eastAsia="Arial" w:hAnsi="Arial"/>
          <w:sz w:val="17"/>
          <w:szCs w:val="17"/>
          <w:color w:val="auto"/>
        </w:rPr>
        <w:t xml:space="preserve">The Letter of Credit Issuer shall act on behalf of the Revolving Credit Lenders with respect to any Letters of Credit issued by it and the documents associated therewith and the Letter of Credit Issuer shall have all of the benefits and immunities (A) provided to the Administrative Agent in </w:t>
      </w:r>
      <w:r>
        <w:rPr>
          <w:rFonts w:ascii="Arial" w:cs="Arial" w:eastAsia="Arial" w:hAnsi="Arial"/>
          <w:sz w:val="17"/>
          <w:szCs w:val="17"/>
          <w:u w:val="single" w:color="auto"/>
          <w:color w:val="auto"/>
        </w:rPr>
        <w:t>Section 13</w:t>
      </w:r>
      <w:r>
        <w:rPr>
          <w:rFonts w:ascii="Arial" w:cs="Arial" w:eastAsia="Arial" w:hAnsi="Arial"/>
          <w:sz w:val="17"/>
          <w:szCs w:val="17"/>
          <w:color w:val="auto"/>
        </w:rPr>
        <w:t xml:space="preserve"> with respect to any acts taken or omissions suffered by the Letter of Credit Issuer in connection with Letters of Credit issued by it or proposed to be issued by it and Issuer Documents pertaining to such Letters of Credit as fully as if the term “Administrative Agent”</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341" w:right="339" w:bottom="1440" w:gutter="0" w:footer="0" w:header="0"/>
        </w:sectPr>
      </w:pPr>
    </w:p>
    <w:bookmarkStart w:id="162" w:name="page163"/>
    <w:bookmarkEnd w:id="162"/>
    <w:p>
      <w:pPr>
        <w:ind w:right="80"/>
        <w:spacing w:after="0" w:line="277" w:lineRule="auto"/>
        <w:rPr>
          <w:sz w:val="20"/>
          <w:szCs w:val="20"/>
          <w:color w:val="auto"/>
        </w:rPr>
      </w:pPr>
      <w:r>
        <w:rPr>
          <w:rFonts w:ascii="Arial" w:cs="Arial" w:eastAsia="Arial" w:hAnsi="Arial"/>
          <w:sz w:val="18"/>
          <w:szCs w:val="18"/>
          <w:color w:val="auto"/>
        </w:rPr>
        <w:t xml:space="preserve">as used in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included the Letter of Credit Issuer with respect to such acts or omissions, and (B) as additionally provided herein with respect to the Letter of Credit Issuer.</w:t>
      </w:r>
    </w:p>
    <w:p>
      <w:pPr>
        <w:spacing w:after="0" w:line="116"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Letter of Credit Requests</w:t>
      </w:r>
      <w:r>
        <w:rPr>
          <w:rFonts w:ascii="Arial" w:cs="Arial" w:eastAsia="Arial" w:hAnsi="Arial"/>
          <w:sz w:val="16"/>
          <w:szCs w:val="16"/>
          <w:color w:val="auto"/>
        </w:rPr>
        <w:t>.</w:t>
      </w:r>
    </w:p>
    <w:p>
      <w:pPr>
        <w:spacing w:after="0" w:line="171" w:lineRule="exact"/>
        <w:rPr>
          <w:sz w:val="20"/>
          <w:szCs w:val="20"/>
          <w:color w:val="auto"/>
        </w:rPr>
      </w:pPr>
    </w:p>
    <w:p>
      <w:pPr>
        <w:ind w:right="100" w:firstLine="656"/>
        <w:spacing w:after="0" w:line="255" w:lineRule="auto"/>
        <w:tabs>
          <w:tab w:leader="none" w:pos="10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Whenever the Borrower desires that a Letter of Credit be issued for its account or amended, the Borrower shall give the Administrative Agent and the Letter of Credit Issuer a Letter of Credit Request by no later than 1:00 p.m. (New York City time) at least four Business Days (or such other period as may be agreed upon by the Borrower, the Administrative Agent and the Letter of Credit Issuer) prior to the proposed date of issuance or amendment. Each Letter of Credit Request shall be executed by the Borrower. Such Letter of Credit Request may be sent by facsimile, by United States mail, by overnight courier, by electronic transmission using the system provided by the Letter of Credit Issuer, by personal delivery or by any other means acceptable to the Letter of Credit Issuer.</w:t>
      </w:r>
    </w:p>
    <w:p>
      <w:pPr>
        <w:spacing w:after="0" w:line="84" w:lineRule="exact"/>
        <w:rPr>
          <w:rFonts w:ascii="Arial" w:cs="Arial" w:eastAsia="Arial" w:hAnsi="Arial"/>
          <w:sz w:val="18"/>
          <w:szCs w:val="18"/>
          <w:color w:val="auto"/>
        </w:rPr>
      </w:pPr>
    </w:p>
    <w:p>
      <w:pPr>
        <w:ind w:right="20" w:firstLine="656"/>
        <w:spacing w:after="0" w:line="269" w:lineRule="auto"/>
        <w:tabs>
          <w:tab w:leader="none" w:pos="1038"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In the case of a request for an initial issuance of a Letter of Credit, such Letter of Credit Request shall specify in form and detail reasonably satisfactory to the Letter of Credit Issuer: (A) the proposed issuance date of the requested Letter of Credit (which shall be a Business Day); (B) the Stated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identity of the applicant; and (H) such other matters as the Letter of Credit Issuer may reasonably require. In the case of a request for an amendment of any outstanding Letter of Credit, such Letter of Credit Request shall specify in form and detail reasonably satisfactory to the Letter of Credit Issuer (I) the Letter of Credit to be amended; (II) the proposed date of amendment thereof (which shall be a Business Day); (III) the nature of the proposed amendment; and (IV) such other matters as the Letter of Credit Issuer may reasonably require. Additionally, the Borrower shall furnish to the Letter of Credit Issuer and the Administrative Agent such other documents and information pertaining to such requested Letter of Credit issuance or amendment, including any Issuer Documents, as the Letter of Credit Issuer or the Administrative Agent may reasonably require.</w:t>
      </w:r>
    </w:p>
    <w:p>
      <w:pPr>
        <w:spacing w:after="0" w:line="77" w:lineRule="exact"/>
        <w:rPr>
          <w:rFonts w:ascii="Arial" w:cs="Arial" w:eastAsia="Arial" w:hAnsi="Arial"/>
          <w:sz w:val="17"/>
          <w:szCs w:val="17"/>
          <w:color w:val="auto"/>
        </w:rPr>
      </w:pPr>
    </w:p>
    <w:p>
      <w:pPr>
        <w:ind w:right="120" w:firstLine="656"/>
        <w:spacing w:after="0" w:line="293" w:lineRule="auto"/>
        <w:tabs>
          <w:tab w:leader="none" w:pos="1028"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Unless the Letter of Credit Issuer has received written notice from any Revolving Credit Lender, the Administrative Agent or any Credit Party, at least one Business Day prior to the requested date of issuance or amendment of the Letter of Credit, that one or more applicable conditions contained in </w:t>
      </w:r>
      <w:r>
        <w:rPr>
          <w:rFonts w:ascii="Arial" w:cs="Arial" w:eastAsia="Arial" w:hAnsi="Arial"/>
          <w:sz w:val="16"/>
          <w:szCs w:val="16"/>
          <w:u w:val="single" w:color="auto"/>
          <w:color w:val="auto"/>
        </w:rPr>
        <w:t>Sections 6</w:t>
      </w:r>
      <w:r>
        <w:rPr>
          <w:rFonts w:ascii="Arial" w:cs="Arial" w:eastAsia="Arial" w:hAnsi="Arial"/>
          <w:sz w:val="16"/>
          <w:szCs w:val="16"/>
          <w:color w:val="auto"/>
        </w:rPr>
        <w:t xml:space="preserve"> (solely with respect to any Letter of Credit issued on the Restatement Effective Date) and </w:t>
      </w:r>
      <w:r>
        <w:rPr>
          <w:rFonts w:ascii="Arial" w:cs="Arial" w:eastAsia="Arial" w:hAnsi="Arial"/>
          <w:sz w:val="16"/>
          <w:szCs w:val="16"/>
          <w:u w:val="single" w:color="auto"/>
          <w:color w:val="auto"/>
        </w:rPr>
        <w:t>7</w:t>
      </w:r>
      <w:r>
        <w:rPr>
          <w:rFonts w:ascii="Arial" w:cs="Arial" w:eastAsia="Arial" w:hAnsi="Arial"/>
          <w:sz w:val="16"/>
          <w:szCs w:val="16"/>
          <w:color w:val="auto"/>
        </w:rPr>
        <w:t xml:space="preserve"> shall not then be satisfied to the extent required thereby, then, subject to the terms and conditions hereof, the Letter of Credit Issuer shall, on the requested date, issue a Letter of Credit for the account of the Borrower (or, so long as the Borrower is the primary obligor, for the account of Holdings or another Restricted Subsidiary) or enter into the applicable amendment, as the case may be, in each case in accordance with the Letter of Credit Issuer’s usual and customary business practices.</w:t>
      </w:r>
    </w:p>
    <w:p>
      <w:pPr>
        <w:spacing w:after="0" w:line="110" w:lineRule="exact"/>
        <w:rPr>
          <w:rFonts w:ascii="Arial" w:cs="Arial" w:eastAsia="Arial" w:hAnsi="Arial"/>
          <w:sz w:val="16"/>
          <w:szCs w:val="16"/>
          <w:color w:val="auto"/>
        </w:rPr>
      </w:pPr>
    </w:p>
    <w:p>
      <w:pPr>
        <w:ind w:firstLine="656"/>
        <w:spacing w:after="0" w:line="286" w:lineRule="auto"/>
        <w:tabs>
          <w:tab w:leader="none" w:pos="1038"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If the Borrower so requests in any Letter of Credit Request, the Letter of Credit Issuer shall agree to issue a Letter of Credit that has automatic extension provisions (each, an “</w:t>
      </w:r>
      <w:r>
        <w:rPr>
          <w:rFonts w:ascii="Arial" w:cs="Arial" w:eastAsia="Arial" w:hAnsi="Arial"/>
          <w:sz w:val="16"/>
          <w:szCs w:val="16"/>
          <w:b w:val="1"/>
          <w:bCs w:val="1"/>
          <w:color w:val="auto"/>
        </w:rPr>
        <w:t>Auto-Extension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Auto-Extension Letter of Credit must permit the Letter of Credit Issuer to prevent any such extension at least once in each twelve-month period (commencing with the date of issuance of such Letter of Credit) by giving prior notice to the beneficiary thereof and the Borrower not later than a day (the “</w:t>
      </w:r>
      <w:r>
        <w:rPr>
          <w:rFonts w:ascii="Arial" w:cs="Arial" w:eastAsia="Arial" w:hAnsi="Arial"/>
          <w:sz w:val="16"/>
          <w:szCs w:val="16"/>
          <w:b w:val="1"/>
          <w:bCs w:val="1"/>
          <w:color w:val="auto"/>
        </w:rPr>
        <w:t>Non-Extension Notice Date</w:t>
      </w:r>
      <w:r>
        <w:rPr>
          <w:rFonts w:ascii="Arial" w:cs="Arial" w:eastAsia="Arial" w:hAnsi="Arial"/>
          <w:sz w:val="16"/>
          <w:szCs w:val="16"/>
          <w:color w:val="auto"/>
        </w:rPr>
        <w:t xml:space="preserve">”) in each such twelve-month period to be agreed upon at the time such Letter of Credit is issued. Unless otherwise directed by the Letter of Credit Issuer, the Borrower shall not be required to make a specific request to the Letter of Credit Issuer for any such extension. Once an Auto-Extension Letter of Credit has been issued, the Lenders shall be deemed to have authorized (but may not require) the Letter of Credit Issuer to permit the extension of such Letter of Credit at any time to an expiry date not later than the L/C Facility Maturity Date, unless otherwise agreed upon by the Administrative Agent and the Letter of Credit Issuer;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Letter of Credit Issuer shall not permit any such extension if (A) the Letter of Credit Issuer has reasonably determined that it would not be permitted, or would have no obligation, at such time to issue such Letter of Credit in its revised form (as extended) under the terms hereof (by reason of the provisions of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or otherwise), or (B) it has received written notice on or before the day that is seven Business Days before the Non-Extension Notice Date from the Administrative Agent, any Lender or the Borrower that one or more of the applicable conditions specified in </w:t>
      </w:r>
      <w:r>
        <w:rPr>
          <w:rFonts w:ascii="Arial" w:cs="Arial" w:eastAsia="Arial" w:hAnsi="Arial"/>
          <w:sz w:val="16"/>
          <w:szCs w:val="16"/>
          <w:u w:val="single" w:color="auto"/>
          <w:color w:val="auto"/>
        </w:rPr>
        <w:t>Sections 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w:t>
      </w:r>
      <w:r>
        <w:rPr>
          <w:rFonts w:ascii="Arial" w:cs="Arial" w:eastAsia="Arial" w:hAnsi="Arial"/>
          <w:sz w:val="16"/>
          <w:szCs w:val="16"/>
          <w:color w:val="auto"/>
        </w:rPr>
        <w:t xml:space="preserve"> are not then satisfied, and in each such case directing the Letter of Credit Issuer not to permit such extension.</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320" w:top="341" w:right="359" w:bottom="1440" w:gutter="0" w:footer="0" w:header="0"/>
        </w:sectPr>
      </w:pPr>
    </w:p>
    <w:bookmarkStart w:id="163" w:name="page164"/>
    <w:bookmarkEnd w:id="163"/>
    <w:p>
      <w:pPr>
        <w:jc w:val="both"/>
        <w:ind w:left="-20" w:right="220" w:firstLine="656"/>
        <w:spacing w:after="0" w:line="259" w:lineRule="auto"/>
        <w:tabs>
          <w:tab w:leader="none" w:pos="100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the Letter of Credit Issuer will also deliver to the Borrower and the Administrative Agent a true and complete copy of such Letter of Credit or amendment. On the first Business Day of each month, the Letter of Credit Issuer shall provide the Administrative Agent a list of all Letters of Credit issued by it that are outstanding at such time.</w:t>
      </w:r>
    </w:p>
    <w:p>
      <w:pPr>
        <w:spacing w:after="0" w:line="132" w:lineRule="exact"/>
        <w:rPr>
          <w:rFonts w:ascii="Arial" w:cs="Arial" w:eastAsia="Arial" w:hAnsi="Arial"/>
          <w:sz w:val="18"/>
          <w:szCs w:val="18"/>
          <w:color w:val="auto"/>
        </w:rPr>
      </w:pPr>
    </w:p>
    <w:p>
      <w:pPr>
        <w:ind w:left="-20" w:right="240" w:firstLine="656"/>
        <w:spacing w:after="0" w:line="277" w:lineRule="auto"/>
        <w:tabs>
          <w:tab w:leader="none" w:pos="98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The making of each Letter of Credit Request shall be deemed to be a representation and warranty by the Borrower that the Letter of Credit may be issued in accordance with, and will not violate the requirements of, </w:t>
      </w:r>
      <w:r>
        <w:rPr>
          <w:rFonts w:ascii="Arial" w:cs="Arial" w:eastAsia="Arial" w:hAnsi="Arial"/>
          <w:sz w:val="18"/>
          <w:szCs w:val="18"/>
          <w:u w:val="single" w:color="auto"/>
          <w:color w:val="auto"/>
        </w:rPr>
        <w:t>Section 3.1(b)</w:t>
      </w:r>
      <w:r>
        <w:rPr>
          <w:rFonts w:ascii="Arial" w:cs="Arial" w:eastAsia="Arial" w:hAnsi="Arial"/>
          <w:sz w:val="18"/>
          <w:szCs w:val="18"/>
          <w:color w:val="auto"/>
        </w:rPr>
        <w:t>.</w:t>
      </w:r>
    </w:p>
    <w:p>
      <w:pPr>
        <w:spacing w:after="0" w:line="116"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Letter of Credit Participations</w:t>
      </w:r>
      <w:r>
        <w:rPr>
          <w:rFonts w:ascii="Arial" w:cs="Arial" w:eastAsia="Arial" w:hAnsi="Arial"/>
          <w:sz w:val="16"/>
          <w:szCs w:val="16"/>
          <w:color w:val="auto"/>
        </w:rPr>
        <w:t>.</w:t>
      </w:r>
    </w:p>
    <w:p>
      <w:pPr>
        <w:spacing w:after="0" w:line="171" w:lineRule="exact"/>
        <w:rPr>
          <w:sz w:val="20"/>
          <w:szCs w:val="20"/>
          <w:color w:val="auto"/>
        </w:rPr>
      </w:pPr>
    </w:p>
    <w:p>
      <w:pPr>
        <w:ind w:left="-20" w:right="80" w:firstLine="656"/>
        <w:spacing w:after="0" w:line="254" w:lineRule="auto"/>
        <w:tabs>
          <w:tab w:leader="none" w:pos="100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Immediately upon the issuance by the Letter of Credit Issuer of any Letter of Credit, the Letter of Credit Issuer shall be deemed to have sold and transferred to each Revolving Credit Lender (each such Revolving Credit Lender, in its capacity under this </w:t>
      </w:r>
      <w:r>
        <w:rPr>
          <w:rFonts w:ascii="Arial" w:cs="Arial" w:eastAsia="Arial" w:hAnsi="Arial"/>
          <w:sz w:val="18"/>
          <w:szCs w:val="18"/>
          <w:u w:val="single" w:color="auto"/>
          <w:color w:val="auto"/>
        </w:rPr>
        <w:t>Section 3.3</w:t>
      </w:r>
      <w:r>
        <w:rPr>
          <w:rFonts w:ascii="Arial" w:cs="Arial" w:eastAsia="Arial" w:hAnsi="Arial"/>
          <w:sz w:val="18"/>
          <w:szCs w:val="18"/>
          <w:color w:val="auto"/>
        </w:rPr>
        <w:t>, an “</w:t>
      </w:r>
      <w:r>
        <w:rPr>
          <w:rFonts w:ascii="Arial" w:cs="Arial" w:eastAsia="Arial" w:hAnsi="Arial"/>
          <w:sz w:val="18"/>
          <w:szCs w:val="18"/>
          <w:b w:val="1"/>
          <w:bCs w:val="1"/>
          <w:color w:val="auto"/>
        </w:rPr>
        <w:t>L/C Participant</w:t>
      </w:r>
      <w:r>
        <w:rPr>
          <w:rFonts w:ascii="Arial" w:cs="Arial" w:eastAsia="Arial" w:hAnsi="Arial"/>
          <w:sz w:val="18"/>
          <w:szCs w:val="18"/>
          <w:color w:val="auto"/>
        </w:rPr>
        <w:t>”), and each such L/C Participant shall be deemed irrevocably and unconditionally to have purchased and received from the Letter of Credit Issuer, without recourse or warranty, an undivided interest and participation (each an “</w:t>
      </w:r>
      <w:r>
        <w:rPr>
          <w:rFonts w:ascii="Arial" w:cs="Arial" w:eastAsia="Arial" w:hAnsi="Arial"/>
          <w:sz w:val="18"/>
          <w:szCs w:val="18"/>
          <w:b w:val="1"/>
          <w:bCs w:val="1"/>
          <w:color w:val="auto"/>
        </w:rPr>
        <w:t>L/C Participation</w:t>
      </w:r>
      <w:r>
        <w:rPr>
          <w:rFonts w:ascii="Arial" w:cs="Arial" w:eastAsia="Arial" w:hAnsi="Arial"/>
          <w:sz w:val="18"/>
          <w:szCs w:val="18"/>
          <w:color w:val="auto"/>
        </w:rPr>
        <w:t xml:space="preserve">”), to the extent of such L/C Participant’s Revolving Credit Commitment Percentage in each Letter of Credit, each substitute therefor, each drawing made thereunder and the obligations of the Borrower under this Agreement with respect thereto, and any security therefor or guaranty pertaining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Letter of Credit Fees will be paid directly to the Administrative Agent for the ratable account of the L/C Participants as provided in </w:t>
      </w:r>
      <w:r>
        <w:rPr>
          <w:rFonts w:ascii="Arial" w:cs="Arial" w:eastAsia="Arial" w:hAnsi="Arial"/>
          <w:sz w:val="18"/>
          <w:szCs w:val="18"/>
          <w:u w:val="single" w:color="auto"/>
          <w:color w:val="auto"/>
        </w:rPr>
        <w:t>Section 4.1(b)</w:t>
      </w:r>
      <w:r>
        <w:rPr>
          <w:rFonts w:ascii="Arial" w:cs="Arial" w:eastAsia="Arial" w:hAnsi="Arial"/>
          <w:sz w:val="18"/>
          <w:szCs w:val="18"/>
          <w:color w:val="auto"/>
        </w:rPr>
        <w:t xml:space="preserve"> and the L/C Participants shall have no right to receive any portion of any Fronting Fees.</w:t>
      </w:r>
    </w:p>
    <w:p>
      <w:pPr>
        <w:spacing w:after="0" w:line="137" w:lineRule="exact"/>
        <w:rPr>
          <w:rFonts w:ascii="Arial" w:cs="Arial" w:eastAsia="Arial" w:hAnsi="Arial"/>
          <w:sz w:val="18"/>
          <w:szCs w:val="18"/>
          <w:color w:val="auto"/>
        </w:rPr>
      </w:pPr>
    </w:p>
    <w:p>
      <w:pPr>
        <w:ind w:left="-20" w:right="40" w:firstLine="656"/>
        <w:spacing w:after="0" w:line="296" w:lineRule="auto"/>
        <w:tabs>
          <w:tab w:leader="none" w:pos="1018"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In determining whether to pay under any Letter of Credit, the relevant Letter of Credit Issuer shall have no obligation relative to the L/C Participants other than to confirm that any documents required to be delivered under such Letter of Credit have been delivered and that they appear to comply on their face with the requirements of such Letter of Credit. Any action taken or omitted to be taken by the relevant Letter of Credit Issuer under or in connection with any Letter of Credit issued by it, if taken or omitted in the absence of gross negligence or willful misconduct as determined in the final non-appealable judgment of a court of competent jurisdiction, shall not create for the Letter of Credit Issuer any resulting liability.</w:t>
      </w:r>
    </w:p>
    <w:p>
      <w:pPr>
        <w:spacing w:after="0" w:line="107" w:lineRule="exact"/>
        <w:rPr>
          <w:rFonts w:ascii="Arial" w:cs="Arial" w:eastAsia="Arial" w:hAnsi="Arial"/>
          <w:sz w:val="16"/>
          <w:szCs w:val="16"/>
          <w:color w:val="auto"/>
        </w:rPr>
      </w:pPr>
    </w:p>
    <w:p>
      <w:pPr>
        <w:ind w:left="-20" w:firstLine="656"/>
        <w:spacing w:after="0" w:line="268" w:lineRule="auto"/>
        <w:tabs>
          <w:tab w:leader="none" w:pos="1008"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In the event that the Letter of Credit Issuer makes any payment under any Letter of Credit issued by it and the applicable Borrower shall not have repaid such amount in full to the respective Letter of Credit Issuer through the Administrative Agent pursuant to </w:t>
      </w:r>
      <w:r>
        <w:rPr>
          <w:rFonts w:ascii="Arial" w:cs="Arial" w:eastAsia="Arial" w:hAnsi="Arial"/>
          <w:sz w:val="17"/>
          <w:szCs w:val="17"/>
          <w:u w:val="single" w:color="auto"/>
          <w:color w:val="auto"/>
        </w:rPr>
        <w:t>Section 3.4(a)</w:t>
      </w:r>
      <w:r>
        <w:rPr>
          <w:rFonts w:ascii="Arial" w:cs="Arial" w:eastAsia="Arial" w:hAnsi="Arial"/>
          <w:sz w:val="17"/>
          <w:szCs w:val="17"/>
          <w:color w:val="auto"/>
        </w:rPr>
        <w:t>, the Administrative Agent shall promptly notify each L/C Participant of such failure, and each L/C Participant shall promptly and unconditionally pay to the Administrative Agent for the account of the Letter of Credit Issuer, the amount of such L/C Participant’s Revolving Credit Commitment Percentage of such unreimbursed payment in Dollars and in immediately available funds. If and to the extent such L/C Participant shall not have so made its Revolving Credit Commitment Percentage of the amount of such payment available to the Administrative Agent for the account of the Letter of Credit Issuer, such L/C Participant agrees to pay to the Administrative Agent for the account of the Letter of Credit Issuer, forthwith on demand, such amount, together with interest thereon for each day from such date until the date such amount is paid to the Administrative Agent for the account of the Letter of Credit Issuer at a rate per annum equal to the Overnight Rate from time to time then in effect, plus any administrative, processing or similar fees that are reasonably and customarily charged by the Letter of Credit Issuer in connection with the foregoing. The failure of any L/C Participant to make available to the Administrative Agent for the account of the Letter of Credit Issuer its Revolving Credit Commitment Percentage of any payment under any Letter of Credit shall not relieve any other L/C Participant of its obligation hereunder to make available to the Administrative Agent for the account of the Letter of Credit Issuer its Revolving Credit Commitment Percentage of any payment under such Letter of Credit on the date required, as specified above, but no L/C Participant shall be responsible for the failure of any other L/C Participant to make available to the Administrative Agent such other L/C Participant’s Revolving Credit Commitment Percentage of any such payment.</w:t>
      </w:r>
    </w:p>
    <w:p>
      <w:pPr>
        <w:spacing w:after="0" w:line="127" w:lineRule="exact"/>
        <w:rPr>
          <w:rFonts w:ascii="Arial" w:cs="Arial" w:eastAsia="Arial" w:hAnsi="Arial"/>
          <w:sz w:val="17"/>
          <w:szCs w:val="17"/>
          <w:color w:val="auto"/>
        </w:rPr>
      </w:pPr>
    </w:p>
    <w:p>
      <w:pPr>
        <w:ind w:left="-20" w:right="200" w:firstLine="656"/>
        <w:spacing w:after="0" w:line="263" w:lineRule="auto"/>
        <w:tabs>
          <w:tab w:leader="none" w:pos="101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Whenever the Administrative Agent receives a payment in respect of an unpaid reimbursement obligation as to which the Administrative Agent has received for the account of the Letter of Credit Issuer any payments from the L/C Participants pursuant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above, the Administrative Agent shall promptly pay to</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00"/>
          </w:cols>
          <w:pgMar w:left="340" w:top="341" w:right="359" w:bottom="1440" w:gutter="0" w:footer="0" w:header="0"/>
        </w:sectPr>
      </w:pPr>
    </w:p>
    <w:bookmarkStart w:id="164" w:name="page165"/>
    <w:bookmarkEnd w:id="164"/>
    <w:p>
      <w:pPr>
        <w:ind w:right="40"/>
        <w:spacing w:after="0" w:line="259" w:lineRule="auto"/>
        <w:rPr>
          <w:sz w:val="20"/>
          <w:szCs w:val="20"/>
          <w:color w:val="auto"/>
        </w:rPr>
      </w:pPr>
      <w:r>
        <w:rPr>
          <w:rFonts w:ascii="Arial" w:cs="Arial" w:eastAsia="Arial" w:hAnsi="Arial"/>
          <w:sz w:val="18"/>
          <w:szCs w:val="18"/>
          <w:color w:val="auto"/>
        </w:rPr>
        <w:t>each L/C Participant that has paid its Revolving Credit Commitment Percentage of such reimbursement obligation, in Dollars and in immediately available funds, an amount equal to such L/C Participant’s share (based upon the proportionate aggregate amount originally funded by such L/C Participant to the aggregate amount funded by all L/C Participants) of the amount so paid in respect of such reimbursement obligation and interest thereon accruing after the purchase of the respective L/C Participations at the Overnight Rate.</w:t>
      </w:r>
    </w:p>
    <w:p>
      <w:pPr>
        <w:spacing w:after="0" w:line="133" w:lineRule="exact"/>
        <w:rPr>
          <w:sz w:val="20"/>
          <w:szCs w:val="20"/>
          <w:color w:val="auto"/>
        </w:rPr>
      </w:pPr>
    </w:p>
    <w:p>
      <w:pPr>
        <w:ind w:right="100" w:firstLine="656"/>
        <w:spacing w:after="0" w:line="286" w:lineRule="auto"/>
        <w:tabs>
          <w:tab w:leader="none" w:pos="1024"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obligations of the L/C Participants to make payments to the Administrative Agent for the account of the Letter of Credit Issuer with respect to Letters of Credit shall be irrevocable and not subject to counterclaim, set-off or other defense or any other qualification or exception whatsoever and shall be made in accordance with the terms and conditions of this Agreement under all circumstances.</w:t>
      </w:r>
    </w:p>
    <w:p>
      <w:pPr>
        <w:spacing w:after="0" w:line="111" w:lineRule="exact"/>
        <w:rPr>
          <w:rFonts w:ascii="Arial" w:cs="Arial" w:eastAsia="Arial" w:hAnsi="Arial"/>
          <w:sz w:val="17"/>
          <w:szCs w:val="17"/>
          <w:color w:val="auto"/>
        </w:rPr>
      </w:pPr>
    </w:p>
    <w:p>
      <w:pPr>
        <w:ind w:firstLine="656"/>
        <w:spacing w:after="0" w:line="257" w:lineRule="auto"/>
        <w:tabs>
          <w:tab w:leader="none" w:pos="100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If any payment received by the Administrative Agent for the account of the Letter of Credit Issuer pursuant to </w:t>
      </w:r>
      <w:r>
        <w:rPr>
          <w:rFonts w:ascii="Arial" w:cs="Arial" w:eastAsia="Arial" w:hAnsi="Arial"/>
          <w:sz w:val="18"/>
          <w:szCs w:val="18"/>
          <w:u w:val="single" w:color="auto"/>
          <w:color w:val="auto"/>
        </w:rPr>
        <w:t>Section 3.3(c)</w:t>
      </w:r>
      <w:r>
        <w:rPr>
          <w:rFonts w:ascii="Arial" w:cs="Arial" w:eastAsia="Arial" w:hAnsi="Arial"/>
          <w:sz w:val="18"/>
          <w:szCs w:val="18"/>
          <w:color w:val="auto"/>
        </w:rPr>
        <w:t xml:space="preserve"> is required to be returned, each Lender shall pay to the Administrative Agent for the account of the Letter of Credit Issuer its Revolving Credit Commitment Percentage thereof on demand of the Administrative Agent, </w:t>
      </w:r>
      <w:r>
        <w:rPr>
          <w:rFonts w:ascii="Arial" w:cs="Arial" w:eastAsia="Arial" w:hAnsi="Arial"/>
          <w:sz w:val="18"/>
          <w:szCs w:val="18"/>
          <w:i w:val="1"/>
          <w:iCs w:val="1"/>
          <w:color w:val="auto"/>
        </w:rPr>
        <w:t>plus</w:t>
      </w:r>
      <w:r>
        <w:rPr>
          <w:rFonts w:ascii="Arial" w:cs="Arial" w:eastAsia="Arial" w:hAnsi="Arial"/>
          <w:sz w:val="18"/>
          <w:szCs w:val="18"/>
          <w:color w:val="auto"/>
        </w:rPr>
        <w:t xml:space="preserve"> interest thereon from the date of such demand to the date such amount is returned by such Lender, at a rate per annum equal to the applicable Overnight Rate from time to time in effect. The obligations of the Lenders under this clause shall survive the payment in full of the Obligations and the termination of this Agreement.</w:t>
      </w:r>
    </w:p>
    <w:p>
      <w:pPr>
        <w:spacing w:after="0" w:line="13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Agreement to Repay Letter of Credit Drawings</w:t>
      </w:r>
      <w:r>
        <w:rPr>
          <w:rFonts w:ascii="Arial" w:cs="Arial" w:eastAsia="Arial" w:hAnsi="Arial"/>
          <w:sz w:val="16"/>
          <w:szCs w:val="16"/>
          <w:color w:val="auto"/>
        </w:rPr>
        <w:t>.</w:t>
      </w:r>
    </w:p>
    <w:p>
      <w:pPr>
        <w:spacing w:after="0" w:line="171" w:lineRule="exact"/>
        <w:rPr>
          <w:sz w:val="20"/>
          <w:szCs w:val="20"/>
          <w:color w:val="auto"/>
        </w:rPr>
      </w:pPr>
    </w:p>
    <w:p>
      <w:pPr>
        <w:ind w:firstLine="656"/>
        <w:spacing w:after="0" w:line="266" w:lineRule="auto"/>
        <w:tabs>
          <w:tab w:leader="none" w:pos="1024"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Borrower hereby agrees to reimburse the Letter of Credit Issuer, by making payment with respect to any drawing under any Letter of Credit in the same currency in which such drawing was made unless the Letter of Credit Issuer (at its option) shall have specified in the notice of drawing that it will require reimbursement in Dollars. Any such reimbursement shall be made by the Borrower to the Administrative Agent in immediately available funds for any payment or disbursement made by the Letter of Credit Issuer under any Letter of Credit (each such amount so paid until reimbursed, an “</w:t>
      </w:r>
      <w:r>
        <w:rPr>
          <w:rFonts w:ascii="Arial" w:cs="Arial" w:eastAsia="Arial" w:hAnsi="Arial"/>
          <w:sz w:val="17"/>
          <w:szCs w:val="17"/>
          <w:b w:val="1"/>
          <w:bCs w:val="1"/>
          <w:color w:val="auto"/>
        </w:rPr>
        <w:t>Unpaid Drawing</w:t>
      </w:r>
      <w:r>
        <w:rPr>
          <w:rFonts w:ascii="Arial" w:cs="Arial" w:eastAsia="Arial" w:hAnsi="Arial"/>
          <w:sz w:val="17"/>
          <w:szCs w:val="17"/>
          <w:color w:val="auto"/>
        </w:rPr>
        <w:t>”) no later than the date that is one Business Day after the date on which the Borrower receives written notice of such payment or disbursement (the “</w:t>
      </w:r>
      <w:r>
        <w:rPr>
          <w:rFonts w:ascii="Arial" w:cs="Arial" w:eastAsia="Arial" w:hAnsi="Arial"/>
          <w:sz w:val="17"/>
          <w:szCs w:val="17"/>
          <w:b w:val="1"/>
          <w:bCs w:val="1"/>
          <w:color w:val="auto"/>
        </w:rPr>
        <w:t>Reimbursement Date</w:t>
      </w:r>
      <w:r>
        <w:rPr>
          <w:rFonts w:ascii="Arial" w:cs="Arial" w:eastAsia="Arial" w:hAnsi="Arial"/>
          <w:sz w:val="17"/>
          <w:szCs w:val="17"/>
          <w:color w:val="auto"/>
        </w:rPr>
        <w:t xml:space="preserve">”), with interest on the amount so paid or disbursed by the Letter of Credit Issuer, to the extent not reimbursed prior to 5:00 p.m. (New York City time) on the Reimbursement Date, from the Reimbursement Date to the date the Letter of Credit Issuer is reimbursed therefor at a rate per annum that shall at all times be the Applicable Margin for ABR Loans that are Revolving Credit Loans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ABR as in effect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contained in this Agreement to the contrary, (i) unless the Borrower shall have notified the Administrative Agent and the relevant Letter of Credit Issuer prior to 1:00 p.m. (New York City time) on the Reimbursement Date that the Borrower intends to reimburse the relevant Letter of Credit Issuer for the amount of such drawing with funds other than the proceeds of Loans, the Borrower shall be deemed to have given a Notice of Borrowing requesting that, with respect to Letters of Credit, the Revolving Credit Lenders make Revolving Credit Loans (which shall be denominated in Dollars and which shall be ABR Loans) on the Reimbursement Date in the amount of such drawing and (ii) the Administrative Agent shall promptly notify each L/C Participant of such drawing and the amount of its Revolving Credit Loan to be made in respect thereof, and each L/C Participant shall be irrevocably obligated to make a Revolving Credit Loan to the Borrower in Dollars in the manner deemed to have been requested in the amount of its Revolving Credit Commitment Percentage of the applicable Unpaid Drawing by 2:00 p.m. (New York City time) on such Reimbursement Date by making the amount of such Revolving Credit Loan available to the Administrative Agent. Such Revolving Credit Loans shall be made without regard to the Minimum Borrowing Amount. The Administrative Agent shall use the proceeds of such Revolving Credit Loans solely for purpose of reimbursing the Letter of Credit Issuer for the related Unpaid Drawing. In the event that the Borrower fails to Cash Collateralize any Letter of Credit that is outstanding on the L/C Facility Maturity Date, the full amount of the Letters of Credit Outstanding in respect of such Letter of Credit shall be deemed to be an Unpaid Drawing subject to the provisions of this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except that the Letter of Credit Issuer shall hold the proceeds received from the L/C Participants as contemplated above as cash collateral for such Letter of Credit to reimburse any Drawing under such Letter of Credit and shall use such proceeds first, to reimburse itself for any Drawings made in respect of such Letter of Credit following the L/C Facility Maturity Date, second, to the extent such Letter of Credit expires or is returned undrawn while any such cash collateral remains, to the repayment of obligations in respect of any Revolving Credit Loans that have not been paid at such time and third, to the Borrower or as otherwise directed by a court of competent jurisdiction. Nothing in this </w:t>
      </w:r>
      <w:r>
        <w:rPr>
          <w:rFonts w:ascii="Arial" w:cs="Arial" w:eastAsia="Arial" w:hAnsi="Arial"/>
          <w:sz w:val="17"/>
          <w:szCs w:val="17"/>
          <w:u w:val="single" w:color="auto"/>
          <w:color w:val="auto"/>
        </w:rPr>
        <w:t>Section 3.4(a)</w:t>
      </w: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320" w:top="341" w:right="359" w:bottom="1440" w:gutter="0" w:footer="0" w:header="0"/>
        </w:sectPr>
      </w:pPr>
    </w:p>
    <w:bookmarkStart w:id="165" w:name="page166"/>
    <w:bookmarkEnd w:id="165"/>
    <w:p>
      <w:pPr>
        <w:spacing w:after="0"/>
        <w:rPr>
          <w:sz w:val="20"/>
          <w:szCs w:val="20"/>
          <w:color w:val="auto"/>
        </w:rPr>
      </w:pPr>
      <w:r>
        <w:rPr>
          <w:rFonts w:ascii="Arial" w:cs="Arial" w:eastAsia="Arial" w:hAnsi="Arial"/>
          <w:sz w:val="17"/>
          <w:szCs w:val="17"/>
          <w:color w:val="auto"/>
        </w:rPr>
        <w:t>shall affect the Borrower’s obligation to repay all outstanding Revolving Credit Loans when due in accordance with the terms of this Agreement.</w:t>
      </w:r>
    </w:p>
    <w:p>
      <w:pPr>
        <w:spacing w:after="0" w:line="183" w:lineRule="exact"/>
        <w:rPr>
          <w:sz w:val="20"/>
          <w:szCs w:val="20"/>
          <w:color w:val="auto"/>
        </w:rPr>
      </w:pPr>
    </w:p>
    <w:p>
      <w:pPr>
        <w:ind w:right="200" w:firstLine="656"/>
        <w:spacing w:after="0" w:line="263" w:lineRule="auto"/>
        <w:tabs>
          <w:tab w:leader="none" w:pos="103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obligation of the Borrower to reimburse the Letter of Credit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83" w:lineRule="exact"/>
        <w:rPr>
          <w:rFonts w:ascii="Arial" w:cs="Arial" w:eastAsia="Arial" w:hAnsi="Arial"/>
          <w:sz w:val="18"/>
          <w:szCs w:val="18"/>
          <w:color w:val="auto"/>
        </w:rPr>
      </w:pPr>
    </w:p>
    <w:p>
      <w:pPr>
        <w:ind w:left="1900" w:hanging="353"/>
        <w:spacing w:after="0"/>
        <w:tabs>
          <w:tab w:leader="none" w:pos="190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any lack of validity or enforceability of this Agreement or any of the other Credit Documents;</w:t>
      </w:r>
    </w:p>
    <w:p>
      <w:pPr>
        <w:spacing w:after="0" w:line="225" w:lineRule="exact"/>
        <w:rPr>
          <w:rFonts w:ascii="Arial" w:cs="Arial" w:eastAsia="Arial" w:hAnsi="Arial"/>
          <w:sz w:val="18"/>
          <w:szCs w:val="18"/>
          <w:color w:val="auto"/>
        </w:rPr>
      </w:pPr>
    </w:p>
    <w:p>
      <w:pPr>
        <w:ind w:left="660" w:right="80" w:firstLine="887"/>
        <w:spacing w:after="0" w:line="257" w:lineRule="auto"/>
        <w:tabs>
          <w:tab w:leader="none" w:pos="1951"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existence of any claim, set-off, defense or other right that the Borrower may have at any time against a beneficiary named in a Letter of Credit, any transferee of any Letter of Credit (or any Person for whom any such transferee may be acting), the Administrative Agent, the Letter of Credit Issuer, any Lender or other Person, whether in connection with this Agreement, any Letter of Credit, the transactions contemplated herein or any unrelated transactions (including any underlying transaction between the Borrower and the beneficiary named in any such Letter of Credit);</w:t>
      </w:r>
    </w:p>
    <w:p>
      <w:pPr>
        <w:spacing w:after="0" w:line="187" w:lineRule="exact"/>
        <w:rPr>
          <w:rFonts w:ascii="Arial" w:cs="Arial" w:eastAsia="Arial" w:hAnsi="Arial"/>
          <w:sz w:val="18"/>
          <w:szCs w:val="18"/>
          <w:color w:val="auto"/>
        </w:rPr>
      </w:pPr>
    </w:p>
    <w:p>
      <w:pPr>
        <w:ind w:left="660" w:right="100" w:firstLine="887"/>
        <w:spacing w:after="0" w:line="263" w:lineRule="auto"/>
        <w:tabs>
          <w:tab w:leader="none" w:pos="2001"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183" w:lineRule="exact"/>
        <w:rPr>
          <w:rFonts w:ascii="Arial" w:cs="Arial" w:eastAsia="Arial" w:hAnsi="Arial"/>
          <w:sz w:val="18"/>
          <w:szCs w:val="18"/>
          <w:color w:val="auto"/>
        </w:rPr>
      </w:pPr>
    </w:p>
    <w:p>
      <w:pPr>
        <w:ind w:left="660" w:right="540" w:firstLine="887"/>
        <w:spacing w:after="0" w:line="263" w:lineRule="auto"/>
        <w:tabs>
          <w:tab w:leader="none" w:pos="1991" w:val="left"/>
        </w:tabs>
        <w:numPr>
          <w:ilvl w:val="1"/>
          <w:numId w:val="131"/>
        </w:numPr>
        <w:rPr>
          <w:rFonts w:ascii="Arial" w:cs="Arial" w:eastAsia="Arial" w:hAnsi="Arial"/>
          <w:sz w:val="18"/>
          <w:szCs w:val="18"/>
          <w:color w:val="auto"/>
        </w:rPr>
      </w:pPr>
      <w:r>
        <w:rPr>
          <w:rFonts w:ascii="Arial" w:cs="Arial" w:eastAsia="Arial" w:hAnsi="Arial"/>
          <w:sz w:val="18"/>
          <w:szCs w:val="18"/>
          <w:color w:val="auto"/>
        </w:rPr>
        <w:t>waiver by the Letter of Credit Issuer of any requirement that exists for the Letter of Credit Issuer’s protection and not the protection of the Borrower (or Holdings or other Restricted Subsidiary) or any waiver by the Letter of Credit Issuer which does not in fact materially prejudice the Borrower (or Holdings or other Restricted Subsidiary);</w:t>
      </w:r>
    </w:p>
    <w:p>
      <w:pPr>
        <w:spacing w:after="0" w:line="183" w:lineRule="exact"/>
        <w:rPr>
          <w:rFonts w:ascii="Arial" w:cs="Arial" w:eastAsia="Arial" w:hAnsi="Arial"/>
          <w:sz w:val="18"/>
          <w:szCs w:val="18"/>
          <w:color w:val="auto"/>
        </w:rPr>
      </w:pPr>
    </w:p>
    <w:p>
      <w:pPr>
        <w:ind w:left="660" w:firstLine="887"/>
        <w:spacing w:after="0" w:line="263" w:lineRule="auto"/>
        <w:tabs>
          <w:tab w:leader="none" w:pos="1941"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any payment made by the Letter of Credit Issuer in respect of an otherwise complying item presented after the date specified as the expiration date of, or the date by which documents must be received under, such Letter of Credit if presentation after such date is authorized by the UCC or the ISP;</w:t>
      </w:r>
    </w:p>
    <w:p>
      <w:pPr>
        <w:spacing w:after="0" w:line="183" w:lineRule="exact"/>
        <w:rPr>
          <w:rFonts w:ascii="Arial" w:cs="Arial" w:eastAsia="Arial" w:hAnsi="Arial"/>
          <w:sz w:val="18"/>
          <w:szCs w:val="18"/>
          <w:color w:val="auto"/>
        </w:rPr>
      </w:pPr>
    </w:p>
    <w:p>
      <w:pPr>
        <w:ind w:left="660" w:right="100" w:firstLine="887"/>
        <w:spacing w:after="0" w:line="257" w:lineRule="auto"/>
        <w:tabs>
          <w:tab w:leader="none" w:pos="1991"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any payment by the Letter of Credit Issuer under such Letter of Credit against presentation of a draft or certificate that does not strictly comply with the terms of such Letter of Credit; or any payment made by the Letter of Credit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the Bankruptcy Code;</w:t>
      </w:r>
    </w:p>
    <w:p>
      <w:pPr>
        <w:spacing w:after="0" w:line="187" w:lineRule="exact"/>
        <w:rPr>
          <w:rFonts w:ascii="Arial" w:cs="Arial" w:eastAsia="Arial" w:hAnsi="Arial"/>
          <w:sz w:val="18"/>
          <w:szCs w:val="18"/>
          <w:color w:val="auto"/>
        </w:rPr>
      </w:pPr>
    </w:p>
    <w:p>
      <w:pPr>
        <w:ind w:left="2040" w:hanging="493"/>
        <w:spacing w:after="0"/>
        <w:tabs>
          <w:tab w:leader="none" w:pos="2040" w:val="left"/>
        </w:tabs>
        <w:numPr>
          <w:ilvl w:val="1"/>
          <w:numId w:val="131"/>
        </w:numPr>
        <w:rPr>
          <w:rFonts w:ascii="Arial" w:cs="Arial" w:eastAsia="Arial" w:hAnsi="Arial"/>
          <w:sz w:val="16"/>
          <w:szCs w:val="16"/>
          <w:color w:val="auto"/>
        </w:rPr>
      </w:pPr>
      <w:r>
        <w:rPr>
          <w:rFonts w:ascii="Arial" w:cs="Arial" w:eastAsia="Arial" w:hAnsi="Arial"/>
          <w:sz w:val="16"/>
          <w:szCs w:val="16"/>
          <w:color w:val="auto"/>
        </w:rPr>
        <w:t>honor of a demand for payment presented electronically even if such Letter of Credit requires that demand be in the form of a</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draft;</w:t>
      </w:r>
    </w:p>
    <w:p>
      <w:pPr>
        <w:spacing w:after="0" w:line="210" w:lineRule="exact"/>
        <w:rPr>
          <w:rFonts w:ascii="Arial" w:cs="Arial" w:eastAsia="Arial" w:hAnsi="Arial"/>
          <w:sz w:val="16"/>
          <w:szCs w:val="16"/>
          <w:color w:val="auto"/>
        </w:rPr>
      </w:pPr>
    </w:p>
    <w:p>
      <w:pPr>
        <w:ind w:left="2080" w:hanging="533"/>
        <w:spacing w:after="0"/>
        <w:tabs>
          <w:tab w:leader="none" w:pos="20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any adverse change in any relevant exchange rates or in the relevant currency markets generally; or</w:t>
      </w:r>
    </w:p>
    <w:p>
      <w:pPr>
        <w:spacing w:after="0" w:line="225" w:lineRule="exact"/>
        <w:rPr>
          <w:rFonts w:ascii="Arial" w:cs="Arial" w:eastAsia="Arial" w:hAnsi="Arial"/>
          <w:sz w:val="18"/>
          <w:szCs w:val="18"/>
          <w:color w:val="auto"/>
        </w:rPr>
      </w:pPr>
    </w:p>
    <w:p>
      <w:pPr>
        <w:ind w:left="660" w:right="220" w:firstLine="887"/>
        <w:spacing w:after="0" w:line="263" w:lineRule="auto"/>
        <w:tabs>
          <w:tab w:leader="none" w:pos="1991"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the Borrower (or Holdings or other Restricted Subsidiary) (other than the defense of payment or performance).</w:t>
      </w:r>
    </w:p>
    <w:p>
      <w:pPr>
        <w:spacing w:after="0" w:line="183" w:lineRule="exact"/>
        <w:rPr>
          <w:rFonts w:ascii="Arial" w:cs="Arial" w:eastAsia="Arial" w:hAnsi="Arial"/>
          <w:sz w:val="18"/>
          <w:szCs w:val="18"/>
          <w:color w:val="auto"/>
        </w:rPr>
      </w:pPr>
    </w:p>
    <w:p>
      <w:pPr>
        <w:ind w:right="100" w:firstLine="656"/>
        <w:spacing w:after="0" w:line="263" w:lineRule="auto"/>
        <w:tabs>
          <w:tab w:leader="none" w:pos="102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Borrower shall not be obligated to reimburse the Letter of Credit Issuer for any wrongful payment made by the Letter of Credit Issuer under the Letter of Credit issued by it as a result of acts or omissions constituting willful misconduct or gross negligence on the part of the Letter of Credit Issuer as determined in the final non-appealable judgment of a court of competent jurisdiction.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341" w:right="339" w:bottom="1440" w:gutter="0" w:footer="0" w:header="0"/>
        </w:sectPr>
      </w:pPr>
    </w:p>
    <w:bookmarkStart w:id="166" w:name="page167"/>
    <w:bookmarkEnd w:id="166"/>
    <w:p>
      <w:pPr>
        <w:ind w:firstLine="648"/>
        <w:spacing w:after="0" w:line="267"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Increased Costs</w:t>
      </w:r>
      <w:r>
        <w:rPr>
          <w:rFonts w:ascii="Arial" w:cs="Arial" w:eastAsia="Arial" w:hAnsi="Arial"/>
          <w:sz w:val="17"/>
          <w:szCs w:val="17"/>
          <w:color w:val="auto"/>
        </w:rPr>
        <w:t>. If after the Restatement Effective Date, the adoption of any applicable law, treaty, rule, or regulation, or any change therein, or any change in the interpretation or administration thereof by any Governmental Authority, central bank or comparable agency charged with the interpretation or administration thereof, or actual compliance by the Letter of Credit Issuer or any L/C Participant with any request or directive made or adopted after the Restatement Effective Date (whether or not having the force of law), by any such authority, central bank or comparable agency shall either (x) impose, modify or make applicable any reserve, deposit, capital adequacy or similar requirement against letters of credit issued by the Letter of Credit Issuer, or any L/C Participant’s L/C Participation therein, or (y) impose on the Letter of Credit Issuer or any L/C Participant any other conditions or costs affecting its obligations under this Agreement in respect of Letters of Credit or L/C Participations therein or any Letter of Credit or such L/C Participant’s L/C Participation therein, and the result of any of the foregoing is to increase the actual cost to the Letter of Credit Issuer or such L/C Participant of issuing, maintaining or participating in any Letter of Credit, or to reduce the actual amount of any sum received or receivable by the Letter of Credit Issuer or such L/C Participant hereunder (including any increased costs or reductions attributable to Taxes, other than any increase or reduction attributable to Indemnified Taxes, Excluded Taxes or Other Taxes) in respect of Letters of Credit or L/C Participations therein, then, promptly after receipt of written demand to the Borrower by the Letter of Credit Issuer or such L/C Participant, as the case may be (a copy of which notice shall be sent by the Letter of Credit Issuer or such L/C Participant to the Administrative Agent (with respect to a Letter of Credit issued on account of the Borrower (or Holdings or other Restricted Subsidiary))), the Borrower shall pay to the Letter of Credit Issuer or such L/C Participant such actual additional amount or amounts as will compensate the Letter of Credit Issuer or such L/C Participant for such increased cost or reduction, it being understood and agreed, however, that the Letter of Credit Issuer or an L/C Participant shall not be entitled to such compensation as a result of such Person’s compliance with, or pursuant to any request or directive to comply with, any such law, rule or regulation as in effect on the Restatement Effective Date. A certificate submitted to the Borrower by the relevant Letter of Credit Issuer or an L/C Participant, as the case may be (a copy of which certificate shall be sent by the Letter of Credit Issuer or such L/C Participant to the Administrative Agent), setting forth in reasonable detail the basis for the determination of such actual additional amount or amounts necessary to compensate the Letter of Credit Issuer or such L/C Participant as aforesaid shall be conclusive and binding on the Borrower absent clearly demonstrable error.</w:t>
      </w:r>
    </w:p>
    <w:p>
      <w:pPr>
        <w:spacing w:after="0" w:line="77"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u w:val="single" w:color="auto"/>
          <w:color w:val="auto"/>
        </w:rPr>
        <w:t>New or Successor Letter of Credit Issuer</w:t>
      </w:r>
      <w:r>
        <w:rPr>
          <w:rFonts w:ascii="Arial" w:cs="Arial" w:eastAsia="Arial" w:hAnsi="Arial"/>
          <w:sz w:val="16"/>
          <w:szCs w:val="16"/>
          <w:color w:val="auto"/>
        </w:rPr>
        <w:t>.</w:t>
      </w:r>
    </w:p>
    <w:p>
      <w:pPr>
        <w:spacing w:after="0" w:line="171" w:lineRule="exact"/>
        <w:rPr>
          <w:sz w:val="20"/>
          <w:szCs w:val="20"/>
          <w:color w:val="auto"/>
        </w:rPr>
      </w:pPr>
    </w:p>
    <w:p>
      <w:pPr>
        <w:ind w:firstLine="656"/>
        <w:spacing w:after="0" w:line="285" w:lineRule="auto"/>
        <w:tabs>
          <w:tab w:leader="none" w:pos="1018"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A Letter of Credit Issuer may resign as the Letter of Credit Issuer upon 60 days’ prior written notice to the Administrative Agent, the Lenders, Holdings, and the Borrower. The Borrower may replace a Letter of Credit Issuer for any reason upon written notice to the Administrative Agent and the Letter of Credit Issuer. The Borrower may add Letter of Credit Issuers at any time upon notice to the Administrative Agent. If the Letter of Credit Issuer shall resign or be replaced, or if the Borrower shall decide to add a new Letter of Credit Issuer under this Agreement, then the Borrower may appoint from among the Lenders a successor issuer of Letters of Credit or a new Letter of Credit Issuer, as the case may be, or, with the consent of the Administrative Agent (such consent not to be unreasonably withheld or delayed), another successor or new issuer of Letters of Credit, whereupon such successor issuer accepting such appointment shall succeed to the rights, powers and duties of the replaced or resigning Letter of Credit Issuer under this Agreement and the other Credit Documents, or such new issuer of Letters of Credit accepting such appointment shall be granted the rights, powers and duties of the Letter of Credit Issuer hereunder, and the term Letter of Credit Issuer shall mean such successor or such new issuer of Letters of Credit effective upon such appointment. At the time such resignation or replacement shall become effective, the Borrower shall pay to the resigning or replaced Letter of Credit Issuer all accrued and unpaid fees applicable to the Letters of Credit pursuant to </w:t>
      </w:r>
      <w:r>
        <w:rPr>
          <w:rFonts w:ascii="Arial" w:cs="Arial" w:eastAsia="Arial" w:hAnsi="Arial"/>
          <w:sz w:val="16"/>
          <w:szCs w:val="16"/>
          <w:u w:val="single" w:color="auto"/>
          <w:color w:val="auto"/>
        </w:rPr>
        <w:t>Sections 4.1(b)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4.1(d)</w:t>
      </w:r>
      <w:r>
        <w:rPr>
          <w:rFonts w:ascii="Arial" w:cs="Arial" w:eastAsia="Arial" w:hAnsi="Arial"/>
          <w:sz w:val="16"/>
          <w:szCs w:val="16"/>
          <w:color w:val="auto"/>
        </w:rPr>
        <w:t xml:space="preserve">. The acceptance of any appointment as the Letter of Credit Issuer hereunder whether as a successor issuer or new issuer of Letters of Credit in accordance with this Agreement, shall be evidenced by an agreement entered into by such new or successor issuer of Letters of Credit, in a form reasonably satisfactory to the Borrower and the Administrative Agent and, from and after the effective date of such agreement, such new or successor issuer of Letters of Credit shall become the Letter of Credit Issuer hereunder. After the resignation or replacement of the Letter of Credit Issuer hereunder, the resigning or replaced Letter of Credit Issuer shall remain a party hereto and shall continue to have all the rights and obligations of the Letter of Credit Issuer under this Agreement and the other Credit Documents with respect to Letters of Credit issued by it prior to such resignation or replacement, but shall not be required to issue additional Letters of Credit. In connection with any resignation or replacement pursuant to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(but, in case of any such resignation, only to the extent that a</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320" w:top="341" w:right="359" w:bottom="1440" w:gutter="0" w:footer="0" w:header="0"/>
        </w:sectPr>
      </w:pPr>
    </w:p>
    <w:bookmarkStart w:id="167" w:name="page168"/>
    <w:bookmarkEnd w:id="167"/>
    <w:p>
      <w:pPr>
        <w:ind w:right="20"/>
        <w:spacing w:after="0" w:line="269" w:lineRule="auto"/>
        <w:rPr>
          <w:sz w:val="20"/>
          <w:szCs w:val="20"/>
          <w:color w:val="auto"/>
        </w:rPr>
      </w:pPr>
      <w:r>
        <w:rPr>
          <w:rFonts w:ascii="Arial" w:cs="Arial" w:eastAsia="Arial" w:hAnsi="Arial"/>
          <w:sz w:val="17"/>
          <w:szCs w:val="17"/>
          <w:color w:val="auto"/>
        </w:rPr>
        <w:t>successor issuer of Letters of Credit shall have been appointed), either (i) the Borrower, the resigning or replaced Letter of Credit Issuer and the successor issuer of Letters of Credit shall arrange to have any outstanding Letters of Credit issued by the resigning or replaced Letter of Credit Issuer replaced with Letters of Credit issued by the successor issuer of Letters of Credit or (ii) the Borrower shall cause the successor issuer of Letters of Credit, if such successor issuer is reasonably satisfactory to the replaced or resigning Letter of Credit Issuer, to issue “back-stop” Letters of Credit naming the resigning or replaced Letter of Credit Issuer as beneficiary for each outstanding Letter of Credit issued by the resigning or replaced Letter of Credit Issuer, which new Letters of Credit shall be denominated in the same currency as, and shall have a face amount equal to, the Letters of Credit being back-stopped and the sole requirement for drawing on such new Letters of Credit shall be a drawing on the corresponding back-stopped Letters of Credit. After any resigning or replaced Letter of Credit Issuer’s resignation or replacement as Letter of Credit Issuer, the provisions of this Agreement relating to the Letter of Credit Issuer shall inure to its benefit as to any actions taken or omitted to be taken by it (A) while it was the Letter of Credit Issuer under this Agreement or (B) at any time with respect to Letters of Credit issued by such Letter of Credit Issuer.</w:t>
      </w:r>
    </w:p>
    <w:p>
      <w:pPr>
        <w:spacing w:after="0" w:line="131" w:lineRule="exact"/>
        <w:rPr>
          <w:sz w:val="20"/>
          <w:szCs w:val="20"/>
          <w:color w:val="auto"/>
        </w:rPr>
      </w:pPr>
    </w:p>
    <w:p>
      <w:pPr>
        <w:ind w:right="60" w:firstLine="656"/>
        <w:spacing w:after="0" w:line="257" w:lineRule="auto"/>
        <w:tabs>
          <w:tab w:leader="none" w:pos="1034"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To the extent there are, at the time of any resignation or replacement as set forth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any outstanding Letters of Credit, nothing herein shall be deemed to impact or impair any rights and obligations of any of the parties hereto with respect to such outstanding Letters of Credit (including, without limitation, any obligations related to the payment of Fees or the reimbursement or funding of amounts drawn), except that the Borrower, the resigning or replaced Letter of Credit Issuer and the successor issuer of Letters of Credit shall have the obligations regarding outstanding Letters of Credit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w:t>
      </w:r>
    </w:p>
    <w:p>
      <w:pPr>
        <w:spacing w:after="0" w:line="188"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Role of Letter of Credit Issuer</w:t>
      </w:r>
      <w:r>
        <w:rPr>
          <w:rFonts w:ascii="Arial" w:cs="Arial" w:eastAsia="Arial" w:hAnsi="Arial"/>
          <w:sz w:val="17"/>
          <w:szCs w:val="17"/>
          <w:color w:val="auto"/>
        </w:rPr>
        <w:t xml:space="preserve">. Each Lender and the Borrower agree that, in paying any drawing under a Letter of Credit, the Letter of Credit Issuer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Letter of Credit Issuer, the Administrative Agent, any of their respective Affiliates nor any correspondent, participant or assignee of the Letter of Credit Issuer shall be liable to any Lender for (i) any action taken or omitted in connection herewith at the request or with the approval of the Required Revolving Credit Lenders; (ii) any action taken or omitted in the absence of gross negligence or willful misconduct as determined in the final non-appealable judgment of a court of competent jurisdiction;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assumption is not intended to, and shall not, preclude the Borrower’s pursuit of such rights and remedies as they may have against the beneficiary or transferee at law or under any other agreement. None of the Letter of Credit Issuer, the Administrative Agent, any of their respective Affiliates nor any correspondent, participant or assignee of the Letter of Credit Issuer shall be liable or responsible for any of the matters described in </w:t>
      </w:r>
      <w:r>
        <w:rPr>
          <w:rFonts w:ascii="Arial" w:cs="Arial" w:eastAsia="Arial" w:hAnsi="Arial"/>
          <w:sz w:val="17"/>
          <w:szCs w:val="17"/>
          <w:u w:val="single" w:color="auto"/>
          <w:color w:val="auto"/>
        </w:rPr>
        <w:t>Section 3.3(b)</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anything in such Section to the contrary notwithstanding, the Borrower may have a claim against the Letter of Credit Issuer, and the Letter of Credit Issuer may be liable to the Borrower, to the extent, but only to the extent, of any direct, as opposed to consequential or exemplary, damages suffered by the Borrower which the Borrower proves were caused by the Letter of Credit Issuer’s willful misconduct or gross negligence or the Letter of Credit Issuer’s willful failure to pay under any Letter of Credit after the presentation to it by the beneficiary of a sight draft and certificate(s) strictly complying with the terms and conditions of a Letter of Credit in each case as determined in the final non-appealable judgment of a court of competent jurisdiction. In furtherance and not in limitation of the foregoing, the Letter of Credit Issuer may accept documents that appear on their face to be in order, without responsibility for further investigation, regardless of any notice or information to the contrary, and the Letter of Credit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Letter of Credit Issuer may send a Letter of Credit or conduct any communication to or from the beneficiary via the Society for Worldwide Interbank Financial Telecommunication (“</w:t>
      </w:r>
      <w:r>
        <w:rPr>
          <w:rFonts w:ascii="Arial" w:cs="Arial" w:eastAsia="Arial" w:hAnsi="Arial"/>
          <w:sz w:val="18"/>
          <w:szCs w:val="18"/>
          <w:b w:val="1"/>
          <w:bCs w:val="1"/>
          <w:color w:val="auto"/>
        </w:rPr>
        <w:t>SWIFT</w:t>
      </w:r>
      <w:r>
        <w:rPr>
          <w:rFonts w:ascii="Arial" w:cs="Arial" w:eastAsia="Arial" w:hAnsi="Arial"/>
          <w:sz w:val="18"/>
          <w:szCs w:val="18"/>
          <w:color w:val="auto"/>
        </w:rPr>
        <w:t>”) message or overnight courier, or any other commercially reasonable means of communicating with a beneficiary.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341" w:right="339" w:bottom="1440" w:gutter="0" w:footer="0" w:header="0"/>
        </w:sectPr>
      </w:pPr>
    </w:p>
    <w:bookmarkStart w:id="168" w:name="page169"/>
    <w:bookmarkEnd w:id="168"/>
    <w:p>
      <w:pPr>
        <w:ind w:left="660"/>
        <w:spacing w:after="0"/>
        <w:tabs>
          <w:tab w:leader="none" w:pos="104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u w:val="single" w:color="auto"/>
          <w:color w:val="auto"/>
        </w:rPr>
        <w:t>Cash Collateral</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91" w:lineRule="auto"/>
        <w:tabs>
          <w:tab w:leader="none" w:pos="1027"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Certain Credit Support Events</w:t>
      </w:r>
      <w:r>
        <w:rPr>
          <w:rFonts w:ascii="Arial" w:cs="Arial" w:eastAsia="Arial" w:hAnsi="Arial"/>
          <w:sz w:val="16"/>
          <w:szCs w:val="16"/>
          <w:color w:val="auto"/>
        </w:rPr>
        <w:t xml:space="preserve">. Upon the written request of the Administrative Agent or the Letter of Credit Issuer, if (i) as of the L/C Facility Maturity Date, any L/C Obligation for any reason remains outstanding, (ii) the Borrower shall be required to provide Cash Collateral pursuant to </w:t>
      </w:r>
      <w:r>
        <w:rPr>
          <w:rFonts w:ascii="Arial" w:cs="Arial" w:eastAsia="Arial" w:hAnsi="Arial"/>
          <w:sz w:val="16"/>
          <w:szCs w:val="16"/>
          <w:u w:val="single" w:color="auto"/>
          <w:color w:val="auto"/>
        </w:rPr>
        <w:t>Section</w:t>
      </w:r>
    </w:p>
    <w:p>
      <w:pPr>
        <w:ind w:right="20"/>
        <w:spacing w:after="0" w:line="253" w:lineRule="auto"/>
        <w:rPr>
          <w:rFonts w:ascii="Arial" w:cs="Arial" w:eastAsia="Arial" w:hAnsi="Arial"/>
          <w:sz w:val="16"/>
          <w:szCs w:val="16"/>
          <w:color w:val="auto"/>
        </w:rPr>
      </w:pPr>
      <w:r>
        <w:rPr>
          <w:rFonts w:ascii="Arial" w:cs="Arial" w:eastAsia="Arial" w:hAnsi="Arial"/>
          <w:sz w:val="18"/>
          <w:szCs w:val="18"/>
          <w:u w:val="single" w:color="auto"/>
          <w:color w:val="auto"/>
        </w:rPr>
        <w:t>11.13</w:t>
      </w:r>
      <w:r>
        <w:rPr>
          <w:rFonts w:ascii="Arial" w:cs="Arial" w:eastAsia="Arial" w:hAnsi="Arial"/>
          <w:sz w:val="18"/>
          <w:szCs w:val="18"/>
          <w:color w:val="auto"/>
        </w:rPr>
        <w:t xml:space="preserve">, or (iii) the provisions of </w:t>
      </w:r>
      <w:r>
        <w:rPr>
          <w:rFonts w:ascii="Arial" w:cs="Arial" w:eastAsia="Arial" w:hAnsi="Arial"/>
          <w:sz w:val="18"/>
          <w:szCs w:val="18"/>
          <w:u w:val="single" w:color="auto"/>
          <w:color w:val="auto"/>
        </w:rPr>
        <w:t>Section 2.16(a)(v)</w:t>
      </w:r>
      <w:r>
        <w:rPr>
          <w:rFonts w:ascii="Arial" w:cs="Arial" w:eastAsia="Arial" w:hAnsi="Arial"/>
          <w:sz w:val="18"/>
          <w:szCs w:val="18"/>
          <w:color w:val="auto"/>
        </w:rPr>
        <w:t xml:space="preserve"> are in effect, the Borrower shall immediately (in the case of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above) or within one Business Day (in all other cases) following any written request by the Administrative Agent or the Letter of Credit Issuer, provide Cash Collateral in an amount not less than the applicable Minimum Collateral Amount (determined in the case of Cash Collateral provided pursuant to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above, after giving effect to </w:t>
      </w:r>
      <w:r>
        <w:rPr>
          <w:rFonts w:ascii="Arial" w:cs="Arial" w:eastAsia="Arial" w:hAnsi="Arial"/>
          <w:sz w:val="18"/>
          <w:szCs w:val="18"/>
          <w:u w:val="single" w:color="auto"/>
          <w:color w:val="auto"/>
        </w:rPr>
        <w:t>Section 2.16(a)(iv)</w:t>
      </w:r>
      <w:r>
        <w:rPr>
          <w:rFonts w:ascii="Arial" w:cs="Arial" w:eastAsia="Arial" w:hAnsi="Arial"/>
          <w:sz w:val="18"/>
          <w:szCs w:val="18"/>
          <w:color w:val="auto"/>
        </w:rPr>
        <w:t xml:space="preserve"> and any Cash Collateral provided by the Defaulting Lender).</w:t>
      </w:r>
    </w:p>
    <w:p>
      <w:pPr>
        <w:spacing w:after="0" w:line="192" w:lineRule="exact"/>
        <w:rPr>
          <w:rFonts w:ascii="Arial" w:cs="Arial" w:eastAsia="Arial" w:hAnsi="Arial"/>
          <w:sz w:val="16"/>
          <w:szCs w:val="16"/>
          <w:color w:val="auto"/>
        </w:rPr>
      </w:pPr>
    </w:p>
    <w:p>
      <w:pPr>
        <w:ind w:firstLine="656"/>
        <w:spacing w:after="0" w:line="269" w:lineRule="auto"/>
        <w:tabs>
          <w:tab w:leader="none" w:pos="1038"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Grant of Security Interest</w:t>
      </w:r>
      <w:r>
        <w:rPr>
          <w:rFonts w:ascii="Arial" w:cs="Arial" w:eastAsia="Arial" w:hAnsi="Arial"/>
          <w:sz w:val="17"/>
          <w:szCs w:val="17"/>
          <w:color w:val="auto"/>
        </w:rPr>
        <w:t xml:space="preserve">. The Borrower, and to the extent provided by any Defaulting Lender, such Defaulting Lender, hereby grant to (and subject to the control of) the Administrative Agent, for the benefit of the Administrative Agent, the Letter of Credit Issuer and the Lenders, and agree to maintain, a first priority security interest in all such cash, deposit accounts and all balances therein as described in </w:t>
      </w:r>
      <w:r>
        <w:rPr>
          <w:rFonts w:ascii="Arial" w:cs="Arial" w:eastAsia="Arial" w:hAnsi="Arial"/>
          <w:sz w:val="17"/>
          <w:szCs w:val="17"/>
          <w:u w:val="single" w:color="auto"/>
          <w:color w:val="auto"/>
        </w:rPr>
        <w:t>Section 3.8(a)</w:t>
      </w:r>
      <w:r>
        <w:rPr>
          <w:rFonts w:ascii="Arial" w:cs="Arial" w:eastAsia="Arial" w:hAnsi="Arial"/>
          <w:sz w:val="17"/>
          <w:szCs w:val="17"/>
          <w:color w:val="auto"/>
        </w:rPr>
        <w:t xml:space="preserve">, and all other property so provided as collateral pursuant hereto, and in all proceeds of the foregoing, all as security for the obligations to which such Cash Collateral may be applied pursuant to </w:t>
      </w:r>
      <w:r>
        <w:rPr>
          <w:rFonts w:ascii="Arial" w:cs="Arial" w:eastAsia="Arial" w:hAnsi="Arial"/>
          <w:sz w:val="17"/>
          <w:szCs w:val="17"/>
          <w:u w:val="single" w:color="auto"/>
          <w:color w:val="auto"/>
        </w:rPr>
        <w:t>Section 3.8(c)</w:t>
      </w:r>
      <w:r>
        <w:rPr>
          <w:rFonts w:ascii="Arial" w:cs="Arial" w:eastAsia="Arial" w:hAnsi="Arial"/>
          <w:sz w:val="17"/>
          <w:szCs w:val="17"/>
          <w:color w:val="auto"/>
        </w:rPr>
        <w:t>. If at any time the Administrative Agent determines that Cash Collateral is subject to any right or claim of any Person other than the Administrative Agent or the Letter of Credit Issuer as herein provided, other than Permitted Liens, or that the total amount of such Cash Collateral is less than the Minimum Collateral Amount (including, without limitation, as a result of exchange rate fluctuations), the Borrower will, promptly upon written demand by the Administrative Agent, pay or provide to the Administrative Agent additional Cash Collateral in an amount sufficient to eliminate such deficiency. Cash Collateral shall be maintained in blocked, interest bearing deposit accounts with the Administrative Agent. The Borrower shall pay on demand therefor from time to time all customary account opening, activity and other administrative fees and charges in connection with the maintenance and disbursement of Cash Collateral.</w:t>
      </w:r>
    </w:p>
    <w:p>
      <w:pPr>
        <w:spacing w:after="0" w:line="181" w:lineRule="exact"/>
        <w:rPr>
          <w:rFonts w:ascii="Arial" w:cs="Arial" w:eastAsia="Arial" w:hAnsi="Arial"/>
          <w:sz w:val="17"/>
          <w:szCs w:val="17"/>
          <w:color w:val="auto"/>
        </w:rPr>
      </w:pPr>
    </w:p>
    <w:p>
      <w:pPr>
        <w:ind w:right="20" w:firstLine="656"/>
        <w:spacing w:after="0" w:line="301" w:lineRule="auto"/>
        <w:tabs>
          <w:tab w:leader="none" w:pos="1027"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Application</w:t>
      </w:r>
      <w:r>
        <w:rPr>
          <w:rFonts w:ascii="Arial" w:cs="Arial" w:eastAsia="Arial" w:hAnsi="Arial"/>
          <w:sz w:val="16"/>
          <w:szCs w:val="16"/>
          <w:color w:val="auto"/>
        </w:rPr>
        <w:t xml:space="preserve">. Notwithstanding anything to the contrary contained in this Agreement, Cash Collateral provided under any of this </w:t>
      </w:r>
      <w:r>
        <w:rPr>
          <w:rFonts w:ascii="Arial" w:cs="Arial" w:eastAsia="Arial" w:hAnsi="Arial"/>
          <w:sz w:val="16"/>
          <w:szCs w:val="16"/>
          <w:u w:val="single" w:color="auto"/>
          <w:color w:val="auto"/>
        </w:rPr>
        <w:t>Section 3.8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Sections 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5.2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11.13</w:t>
      </w:r>
      <w:r>
        <w:rPr>
          <w:rFonts w:ascii="Arial" w:cs="Arial" w:eastAsia="Arial" w:hAnsi="Arial"/>
          <w:sz w:val="16"/>
          <w:szCs w:val="16"/>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57" w:lineRule="exact"/>
        <w:rPr>
          <w:rFonts w:ascii="Arial" w:cs="Arial" w:eastAsia="Arial" w:hAnsi="Arial"/>
          <w:sz w:val="16"/>
          <w:szCs w:val="16"/>
          <w:color w:val="auto"/>
        </w:rPr>
      </w:pPr>
    </w:p>
    <w:p>
      <w:pPr>
        <w:ind w:right="180" w:firstLine="656"/>
        <w:spacing w:after="0" w:line="301" w:lineRule="auto"/>
        <w:tabs>
          <w:tab w:leader="none" w:pos="1038"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6"/>
          <w:szCs w:val="16"/>
          <w:u w:val="single" w:color="auto"/>
          <w:color w:val="auto"/>
        </w:rPr>
        <w:t>Section 13.6(b)(ii)</w:t>
      </w:r>
      <w:r>
        <w:rPr>
          <w:rFonts w:ascii="Arial" w:cs="Arial" w:eastAsia="Arial" w:hAnsi="Arial"/>
          <w:sz w:val="16"/>
          <w:szCs w:val="16"/>
          <w:color w:val="auto"/>
        </w:rPr>
        <w:t>) or there is no longer existing an Event of Default) or (ii) the determination by the Administrative Agent and the Letter of Credit Issuer that there exists excess Cash Collateral.</w:t>
      </w:r>
    </w:p>
    <w:p>
      <w:pPr>
        <w:spacing w:after="0" w:line="15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Applicability of ISP</w:t>
      </w:r>
      <w:r>
        <w:rPr>
          <w:rFonts w:ascii="Arial" w:cs="Arial" w:eastAsia="Arial" w:hAnsi="Arial"/>
          <w:sz w:val="17"/>
          <w:szCs w:val="17"/>
          <w:color w:val="auto"/>
        </w:rPr>
        <w:t>. Unless otherwise expressly agreed by the Letter of Credit Issuer and the applicable Borrower when a Letter of Credit is issued (including any such agreement applicable to an Existing Letter of Credit), the rules of the ISP shall apply to each standby Letter of Credit. Notwithstanding the foregoing, the Letter of Credit Issuer shall not be responsible to the Borrower for, and the Letter of Credit Issuer’s rights and remedies against the Borrower shall not be impaired by, any action or inaction of the Letter of Credit Issuer required or permitted under any law, order, or practice that is required or permitted to be applied to any Letter of Credit or this Agreement, including the applicable law or any order of a jurisdiction where the Letter of Credit Issuer or the beneficiary is located, the practice stated in the ISP,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341" w:right="339" w:bottom="1440" w:gutter="0" w:footer="0" w:header="0"/>
        </w:sectPr>
      </w:pPr>
    </w:p>
    <w:bookmarkStart w:id="169" w:name="page170"/>
    <w:bookmarkEnd w:id="169"/>
    <w:p>
      <w:pPr>
        <w:ind w:firstLine="648"/>
        <w:spacing w:after="0" w:line="277"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Conflict with Issuer Documents</w:t>
      </w:r>
      <w:r>
        <w:rPr>
          <w:rFonts w:ascii="Arial" w:cs="Arial" w:eastAsia="Arial" w:hAnsi="Arial"/>
          <w:sz w:val="18"/>
          <w:szCs w:val="18"/>
          <w:color w:val="auto"/>
        </w:rPr>
        <w:t>. In the event of any conflict between the terms hereof and the terms of any Issuer Document, the terms hereof shall control and any grant of security interest in any Issuer Documents shall be void.</w:t>
      </w:r>
    </w:p>
    <w:p>
      <w:pPr>
        <w:spacing w:after="0" w:line="11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Letters of Credit Issued for Restricted Subsidiaries</w:t>
      </w:r>
      <w:r>
        <w:rPr>
          <w:rFonts w:ascii="Arial" w:cs="Arial" w:eastAsia="Arial" w:hAnsi="Arial"/>
          <w:sz w:val="18"/>
          <w:szCs w:val="18"/>
          <w:color w:val="auto"/>
        </w:rPr>
        <w:t>. Notwithstanding that a Letter of Credit issued or outstanding hereunder is in support of any obligations of, or is for the account of, Holdings or a Restricted Subsidiary, the Borrower shall be obligated to reimburse the Letter of Credit Issuer hereunder for any and all drawings under such Letter of Credit. The Borrower hereby acknowledges that the issuance of Letters of Credit for the account of Holdings or any other Restricted Subsidiaries inures to the benefit of the Borrower and that the Borrower’s business derives substantial benefits from the businesses of Holdings and the other Restricted Subsidiaries.</w:t>
      </w:r>
    </w:p>
    <w:p>
      <w:pPr>
        <w:spacing w:after="0" w:line="13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Provisions Related to Extended Revolving Credit Commitments</w:t>
      </w:r>
      <w:r>
        <w:rPr>
          <w:rFonts w:ascii="Arial" w:cs="Arial" w:eastAsia="Arial" w:hAnsi="Arial"/>
          <w:sz w:val="17"/>
          <w:szCs w:val="17"/>
          <w:color w:val="auto"/>
        </w:rPr>
        <w:t xml:space="preserve">. If the Letter of Credit Expiration Date in respect of any tranche of Revolving Credit Commitments occurs prior to the expiry date of any Letter of Credit, then (i) if consented to by the Letter of Credit Issuer which issued such Letter of Credit, if one or more other tranches of Revolving Credit Commitments in respect of which the Letter of Credit Expiration Date shall not have so occurred are then in effect, such Letters of Credit for which consent has been obtained shall automatically be deemed to have been issued (including for purposes of the obligations of the Revolving Credit Lenders to purchase participations therein and to make Revolving Credit Loans and payments in respect thereof pursuant to </w:t>
      </w:r>
      <w:r>
        <w:rPr>
          <w:rFonts w:ascii="Arial" w:cs="Arial" w:eastAsia="Arial" w:hAnsi="Arial"/>
          <w:sz w:val="17"/>
          <w:szCs w:val="17"/>
          <w:u w:val="single" w:color="auto"/>
          <w:color w:val="auto"/>
        </w:rPr>
        <w:t>Sections 3.3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3.4</w:t>
      </w:r>
      <w:r>
        <w:rPr>
          <w:rFonts w:ascii="Arial" w:cs="Arial" w:eastAsia="Arial" w:hAnsi="Arial"/>
          <w:sz w:val="17"/>
          <w:szCs w:val="17"/>
          <w:color w:val="auto"/>
        </w:rPr>
        <w:t xml:space="preserve">) under (and ratably participated in by Lenders pursuant to) the Revolving Credit Commitments in respect of such non-terminating tranches up to an aggregate amount not to exceed the aggregate amount of the unutilized Revolving Credit Commitments thereunder at such time (it being understood that no partial face amount of any Letter of Credit may be so reallocated) and (ii) to the extent not reallocated pursuant to immediately preceding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the Borrower shall Cash Collateralize any such Letter of Credit in accordance with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3.8</w:t>
      </w:r>
      <w:r>
        <w:rPr>
          <w:rFonts w:ascii="Arial" w:cs="Arial" w:eastAsia="Arial" w:hAnsi="Arial"/>
          <w:sz w:val="17"/>
          <w:szCs w:val="17"/>
          <w:color w:val="auto"/>
        </w:rPr>
        <w:t>. Upon the maturity date of any tranche of Revolving Credit Commitments, the sublimit for Letters of Credit may be reduced as agreed between the Letter of Credit Issuer and the Borrower, without the consent of any other Person.</w:t>
      </w:r>
    </w:p>
    <w:p>
      <w:pPr>
        <w:spacing w:after="0" w:line="12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5"/>
          <w:szCs w:val="15"/>
          <w:u w:val="single" w:color="auto"/>
          <w:color w:val="auto"/>
        </w:rPr>
        <w:t>Fees</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25" w:lineRule="exact"/>
        <w:rPr>
          <w:sz w:val="20"/>
          <w:szCs w:val="20"/>
          <w:color w:val="auto"/>
        </w:rPr>
      </w:pPr>
    </w:p>
    <w:p>
      <w:pPr>
        <w:ind w:right="80" w:firstLine="656"/>
        <w:spacing w:after="0" w:line="273" w:lineRule="auto"/>
        <w:tabs>
          <w:tab w:leader="none" w:pos="1024" w:val="left"/>
        </w:tabs>
        <w:numPr>
          <w:ilvl w:val="0"/>
          <w:numId w:val="135"/>
        </w:numPr>
        <w:rPr>
          <w:rFonts w:ascii="Arial" w:cs="Arial" w:eastAsia="Arial" w:hAnsi="Arial"/>
          <w:sz w:val="17"/>
          <w:szCs w:val="17"/>
          <w:color w:val="auto"/>
        </w:rPr>
      </w:pPr>
      <w:r>
        <w:rPr>
          <w:rFonts w:ascii="Arial" w:cs="Arial" w:eastAsia="Arial" w:hAnsi="Arial"/>
          <w:sz w:val="17"/>
          <w:szCs w:val="17"/>
          <w:color w:val="auto"/>
        </w:rPr>
        <w:t>Without duplication, the Borrower agrees to pay to the Administrative Agent in Dollars, for the account of each Revolving Credit Lender (in each case pro rata according to the respective Revolving Credit Commitments of all such Lenders), a commitment fee (the “</w:t>
      </w:r>
      <w:r>
        <w:rPr>
          <w:rFonts w:ascii="Arial" w:cs="Arial" w:eastAsia="Arial" w:hAnsi="Arial"/>
          <w:sz w:val="17"/>
          <w:szCs w:val="17"/>
          <w:b w:val="1"/>
          <w:bCs w:val="1"/>
          <w:color w:val="auto"/>
        </w:rPr>
        <w:t>Commitment Fee</w:t>
      </w:r>
      <w:r>
        <w:rPr>
          <w:rFonts w:ascii="Arial" w:cs="Arial" w:eastAsia="Arial" w:hAnsi="Arial"/>
          <w:sz w:val="17"/>
          <w:szCs w:val="17"/>
          <w:color w:val="auto"/>
        </w:rPr>
        <w:t xml:space="preserve">”) for each day from the Restatement Effective Date to the Revolving Credit Termination Date. Each Commitment Fee shall be payable (x) quarterly in arrears on the last Business Day of March, June, September and December and (y) on the Revolving Credit Termination Date (for the period ended on such date for which no payment has been received pursuant to </w:t>
      </w:r>
      <w:r>
        <w:rPr>
          <w:rFonts w:ascii="Arial" w:cs="Arial" w:eastAsia="Arial" w:hAnsi="Arial"/>
          <w:sz w:val="17"/>
          <w:szCs w:val="17"/>
          <w:u w:val="single" w:color="auto"/>
          <w:color w:val="auto"/>
        </w:rPr>
        <w:t>clause (x)</w:t>
      </w:r>
      <w:r>
        <w:rPr>
          <w:rFonts w:ascii="Arial" w:cs="Arial" w:eastAsia="Arial" w:hAnsi="Arial"/>
          <w:sz w:val="17"/>
          <w:szCs w:val="17"/>
          <w:color w:val="auto"/>
        </w:rPr>
        <w:t xml:space="preserve"> above), and shall be computed for each day during such period at a rate per annum equal to the Commitment Fee Rate in effect on such day on the Available Commitment in effect on such day.</w:t>
      </w:r>
    </w:p>
    <w:p>
      <w:pPr>
        <w:spacing w:after="0" w:line="123" w:lineRule="exact"/>
        <w:rPr>
          <w:rFonts w:ascii="Arial" w:cs="Arial" w:eastAsia="Arial" w:hAnsi="Arial"/>
          <w:sz w:val="17"/>
          <w:szCs w:val="17"/>
          <w:color w:val="auto"/>
        </w:rPr>
      </w:pPr>
    </w:p>
    <w:p>
      <w:pPr>
        <w:ind w:firstLine="656"/>
        <w:spacing w:after="0" w:line="293" w:lineRule="auto"/>
        <w:tabs>
          <w:tab w:leader="none" w:pos="1034" w:val="left"/>
        </w:tabs>
        <w:numPr>
          <w:ilvl w:val="0"/>
          <w:numId w:val="135"/>
        </w:numPr>
        <w:rPr>
          <w:rFonts w:ascii="Arial" w:cs="Arial" w:eastAsia="Arial" w:hAnsi="Arial"/>
          <w:sz w:val="16"/>
          <w:szCs w:val="16"/>
          <w:color w:val="auto"/>
        </w:rPr>
      </w:pPr>
      <w:r>
        <w:rPr>
          <w:rFonts w:ascii="Arial" w:cs="Arial" w:eastAsia="Arial" w:hAnsi="Arial"/>
          <w:sz w:val="16"/>
          <w:szCs w:val="16"/>
          <w:color w:val="auto"/>
        </w:rPr>
        <w:t>Without duplication, the Borrower agrees to pay to the Administrative Agent in Dollars for the account of the Revolving Credit Lenders pro rata on the basis of their respective Letter of Credit Exposure, a fee in respect of each Letter of Credit issued on the Borrower’s or any of the other Restricted Subsidiaries’ behalf (the “</w:t>
      </w:r>
      <w:r>
        <w:rPr>
          <w:rFonts w:ascii="Arial" w:cs="Arial" w:eastAsia="Arial" w:hAnsi="Arial"/>
          <w:sz w:val="16"/>
          <w:szCs w:val="16"/>
          <w:b w:val="1"/>
          <w:bCs w:val="1"/>
          <w:color w:val="auto"/>
        </w:rPr>
        <w:t>Letter of Credit Fee</w:t>
      </w:r>
      <w:r>
        <w:rPr>
          <w:rFonts w:ascii="Arial" w:cs="Arial" w:eastAsia="Arial" w:hAnsi="Arial"/>
          <w:sz w:val="16"/>
          <w:szCs w:val="16"/>
          <w:color w:val="auto"/>
        </w:rPr>
        <w:t xml:space="preserve">”), for the period from the date of issuance of such Letter of Credit to the termination date of such Letter of Credit computed at the per annum rate for each day equal to the Applicable Margin </w:t>
      </w:r>
      <w:r>
        <w:rPr>
          <w:rFonts w:ascii="Arial" w:cs="Arial" w:eastAsia="Arial" w:hAnsi="Arial"/>
          <w:sz w:val="16"/>
          <w:szCs w:val="16"/>
          <w:color w:val="FF0000"/>
          <w:strike w:val="1"/>
        </w:rPr>
        <w:t>for Commitment Fee Rate</w:t>
      </w:r>
      <w:r>
        <w:rPr>
          <w:rFonts w:ascii="Arial" w:cs="Arial" w:eastAsia="Arial" w:hAnsi="Arial"/>
          <w:sz w:val="16"/>
          <w:szCs w:val="16"/>
          <w:color w:val="auto"/>
        </w:rPr>
        <w:t>. Except as provided below, such Letter of Credit Fees shall be due and payable (x) quarterly in arrears on the last Business Day of March, June, September and December and (y) on the date upon which the Total Revolving Credit Commitment terminates and the Letters of Credit Outstanding shall have been reduced to zero.</w:t>
      </w:r>
    </w:p>
    <w:p>
      <w:pPr>
        <w:spacing w:after="0" w:line="110" w:lineRule="exact"/>
        <w:rPr>
          <w:rFonts w:ascii="Arial" w:cs="Arial" w:eastAsia="Arial" w:hAnsi="Arial"/>
          <w:sz w:val="16"/>
          <w:szCs w:val="16"/>
          <w:color w:val="auto"/>
        </w:rPr>
      </w:pPr>
    </w:p>
    <w:p>
      <w:pPr>
        <w:ind w:right="360" w:firstLine="656"/>
        <w:spacing w:after="0" w:line="277" w:lineRule="auto"/>
        <w:tabs>
          <w:tab w:leader="none" w:pos="102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Without duplication, the Borrower agrees to pay to the Administrative Agent in Dollars, for its own account, administrative agent fees as have been previously agreed in writing or as may be agreed in writing from time to time.</w:t>
      </w:r>
    </w:p>
    <w:p>
      <w:pPr>
        <w:spacing w:after="0" w:line="116" w:lineRule="exact"/>
        <w:rPr>
          <w:rFonts w:ascii="Arial" w:cs="Arial" w:eastAsia="Arial" w:hAnsi="Arial"/>
          <w:sz w:val="18"/>
          <w:szCs w:val="18"/>
          <w:color w:val="auto"/>
        </w:rPr>
      </w:pPr>
    </w:p>
    <w:p>
      <w:pPr>
        <w:ind w:right="140" w:firstLine="656"/>
        <w:spacing w:after="0" w:line="277" w:lineRule="auto"/>
        <w:tabs>
          <w:tab w:leader="none" w:pos="103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Without duplication, the Borrower agrees to pay to the Letter of Credit Issuer a fee in Dollars in respect of each Letter of Credit issued by it to the Borrower (the “</w:t>
      </w:r>
      <w:r>
        <w:rPr>
          <w:rFonts w:ascii="Arial" w:cs="Arial" w:eastAsia="Arial" w:hAnsi="Arial"/>
          <w:sz w:val="18"/>
          <w:szCs w:val="18"/>
          <w:b w:val="1"/>
          <w:bCs w:val="1"/>
          <w:color w:val="auto"/>
        </w:rPr>
        <w:t>Fronting Fee</w:t>
      </w:r>
      <w:r>
        <w:rPr>
          <w:rFonts w:ascii="Arial" w:cs="Arial" w:eastAsia="Arial" w:hAnsi="Arial"/>
          <w:sz w:val="18"/>
          <w:szCs w:val="18"/>
          <w:color w:val="auto"/>
        </w:rPr>
        <w:t>”), for the period from the date of</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341" w:right="339" w:bottom="1440" w:gutter="0" w:footer="0" w:header="0"/>
        </w:sectPr>
      </w:pPr>
    </w:p>
    <w:bookmarkStart w:id="170" w:name="page171"/>
    <w:bookmarkEnd w:id="170"/>
    <w:p>
      <w:pPr>
        <w:spacing w:after="0" w:line="301" w:lineRule="auto"/>
        <w:rPr>
          <w:sz w:val="20"/>
          <w:szCs w:val="20"/>
          <w:color w:val="auto"/>
        </w:rPr>
      </w:pPr>
      <w:r>
        <w:rPr>
          <w:rFonts w:ascii="Arial" w:cs="Arial" w:eastAsia="Arial" w:hAnsi="Arial"/>
          <w:sz w:val="16"/>
          <w:szCs w:val="16"/>
          <w:color w:val="auto"/>
        </w:rPr>
        <w:t>issuance of such Letter of Credit to the termination date of such Letter of Credit, computed at the rate for each day equal to 0.125% per annum on the actual daily Stated Amount of such Letter of Credit (or at such other rate per annum as agreed in writing between the Borrower and the Letter of Credit Issuer). Such Fronting Fees shall be due and payable (x) quarterly in arrears on the last Business Day of March, June, September and December and (y) on the date upon which the Total Revolving Credit Commitment terminates and the Letters of Credit Outstanding shall have been reduced to zero.</w:t>
      </w:r>
    </w:p>
    <w:p>
      <w:pPr>
        <w:spacing w:after="0" w:line="157" w:lineRule="exact"/>
        <w:rPr>
          <w:sz w:val="20"/>
          <w:szCs w:val="20"/>
          <w:color w:val="auto"/>
        </w:rPr>
      </w:pPr>
    </w:p>
    <w:p>
      <w:pPr>
        <w:ind w:right="180" w:firstLine="656"/>
        <w:spacing w:after="0" w:line="259" w:lineRule="auto"/>
        <w:tabs>
          <w:tab w:leader="none" w:pos="102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Without duplication, the Borrower agrees to pay directly to the Letter of Credit Issuer in Dollars upon each issuance or renewal of, drawing under, and/or amendment of, a Letter of Credit issued by it such amount as shall at the time of such issuance or renewal of, drawing under, and/or amendment be the processing charge that the Letter of Credit Issuer is customarily charging for issuances or renewals of, drawings under or amendments of, letters of credit issued by it.</w:t>
      </w:r>
    </w:p>
    <w:p>
      <w:pPr>
        <w:spacing w:after="0" w:line="186" w:lineRule="exact"/>
        <w:rPr>
          <w:rFonts w:ascii="Arial" w:cs="Arial" w:eastAsia="Arial" w:hAnsi="Arial"/>
          <w:sz w:val="18"/>
          <w:szCs w:val="18"/>
          <w:color w:val="auto"/>
        </w:rPr>
      </w:pPr>
    </w:p>
    <w:p>
      <w:pPr>
        <w:ind w:left="1020" w:hanging="364"/>
        <w:spacing w:after="0"/>
        <w:tabs>
          <w:tab w:leader="none" w:pos="102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Notwithstanding the foregoing, the Borrower shall not be obligated to pay any amounts to any Defaulting Lender pursuant to this </w:t>
      </w:r>
      <w:r>
        <w:rPr>
          <w:rFonts w:ascii="Arial" w:cs="Arial" w:eastAsia="Arial" w:hAnsi="Arial"/>
          <w:sz w:val="16"/>
          <w:szCs w:val="16"/>
          <w:u w:val="single" w:color="auto"/>
          <w:color w:val="auto"/>
        </w:rPr>
        <w:t>Section 4.1</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right="20" w:firstLine="656"/>
        <w:spacing w:after="0" w:line="277" w:lineRule="auto"/>
        <w:tabs>
          <w:tab w:leader="none" w:pos="103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Except as otherwise expressly provided, such fees as stipulated in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shall be fully earned when paid and shall not be refundable for any reason whatsoever.</w:t>
      </w:r>
    </w:p>
    <w:p>
      <w:pPr>
        <w:spacing w:after="0" w:line="170" w:lineRule="exact"/>
        <w:rPr>
          <w:sz w:val="20"/>
          <w:szCs w:val="20"/>
          <w:color w:val="auto"/>
        </w:rPr>
      </w:pPr>
    </w:p>
    <w:p>
      <w:pPr>
        <w:ind w:right="20" w:firstLine="648"/>
        <w:spacing w:after="0" w:line="283"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Voluntary Reduction of Revolving Credit Commitments</w:t>
      </w:r>
      <w:r>
        <w:rPr>
          <w:rFonts w:ascii="Arial" w:cs="Arial" w:eastAsia="Arial" w:hAnsi="Arial"/>
          <w:sz w:val="16"/>
          <w:szCs w:val="16"/>
          <w:color w:val="auto"/>
        </w:rPr>
        <w:t xml:space="preserve">. Upon at least two Business Days’ prior written notice to the Administrative Agent at the Administrative Agent’s Office (which notice the Administrative Agent shall promptly transmit to each of the Lenders), the Borrower shall have the right, without premium or penalty, on any day, permanently to terminate or reduce the Revolving Credit Commitments in whole or in part;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any such reduction shall apply proportionately and permanently to reduce the Revolving Credit Commitment of each of the Lenders of any applicable Class, except that (i) notwithstanding the foregoing, in connection with the establishment on any date of any Extended Revolving Credit Commitments pursuant to </w:t>
      </w:r>
      <w:r>
        <w:rPr>
          <w:rFonts w:ascii="Arial" w:cs="Arial" w:eastAsia="Arial" w:hAnsi="Arial"/>
          <w:sz w:val="16"/>
          <w:szCs w:val="16"/>
          <w:u w:val="single" w:color="auto"/>
          <w:color w:val="auto"/>
        </w:rPr>
        <w:t>Section 2.14(g)</w:t>
      </w:r>
      <w:r>
        <w:rPr>
          <w:rFonts w:ascii="Arial" w:cs="Arial" w:eastAsia="Arial" w:hAnsi="Arial"/>
          <w:sz w:val="16"/>
          <w:szCs w:val="16"/>
          <w:color w:val="auto"/>
        </w:rPr>
        <w:t>, the Revolving Credit Commitments of any one or more Lenders providing any such Extended Revolving Credit Commitments on such date shall be reduced in an amount equal to the amount of Revolving Credit Commitments so extended on such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after giving effect to any such reduction and to the repayment of any Revolving Credit Loans made on such date, the Revolving Credit Exposure of any such Lender does not exceed the Revolving Credit Commitment thereof and (y) for the avoidance of doubt, any such repayment of Revolving Credit Loans contemplated by the preceding clause shall be made in compliance with the requirements of </w:t>
      </w: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with respect to the ratable allocation of payments hereunder, with such allocation being determined after giving effect to any conversion pursuant to </w:t>
      </w:r>
      <w:r>
        <w:rPr>
          <w:rFonts w:ascii="Arial" w:cs="Arial" w:eastAsia="Arial" w:hAnsi="Arial"/>
          <w:sz w:val="16"/>
          <w:szCs w:val="16"/>
          <w:u w:val="single" w:color="auto"/>
          <w:color w:val="auto"/>
        </w:rPr>
        <w:t>Section 2.14(g)</w:t>
      </w:r>
      <w:r>
        <w:rPr>
          <w:rFonts w:ascii="Arial" w:cs="Arial" w:eastAsia="Arial" w:hAnsi="Arial"/>
          <w:sz w:val="16"/>
          <w:szCs w:val="16"/>
          <w:color w:val="auto"/>
        </w:rPr>
        <w:t xml:space="preserve"> of Revolving Credit Commitments and Revolving Credit Loans into Extended Revolving Credit Commitments and Extended Revolving Credit Loans pursuant to </w:t>
      </w:r>
      <w:r>
        <w:rPr>
          <w:rFonts w:ascii="Arial" w:cs="Arial" w:eastAsia="Arial" w:hAnsi="Arial"/>
          <w:sz w:val="16"/>
          <w:szCs w:val="16"/>
          <w:u w:val="single" w:color="auto"/>
          <w:color w:val="auto"/>
        </w:rPr>
        <w:t>Section</w:t>
      </w:r>
    </w:p>
    <w:p>
      <w:pPr>
        <w:spacing w:after="0" w:line="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u w:val="single" w:color="auto"/>
          <w:color w:val="auto"/>
        </w:rPr>
        <w:t>2.14(g)</w:t>
      </w:r>
      <w:r>
        <w:rPr>
          <w:rFonts w:ascii="Arial" w:cs="Arial" w:eastAsia="Arial" w:hAnsi="Arial"/>
          <w:sz w:val="17"/>
          <w:szCs w:val="17"/>
          <w:color w:val="auto"/>
        </w:rPr>
        <w:t xml:space="preserve"> prior to any reduction being made to the Revolving Credit Commitment of any other Lender) and (ii) the Borrower may at its election permanently reduce the Revolving Credit Commitment of a Defaulting Lender to $0 without affecting the Revolving Credit Commitments of any other Lender, (b) any partial reduction pursuant to this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shall be in the amount of at least $5,000,000, and (c) after giving effect to such termination or reduction and to any prepayments of the Loans made on the date thereof in accordance with this Agreement, the aggregate amount of the Lenders’ Revolving Credit Exposures shall not exceed the Total Revolving Credit Commitment and the aggregate amount of the Lenders’ Revolving Credit Exposures in respect of any Class shall not exceed the aggregate Revolving Credit Commitment of such Class.</w:t>
      </w:r>
    </w:p>
    <w:p>
      <w:pPr>
        <w:spacing w:after="0" w:line="178"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Mandatory Termination of Commitments</w:t>
      </w:r>
      <w:r>
        <w:rPr>
          <w:rFonts w:ascii="Arial" w:cs="Arial" w:eastAsia="Arial" w:hAnsi="Arial"/>
          <w:sz w:val="16"/>
          <w:szCs w:val="16"/>
          <w:color w:val="auto"/>
        </w:rPr>
        <w:t>.</w:t>
      </w:r>
    </w:p>
    <w:p>
      <w:pPr>
        <w:spacing w:after="0" w:line="225" w:lineRule="exact"/>
        <w:rPr>
          <w:sz w:val="20"/>
          <w:szCs w:val="20"/>
          <w:color w:val="auto"/>
        </w:rPr>
      </w:pPr>
    </w:p>
    <w:p>
      <w:pPr>
        <w:ind w:right="200" w:firstLine="656"/>
        <w:spacing w:after="0" w:line="277" w:lineRule="auto"/>
        <w:tabs>
          <w:tab w:leader="none" w:pos="102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Term A Loan Commitment shall terminate in full on the Restatement Effective Date immediately following the funding of the Term A Loan thereunder.</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Revolving Credit Commitment shall terminate at 5:00 p.m. (New York City time) on the Revolving Credit Maturity Date.</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Swingline Commitment shall terminate at 5:00 p.m. (New York City time) on the Swingline Maturity Date.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341" w:right="339" w:bottom="1440" w:gutter="0" w:footer="0" w:header="0"/>
        </w:sectPr>
      </w:pPr>
    </w:p>
    <w:bookmarkStart w:id="171" w:name="page172"/>
    <w:bookmarkEnd w:id="171"/>
    <w:p>
      <w:pPr>
        <w:ind w:right="340" w:firstLine="656"/>
        <w:spacing w:after="0" w:line="277" w:lineRule="auto"/>
        <w:tabs>
          <w:tab w:leader="none" w:pos="103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New Term Loan Commitment for any Series shall, unless otherwise provided in the applicable Joinder Agreement, terminate at 5:00 p.m. (New York City time) on the Increased Amount Date for such Series.</w:t>
      </w:r>
    </w:p>
    <w:p>
      <w:pPr>
        <w:spacing w:after="0" w:line="17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5"/>
          <w:szCs w:val="15"/>
          <w:u w:val="single" w:color="auto"/>
          <w:color w:val="auto"/>
        </w:rPr>
        <w:t>Payments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Voluntary Prepayments</w:t>
      </w:r>
      <w:r>
        <w:rPr>
          <w:rFonts w:ascii="Arial" w:cs="Arial" w:eastAsia="Arial" w:hAnsi="Arial"/>
          <w:sz w:val="16"/>
          <w:szCs w:val="16"/>
          <w:color w:val="auto"/>
        </w:rPr>
        <w:t xml:space="preserve">. The Borrower shall have the right to prepay Loans, including Term Loans, Revolving Credit Loans, and Swingline Loans, as applicable, in each case, other than as set forth in </w:t>
      </w:r>
      <w:r>
        <w:rPr>
          <w:rFonts w:ascii="Arial" w:cs="Arial" w:eastAsia="Arial" w:hAnsi="Arial"/>
          <w:sz w:val="16"/>
          <w:szCs w:val="16"/>
          <w:u w:val="single" w:color="auto"/>
          <w:color w:val="auto"/>
        </w:rPr>
        <w:t>Section 5.1(b)</w:t>
      </w:r>
      <w:r>
        <w:rPr>
          <w:rFonts w:ascii="Arial" w:cs="Arial" w:eastAsia="Arial" w:hAnsi="Arial"/>
          <w:sz w:val="16"/>
          <w:szCs w:val="16"/>
          <w:color w:val="auto"/>
        </w:rPr>
        <w:t xml:space="preserve">, without premium or penalty, in whole or in part from time to time on the following terms and conditions: (1) the Borrower shall give the Administrative Agent at the Administrative Agent’s Office notice of its intent to make such prepayment, the amount of such prepayment and (in the case of LIBOR Loans) the specific Borrowing(s) pursuant to which made, which notice shall be given by the Borrower no later than 12:00 Noon (New York City time) (i) in the case of LIBOR Loans, three Business Days prior to, (ii) in the case of ABR Loans (other than Swingline Loans), one Business Day prior to or (ii) in the case of Swingline Loans, on, the date of such prepayment and shall promptly be transmitted by the Administrative Agent to each of the Lenders or the Swingline Lender, as the case may be; (2) each partial prepayment of (i) any Borrowing of LIBOR Loans shall be in a minimum amount of $5,000,000 and in multiples of $1,000,000 in excess thereof, (ii) any ABR Loans (other than Swingline Loans) shall be in a minimum amount of $1,000,000 and in multiples of $100,000 in excess thereof, and (iii) Swingline Loans shall be in a minimum amount of $500,000 and in multiples of $100,000 in excess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partial prepayment of LIBOR Loans made pursuant to a single Borrowing shall reduce the outstanding LIBOR Loans made pursuant to such Borrowing to an amount less than the applicable Minimum Borrowing Amount for such LIBOR Loans, and (3) in the case of any prepayment of LIBOR Loans pursuant to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on any day other than the last day of an Interest Period applicable thereto, the Borrower shall, promptly after receipt of a written request by any applicable Lender (which request shall set forth in reasonable detail the basis for requesting such amount), pay to the Administrative Agent for the account of such Lender any amounts required pursuant to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Each prepayment in respect of any Term Loans pursuant to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shall be applied to the Class or Classes of Term Loans as the Borrower may specify. Such notice may be given by telephone;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telephonic notice must be confirmed promptly by delivery to the Administrative Agent of a written notice of prepayment. Each prepayment in respect of any Term Loans pursuant to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shall be (a) applied to the Class or Classes of Term Loans as the Borrower may specify and (b) applied to reduce any Term A Loan Repayment Amounts, New Term Loan Repayment Amounts, and, subject to </w:t>
      </w:r>
      <w:r>
        <w:rPr>
          <w:rFonts w:ascii="Arial" w:cs="Arial" w:eastAsia="Arial" w:hAnsi="Arial"/>
          <w:sz w:val="16"/>
          <w:szCs w:val="16"/>
          <w:u w:val="single" w:color="auto"/>
          <w:color w:val="auto"/>
        </w:rPr>
        <w:t>Section 2.14(g)</w:t>
      </w:r>
      <w:r>
        <w:rPr>
          <w:rFonts w:ascii="Arial" w:cs="Arial" w:eastAsia="Arial" w:hAnsi="Arial"/>
          <w:sz w:val="16"/>
          <w:szCs w:val="16"/>
          <w:color w:val="auto"/>
        </w:rPr>
        <w:t xml:space="preserve">, Extended Term Loan Repayment Amounts, as the case may be, in each case, in such order as the Borrower may specify. At the Borrower’s election in connection with any prepayment pursuant to this </w:t>
      </w:r>
      <w:r>
        <w:rPr>
          <w:rFonts w:ascii="Arial" w:cs="Arial" w:eastAsia="Arial" w:hAnsi="Arial"/>
          <w:sz w:val="16"/>
          <w:szCs w:val="16"/>
          <w:u w:val="single" w:color="auto"/>
          <w:color w:val="auto"/>
        </w:rPr>
        <w:t>Section 5.1</w:t>
      </w:r>
      <w:r>
        <w:rPr>
          <w:rFonts w:ascii="Arial" w:cs="Arial" w:eastAsia="Arial" w:hAnsi="Arial"/>
          <w:sz w:val="16"/>
          <w:szCs w:val="16"/>
          <w:color w:val="auto"/>
        </w:rPr>
        <w:t>, such prepayment shall not be applied to any Term Loan or Revolving Credit Loan of a Defaulting Lender.</w:t>
      </w:r>
    </w:p>
    <w:p>
      <w:pPr>
        <w:spacing w:after="0" w:line="398"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Mandatory Prepayments</w:t>
      </w:r>
      <w:r>
        <w:rPr>
          <w:rFonts w:ascii="Arial" w:cs="Arial" w:eastAsia="Arial" w:hAnsi="Arial"/>
          <w:sz w:val="16"/>
          <w:szCs w:val="16"/>
          <w:color w:val="auto"/>
        </w:rPr>
        <w:t>.</w:t>
      </w:r>
    </w:p>
    <w:p>
      <w:pPr>
        <w:spacing w:after="0" w:line="225" w:lineRule="exact"/>
        <w:rPr>
          <w:sz w:val="20"/>
          <w:szCs w:val="20"/>
          <w:color w:val="auto"/>
        </w:rPr>
      </w:pPr>
    </w:p>
    <w:p>
      <w:pPr>
        <w:ind w:left="1040" w:hanging="384"/>
        <w:spacing w:after="0"/>
        <w:tabs>
          <w:tab w:leader="none" w:pos="1040"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Term Loan Prepayments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899"/>
        <w:spacing w:after="0" w:line="287" w:lineRule="auto"/>
        <w:tabs>
          <w:tab w:leader="none" w:pos="1241" w:val="left"/>
        </w:tabs>
        <w:numPr>
          <w:ilvl w:val="1"/>
          <w:numId w:val="139"/>
        </w:numPr>
        <w:rPr>
          <w:rFonts w:ascii="Arial" w:cs="Arial" w:eastAsia="Arial" w:hAnsi="Arial"/>
          <w:sz w:val="16"/>
          <w:szCs w:val="16"/>
          <w:color w:val="auto"/>
        </w:rPr>
      </w:pPr>
      <w:r>
        <w:rPr>
          <w:rFonts w:ascii="Arial" w:cs="Arial" w:eastAsia="Arial" w:hAnsi="Arial"/>
          <w:sz w:val="16"/>
          <w:szCs w:val="16"/>
          <w:color w:val="auto"/>
        </w:rPr>
        <w:t xml:space="preserve">On each occasion that a Prepayment Event occurs, the Borrower shall, within three Business Days after receipt of the Net Cash Proceeds of a Debt Incurrence Prepayment Event (other than one covered by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below) </w:t>
      </w:r>
      <w:r>
        <w:rPr>
          <w:rFonts w:ascii="Arial" w:cs="Arial" w:eastAsia="Arial" w:hAnsi="Arial"/>
          <w:sz w:val="16"/>
          <w:szCs w:val="16"/>
          <w:u w:val="single" w:color="auto"/>
          <w:color w:val="0000FF"/>
        </w:rPr>
        <w:t>or Capital Markets Prepayment Event</w:t>
      </w:r>
      <w:r>
        <w:rPr>
          <w:rFonts w:ascii="Arial" w:cs="Arial" w:eastAsia="Arial" w:hAnsi="Arial"/>
          <w:sz w:val="16"/>
          <w:szCs w:val="16"/>
          <w:color w:val="auto"/>
        </w:rPr>
        <w:t xml:space="preserve"> and within ten Business Days after the occurrence of any other Prepayment Event (or, in the case of Deferred Net Cash Proceeds, within ten Business Days after the Deferred Net Cash Proceeds Payment Date), prepay, in accordance with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below, Term Loans with an equivalent principal amount equal to 100% of the Net Cash Proceeds from such Prepayment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t>
      </w:r>
      <w:r>
        <w:rPr>
          <w:rFonts w:ascii="Arial" w:cs="Arial" w:eastAsia="Arial" w:hAnsi="Arial"/>
          <w:sz w:val="16"/>
          <w:szCs w:val="16"/>
          <w:u w:val="single" w:color="auto"/>
          <w:color w:val="0000FF"/>
        </w:rPr>
        <w:t>(i)</w:t>
      </w:r>
      <w:r>
        <w:rPr>
          <w:rFonts w:ascii="Arial" w:cs="Arial" w:eastAsia="Arial" w:hAnsi="Arial"/>
          <w:sz w:val="16"/>
          <w:szCs w:val="16"/>
          <w:color w:val="auto"/>
        </w:rPr>
        <w:t xml:space="preserve"> with respect to the Net Cash Proceeds of an Asset Sale Prepayment Event, Casualty Event or Permitted Sale Leaseback, in each case solely to the extent with respect to any Collateral, the Borrower may use a portion of such Net Cash Proceeds to prepay or repurchase Permitted Other Indebtedness (and with such prepaid or repurchased Permitted Other Indebtedness permanently extinguished) with a Lien on the Collateral ranking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Liens securing the Obligations to the extent any applicable Permitted Other Indebtedness Document requires the issuer of such Permitted Other Indebtedness to prepay or make an offer to purchase such Permitted Other Indebtedness with the proceeds of such Prepayment Event, in each case in an amount not to exceed the product of (x) the amount of such Net Cash Proceeds </w:t>
      </w:r>
      <w:r>
        <w:rPr>
          <w:rFonts w:ascii="Arial" w:cs="Arial" w:eastAsia="Arial" w:hAnsi="Arial"/>
          <w:sz w:val="16"/>
          <w:szCs w:val="16"/>
          <w:i w:val="1"/>
          <w:iCs w:val="1"/>
          <w:color w:val="auto"/>
        </w:rPr>
        <w:t>multiplied</w:t>
      </w:r>
      <w:r>
        <w:rPr>
          <w:rFonts w:ascii="Arial" w:cs="Arial" w:eastAsia="Arial" w:hAnsi="Arial"/>
          <w:sz w:val="16"/>
          <w:szCs w:val="16"/>
          <w:color w:val="auto"/>
        </w:rPr>
        <w:t xml:space="preserve"> by (y) a fraction, the numerator of which is the outstanding principal amount of the Permitted Other Indebtedness with a Lien on the Collateral ranking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Liens securing the Obligations and with respect to which such a requirement to prepay or make an offer to purchase exists and the</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341" w:right="339" w:bottom="1440" w:gutter="0" w:footer="0" w:header="0"/>
        </w:sectPr>
      </w:pPr>
    </w:p>
    <w:bookmarkStart w:id="172" w:name="page173"/>
    <w:bookmarkEnd w:id="172"/>
    <w:p>
      <w:pPr>
        <w:ind w:right="40"/>
        <w:spacing w:after="0" w:line="291" w:lineRule="auto"/>
        <w:rPr>
          <w:sz w:val="20"/>
          <w:szCs w:val="20"/>
          <w:color w:val="auto"/>
        </w:rPr>
      </w:pPr>
      <w:r>
        <w:rPr>
          <w:rFonts w:ascii="Arial" w:cs="Arial" w:eastAsia="Arial" w:hAnsi="Arial"/>
          <w:sz w:val="16"/>
          <w:szCs w:val="16"/>
          <w:color w:val="auto"/>
        </w:rPr>
        <w:t xml:space="preserve">denominator of which is the sum of the outstanding principal amount of such Permitted Other Indebtedness and the outstanding principal amount of Term Loans </w:t>
      </w:r>
      <w:r>
        <w:rPr>
          <w:rFonts w:ascii="Arial" w:cs="Arial" w:eastAsia="Arial" w:hAnsi="Arial"/>
          <w:sz w:val="16"/>
          <w:szCs w:val="16"/>
          <w:u w:val="single" w:color="auto"/>
          <w:color w:val="0000FF"/>
        </w:rPr>
        <w:t>and (ii) with respect to Net Cash Proceeds from Capital Market Prepayment Events, the Borrower shall only be required to prepay Term Loans with</w:t>
      </w:r>
    </w:p>
    <w:p>
      <w:pPr>
        <w:ind w:right="80" w:firstLine="8"/>
        <w:spacing w:after="0" w:line="302" w:lineRule="auto"/>
        <w:tabs>
          <w:tab w:leader="none" w:pos="255" w:val="left"/>
        </w:tabs>
        <w:numPr>
          <w:ilvl w:val="0"/>
          <w:numId w:val="140"/>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the first $75,000,000 of Net Cash Proceeds from Capital Markets Prepayment Events, (y) except in the case of any issuance and sale of common stock of any Parent Entity within 90 days after the Amendment No. 1 Effective Date, 50% of the amount of Net Cash Proceeds from all Capital Markets Prepayment Events that are in excess of $400,000,000 of Net Cash Proceeds and (z) prior to the expiration of the Additional Restrictions Period</w:t>
      </w:r>
      <w:r>
        <w:rPr>
          <w:rFonts w:ascii="Arial" w:cs="Arial" w:eastAsia="Arial" w:hAnsi="Arial"/>
          <w:sz w:val="16"/>
          <w:szCs w:val="16"/>
          <w:color w:val="000000"/>
        </w:rPr>
        <w:t>.</w:t>
      </w:r>
    </w:p>
    <w:p>
      <w:pPr>
        <w:spacing w:after="0" w:line="74" w:lineRule="exact"/>
        <w:rPr>
          <w:rFonts w:ascii="Arial" w:cs="Arial" w:eastAsia="Arial" w:hAnsi="Arial"/>
          <w:sz w:val="16"/>
          <w:szCs w:val="16"/>
          <w:u w:val="single" w:color="auto"/>
          <w:color w:val="0000FF"/>
        </w:rPr>
      </w:pPr>
    </w:p>
    <w:p>
      <w:pPr>
        <w:ind w:left="1300" w:hanging="401"/>
        <w:spacing w:after="0"/>
        <w:tabs>
          <w:tab w:leader="none" w:pos="1300" w:val="left"/>
        </w:tabs>
        <w:numPr>
          <w:ilvl w:val="2"/>
          <w:numId w:val="140"/>
        </w:numPr>
        <w:rPr>
          <w:rFonts w:ascii="Arial" w:cs="Arial" w:eastAsia="Arial" w:hAnsi="Arial"/>
          <w:sz w:val="18"/>
          <w:szCs w:val="18"/>
          <w:color w:val="auto"/>
        </w:rPr>
      </w:pPr>
      <w:r>
        <w:rPr>
          <w:rFonts w:ascii="Arial" w:cs="Arial" w:eastAsia="Arial" w:hAnsi="Arial"/>
          <w:sz w:val="18"/>
          <w:szCs w:val="18"/>
          <w:color w:val="auto"/>
        </w:rPr>
        <w:t>[Reserved.]</w:t>
      </w:r>
    </w:p>
    <w:p>
      <w:pPr>
        <w:spacing w:after="0" w:line="144" w:lineRule="exact"/>
        <w:rPr>
          <w:rFonts w:ascii="Arial" w:cs="Arial" w:eastAsia="Arial" w:hAnsi="Arial"/>
          <w:sz w:val="18"/>
          <w:szCs w:val="18"/>
          <w:color w:val="auto"/>
        </w:rPr>
      </w:pPr>
    </w:p>
    <w:p>
      <w:pPr>
        <w:jc w:val="both"/>
        <w:ind w:right="140" w:firstLine="899"/>
        <w:spacing w:after="0" w:line="286" w:lineRule="auto"/>
        <w:tabs>
          <w:tab w:leader="none" w:pos="1341" w:val="left"/>
        </w:tabs>
        <w:numPr>
          <w:ilvl w:val="2"/>
          <w:numId w:val="140"/>
        </w:numPr>
        <w:rPr>
          <w:rFonts w:ascii="Arial" w:cs="Arial" w:eastAsia="Arial" w:hAnsi="Arial"/>
          <w:sz w:val="17"/>
          <w:szCs w:val="17"/>
          <w:color w:val="auto"/>
        </w:rPr>
      </w:pPr>
      <w:r>
        <w:rPr>
          <w:rFonts w:ascii="Arial" w:cs="Arial" w:eastAsia="Arial" w:hAnsi="Arial"/>
          <w:sz w:val="17"/>
          <w:szCs w:val="17"/>
          <w:color w:val="auto"/>
        </w:rPr>
        <w:t xml:space="preserve">On each occasion that Permitted Other Indebtedness is issued or incurred pursuant to </w:t>
      </w:r>
      <w:r>
        <w:rPr>
          <w:rFonts w:ascii="Arial" w:cs="Arial" w:eastAsia="Arial" w:hAnsi="Arial"/>
          <w:sz w:val="17"/>
          <w:szCs w:val="17"/>
          <w:u w:val="single" w:color="auto"/>
          <w:color w:val="auto"/>
        </w:rPr>
        <w:t>Section 10.1(w)</w:t>
      </w:r>
      <w:r>
        <w:rPr>
          <w:rFonts w:ascii="Arial" w:cs="Arial" w:eastAsia="Arial" w:hAnsi="Arial"/>
          <w:sz w:val="17"/>
          <w:szCs w:val="17"/>
          <w:color w:val="auto"/>
        </w:rPr>
        <w:t xml:space="preserve">, the Borrower shall within three Business Days of receipt of the Net Cash Proceeds of such Permitted Other Indebtedness prepay, in accordance with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below, Term Loans with a principal amount equal to 100% of the Net Cash Proceeds from such issuance or incurrence of Permitted Other Indebtedness.</w:t>
      </w:r>
    </w:p>
    <w:p>
      <w:pPr>
        <w:spacing w:after="0" w:line="84" w:lineRule="exact"/>
        <w:rPr>
          <w:rFonts w:ascii="Arial" w:cs="Arial" w:eastAsia="Arial" w:hAnsi="Arial"/>
          <w:sz w:val="17"/>
          <w:szCs w:val="17"/>
          <w:color w:val="auto"/>
        </w:rPr>
      </w:pPr>
    </w:p>
    <w:p>
      <w:pPr>
        <w:ind w:firstLine="899"/>
        <w:spacing w:after="0" w:line="285" w:lineRule="auto"/>
        <w:tabs>
          <w:tab w:leader="none" w:pos="1331" w:val="left"/>
        </w:tabs>
        <w:numPr>
          <w:ilvl w:val="2"/>
          <w:numId w:val="140"/>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provisions of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(A) to the extent that any or all of the Net Cash Proceeds of any Prepayment Event by a Foreign Subsidiary giving rise to a prepayment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(a “</w:t>
      </w:r>
      <w:r>
        <w:rPr>
          <w:rFonts w:ascii="Arial" w:cs="Arial" w:eastAsia="Arial" w:hAnsi="Arial"/>
          <w:sz w:val="16"/>
          <w:szCs w:val="16"/>
          <w:b w:val="1"/>
          <w:bCs w:val="1"/>
          <w:color w:val="auto"/>
        </w:rPr>
        <w:t>Foreign Prepayment Event</w:t>
      </w:r>
      <w:r>
        <w:rPr>
          <w:rFonts w:ascii="Arial" w:cs="Arial" w:eastAsia="Arial" w:hAnsi="Arial"/>
          <w:sz w:val="16"/>
          <w:szCs w:val="16"/>
          <w:color w:val="auto"/>
        </w:rPr>
        <w:t xml:space="preserve">”) are prohibited or delayed by any Requirement of Law from being repatriated to the Credit Parties, an amount equal to the portion of such Net Cash Proceeds so affected will not be required to be applied to repay Loans at the times provided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as the case may be, but only so long, as the applicable Requirement of Law will not permit repatriation to the Credit Parties (the Credit Parties hereby agreeing to cause the applicable Foreign Subsidiary to promptly take all actions reasonably required by the applicable Requirement of Law to permit repatriation), and once a repatriation of any of such affected Net Cash Proceeds is permitted under the applicable Requirement of Law, an amount equal to such Net Cash Proceeds will be promptly (and in any event not later than ten Business Days after such repatriation is permitted) applied (net of any taxes that would be payable or reserved against if such amounts were actually repatriated whether or not they are repatriated) to the repayment of the Loans pursuant to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as applicable, and (B) to the extent that the Borrower has determined in good faith that repatriation of any of or all the Net Cash Proceeds of any Foreign Prepayment Event would have a material adverse tax consequence with respect to such Net Cash Proceeds, an amount equal to the Net Cash Proceeds so affected may be retained by the applicable Foreign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on or before the date on which any Net Cash Proceeds from any Foreign Prepayment Event so retained would otherwise have been required to be applied to reinvestments or prepayments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(x) the Borrower shall apply an amount equal to such Net Cash Proceeds to such reinvestments or prepayments as if such Net Cash Proceeds had been received by the Credit Parties rather than such Foreign Subsidiary, less the amount of any taxes that would have been payable or reserved against if such Net Cash Proceeds had been repatriated (or, if less, the Net Cash Proceeds that would be calculated if received by such Foreign Subsidiary) or (y) such Net Cash Proceeds shall be applied to the repayment of Indebtedness of a Foreign Subsidiary. For the avoidance of doubt, nothing in this Agreement, including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be construed to require any Foreign Subsidiary to repatriate cash.</w:t>
      </w:r>
    </w:p>
    <w:p>
      <w:pPr>
        <w:spacing w:after="0" w:line="90" w:lineRule="exact"/>
        <w:rPr>
          <w:rFonts w:ascii="Arial" w:cs="Arial" w:eastAsia="Arial" w:hAnsi="Arial"/>
          <w:sz w:val="16"/>
          <w:szCs w:val="16"/>
          <w:color w:val="auto"/>
        </w:rPr>
      </w:pPr>
    </w:p>
    <w:p>
      <w:pPr>
        <w:ind w:firstLine="656"/>
        <w:spacing w:after="0" w:line="253" w:lineRule="auto"/>
        <w:tabs>
          <w:tab w:leader="none" w:pos="1038" w:val="left"/>
        </w:tabs>
        <w:numPr>
          <w:ilvl w:val="1"/>
          <w:numId w:val="140"/>
        </w:numPr>
        <w:rPr>
          <w:rFonts w:ascii="Arial" w:cs="Arial" w:eastAsia="Arial" w:hAnsi="Arial"/>
          <w:sz w:val="18"/>
          <w:szCs w:val="18"/>
          <w:color w:val="auto"/>
        </w:rPr>
      </w:pPr>
      <w:r>
        <w:rPr>
          <w:rFonts w:ascii="Arial" w:cs="Arial" w:eastAsia="Arial" w:hAnsi="Arial"/>
          <w:sz w:val="18"/>
          <w:szCs w:val="18"/>
          <w:u w:val="single" w:color="auto"/>
          <w:color w:val="auto"/>
        </w:rPr>
        <w:t>Repayment of Revolving Credit Loans</w:t>
      </w:r>
      <w:r>
        <w:rPr>
          <w:rFonts w:ascii="Arial" w:cs="Arial" w:eastAsia="Arial" w:hAnsi="Arial"/>
          <w:sz w:val="18"/>
          <w:szCs w:val="18"/>
          <w:color w:val="auto"/>
        </w:rPr>
        <w:t xml:space="preserve">. If on any date the aggregate amount of the Lenders’ Revolving Credit Exposures in respect of any Class of Revolving Loans for any reason exceeds 100% of the Revolving Credit Commitment of such Class then in effect, the Borrower shall forthwith repay on such date Revolving Loans of such Class in an amount equal to such excess. If after giving effect to the prepayment of all outstanding Revolving Loans of such Class, the Revolving Credit Exposures of such Class exceed the Revolving Credit Commitment of such Class then in effect, the Borrower shall Cash Collateralize the Letters of Credit Outstanding in relation to such Class to the extent of such excess. </w:t>
      </w:r>
      <w:r>
        <w:rPr>
          <w:rFonts w:ascii="Arial" w:cs="Arial" w:eastAsia="Arial" w:hAnsi="Arial"/>
          <w:sz w:val="18"/>
          <w:szCs w:val="18"/>
          <w:u w:val="single" w:color="auto"/>
          <w:color w:val="0000FF"/>
        </w:rPr>
        <w:t>Additionally, if for three consecutive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Business Days, the unrestricted cash and cash equivalents of Holdings and its Restricted Subsidiaries exceed $50,000,000 and any Revolving Loans or Swingline Loans are then outstanding, the Borrower will, within three Business Days thereafter, prepay an amount of Revolving Loans or Swingline Loans equal to the lesser of (i) such excess amount of unrestricted cash and cash equivalents in excess of $50,000,000 and (ii) all then outstanding Revolving Loans and Swingline Loans.</w:t>
      </w:r>
    </w:p>
    <w:p>
      <w:pPr>
        <w:spacing w:after="0" w:line="196" w:lineRule="exact"/>
        <w:rPr>
          <w:rFonts w:ascii="Arial" w:cs="Arial" w:eastAsia="Arial" w:hAnsi="Arial"/>
          <w:sz w:val="18"/>
          <w:szCs w:val="18"/>
          <w:color w:val="auto"/>
        </w:rPr>
      </w:pPr>
    </w:p>
    <w:p>
      <w:pPr>
        <w:ind w:right="120" w:firstLine="656"/>
        <w:spacing w:after="0" w:line="277" w:lineRule="auto"/>
        <w:tabs>
          <w:tab w:leader="none" w:pos="1027" w:val="left"/>
        </w:tabs>
        <w:numPr>
          <w:ilvl w:val="1"/>
          <w:numId w:val="140"/>
        </w:numPr>
        <w:rPr>
          <w:rFonts w:ascii="Arial" w:cs="Arial" w:eastAsia="Arial" w:hAnsi="Arial"/>
          <w:sz w:val="18"/>
          <w:szCs w:val="18"/>
          <w:color w:val="auto"/>
        </w:rPr>
      </w:pPr>
      <w:r>
        <w:rPr>
          <w:rFonts w:ascii="Arial" w:cs="Arial" w:eastAsia="Arial" w:hAnsi="Arial"/>
          <w:sz w:val="18"/>
          <w:szCs w:val="18"/>
          <w:u w:val="single" w:color="auto"/>
          <w:color w:val="auto"/>
        </w:rPr>
        <w:t>Application to Repayment Amounts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5.2(f)</w:t>
      </w:r>
      <w:r>
        <w:rPr>
          <w:rFonts w:ascii="Arial" w:cs="Arial" w:eastAsia="Arial" w:hAnsi="Arial"/>
          <w:sz w:val="18"/>
          <w:szCs w:val="18"/>
          <w:color w:val="auto"/>
        </w:rPr>
        <w:t xml:space="preserve">, each prepayment of Term Loans required by </w:t>
      </w:r>
      <w:r>
        <w:rPr>
          <w:rFonts w:ascii="Arial" w:cs="Arial" w:eastAsia="Arial" w:hAnsi="Arial"/>
          <w:sz w:val="18"/>
          <w:szCs w:val="18"/>
          <w:u w:val="single" w:color="auto"/>
          <w:color w:val="auto"/>
        </w:rPr>
        <w:t>Section 5.2(a)(i)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shall be allocated pro rata among the Term A Loans, New Term Loans and</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80"/>
          </w:cols>
          <w:pgMar w:left="320" w:top="341" w:right="399" w:bottom="1440" w:gutter="0" w:footer="0" w:header="0"/>
        </w:sectPr>
      </w:pPr>
    </w:p>
    <w:bookmarkStart w:id="173" w:name="page174"/>
    <w:bookmarkEnd w:id="173"/>
    <w:p>
      <w:pPr>
        <w:spacing w:after="0" w:line="290" w:lineRule="auto"/>
        <w:rPr>
          <w:sz w:val="20"/>
          <w:szCs w:val="20"/>
          <w:color w:val="auto"/>
        </w:rPr>
      </w:pPr>
      <w:r>
        <w:rPr>
          <w:rFonts w:ascii="Arial" w:cs="Arial" w:eastAsia="Arial" w:hAnsi="Arial"/>
          <w:sz w:val="16"/>
          <w:szCs w:val="16"/>
          <w:color w:val="auto"/>
        </w:rPr>
        <w:t xml:space="preserve">Extended Term Loans based on the applicable remaining Repayment Amounts due thereunder and shall be applied within each Class of Term Loans in respect of such Term Loans in direct order of maturity thereof or as otherwise directed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Class of Extended Term Loans have been established hereunder, the Borrower may allocate such prepayment in its sole discretion to the Term Loans of the Existing Term Loan Class, if any, from which such Extended Term Loans were converted (except, as to Term Loans made pursuant to a Joinder Agreement, as otherwise set forth in such Joinder Agreement, or as to a Replacement Term Loan). Subject to </w:t>
      </w:r>
      <w:r>
        <w:rPr>
          <w:rFonts w:ascii="Arial" w:cs="Arial" w:eastAsia="Arial" w:hAnsi="Arial"/>
          <w:sz w:val="16"/>
          <w:szCs w:val="16"/>
          <w:u w:val="single" w:color="auto"/>
          <w:color w:val="auto"/>
        </w:rPr>
        <w:t>Section 5.2(f)</w:t>
      </w:r>
      <w:r>
        <w:rPr>
          <w:rFonts w:ascii="Arial" w:cs="Arial" w:eastAsia="Arial" w:hAnsi="Arial"/>
          <w:sz w:val="16"/>
          <w:szCs w:val="16"/>
          <w:color w:val="auto"/>
        </w:rPr>
        <w:t xml:space="preserve">, with respect to each such prepayment, the Borrower will, not later than the date specified in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for making such prepayment, give the Administrative Agent written notice which shall include a calculation of the amount of such prepayment to be applied to each Class of Term Loans requesting that the Administrative Agent provide notice of such prepayment to each Term A Lender, New Term Loan Lender, or Lender of Extended Term Loans, as applicable.</w:t>
      </w:r>
    </w:p>
    <w:p>
      <w:pPr>
        <w:spacing w:after="0" w:line="111" w:lineRule="exact"/>
        <w:rPr>
          <w:sz w:val="20"/>
          <w:szCs w:val="20"/>
          <w:color w:val="auto"/>
        </w:rPr>
      </w:pPr>
    </w:p>
    <w:p>
      <w:pPr>
        <w:ind w:firstLine="656"/>
        <w:spacing w:after="0" w:line="293" w:lineRule="auto"/>
        <w:tabs>
          <w:tab w:leader="none" w:pos="1038"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Application to Term Loans</w:t>
      </w:r>
      <w:r>
        <w:rPr>
          <w:rFonts w:ascii="Arial" w:cs="Arial" w:eastAsia="Arial" w:hAnsi="Arial"/>
          <w:sz w:val="16"/>
          <w:szCs w:val="16"/>
          <w:color w:val="auto"/>
        </w:rPr>
        <w:t xml:space="preserve">. With respect to each prepayment of Term Loans required by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the Borrower may, if applicable, designate the Types of Loans that are to be prepaid and the specific Borrowing(s) pursuant to which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Lender has provided a Rejection Notice in compliance with </w:t>
      </w:r>
      <w:r>
        <w:rPr>
          <w:rFonts w:ascii="Arial" w:cs="Arial" w:eastAsia="Arial" w:hAnsi="Arial"/>
          <w:sz w:val="16"/>
          <w:szCs w:val="16"/>
          <w:u w:val="single" w:color="auto"/>
          <w:color w:val="auto"/>
        </w:rPr>
        <w:t>Section 5.2(f)</w:t>
      </w:r>
      <w:r>
        <w:rPr>
          <w:rFonts w:ascii="Arial" w:cs="Arial" w:eastAsia="Arial" w:hAnsi="Arial"/>
          <w:sz w:val="16"/>
          <w:szCs w:val="16"/>
          <w:color w:val="auto"/>
        </w:rPr>
        <w:t xml:space="preserve">, such prepayment shall be applied with respect to the Term Loans to be prepaid on a pro rata basis across all outstanding Types of such Term Loans in proportion to the percentage of such outstanding Term Loans to be prepaid represented by each such Class. In the absence of a Rejection Notice or a designation by the Borrower as described in the preceding sentence, the Administrative Agent shall, subject to the above, make such designation in its reasonable discretion with a view, but no obligation, to minimize breakage costs owing under </w:t>
      </w:r>
      <w:r>
        <w:rPr>
          <w:rFonts w:ascii="Arial" w:cs="Arial" w:eastAsia="Arial" w:hAnsi="Arial"/>
          <w:sz w:val="16"/>
          <w:szCs w:val="16"/>
          <w:u w:val="single" w:color="auto"/>
          <w:color w:val="auto"/>
        </w:rPr>
        <w:t>Section 2.11</w:t>
      </w:r>
      <w:r>
        <w:rPr>
          <w:rFonts w:ascii="Arial" w:cs="Arial" w:eastAsia="Arial" w:hAnsi="Arial"/>
          <w:sz w:val="16"/>
          <w:szCs w:val="16"/>
          <w:color w:val="auto"/>
        </w:rPr>
        <w:t>.</w:t>
      </w:r>
    </w:p>
    <w:p>
      <w:pPr>
        <w:spacing w:after="0" w:line="110" w:lineRule="exact"/>
        <w:rPr>
          <w:rFonts w:ascii="Arial" w:cs="Arial" w:eastAsia="Arial" w:hAnsi="Arial"/>
          <w:sz w:val="16"/>
          <w:szCs w:val="16"/>
          <w:color w:val="auto"/>
        </w:rPr>
      </w:pPr>
    </w:p>
    <w:p>
      <w:pPr>
        <w:ind w:right="60" w:firstLine="656"/>
        <w:spacing w:after="0" w:line="293" w:lineRule="auto"/>
        <w:tabs>
          <w:tab w:leader="none" w:pos="1027"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Application to Revolving Credit Loans</w:t>
      </w:r>
      <w:r>
        <w:rPr>
          <w:rFonts w:ascii="Arial" w:cs="Arial" w:eastAsia="Arial" w:hAnsi="Arial"/>
          <w:sz w:val="16"/>
          <w:szCs w:val="16"/>
          <w:color w:val="auto"/>
        </w:rPr>
        <w:t xml:space="preserve">. With respect to each prepayment of Revolving Credit Loans, the Borrower may designate (i) the Types of Loans that are to be prepaid and the specific Borrowing(s) pursuant to which made and (ii) the Revolving Loans to be prepaid,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(y) each prepayment of any Loans made pursuant to a Borrowing shall be applied pro rata among such Loans; and (z) notwithstanding the provisions of the preceding </w:t>
      </w:r>
      <w:r>
        <w:rPr>
          <w:rFonts w:ascii="Arial" w:cs="Arial" w:eastAsia="Arial" w:hAnsi="Arial"/>
          <w:sz w:val="16"/>
          <w:szCs w:val="16"/>
          <w:u w:val="single" w:color="auto"/>
          <w:color w:val="auto"/>
        </w:rPr>
        <w:t>clause (y)</w:t>
      </w:r>
      <w:r>
        <w:rPr>
          <w:rFonts w:ascii="Arial" w:cs="Arial" w:eastAsia="Arial" w:hAnsi="Arial"/>
          <w:sz w:val="16"/>
          <w:szCs w:val="16"/>
          <w:color w:val="auto"/>
        </w:rPr>
        <w:t xml:space="preserve">, no prepayment of Revolving Loans shall be applied to the Revolving Credit Loans of any Defaulting Lender unless otherwise agreed in writing by the Borrower. In the absence of a designation by the Borrower as described in the preceding sentence, the Administrative Agent shall, subject to the above, make such designation in its reasonable discretion with a view, but no obligation, to minimize breakage costs owing under </w:t>
      </w:r>
      <w:r>
        <w:rPr>
          <w:rFonts w:ascii="Arial" w:cs="Arial" w:eastAsia="Arial" w:hAnsi="Arial"/>
          <w:sz w:val="16"/>
          <w:szCs w:val="16"/>
          <w:u w:val="single" w:color="auto"/>
          <w:color w:val="auto"/>
        </w:rPr>
        <w:t>Section 2.11</w:t>
      </w:r>
      <w:r>
        <w:rPr>
          <w:rFonts w:ascii="Arial" w:cs="Arial" w:eastAsia="Arial" w:hAnsi="Arial"/>
          <w:sz w:val="16"/>
          <w:szCs w:val="16"/>
          <w:color w:val="auto"/>
        </w:rPr>
        <w:t>.</w:t>
      </w:r>
    </w:p>
    <w:p>
      <w:pPr>
        <w:spacing w:after="0" w:line="110" w:lineRule="exact"/>
        <w:rPr>
          <w:rFonts w:ascii="Arial" w:cs="Arial" w:eastAsia="Arial" w:hAnsi="Arial"/>
          <w:sz w:val="16"/>
          <w:szCs w:val="16"/>
          <w:color w:val="auto"/>
        </w:rPr>
      </w:pPr>
    </w:p>
    <w:p>
      <w:pPr>
        <w:ind w:right="20" w:firstLine="656"/>
        <w:spacing w:after="0" w:line="288" w:lineRule="auto"/>
        <w:tabs>
          <w:tab w:leader="none" w:pos="1008"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Rejection Right</w:t>
      </w:r>
      <w:r>
        <w:rPr>
          <w:rFonts w:ascii="Arial" w:cs="Arial" w:eastAsia="Arial" w:hAnsi="Arial"/>
          <w:sz w:val="16"/>
          <w:szCs w:val="16"/>
          <w:color w:val="auto"/>
        </w:rPr>
        <w:t xml:space="preserve">. Holdings or the Borrower shall notify the Administrative Agent in writing of any mandatory prepayment of Term Loans required to be made pursuant to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at least three Business Days prior to the date of such prepayment. Each such notice shall specify the date of such prepayment and provide a reasonably detailed calculation of the amount of such prepayment. The Administrative Agent will promptly notify each Lender holding Term Loans of the contents of such prepayment notice and of such Lender’s pro rata share of the prepayment. Each Term Loan Lender may reject all (but not less than all) of its pro rata share of any mandatory prepayment other than any such mandatory prepayment with respect to a Debt Incurrence Prepayment Event under </w:t>
      </w:r>
      <w:r>
        <w:rPr>
          <w:rFonts w:ascii="Arial" w:cs="Arial" w:eastAsia="Arial" w:hAnsi="Arial"/>
          <w:sz w:val="16"/>
          <w:szCs w:val="16"/>
          <w:u w:val="single" w:color="auto"/>
          <w:color w:val="auto"/>
        </w:rPr>
        <w:t>Section 5.2(a)(i)</w:t>
      </w:r>
      <w:r>
        <w:rPr>
          <w:rFonts w:ascii="Arial" w:cs="Arial" w:eastAsia="Arial" w:hAnsi="Arial"/>
          <w:sz w:val="16"/>
          <w:szCs w:val="16"/>
          <w:color w:val="auto"/>
        </w:rPr>
        <w:t xml:space="preserve"> or Permitted Other Indebtedness under </w:t>
      </w:r>
      <w:r>
        <w:rPr>
          <w:rFonts w:ascii="Arial" w:cs="Arial" w:eastAsia="Arial" w:hAnsi="Arial"/>
          <w:sz w:val="16"/>
          <w:szCs w:val="16"/>
          <w:u w:val="single" w:color="auto"/>
          <w:color w:val="auto"/>
        </w:rPr>
        <w:t>Section 5.2(a)(iii)</w:t>
      </w:r>
      <w:r>
        <w:rPr>
          <w:rFonts w:ascii="Arial" w:cs="Arial" w:eastAsia="Arial" w:hAnsi="Arial"/>
          <w:sz w:val="16"/>
          <w:szCs w:val="16"/>
          <w:color w:val="auto"/>
        </w:rPr>
        <w:t xml:space="preserve"> (such declined amounts, the “</w:t>
      </w:r>
      <w:r>
        <w:rPr>
          <w:rFonts w:ascii="Arial" w:cs="Arial" w:eastAsia="Arial" w:hAnsi="Arial"/>
          <w:sz w:val="16"/>
          <w:szCs w:val="16"/>
          <w:b w:val="1"/>
          <w:bCs w:val="1"/>
          <w:color w:val="auto"/>
        </w:rPr>
        <w:t>Declined</w:t>
      </w:r>
      <w:r>
        <w:rPr>
          <w:rFonts w:ascii="Arial" w:cs="Arial" w:eastAsia="Arial" w:hAnsi="Arial"/>
          <w:sz w:val="16"/>
          <w:szCs w:val="16"/>
          <w:color w:val="auto"/>
        </w:rPr>
        <w:t xml:space="preserve"> </w:t>
      </w:r>
      <w:r>
        <w:rPr>
          <w:rFonts w:ascii="Arial" w:cs="Arial" w:eastAsia="Arial" w:hAnsi="Arial"/>
          <w:sz w:val="16"/>
          <w:szCs w:val="16"/>
          <w:b w:val="1"/>
          <w:bCs w:val="1"/>
          <w:color w:val="auto"/>
        </w:rPr>
        <w:t>Proceeds</w:t>
      </w:r>
      <w:r>
        <w:rPr>
          <w:rFonts w:ascii="Arial" w:cs="Arial" w:eastAsia="Arial" w:hAnsi="Arial"/>
          <w:sz w:val="16"/>
          <w:szCs w:val="16"/>
          <w:color w:val="auto"/>
        </w:rPr>
        <w:t>”) of Term Loans required to be made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5.2(a)</w:t>
      </w:r>
      <w:r>
        <w:rPr>
          <w:rFonts w:ascii="Arial" w:cs="Arial" w:eastAsia="Arial" w:hAnsi="Arial"/>
          <w:sz w:val="16"/>
          <w:szCs w:val="16"/>
          <w:b w:val="1"/>
          <w:bCs w:val="1"/>
          <w:color w:val="auto"/>
        </w:rPr>
        <w:t xml:space="preserve"> </w:t>
      </w:r>
      <w:r>
        <w:rPr>
          <w:rFonts w:ascii="Arial" w:cs="Arial" w:eastAsia="Arial" w:hAnsi="Arial"/>
          <w:sz w:val="16"/>
          <w:szCs w:val="16"/>
          <w:color w:val="auto"/>
        </w:rPr>
        <w:t>by providing written notice (each, a “</w:t>
      </w:r>
      <w:r>
        <w:rPr>
          <w:rFonts w:ascii="Arial" w:cs="Arial" w:eastAsia="Arial" w:hAnsi="Arial"/>
          <w:sz w:val="16"/>
          <w:szCs w:val="16"/>
          <w:b w:val="1"/>
          <w:bCs w:val="1"/>
          <w:color w:val="auto"/>
        </w:rPr>
        <w:t>Rejection Notice</w:t>
      </w:r>
      <w:r>
        <w:rPr>
          <w:rFonts w:ascii="Arial" w:cs="Arial" w:eastAsia="Arial" w:hAnsi="Arial"/>
          <w:sz w:val="16"/>
          <w:szCs w:val="16"/>
          <w:color w:val="auto"/>
        </w:rPr>
        <w:t>”) to the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Agent no later than 5:00 p.m. (New York City time) one Business Day after the date of such Lender’s receipt of notice from the Administrative Agent regarding such prepayment. If a Lender fails to deliver a Rejection Notice to the Administrative Agent within the time frame specified above, any such failure will be deemed an acceptance of the total amount of such mandatory prepayment of Term Loans.</w:t>
      </w:r>
    </w:p>
    <w:p>
      <w:pPr>
        <w:spacing w:after="0" w:line="11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Method and Place of Payment</w:t>
      </w:r>
      <w:r>
        <w:rPr>
          <w:rFonts w:ascii="Arial" w:cs="Arial" w:eastAsia="Arial" w:hAnsi="Arial"/>
          <w:sz w:val="16"/>
          <w:szCs w:val="16"/>
          <w:color w:val="auto"/>
        </w:rPr>
        <w:t>.</w:t>
      </w:r>
    </w:p>
    <w:p>
      <w:pPr>
        <w:spacing w:after="0" w:line="171" w:lineRule="exact"/>
        <w:rPr>
          <w:sz w:val="20"/>
          <w:szCs w:val="20"/>
          <w:color w:val="auto"/>
        </w:rPr>
      </w:pPr>
    </w:p>
    <w:p>
      <w:pPr>
        <w:ind w:right="160" w:firstLine="656"/>
        <w:spacing w:after="0" w:line="255" w:lineRule="auto"/>
        <w:tabs>
          <w:tab w:leader="none" w:pos="1028"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Except as otherwise specifically provided herein, all payments under this Agreement shall be made by the Borrower, without set-off, counterclaim or deduction of any kind, to the Administrative Agent for the ratable account of the Lenders entitled thereto (or, in the case of the Swingline Loans to the Swingline Lender) or the Letter of Credit Issuer entitled thereto, as the case may be, not later than 2:00 p.m. (New York City time), in each case, on the date when due and shall be made in immediately available funds at the Administrative Agent’s Office or at such other office as the Administrative Agent shall specify for such purpose by notice to the Borrower (or, in the case of the Swingline Loans, at such office as the Swingline Lender shall specify for such purpose by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320" w:top="341" w:right="359" w:bottom="1440" w:gutter="0" w:footer="0" w:header="0"/>
        </w:sectPr>
      </w:pPr>
    </w:p>
    <w:bookmarkStart w:id="174" w:name="page175"/>
    <w:bookmarkEnd w:id="174"/>
    <w:p>
      <w:pPr>
        <w:ind w:right="20"/>
        <w:spacing w:after="0" w:line="272" w:lineRule="auto"/>
        <w:rPr>
          <w:sz w:val="20"/>
          <w:szCs w:val="20"/>
          <w:color w:val="auto"/>
        </w:rPr>
      </w:pPr>
      <w:r>
        <w:rPr>
          <w:rFonts w:ascii="Arial" w:cs="Arial" w:eastAsia="Arial" w:hAnsi="Arial"/>
          <w:sz w:val="17"/>
          <w:szCs w:val="17"/>
          <w:color w:val="auto"/>
        </w:rPr>
        <w:t>Notice to the Borrower), it being understood that written or facsimile notice by the Borrower to the Administrative Agent to make a payment from the funds in the Borrower’s account at the Administrative Agent’s Office shall constitute the making of such payment to the extent of such funds held in such account. All repayments or prepayments of any Loans (whether of principal, interest or otherwise) hereunder shall be made in the currency in which such Loans are denominated and all other payments under each Credit Document shall, unless otherwise specified in such Credit Document, be made in Dollars. The Administrative Agent will thereafter cause to be distributed on the same day (if payment was actually received by the Administrative Agent prior to 2:00 p.m. (New York City time) or, otherwise, on the next Business Day in the Administrative Agent’s sole discretion) like funds relating to the payment of principal or interest or Fees ratably to the Lenders entitled thereto.</w:t>
      </w:r>
    </w:p>
    <w:p>
      <w:pPr>
        <w:spacing w:after="0" w:line="123" w:lineRule="exact"/>
        <w:rPr>
          <w:sz w:val="20"/>
          <w:szCs w:val="20"/>
          <w:color w:val="auto"/>
        </w:rPr>
      </w:pPr>
    </w:p>
    <w:p>
      <w:pPr>
        <w:ind w:right="20" w:firstLine="656"/>
        <w:spacing w:after="0" w:line="275" w:lineRule="auto"/>
        <w:tabs>
          <w:tab w:leader="none" w:pos="1028"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Any payments under this Agreement that are made later than 2:00 p.m. (New York City time) may be deemed to have been made on the next succeeding Business Day in the Administrative Agent’s sole discretion for purposes of calculating interest thereon (or, in the case of the Swingline Loans, at the Swingline Lender’s sole discretion). Except as otherwise provided herein, whenever any payment to be made hereunder shall be stated to be due on a day that is not a Business Day, the due date thereof shall be extended to the next succeeding Business Day and, with respect to payments of principal, interest shall be payable during such extension at the applicable rate in effect immediately prior to such extension.</w:t>
      </w:r>
    </w:p>
    <w:p>
      <w:pPr>
        <w:spacing w:after="0" w:line="12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Net Payments</w:t>
      </w:r>
      <w:r>
        <w:rPr>
          <w:rFonts w:ascii="Arial" w:cs="Arial" w:eastAsia="Arial" w:hAnsi="Arial"/>
          <w:sz w:val="16"/>
          <w:szCs w:val="16"/>
          <w:color w:val="auto"/>
        </w:rPr>
        <w:t>.</w:t>
      </w:r>
    </w:p>
    <w:p>
      <w:pPr>
        <w:spacing w:after="0" w:line="171" w:lineRule="exact"/>
        <w:rPr>
          <w:sz w:val="20"/>
          <w:szCs w:val="20"/>
          <w:color w:val="auto"/>
        </w:rPr>
      </w:pPr>
    </w:p>
    <w:p>
      <w:pPr>
        <w:ind w:left="1040" w:hanging="384"/>
        <w:spacing w:after="0"/>
        <w:tabs>
          <w:tab w:leader="none" w:pos="104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Payments Free of Taxes; Obligation to Withhold; Payments on Account of Taxes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200" w:firstLine="899"/>
        <w:spacing w:after="0" w:line="277" w:lineRule="auto"/>
        <w:tabs>
          <w:tab w:leader="none" w:pos="1231" w:val="left"/>
        </w:tabs>
        <w:numPr>
          <w:ilvl w:val="1"/>
          <w:numId w:val="144"/>
        </w:numPr>
        <w:rPr>
          <w:rFonts w:ascii="Arial" w:cs="Arial" w:eastAsia="Arial" w:hAnsi="Arial"/>
          <w:sz w:val="18"/>
          <w:szCs w:val="18"/>
          <w:color w:val="auto"/>
        </w:rPr>
      </w:pPr>
      <w:r>
        <w:rPr>
          <w:rFonts w:ascii="Arial" w:cs="Arial" w:eastAsia="Arial" w:hAnsi="Arial"/>
          <w:sz w:val="18"/>
          <w:szCs w:val="18"/>
          <w:color w:val="auto"/>
        </w:rPr>
        <w:t>Any and all payments by or on account of any obligation of any Credit Party hereunder or under any other Credit Document shall to the extent permitted by applicable laws be made free and clear of and without reduction or withholding for any Taxes.</w:t>
      </w:r>
    </w:p>
    <w:p>
      <w:pPr>
        <w:spacing w:after="0" w:line="116" w:lineRule="exact"/>
        <w:rPr>
          <w:rFonts w:ascii="Arial" w:cs="Arial" w:eastAsia="Arial" w:hAnsi="Arial"/>
          <w:sz w:val="18"/>
          <w:szCs w:val="18"/>
          <w:color w:val="auto"/>
        </w:rPr>
      </w:pPr>
    </w:p>
    <w:p>
      <w:pPr>
        <w:ind w:right="60" w:firstLine="899"/>
        <w:spacing w:after="0" w:line="291" w:lineRule="auto"/>
        <w:tabs>
          <w:tab w:leader="none" w:pos="1291" w:val="left"/>
        </w:tabs>
        <w:numPr>
          <w:ilvl w:val="1"/>
          <w:numId w:val="144"/>
        </w:numPr>
        <w:rPr>
          <w:rFonts w:ascii="Arial" w:cs="Arial" w:eastAsia="Arial" w:hAnsi="Arial"/>
          <w:sz w:val="16"/>
          <w:szCs w:val="16"/>
          <w:color w:val="auto"/>
        </w:rPr>
      </w:pPr>
      <w:r>
        <w:rPr>
          <w:rFonts w:ascii="Arial" w:cs="Arial" w:eastAsia="Arial" w:hAnsi="Arial"/>
          <w:sz w:val="16"/>
          <w:szCs w:val="16"/>
          <w:color w:val="auto"/>
        </w:rPr>
        <w:t xml:space="preserve">If any Credit Party, the Administrative Agent or any other applicable Withholding Agent shall be required by applicable law to withhold or deduct any Taxes from any payment, then (A) such Withholding Agent shall withhold or make such deductions as are reasonably determined by such Withholding Agent to be required by applicable law, (B) such Withholding Agent shall timely pay the full amount withheld or deducted to the relevant Governmental Authority, and (C) to the extent that the withholding or deduction is made on account of Indemnified Taxes or Other Taxes, the sum payable by the applicable Credit Party shall be increased as necessary so that after any required withholding or deductions have been made (including withholding or deductions applicable to additional sums payable under this </w:t>
      </w:r>
      <w:r>
        <w:rPr>
          <w:rFonts w:ascii="Arial" w:cs="Arial" w:eastAsia="Arial" w:hAnsi="Arial"/>
          <w:sz w:val="16"/>
          <w:szCs w:val="16"/>
          <w:u w:val="single" w:color="auto"/>
          <w:color w:val="auto"/>
        </w:rPr>
        <w:t>Section 5.4</w:t>
      </w:r>
      <w:r>
        <w:rPr>
          <w:rFonts w:ascii="Arial" w:cs="Arial" w:eastAsia="Arial" w:hAnsi="Arial"/>
          <w:sz w:val="16"/>
          <w:szCs w:val="16"/>
          <w:color w:val="auto"/>
        </w:rPr>
        <w:t>) each Lender (or, in the case of a payment to the Administrative Agent for its own account, the Administrative Agent) receives an amount equal to the sum it would have received had no such withholding or deductions been made.</w:t>
      </w:r>
    </w:p>
    <w:p>
      <w:pPr>
        <w:spacing w:after="0" w:line="112" w:lineRule="exact"/>
        <w:rPr>
          <w:rFonts w:ascii="Arial" w:cs="Arial" w:eastAsia="Arial" w:hAnsi="Arial"/>
          <w:sz w:val="16"/>
          <w:szCs w:val="16"/>
          <w:color w:val="auto"/>
        </w:rPr>
      </w:pPr>
    </w:p>
    <w:p>
      <w:pPr>
        <w:ind w:right="140" w:firstLine="656"/>
        <w:spacing w:after="0" w:line="263" w:lineRule="auto"/>
        <w:tabs>
          <w:tab w:leader="none" w:pos="1038"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Without limiting the provisions of subsection (a) above, the Borrower shall timely pay any Other Taxes to the relevant Governmental Authority in accordance with applicable law or timely reimburse the Administrative Agent or any Lender for the payment of any Other Taxes.</w:t>
      </w:r>
    </w:p>
    <w:p>
      <w:pPr>
        <w:spacing w:after="0" w:line="129" w:lineRule="exact"/>
        <w:rPr>
          <w:rFonts w:ascii="Arial" w:cs="Arial" w:eastAsia="Arial" w:hAnsi="Arial"/>
          <w:sz w:val="18"/>
          <w:szCs w:val="18"/>
          <w:color w:val="auto"/>
        </w:rPr>
      </w:pPr>
    </w:p>
    <w:p>
      <w:pPr>
        <w:ind w:firstLine="656"/>
        <w:spacing w:after="0" w:line="269" w:lineRule="auto"/>
        <w:tabs>
          <w:tab w:leader="none" w:pos="1027" w:val="left"/>
        </w:tabs>
        <w:numPr>
          <w:ilvl w:val="0"/>
          <w:numId w:val="144"/>
        </w:numPr>
        <w:rPr>
          <w:rFonts w:ascii="Arial" w:cs="Arial" w:eastAsia="Arial" w:hAnsi="Arial"/>
          <w:sz w:val="17"/>
          <w:szCs w:val="17"/>
          <w:color w:val="auto"/>
        </w:rPr>
      </w:pPr>
      <w:r>
        <w:rPr>
          <w:rFonts w:ascii="Arial" w:cs="Arial" w:eastAsia="Arial" w:hAnsi="Arial"/>
          <w:sz w:val="17"/>
          <w:szCs w:val="17"/>
          <w:u w:val="single" w:color="auto"/>
          <w:color w:val="auto"/>
        </w:rPr>
        <w:t>Tax Indemnifications</w:t>
      </w:r>
      <w:r>
        <w:rPr>
          <w:rFonts w:ascii="Arial" w:cs="Arial" w:eastAsia="Arial" w:hAnsi="Arial"/>
          <w:sz w:val="17"/>
          <w:szCs w:val="17"/>
          <w:color w:val="auto"/>
        </w:rPr>
        <w:t xml:space="preserve">. Without limiting the provisions of subsection (a) or (b) above, the Borrower shall indemnify the Administrative Agent and each Lender, and shall make payment in respect thereof within 15 days after demand therefor, for the full amount of Indemnified Taxes or Other Taxes (including Indemnified Taxes or Other Taxes imposed or asserted on or attributable to amounts payable under this </w:t>
      </w:r>
      <w:r>
        <w:rPr>
          <w:rFonts w:ascii="Arial" w:cs="Arial" w:eastAsia="Arial" w:hAnsi="Arial"/>
          <w:sz w:val="17"/>
          <w:szCs w:val="17"/>
          <w:u w:val="single" w:color="auto"/>
          <w:color w:val="auto"/>
        </w:rPr>
        <w:t>Section 5.4</w:t>
      </w:r>
      <w:r>
        <w:rPr>
          <w:rFonts w:ascii="Arial" w:cs="Arial" w:eastAsia="Arial" w:hAnsi="Arial"/>
          <w:sz w:val="17"/>
          <w:szCs w:val="17"/>
          <w:color w:val="auto"/>
        </w:rPr>
        <w:t>) payable by the Administrative Agent or such Lender, as the case may be, and any reasonable expenses arising therefrom or with respect thereto, whether or not such Indemnified Taxes or Other Taxes were correctly or legally imposed or asserted by the relevant Governmental Authority. A certificate as to the amount of any such payment or liability (along with a written statement setting forth in reasonable detail the basis and calculation of such amounts) delivered to the Borrower by a Lender, or by the Administrative Agent on its own behalf or on behalf of a Lender, shall be conclusive absent manifest error. If the Borrower reasonably believes that any such Indemnified Taxes or Other Taxes were not correctly or legally asserted, the Administrative Agent and/or each affected Lender will use reasonable efforts to cooperate with the Borrower in pursuing a refund of such Indemnified Taxes or Other Taxes so long as such efforts would not, in the sole determination of the Administrative Agent or affected Lender, result in any additional costs, expenses or risks or be otherwise disadvantageous to it.</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320" w:top="341" w:right="359" w:bottom="1440" w:gutter="0" w:footer="0" w:header="0"/>
        </w:sectPr>
      </w:pPr>
    </w:p>
    <w:bookmarkStart w:id="175" w:name="page176"/>
    <w:bookmarkEnd w:id="175"/>
    <w:p>
      <w:pPr>
        <w:ind w:left="-20" w:firstLine="656"/>
        <w:spacing w:after="0" w:line="301" w:lineRule="auto"/>
        <w:tabs>
          <w:tab w:leader="none" w:pos="1018"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Evidence of Payments</w:t>
      </w:r>
      <w:r>
        <w:rPr>
          <w:rFonts w:ascii="Arial" w:cs="Arial" w:eastAsia="Arial" w:hAnsi="Arial"/>
          <w:sz w:val="16"/>
          <w:szCs w:val="16"/>
          <w:color w:val="auto"/>
        </w:rPr>
        <w:t xml:space="preserve">. After any payment of Taxes by any Credit Party or the Administrative Agent to a Governmental Authority as provided in this </w:t>
      </w:r>
      <w:r>
        <w:rPr>
          <w:rFonts w:ascii="Arial" w:cs="Arial" w:eastAsia="Arial" w:hAnsi="Arial"/>
          <w:sz w:val="16"/>
          <w:szCs w:val="16"/>
          <w:u w:val="single" w:color="auto"/>
          <w:color w:val="auto"/>
        </w:rPr>
        <w:t>Section 5.4</w:t>
      </w:r>
      <w:r>
        <w:rPr>
          <w:rFonts w:ascii="Arial" w:cs="Arial" w:eastAsia="Arial" w:hAnsi="Arial"/>
          <w:sz w:val="16"/>
          <w:szCs w:val="16"/>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157" w:lineRule="exact"/>
        <w:rPr>
          <w:rFonts w:ascii="Arial" w:cs="Arial" w:eastAsia="Arial" w:hAnsi="Arial"/>
          <w:sz w:val="16"/>
          <w:szCs w:val="16"/>
          <w:color w:val="auto"/>
        </w:rPr>
      </w:pPr>
    </w:p>
    <w:p>
      <w:pPr>
        <w:ind w:left="1020" w:hanging="384"/>
        <w:spacing w:after="0"/>
        <w:tabs>
          <w:tab w:leader="none" w:pos="1020"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Status of Lenders and Tax Documentation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 w:right="40" w:firstLine="899"/>
        <w:spacing w:after="0" w:line="268" w:lineRule="auto"/>
        <w:tabs>
          <w:tab w:leader="none" w:pos="1221" w:val="left"/>
        </w:tabs>
        <w:numPr>
          <w:ilvl w:val="1"/>
          <w:numId w:val="145"/>
        </w:numPr>
        <w:rPr>
          <w:rFonts w:ascii="Arial" w:cs="Arial" w:eastAsia="Arial" w:hAnsi="Arial"/>
          <w:sz w:val="17"/>
          <w:szCs w:val="17"/>
          <w:color w:val="auto"/>
        </w:rPr>
      </w:pPr>
      <w:r>
        <w:rPr>
          <w:rFonts w:ascii="Arial" w:cs="Arial" w:eastAsia="Arial" w:hAnsi="Arial"/>
          <w:sz w:val="17"/>
          <w:szCs w:val="17"/>
          <w:color w:val="auto"/>
        </w:rPr>
        <w:t xml:space="preserve">Each Lender shall deliver to the Borrower and to the Administrative Agent, at such time or times reasonably requested by the Borrower or the Administrative Agent, such properly completed and executed documentation prescribed by applicable laws or by the taxing authorities of any jurisdiction and such other reasonably requested information as will permit the Borrower or the Administrative Agent, as the case may be, to determine (A) whether or not any payments made hereunder or under any other Credit Document are subject to Taxes, (B) if applicable, the required rate of withholding or deduction, and (C) such Lender’s entitlement to any available exemption from, or reduction of, applicable Taxes in respect of any payments to be made to such Lender by any Credit Party pursuant to any Credit Document or otherwise to establish such Lender’s status for withholding tax purposes in the applicable jurisdiction. Any documentation and information required to be delivered by a Lender pursuant to this </w:t>
      </w:r>
      <w:r>
        <w:rPr>
          <w:rFonts w:ascii="Arial" w:cs="Arial" w:eastAsia="Arial" w:hAnsi="Arial"/>
          <w:sz w:val="17"/>
          <w:szCs w:val="17"/>
          <w:u w:val="single" w:color="auto"/>
          <w:color w:val="auto"/>
        </w:rPr>
        <w:t>Section 5.4(e)</w:t>
      </w:r>
      <w:r>
        <w:rPr>
          <w:rFonts w:ascii="Arial" w:cs="Arial" w:eastAsia="Arial" w:hAnsi="Arial"/>
          <w:sz w:val="17"/>
          <w:szCs w:val="17"/>
          <w:color w:val="auto"/>
        </w:rPr>
        <w:t xml:space="preserve"> (including any specific documentation set forth in subsection (ii) below) shall be delivered by such Lender (i) on or prior to the Restatement Effective Date (or on or prior to the date it becomes a party to this Agreement), (ii) on or before any date on which such documentation expires or becomes obsolete or invalid, (iii) after the occurrence of any change in the Lender’s circumstances requiring a change in the most recent documentation previously delivered by it to the Borrower and the Administrative Agent, and (iv) from time to time thereafter if reasonably requested by the Borrower or the Administrative Agent, and each such Lender shall promptly notify in writing the Borrower and the Administrative Agent if such Lender is no longer legally eligible to provide any documentation previously provided.</w:t>
      </w:r>
    </w:p>
    <w:p>
      <w:pPr>
        <w:spacing w:after="0" w:line="105" w:lineRule="exact"/>
        <w:rPr>
          <w:rFonts w:ascii="Arial" w:cs="Arial" w:eastAsia="Arial" w:hAnsi="Arial"/>
          <w:sz w:val="17"/>
          <w:szCs w:val="17"/>
          <w:color w:val="auto"/>
        </w:rPr>
      </w:pPr>
    </w:p>
    <w:p>
      <w:pPr>
        <w:ind w:left="1280" w:hanging="401"/>
        <w:spacing w:after="0"/>
        <w:tabs>
          <w:tab w:leader="none" w:pos="12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140" w:lineRule="exact"/>
        <w:rPr>
          <w:rFonts w:ascii="Arial" w:cs="Arial" w:eastAsia="Arial" w:hAnsi="Arial"/>
          <w:sz w:val="18"/>
          <w:szCs w:val="18"/>
          <w:color w:val="auto"/>
        </w:rPr>
      </w:pPr>
    </w:p>
    <w:p>
      <w:pPr>
        <w:ind w:left="640" w:right="20" w:firstLine="644"/>
        <w:spacing w:after="0" w:line="258" w:lineRule="auto"/>
        <w:tabs>
          <w:tab w:leader="none" w:pos="1718" w:val="left"/>
        </w:tabs>
        <w:numPr>
          <w:ilvl w:val="2"/>
          <w:numId w:val="145"/>
        </w:numPr>
        <w:rPr>
          <w:rFonts w:ascii="Arial" w:cs="Arial" w:eastAsia="Arial" w:hAnsi="Arial"/>
          <w:sz w:val="18"/>
          <w:szCs w:val="18"/>
          <w:color w:val="auto"/>
        </w:rPr>
      </w:pPr>
      <w:r>
        <w:rPr>
          <w:rFonts w:ascii="Arial" w:cs="Arial" w:eastAsia="Arial" w:hAnsi="Arial"/>
          <w:sz w:val="18"/>
          <w:szCs w:val="18"/>
          <w:color w:val="auto"/>
        </w:rPr>
        <w:t>any Lender that is a “United States person” within the meaning of Section 7701(a)(30) of the Code (a “</w:t>
      </w:r>
      <w:r>
        <w:rPr>
          <w:rFonts w:ascii="Arial" w:cs="Arial" w:eastAsia="Arial" w:hAnsi="Arial"/>
          <w:sz w:val="18"/>
          <w:szCs w:val="18"/>
          <w:b w:val="1"/>
          <w:bCs w:val="1"/>
          <w:color w:val="auto"/>
        </w:rPr>
        <w:t>U.S. Lender</w:t>
      </w:r>
      <w:r>
        <w:rPr>
          <w:rFonts w:ascii="Arial" w:cs="Arial" w:eastAsia="Arial" w:hAnsi="Arial"/>
          <w:sz w:val="18"/>
          <w:szCs w:val="18"/>
          <w:color w:val="auto"/>
        </w:rPr>
        <w:t>”) shall deliver to the Borrower and the Administrative Agent executed originals of Internal Revenue Service Form W-9 or such other documentation or information prescribed by applicable laws or reasonably requested by the Borrower or the Administrative Agent as will enable the Borrower or the Administrative Agent, as the case may be, to determine whether or not such Lender is subject to backup withholding or information reporting requirements;</w:t>
      </w:r>
    </w:p>
    <w:p>
      <w:pPr>
        <w:spacing w:after="0" w:line="106" w:lineRule="exact"/>
        <w:rPr>
          <w:rFonts w:ascii="Arial" w:cs="Arial" w:eastAsia="Arial" w:hAnsi="Arial"/>
          <w:sz w:val="18"/>
          <w:szCs w:val="18"/>
          <w:color w:val="auto"/>
        </w:rPr>
      </w:pPr>
    </w:p>
    <w:p>
      <w:pPr>
        <w:ind w:left="640" w:right="80" w:firstLine="644"/>
        <w:spacing w:after="0" w:line="286" w:lineRule="auto"/>
        <w:tabs>
          <w:tab w:leader="none" w:pos="1708" w:val="left"/>
        </w:tabs>
        <w:numPr>
          <w:ilvl w:val="2"/>
          <w:numId w:val="145"/>
        </w:numPr>
        <w:rPr>
          <w:rFonts w:ascii="Arial" w:cs="Arial" w:eastAsia="Arial" w:hAnsi="Arial"/>
          <w:sz w:val="17"/>
          <w:szCs w:val="17"/>
          <w:color w:val="auto"/>
        </w:rPr>
      </w:pPr>
      <w:r>
        <w:rPr>
          <w:rFonts w:ascii="Arial" w:cs="Arial" w:eastAsia="Arial" w:hAnsi="Arial"/>
          <w:sz w:val="17"/>
          <w:szCs w:val="17"/>
          <w:color w:val="auto"/>
        </w:rPr>
        <w:t>each Non-U.S. Lender that is entitled under the Code or any applicable treaty to an exemption from or reduction of U.S. federal withholding tax with respect to any payments hereunder or under any other Credit Document shall deliver to the Borrower and the Administrative Agent (in such number of copies as shall be requested by the recipient) whichever of the following is applicable:</w:t>
      </w:r>
    </w:p>
    <w:p>
      <w:pPr>
        <w:spacing w:after="0" w:line="84" w:lineRule="exact"/>
        <w:rPr>
          <w:rFonts w:ascii="Arial" w:cs="Arial" w:eastAsia="Arial" w:hAnsi="Arial"/>
          <w:sz w:val="17"/>
          <w:szCs w:val="17"/>
          <w:color w:val="auto"/>
        </w:rPr>
      </w:pPr>
    </w:p>
    <w:p>
      <w:pPr>
        <w:ind w:left="1280" w:right="540" w:firstLine="652"/>
        <w:spacing w:after="0" w:line="277" w:lineRule="auto"/>
        <w:tabs>
          <w:tab w:leader="none" w:pos="2318" w:val="left"/>
        </w:tabs>
        <w:numPr>
          <w:ilvl w:val="3"/>
          <w:numId w:val="145"/>
        </w:numPr>
        <w:rPr>
          <w:rFonts w:ascii="Arial" w:cs="Arial" w:eastAsia="Arial" w:hAnsi="Arial"/>
          <w:sz w:val="18"/>
          <w:szCs w:val="18"/>
          <w:color w:val="010000"/>
        </w:rPr>
      </w:pPr>
      <w:r>
        <w:rPr>
          <w:rFonts w:ascii="Arial" w:cs="Arial" w:eastAsia="Arial" w:hAnsi="Arial"/>
          <w:sz w:val="18"/>
          <w:szCs w:val="18"/>
          <w:color w:val="auto"/>
        </w:rPr>
        <w:t>executed originals of Internal Revenue Service Form W-8BEN or W-8BEN-E, as applicable, (or any successor form thereto) claiming eligibility for benefits of an income tax treaty to which the United States is a party;</w:t>
      </w:r>
    </w:p>
    <w:p>
      <w:pPr>
        <w:spacing w:after="0" w:line="89" w:lineRule="exact"/>
        <w:rPr>
          <w:rFonts w:ascii="Arial" w:cs="Arial" w:eastAsia="Arial" w:hAnsi="Arial"/>
          <w:sz w:val="18"/>
          <w:szCs w:val="18"/>
          <w:color w:val="010000"/>
        </w:rPr>
      </w:pPr>
    </w:p>
    <w:p>
      <w:pPr>
        <w:ind w:left="2320" w:hanging="388"/>
        <w:spacing w:after="0"/>
        <w:tabs>
          <w:tab w:leader="none" w:pos="2320" w:val="left"/>
        </w:tabs>
        <w:numPr>
          <w:ilvl w:val="3"/>
          <w:numId w:val="145"/>
        </w:numPr>
        <w:rPr>
          <w:rFonts w:ascii="Arial" w:cs="Arial" w:eastAsia="Arial" w:hAnsi="Arial"/>
          <w:sz w:val="18"/>
          <w:szCs w:val="18"/>
          <w:color w:val="010000"/>
        </w:rPr>
      </w:pPr>
      <w:r>
        <w:rPr>
          <w:rFonts w:ascii="Arial" w:cs="Arial" w:eastAsia="Arial" w:hAnsi="Arial"/>
          <w:sz w:val="18"/>
          <w:szCs w:val="18"/>
          <w:color w:val="auto"/>
        </w:rPr>
        <w:t>executed originals of Internal Revenue Service Form W-8ECI (or any successor form thereto);</w:t>
      </w:r>
    </w:p>
    <w:p>
      <w:pPr>
        <w:spacing w:after="0" w:line="144" w:lineRule="exact"/>
        <w:rPr>
          <w:rFonts w:ascii="Arial" w:cs="Arial" w:eastAsia="Arial" w:hAnsi="Arial"/>
          <w:sz w:val="18"/>
          <w:szCs w:val="18"/>
          <w:color w:val="010000"/>
        </w:rPr>
      </w:pPr>
    </w:p>
    <w:p>
      <w:pPr>
        <w:ind w:left="1280" w:firstLine="652"/>
        <w:spacing w:after="0" w:line="296" w:lineRule="auto"/>
        <w:tabs>
          <w:tab w:leader="none" w:pos="2318" w:val="left"/>
        </w:tabs>
        <w:numPr>
          <w:ilvl w:val="3"/>
          <w:numId w:val="145"/>
        </w:numPr>
        <w:rPr>
          <w:rFonts w:ascii="Arial" w:cs="Arial" w:eastAsia="Arial" w:hAnsi="Arial"/>
          <w:sz w:val="16"/>
          <w:szCs w:val="16"/>
          <w:color w:val="010000"/>
        </w:rPr>
      </w:pPr>
      <w:r>
        <w:rPr>
          <w:rFonts w:ascii="Arial" w:cs="Arial" w:eastAsia="Arial" w:hAnsi="Arial"/>
          <w:sz w:val="16"/>
          <w:szCs w:val="16"/>
          <w:color w:val="auto"/>
        </w:rPr>
        <w:t xml:space="preserve">in the case of a Non-U.S. Lender claiming the benefits of the exemption for portfolio interest under Section 881(c) of the Code, (x) a certificate, substantially in the form of </w:t>
      </w:r>
      <w:r>
        <w:rPr>
          <w:rFonts w:ascii="Arial" w:cs="Arial" w:eastAsia="Arial" w:hAnsi="Arial"/>
          <w:sz w:val="16"/>
          <w:szCs w:val="16"/>
          <w:u w:val="single" w:color="auto"/>
          <w:color w:val="auto"/>
        </w:rPr>
        <w:t>Exhibit J-1</w:t>
      </w:r>
      <w:r>
        <w:rPr>
          <w:rFonts w:ascii="Arial" w:cs="Arial" w:eastAsia="Arial" w:hAnsi="Arial"/>
          <w:sz w:val="16"/>
          <w:szCs w:val="16"/>
          <w:color w:val="auto"/>
        </w:rPr>
        <w:t xml:space="preserve">, </w:t>
      </w:r>
      <w:r>
        <w:rPr>
          <w:rFonts w:ascii="Arial" w:cs="Arial" w:eastAsia="Arial" w:hAnsi="Arial"/>
          <w:sz w:val="16"/>
          <w:szCs w:val="16"/>
          <w:u w:val="single" w:color="auto"/>
          <w:color w:val="auto"/>
        </w:rPr>
        <w:t>J-2</w:t>
      </w:r>
      <w:r>
        <w:rPr>
          <w:rFonts w:ascii="Arial" w:cs="Arial" w:eastAsia="Arial" w:hAnsi="Arial"/>
          <w:sz w:val="16"/>
          <w:szCs w:val="16"/>
          <w:color w:val="auto"/>
        </w:rPr>
        <w:t xml:space="preserve">, </w:t>
      </w:r>
      <w:r>
        <w:rPr>
          <w:rFonts w:ascii="Arial" w:cs="Arial" w:eastAsia="Arial" w:hAnsi="Arial"/>
          <w:sz w:val="16"/>
          <w:szCs w:val="16"/>
          <w:u w:val="single" w:color="auto"/>
          <w:color w:val="auto"/>
        </w:rPr>
        <w:t>J-3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J-4</w:t>
      </w:r>
      <w:r>
        <w:rPr>
          <w:rFonts w:ascii="Arial" w:cs="Arial" w:eastAsia="Arial" w:hAnsi="Arial"/>
          <w:sz w:val="16"/>
          <w:szCs w:val="16"/>
          <w:color w:val="auto"/>
        </w:rPr>
        <w:t>, as applicable, (a “</w:t>
      </w:r>
      <w:r>
        <w:rPr>
          <w:rFonts w:ascii="Arial" w:cs="Arial" w:eastAsia="Arial" w:hAnsi="Arial"/>
          <w:sz w:val="16"/>
          <w:szCs w:val="16"/>
          <w:b w:val="1"/>
          <w:bCs w:val="1"/>
          <w:color w:val="auto"/>
        </w:rPr>
        <w:t>Non-Bank Tax Certificate</w:t>
      </w:r>
      <w:r>
        <w:rPr>
          <w:rFonts w:ascii="Arial" w:cs="Arial" w:eastAsia="Arial" w:hAnsi="Arial"/>
          <w:sz w:val="16"/>
          <w:szCs w:val="16"/>
          <w:color w:val="auto"/>
        </w:rPr>
        <w:t>”), to the effect that such Non-U.S. Lender is not (A) a “bank” within the meaning of Section 881(c)(3)(A) of the Code, (B) a “10 percent shareholder” of the Borrower within the meaning of Section 881(c)(3)(B) of the Code, or (C) a “controlled foreign corporation” described in Section 881(c)(3)(C) of the Code and that no payments under any Credit Document are effectively connected with such Non-U.S.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340" w:top="341" w:right="339" w:bottom="1440" w:gutter="0" w:footer="0" w:header="0"/>
        </w:sectPr>
      </w:pPr>
    </w:p>
    <w:bookmarkStart w:id="176" w:name="page177"/>
    <w:bookmarkEnd w:id="176"/>
    <w:p>
      <w:pPr>
        <w:ind w:left="1280"/>
        <w:spacing w:after="0" w:line="277" w:lineRule="auto"/>
        <w:rPr>
          <w:sz w:val="20"/>
          <w:szCs w:val="20"/>
          <w:color w:val="auto"/>
        </w:rPr>
      </w:pPr>
      <w:r>
        <w:rPr>
          <w:rFonts w:ascii="Arial" w:cs="Arial" w:eastAsia="Arial" w:hAnsi="Arial"/>
          <w:sz w:val="18"/>
          <w:szCs w:val="18"/>
          <w:color w:val="auto"/>
        </w:rPr>
        <w:t>Lender’s conduct of a United States trade or business and (y) executed originals of Internal Revenue Service Form W-8BEN or W-8BEN-E, as applicable (or any successor thereto);</w:t>
      </w:r>
    </w:p>
    <w:p>
      <w:pPr>
        <w:spacing w:after="0" w:line="89" w:lineRule="exact"/>
        <w:rPr>
          <w:sz w:val="20"/>
          <w:szCs w:val="20"/>
          <w:color w:val="auto"/>
        </w:rPr>
      </w:pPr>
    </w:p>
    <w:p>
      <w:pPr>
        <w:ind w:left="1280" w:right="100" w:firstLine="652"/>
        <w:spacing w:after="0" w:line="296" w:lineRule="auto"/>
        <w:tabs>
          <w:tab w:leader="none" w:pos="2318" w:val="left"/>
        </w:tabs>
        <w:numPr>
          <w:ilvl w:val="3"/>
          <w:numId w:val="146"/>
        </w:numPr>
        <w:rPr>
          <w:rFonts w:ascii="Arial" w:cs="Arial" w:eastAsia="Arial" w:hAnsi="Arial"/>
          <w:sz w:val="16"/>
          <w:szCs w:val="16"/>
          <w:color w:val="010000"/>
        </w:rPr>
      </w:pPr>
      <w:r>
        <w:rPr>
          <w:rFonts w:ascii="Arial" w:cs="Arial" w:eastAsia="Arial" w:hAnsi="Arial"/>
          <w:sz w:val="16"/>
          <w:szCs w:val="16"/>
          <w:color w:val="auto"/>
        </w:rPr>
        <w:t>where such Lender is a partnership (for U.S. federal income tax purposes) or otherwise not a beneficial owner (e.g., where such Lender has sold a participation), IRS Form W-8IMY (or any successor thereto) and all required supporting documentation (including, where one or more of the underlying beneficial owner(s) is claiming the benefits of the portfolio interest exemption, a Non-Bank Tax Certificate of such beneficial owner(s))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Non-U.S. Lender is a partnership and not a participating Lender, the Non-Bank Tax Certificate(s) may be provided by the Non-U.S. Lender on behalf of the direct or indirect partner(s)); or</w:t>
      </w:r>
    </w:p>
    <w:p>
      <w:pPr>
        <w:spacing w:after="0" w:line="80" w:lineRule="exact"/>
        <w:rPr>
          <w:rFonts w:ascii="Arial" w:cs="Arial" w:eastAsia="Arial" w:hAnsi="Arial"/>
          <w:sz w:val="16"/>
          <w:szCs w:val="16"/>
          <w:color w:val="010000"/>
        </w:rPr>
      </w:pPr>
    </w:p>
    <w:p>
      <w:pPr>
        <w:jc w:val="both"/>
        <w:ind w:left="1280" w:right="20" w:firstLine="652"/>
        <w:spacing w:after="0" w:line="286" w:lineRule="auto"/>
        <w:tabs>
          <w:tab w:leader="none" w:pos="2318" w:val="left"/>
        </w:tabs>
        <w:numPr>
          <w:ilvl w:val="3"/>
          <w:numId w:val="146"/>
        </w:numPr>
        <w:rPr>
          <w:rFonts w:ascii="Arial" w:cs="Arial" w:eastAsia="Arial" w:hAnsi="Arial"/>
          <w:sz w:val="17"/>
          <w:szCs w:val="17"/>
          <w:color w:val="010000"/>
        </w:rPr>
      </w:pPr>
      <w:r>
        <w:rPr>
          <w:rFonts w:ascii="Arial" w:cs="Arial" w:eastAsia="Arial" w:hAnsi="Arial"/>
          <w:sz w:val="17"/>
          <w:szCs w:val="17"/>
          <w:color w:val="auto"/>
        </w:rPr>
        <w:t>executed originals of any other form prescribed by applicable laws as a basis for claiming exemption from or a reduction in United States federal withholding tax together with such supplementary documentation as may be prescribed by applicable laws to permit the Borrower or the Administrative Agent to determine the withholding or deduction required to be made;</w:t>
      </w:r>
    </w:p>
    <w:p>
      <w:pPr>
        <w:spacing w:after="0" w:line="84" w:lineRule="exact"/>
        <w:rPr>
          <w:rFonts w:ascii="Arial" w:cs="Arial" w:eastAsia="Arial" w:hAnsi="Arial"/>
          <w:sz w:val="17"/>
          <w:szCs w:val="17"/>
          <w:color w:val="010000"/>
        </w:rPr>
      </w:pPr>
    </w:p>
    <w:p>
      <w:pPr>
        <w:ind w:left="640" w:right="20" w:firstLine="644"/>
        <w:spacing w:after="0" w:line="253" w:lineRule="auto"/>
        <w:tabs>
          <w:tab w:leader="none" w:pos="1708" w:val="left"/>
        </w:tabs>
        <w:numPr>
          <w:ilvl w:val="2"/>
          <w:numId w:val="147"/>
        </w:numPr>
        <w:rPr>
          <w:rFonts w:ascii="Arial" w:cs="Arial" w:eastAsia="Arial" w:hAnsi="Arial"/>
          <w:sz w:val="18"/>
          <w:szCs w:val="18"/>
          <w:color w:val="auto"/>
        </w:rPr>
      </w:pPr>
      <w:r>
        <w:rPr>
          <w:rFonts w:ascii="Arial" w:cs="Arial" w:eastAsia="Arial" w:hAnsi="Arial"/>
          <w:sz w:val="18"/>
          <w:szCs w:val="18"/>
          <w:color w:val="auto"/>
        </w:rPr>
        <w:t xml:space="preserve">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complied with such Lender’s obligations under FATCA or to determine the amount, if any, to deduct and withhold from such payment. Solely for purposes of this </w:t>
      </w:r>
      <w:r>
        <w:rPr>
          <w:rFonts w:ascii="Arial" w:cs="Arial" w:eastAsia="Arial" w:hAnsi="Arial"/>
          <w:sz w:val="18"/>
          <w:szCs w:val="18"/>
          <w:u w:val="single" w:color="auto"/>
          <w:color w:val="auto"/>
        </w:rPr>
        <w:t>clause (C)</w:t>
      </w:r>
      <w:r>
        <w:rPr>
          <w:rFonts w:ascii="Arial" w:cs="Arial" w:eastAsia="Arial" w:hAnsi="Arial"/>
          <w:sz w:val="18"/>
          <w:szCs w:val="18"/>
          <w:color w:val="auto"/>
        </w:rPr>
        <w:t>, “FATCA” shall include any amendments made to FATCA after the date of this Agreement; and</w:t>
      </w:r>
    </w:p>
    <w:p>
      <w:pPr>
        <w:spacing w:after="0" w:line="115" w:lineRule="exact"/>
        <w:rPr>
          <w:rFonts w:ascii="Arial" w:cs="Arial" w:eastAsia="Arial" w:hAnsi="Arial"/>
          <w:sz w:val="18"/>
          <w:szCs w:val="18"/>
          <w:color w:val="auto"/>
        </w:rPr>
      </w:pPr>
    </w:p>
    <w:p>
      <w:pPr>
        <w:ind w:left="640" w:right="360" w:firstLine="644"/>
        <w:spacing w:after="0" w:line="259" w:lineRule="auto"/>
        <w:tabs>
          <w:tab w:leader="none" w:pos="1718" w:val="left"/>
        </w:tabs>
        <w:numPr>
          <w:ilvl w:val="2"/>
          <w:numId w:val="147"/>
        </w:numPr>
        <w:rPr>
          <w:rFonts w:ascii="Arial" w:cs="Arial" w:eastAsia="Arial" w:hAnsi="Arial"/>
          <w:sz w:val="18"/>
          <w:szCs w:val="18"/>
          <w:color w:val="auto"/>
        </w:rPr>
      </w:pPr>
      <w:r>
        <w:rPr>
          <w:rFonts w:ascii="Arial" w:cs="Arial" w:eastAsia="Arial" w:hAnsi="Arial"/>
          <w:sz w:val="18"/>
          <w:szCs w:val="18"/>
          <w:color w:val="auto"/>
        </w:rPr>
        <w:t>If the Administrative Agent is a “United States person” (as defined in Section 7701(a)(30) of the Code), it shall provide the Borrower with two duly completed original copies of Internal Revenue Service Form W-9. If the Administrative Agent is not a “United States person” (as defined in Section 7701(a)(3) of the Code), it shall provide applicable Form W-8 (together with required accompanying documentation) with respect to payments to be received by it on behalf of the Lenders.</w:t>
      </w:r>
    </w:p>
    <w:p>
      <w:pPr>
        <w:spacing w:after="0" w:line="105" w:lineRule="exact"/>
        <w:rPr>
          <w:rFonts w:ascii="Arial" w:cs="Arial" w:eastAsia="Arial" w:hAnsi="Arial"/>
          <w:sz w:val="18"/>
          <w:szCs w:val="18"/>
          <w:color w:val="auto"/>
        </w:rPr>
      </w:pPr>
    </w:p>
    <w:p>
      <w:pPr>
        <w:ind w:left="-20" w:right="400" w:firstLine="899"/>
        <w:spacing w:after="0" w:line="277" w:lineRule="auto"/>
        <w:tabs>
          <w:tab w:leader="none" w:pos="1321" w:val="left"/>
        </w:tabs>
        <w:numPr>
          <w:ilvl w:val="1"/>
          <w:numId w:val="148"/>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5.4</w:t>
      </w:r>
      <w:r>
        <w:rPr>
          <w:rFonts w:ascii="Arial" w:cs="Arial" w:eastAsia="Arial" w:hAnsi="Arial"/>
          <w:sz w:val="18"/>
          <w:szCs w:val="18"/>
          <w:color w:val="auto"/>
        </w:rPr>
        <w:t>, no Lender or the Administrative Agent shall be required to deliver any documentation that it is not legally eligible to deliver.</w:t>
      </w:r>
    </w:p>
    <w:p>
      <w:pPr>
        <w:spacing w:after="0" w:line="89" w:lineRule="exact"/>
        <w:rPr>
          <w:rFonts w:ascii="Arial" w:cs="Arial" w:eastAsia="Arial" w:hAnsi="Arial"/>
          <w:sz w:val="18"/>
          <w:szCs w:val="18"/>
          <w:color w:val="auto"/>
        </w:rPr>
      </w:pPr>
    </w:p>
    <w:p>
      <w:pPr>
        <w:ind w:left="-20" w:firstLine="656"/>
        <w:spacing w:after="0" w:line="287" w:lineRule="auto"/>
        <w:tabs>
          <w:tab w:leader="none" w:pos="988"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xml:space="preserve">. If the Administrative Agent or any Lender determines, in its sole discretion exercised in good faith, that it has received a refund of any Indemnified Taxes or Other Taxes as to which it has been indemnified by any Credit Party or with respect to which any Credit Party has paid additional amounts pursuant to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the Administrative Agent or such Lender (as applicable) shall promptly pay to the Borrower an amount equal to such refund (but only to the extent of indemnity payments made, or additional amounts paid, by the Credit Parties under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with respect to the Indemnified Taxes or Other Taxes giving rise to such refund), net of all out-of-pocket expenses (including any Taxes) incurred by the Administrative Agent or such Lender, as the case may be,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upon the request of the Administrative Agent or such Lender, agrees to repay the amount paid over to the Borrower (plus any penalties, interest or other charges imposed by the relevant Governmental Authority) to the Administrative Agent or such Lender in the event the Administrative Agent or such Lender is required to repay such refund to such Governmental Authority. In such event, the Administrative Agent or such Lender, as the case may be, shall, at the Borrower’s request, provide the Borrower with a copy of any notice of assessment or other evidence of the requirement to repay such refund received from the relevant taxing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or such Lender may delete any information therein that it deems confidential). Notwithstanding anything to the contrary in this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340" w:top="341" w:right="339" w:bottom="1440" w:gutter="0" w:footer="0" w:header="0"/>
        </w:sectPr>
      </w:pPr>
    </w:p>
    <w:bookmarkStart w:id="177" w:name="page178"/>
    <w:bookmarkEnd w:id="177"/>
    <w:p>
      <w:pPr>
        <w:spacing w:after="0"/>
        <w:rPr>
          <w:sz w:val="20"/>
          <w:szCs w:val="20"/>
          <w:color w:val="auto"/>
        </w:rPr>
      </w:pPr>
      <w:r>
        <w:rPr>
          <w:rFonts w:ascii="Arial" w:cs="Arial" w:eastAsia="Arial" w:hAnsi="Arial"/>
          <w:sz w:val="16"/>
          <w:szCs w:val="16"/>
          <w:color w:val="auto"/>
        </w:rPr>
        <w:t>paragraph (f), in no event will the Administrative Agent or any Lender be required to pay any amount to an indemnifying party pursuant to this paragraph</w:t>
      </w:r>
    </w:p>
    <w:p>
      <w:pPr>
        <w:spacing w:after="0" w:line="46" w:lineRule="exact"/>
        <w:rPr>
          <w:sz w:val="20"/>
          <w:szCs w:val="20"/>
          <w:color w:val="auto"/>
        </w:rPr>
      </w:pPr>
    </w:p>
    <w:p>
      <w:pPr>
        <w:ind w:right="40" w:firstLine="8"/>
        <w:spacing w:after="0" w:line="253" w:lineRule="auto"/>
        <w:tabs>
          <w:tab w:leader="none" w:pos="22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payment of which would place the Administrative Agent or any Lender in a less favorable net after-Tax position than the Administrative Agent or any Lender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the Administrative Agent or any Lender to make available its Tax returns (or any other information relating to its Taxes that it deems confidential) to any Credit Party or any other Person.</w:t>
      </w:r>
    </w:p>
    <w:p>
      <w:pPr>
        <w:spacing w:after="0" w:line="190" w:lineRule="exact"/>
        <w:rPr>
          <w:rFonts w:ascii="Arial" w:cs="Arial" w:eastAsia="Arial" w:hAnsi="Arial"/>
          <w:sz w:val="18"/>
          <w:szCs w:val="18"/>
          <w:color w:val="auto"/>
        </w:rPr>
      </w:pPr>
    </w:p>
    <w:p>
      <w:pPr>
        <w:ind w:right="520" w:firstLine="656"/>
        <w:spacing w:after="0" w:line="277" w:lineRule="auto"/>
        <w:tabs>
          <w:tab w:leader="none" w:pos="103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 xml:space="preserve">For the avoidance of doubt, for purposes of this </w:t>
      </w:r>
      <w:r>
        <w:rPr>
          <w:rFonts w:ascii="Arial" w:cs="Arial" w:eastAsia="Arial" w:hAnsi="Arial"/>
          <w:sz w:val="18"/>
          <w:szCs w:val="18"/>
          <w:u w:val="single" w:color="auto"/>
          <w:color w:val="auto"/>
        </w:rPr>
        <w:t>Section 5.4</w:t>
      </w:r>
      <w:r>
        <w:rPr>
          <w:rFonts w:ascii="Arial" w:cs="Arial" w:eastAsia="Arial" w:hAnsi="Arial"/>
          <w:sz w:val="18"/>
          <w:szCs w:val="18"/>
          <w:color w:val="auto"/>
        </w:rPr>
        <w:t>, the term “Lender” includes any Letter of Credit Issuer and any Swingline Lender and the term “applicable law” includes FATCA.</w:t>
      </w:r>
    </w:p>
    <w:p>
      <w:pPr>
        <w:spacing w:after="0" w:line="170" w:lineRule="exact"/>
        <w:rPr>
          <w:rFonts w:ascii="Arial" w:cs="Arial" w:eastAsia="Arial" w:hAnsi="Arial"/>
          <w:sz w:val="18"/>
          <w:szCs w:val="18"/>
          <w:color w:val="auto"/>
        </w:rPr>
      </w:pPr>
    </w:p>
    <w:p>
      <w:pPr>
        <w:ind w:right="20" w:firstLine="656"/>
        <w:spacing w:after="0" w:line="263" w:lineRule="auto"/>
        <w:tabs>
          <w:tab w:leader="none" w:pos="103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 xml:space="preserve">Each party’s obligations under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the Credit Documents.</w:t>
      </w:r>
    </w:p>
    <w:p>
      <w:pPr>
        <w:spacing w:after="0" w:line="18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Computations of Interest and Fees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342" w:lineRule="auto"/>
        <w:tabs>
          <w:tab w:leader="none" w:pos="1028" w:val="left"/>
        </w:tabs>
        <w:numPr>
          <w:ilvl w:val="0"/>
          <w:numId w:val="151"/>
        </w:numPr>
        <w:rPr>
          <w:rFonts w:ascii="Arial" w:cs="Arial" w:eastAsia="Arial" w:hAnsi="Arial"/>
          <w:sz w:val="16"/>
          <w:szCs w:val="16"/>
          <w:color w:val="auto"/>
        </w:rPr>
      </w:pPr>
      <w:r>
        <w:rPr>
          <w:rFonts w:ascii="Arial" w:cs="Arial" w:eastAsia="Arial" w:hAnsi="Arial"/>
          <w:sz w:val="16"/>
          <w:szCs w:val="16"/>
          <w:color w:val="auto"/>
        </w:rPr>
        <w:t>Except as provided in the next succeeding sentence, interest on LIBOR Loans shall be calculated on the basis of a 360-day year for the actual days elapsed. Interest on ABR Loans shall be calculated on the basis of a 365- (or 366-, as the case may be) day year for the actual days elapsed.</w:t>
      </w:r>
    </w:p>
    <w:p>
      <w:pPr>
        <w:spacing w:after="0" w:line="123" w:lineRule="exact"/>
        <w:rPr>
          <w:rFonts w:ascii="Arial" w:cs="Arial" w:eastAsia="Arial" w:hAnsi="Arial"/>
          <w:sz w:val="16"/>
          <w:szCs w:val="16"/>
          <w:color w:val="auto"/>
        </w:rPr>
      </w:pPr>
    </w:p>
    <w:p>
      <w:pPr>
        <w:ind w:left="660" w:right="140" w:hanging="4"/>
        <w:spacing w:after="0" w:line="500" w:lineRule="auto"/>
        <w:tabs>
          <w:tab w:leader="none" w:pos="105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Fees and the average daily Stated Amount of Letters of Credit shall be calculated on the basis of a 360-day year for the actual days elapsed. 5.6 </w:t>
      </w:r>
      <w:r>
        <w:rPr>
          <w:rFonts w:ascii="Arial" w:cs="Arial" w:eastAsia="Arial" w:hAnsi="Arial"/>
          <w:sz w:val="18"/>
          <w:szCs w:val="18"/>
          <w:u w:val="single" w:color="auto"/>
          <w:color w:val="auto"/>
        </w:rPr>
        <w:t>Limit on Rate of Interest</w:t>
      </w:r>
      <w:r>
        <w:rPr>
          <w:rFonts w:ascii="Arial" w:cs="Arial" w:eastAsia="Arial" w:hAnsi="Arial"/>
          <w:sz w:val="18"/>
          <w:szCs w:val="18"/>
          <w:color w:val="auto"/>
        </w:rPr>
        <w:t>.</w:t>
      </w:r>
    </w:p>
    <w:p>
      <w:pPr>
        <w:spacing w:after="0" w:line="2" w:lineRule="exact"/>
        <w:rPr>
          <w:sz w:val="20"/>
          <w:szCs w:val="20"/>
          <w:color w:val="auto"/>
        </w:rPr>
      </w:pPr>
    </w:p>
    <w:p>
      <w:pPr>
        <w:ind w:right="220" w:firstLine="656"/>
        <w:spacing w:after="0" w:line="263" w:lineRule="auto"/>
        <w:tabs>
          <w:tab w:leader="none" w:pos="1027"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No Payment Shall Exceed Lawful Rate</w:t>
      </w:r>
      <w:r>
        <w:rPr>
          <w:rFonts w:ascii="Arial" w:cs="Arial" w:eastAsia="Arial" w:hAnsi="Arial"/>
          <w:sz w:val="18"/>
          <w:szCs w:val="18"/>
          <w:color w:val="auto"/>
        </w:rPr>
        <w:t>. Notwithstanding any other term of this Agreement, the Borrower shall not be obliged to pay any interest or other amounts under or in connection with this Agreement or otherwise in respect of the Obligations in excess of the amount or rate permitted under or consistent with any applicable law, rule or regulation.</w:t>
      </w:r>
    </w:p>
    <w:p>
      <w:pPr>
        <w:spacing w:after="0" w:line="183" w:lineRule="exact"/>
        <w:rPr>
          <w:rFonts w:ascii="Arial" w:cs="Arial" w:eastAsia="Arial" w:hAnsi="Arial"/>
          <w:sz w:val="18"/>
          <w:szCs w:val="18"/>
          <w:color w:val="auto"/>
        </w:rPr>
      </w:pPr>
    </w:p>
    <w:p>
      <w:pPr>
        <w:ind w:firstLine="656"/>
        <w:spacing w:after="0" w:line="342" w:lineRule="auto"/>
        <w:tabs>
          <w:tab w:leader="none" w:pos="1038"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Payment at Highest Lawful Rate</w:t>
      </w:r>
      <w:r>
        <w:rPr>
          <w:rFonts w:ascii="Arial" w:cs="Arial" w:eastAsia="Arial" w:hAnsi="Arial"/>
          <w:sz w:val="16"/>
          <w:szCs w:val="16"/>
          <w:color w:val="auto"/>
        </w:rPr>
        <w:t xml:space="preserve">. If the Borrower is not obliged to make a payment that it would otherwise be required to make, as a result of </w:t>
      </w:r>
      <w:r>
        <w:rPr>
          <w:rFonts w:ascii="Arial" w:cs="Arial" w:eastAsia="Arial" w:hAnsi="Arial"/>
          <w:sz w:val="16"/>
          <w:szCs w:val="16"/>
          <w:u w:val="single" w:color="auto"/>
          <w:color w:val="auto"/>
        </w:rPr>
        <w:t>Section 5.6(a)</w:t>
      </w:r>
      <w:r>
        <w:rPr>
          <w:rFonts w:ascii="Arial" w:cs="Arial" w:eastAsia="Arial" w:hAnsi="Arial"/>
          <w:sz w:val="16"/>
          <w:szCs w:val="16"/>
          <w:color w:val="auto"/>
        </w:rPr>
        <w:t>, the Borrower shall make such payment to the maximum extent permitted by or consistent with applicable laws, rules, and regulations.</w:t>
      </w:r>
    </w:p>
    <w:p>
      <w:pPr>
        <w:spacing w:after="0" w:line="123" w:lineRule="exact"/>
        <w:rPr>
          <w:rFonts w:ascii="Arial" w:cs="Arial" w:eastAsia="Arial" w:hAnsi="Arial"/>
          <w:sz w:val="16"/>
          <w:szCs w:val="16"/>
          <w:color w:val="auto"/>
        </w:rPr>
      </w:pPr>
    </w:p>
    <w:p>
      <w:pPr>
        <w:ind w:firstLine="656"/>
        <w:spacing w:after="0" w:line="290" w:lineRule="auto"/>
        <w:tabs>
          <w:tab w:leader="none" w:pos="1027"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Adjustment if Any Payment Exceeds Lawful Rate</w:t>
      </w:r>
      <w:r>
        <w:rPr>
          <w:rFonts w:ascii="Arial" w:cs="Arial" w:eastAsia="Arial" w:hAnsi="Arial"/>
          <w:sz w:val="16"/>
          <w:szCs w:val="16"/>
          <w:color w:val="auto"/>
        </w:rPr>
        <w:t xml:space="preserve">. If any provision of this Agreement or any of the other Credit Documents would obligate the Borrower to make any payment of interest or other amount payable to any Lender in an amount or calculated at a rate that would be prohibited by any applicable law, rule or regulation, then notwithstanding such provision, such amount or rate shall be deemed to have been adjusted with retroactive effect to the maximum amount or rate of interest, as the case may be, as would not be so prohibited by law, such adjustment to be effected, to the extent necessary, by reducing the amount or rate of interest required to be paid by the Borrower to the affected Lender under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lawful, the interest or other amounts that would have been payable but were not payable as a result of the operation of this Section shall be cumulated and the interest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16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Notwithstanding the foregoing, and after giving effect to all adjustments contemplated thereby, if any Lender shall have received from the Borrower an amount in excess of the maximum permitted by any applicable law, rule or regulation, then the Borrower shall be entitled, by notice in writing to the Administrative Agent to obtain reimbursement from that Lender in an amount equal to such excess, and pending such reimbursement, such amount shall be deemed to be an amount payable by that Lender to the Borrower.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320" w:top="341" w:right="359" w:bottom="1440" w:gutter="0" w:footer="0" w:header="0"/>
        </w:sectPr>
      </w:pPr>
    </w:p>
    <w:bookmarkStart w:id="178" w:name="page179"/>
    <w:bookmarkEnd w:id="178"/>
    <w:p>
      <w:pPr>
        <w:spacing w:after="0"/>
        <w:tabs>
          <w:tab w:leader="none" w:pos="84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Conditions Precedent to Initial Borrowing</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obligation of any Lender to make any Loan hereunder on the Restatement Effective Date is subject to the satisfaction of the following conditions precedent, except as otherwise agreed between the Borrower and the Administrative Agent.</w:t>
      </w:r>
    </w:p>
    <w:p>
      <w:pPr>
        <w:spacing w:after="0" w:line="17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Credit Documents</w:t>
      </w:r>
      <w:r>
        <w:rPr>
          <w:rFonts w:ascii="Arial" w:cs="Arial" w:eastAsia="Arial" w:hAnsi="Arial"/>
          <w:sz w:val="16"/>
          <w:szCs w:val="16"/>
          <w:color w:val="auto"/>
        </w:rPr>
        <w:t>.</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 xml:space="preserve">The Administrative Agent (or its counsel) shall have received the Restatement Agreement, executed and delivered by the Former Agent, each Lender listed on </w:t>
      </w:r>
      <w:r>
        <w:rPr>
          <w:rFonts w:ascii="Arial" w:cs="Arial" w:eastAsia="Arial" w:hAnsi="Arial"/>
          <w:sz w:val="18"/>
          <w:szCs w:val="18"/>
          <w:u w:val="single" w:color="auto"/>
          <w:color w:val="auto"/>
        </w:rPr>
        <w:t>Schedule 1.1(b)</w:t>
      </w:r>
      <w:r>
        <w:rPr>
          <w:rFonts w:ascii="Arial" w:cs="Arial" w:eastAsia="Arial" w:hAnsi="Arial"/>
          <w:sz w:val="18"/>
          <w:szCs w:val="18"/>
          <w:color w:val="auto"/>
        </w:rPr>
        <w:t>, each Letter of Credit Issuer, Holdings, the Borrower and each Guarantor.</w:t>
      </w:r>
    </w:p>
    <w:p>
      <w:pPr>
        <w:spacing w:after="0" w:line="17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Collateral</w:t>
      </w:r>
      <w:r>
        <w:rPr>
          <w:rFonts w:ascii="Arial" w:cs="Arial" w:eastAsia="Arial" w:hAnsi="Arial"/>
          <w:sz w:val="16"/>
          <w:szCs w:val="16"/>
          <w:color w:val="auto"/>
        </w:rPr>
        <w:t>. Except for any items referred to on</w:t>
      </w:r>
      <w:r>
        <w:rPr>
          <w:rFonts w:ascii="Arial" w:cs="Arial" w:eastAsia="Arial" w:hAnsi="Arial"/>
          <w:sz w:val="16"/>
          <w:szCs w:val="16"/>
          <w:u w:val="single" w:color="auto"/>
          <w:color w:val="auto"/>
        </w:rPr>
        <w:t xml:space="preserve"> Schedule 9.14</w:t>
      </w:r>
      <w:r>
        <w:rPr>
          <w:rFonts w:ascii="Arial" w:cs="Arial" w:eastAsia="Arial" w:hAnsi="Arial"/>
          <w:sz w:val="16"/>
          <w:szCs w:val="16"/>
          <w:color w:val="auto"/>
        </w:rPr>
        <w:t>:</w:t>
      </w:r>
    </w:p>
    <w:p>
      <w:pPr>
        <w:spacing w:after="0" w:line="225" w:lineRule="exact"/>
        <w:rPr>
          <w:sz w:val="20"/>
          <w:szCs w:val="20"/>
          <w:color w:val="auto"/>
        </w:rPr>
      </w:pPr>
    </w:p>
    <w:p>
      <w:pPr>
        <w:ind w:left="1680" w:hanging="376"/>
        <w:spacing w:after="0"/>
        <w:tabs>
          <w:tab w:leader="none" w:pos="16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Collateral Agent shall have received updated schedules to the Security Agreement;</w:t>
      </w:r>
    </w:p>
    <w:p>
      <w:pPr>
        <w:spacing w:after="0" w:line="144" w:lineRule="exact"/>
        <w:rPr>
          <w:rFonts w:ascii="Arial" w:cs="Arial" w:eastAsia="Arial" w:hAnsi="Arial"/>
          <w:sz w:val="18"/>
          <w:szCs w:val="18"/>
          <w:color w:val="auto"/>
        </w:rPr>
      </w:pPr>
    </w:p>
    <w:p>
      <w:pPr>
        <w:ind w:left="660" w:right="300" w:firstLine="644"/>
        <w:spacing w:after="0" w:line="342" w:lineRule="auto"/>
        <w:tabs>
          <w:tab w:leader="none" w:pos="1688"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All outstanding equity interests in whatever form of the Borrower and each Restricted Subsidiary that is directly owned by or on behalf of any Credit Party and required to be pledged pursuant to the Security Documents shall have been pledged pursuant thereto;</w:t>
      </w:r>
    </w:p>
    <w:p>
      <w:pPr>
        <w:spacing w:after="0" w:line="42" w:lineRule="exact"/>
        <w:rPr>
          <w:rFonts w:ascii="Arial" w:cs="Arial" w:eastAsia="Arial" w:hAnsi="Arial"/>
          <w:sz w:val="16"/>
          <w:szCs w:val="16"/>
          <w:color w:val="auto"/>
        </w:rPr>
      </w:pPr>
    </w:p>
    <w:p>
      <w:pPr>
        <w:ind w:left="660" w:right="20" w:firstLine="644"/>
        <w:spacing w:after="0" w:line="259" w:lineRule="auto"/>
        <w:tabs>
          <w:tab w:leader="none" w:pos="168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Collateral Agent shall have received the certificates representing securities of the Borrower and of each Credit Party’s Wholly-Owned Restricted Subsidiaries that are Domestic Subsidiaries to the extent required to be delivered under the Security Documents and pledged under the Security Documents to the extent certificated, accompanied by instruments of transfer and undated stock powers or allonges endorsed in blank; and</w:t>
      </w:r>
    </w:p>
    <w:p>
      <w:pPr>
        <w:spacing w:after="0" w:line="105" w:lineRule="exact"/>
        <w:rPr>
          <w:rFonts w:ascii="Arial" w:cs="Arial" w:eastAsia="Arial" w:hAnsi="Arial"/>
          <w:sz w:val="18"/>
          <w:szCs w:val="18"/>
          <w:color w:val="auto"/>
        </w:rPr>
      </w:pPr>
    </w:p>
    <w:p>
      <w:pPr>
        <w:ind w:left="660" w:right="80" w:firstLine="644"/>
        <w:spacing w:after="0" w:line="286" w:lineRule="auto"/>
        <w:tabs>
          <w:tab w:leader="none" w:pos="1688"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All Uniform Commercial Code financing statements (and amendments thereto) required to be filed, registered or recorded to create the Liens intended to be created by any Security Document and perfect such Liens to the extent required by such Security Document shall have been delivered to the Collateral Agent, and shall be in proper form, for filing, registration or recording.</w:t>
      </w:r>
    </w:p>
    <w:p>
      <w:pPr>
        <w:spacing w:after="0" w:line="84"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Legal Opinions</w:t>
      </w:r>
      <w:r>
        <w:rPr>
          <w:rFonts w:ascii="Arial" w:cs="Arial" w:eastAsia="Arial" w:hAnsi="Arial"/>
          <w:sz w:val="16"/>
          <w:szCs w:val="16"/>
          <w:color w:val="auto"/>
        </w:rPr>
        <w:t>. The Administrative Agent (or its counsel) shall have received the executed legal opinion, in customary form, of (i) Simpson Thacher &amp; Bartlett LLP, special New York counsel to the Credit Parties and (ii) Kilpatrick Townsend &amp; Stockton LLP, special Georgia counsel to the Credit Parties. Holdings and the Borrower hereby instruct and agree to instruct the other Credit Parties to have such counsel deliver such legal opinions.</w:t>
      </w:r>
    </w:p>
    <w:p>
      <w:pPr>
        <w:spacing w:after="0" w:line="14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Closing Certificates</w:t>
      </w:r>
      <w:r>
        <w:rPr>
          <w:rFonts w:ascii="Arial" w:cs="Arial" w:eastAsia="Arial" w:hAnsi="Arial"/>
          <w:sz w:val="18"/>
          <w:szCs w:val="18"/>
          <w:color w:val="auto"/>
        </w:rPr>
        <w:t xml:space="preserve">. The Administrative Agent (or its counsel) shall have received a certificate of (x) each of Holdings and the Borrower, dated the Restatement Effective Date,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with appropriate insertions, executed by any Authorized Officer (or in the case of Holdings any Director or authorized agent of Holdings) and the Secretary or any Assistant Secretary of Holdings or the Borrower (or in the case of Holdings any Director or authorized agent of Holdings), as applicable, and attaching the documents referred to in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and (y) an Authorized Officer certifying compliance with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6.10</w:t>
      </w:r>
      <w:r>
        <w:rPr>
          <w:rFonts w:ascii="Arial" w:cs="Arial" w:eastAsia="Arial" w:hAnsi="Arial"/>
          <w:sz w:val="18"/>
          <w:szCs w:val="18"/>
          <w:color w:val="auto"/>
        </w:rPr>
        <w:t>.</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Authorization of Proceedings of the Credit Parties; Corporate Documents</w:t>
      </w:r>
      <w:r>
        <w:rPr>
          <w:rFonts w:ascii="Arial" w:cs="Arial" w:eastAsia="Arial" w:hAnsi="Arial"/>
          <w:sz w:val="17"/>
          <w:szCs w:val="17"/>
          <w:color w:val="auto"/>
        </w:rPr>
        <w:t>. The Administrative Agent shall have received (i) a copy of the resolutions of the board of directors or other managers of each Credit Party (or a duly authorized committee thereof) authorizing (a) the execution, delivery, and performance of the Credit Documents (and any agreements relating thereto) to which it is a party and (b) in the case of the Borrower, the extensions of credit contemplated hereunder, (ii) the Certificate of Incorporation and By-Laws, Certificate of Formation and Operating Agreement or other comparable organizational documents, as applicable, of each Credit Party, and (iii) signature and incumbency certificates (or other comparable documents evidencing the same) of the Authorized Officers of each Credit Party executing the Credit Documents to which it is a party.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320" w:top="341" w:right="359" w:bottom="1440" w:gutter="0" w:footer="0" w:header="0"/>
        </w:sectPr>
      </w:pPr>
    </w:p>
    <w:bookmarkStart w:id="179" w:name="page180"/>
    <w:bookmarkEnd w:id="179"/>
    <w:p>
      <w:pPr>
        <w:ind w:right="60" w:firstLine="648"/>
        <w:spacing w:after="0" w:line="25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Fees</w:t>
      </w:r>
      <w:r>
        <w:rPr>
          <w:rFonts w:ascii="Arial" w:cs="Arial" w:eastAsia="Arial" w:hAnsi="Arial"/>
          <w:sz w:val="18"/>
          <w:szCs w:val="18"/>
          <w:color w:val="auto"/>
        </w:rPr>
        <w:t>. The Agents and Lenders shall have received, substantially simultaneously with the funding of the Term A Loans, fees and, to the extent invoiced at least three business days prior to the Restatement Effective Date (except as otherwise reasonably agreed by the Borrower) expenses in the amounts previously agreed in writing to be received on the Restatement Effective Date (which amounts may, at the Borrower’s option, be offset against the proceeds of the Term A Loans).</w:t>
      </w:r>
    </w:p>
    <w:p>
      <w:pPr>
        <w:spacing w:after="0" w:line="187"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u w:val="single" w:color="auto"/>
          <w:color w:val="auto"/>
        </w:rPr>
        <w:t>Representations and Warranties; No Default</w:t>
      </w:r>
      <w:r>
        <w:rPr>
          <w:rFonts w:ascii="Arial" w:cs="Arial" w:eastAsia="Arial" w:hAnsi="Arial"/>
          <w:sz w:val="16"/>
          <w:szCs w:val="16"/>
          <w:color w:val="auto"/>
        </w:rPr>
        <w:t>. On the Restatement Effective Date, the condition set forth in Section 7.1 shall be satisfied.</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Solvency Certificate</w:t>
      </w:r>
      <w:r>
        <w:rPr>
          <w:rFonts w:ascii="Arial" w:cs="Arial" w:eastAsia="Arial" w:hAnsi="Arial"/>
          <w:sz w:val="18"/>
          <w:szCs w:val="18"/>
          <w:color w:val="auto"/>
        </w:rPr>
        <w:t>. On the Restatement Effective Date, the Administrative Agent shall have received a certificate from the Chief Executive Officer, President, the Chief Financial Officer, the Treasurer, the Vice President-Finance, a Director, a Manager, or any other senior financial officer of Holdings to the effect that after giving effect to the consummation of the Transactions, Holdings on a consolidated basis with the Restricted Subsidiaries is Solvent.</w:t>
      </w:r>
    </w:p>
    <w:p>
      <w:pPr>
        <w:spacing w:after="0" w:line="187"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7"/>
          <w:szCs w:val="17"/>
          <w:u w:val="single" w:color="auto"/>
          <w:color w:val="auto"/>
        </w:rPr>
        <w:t>KYC Information</w:t>
      </w:r>
      <w:r>
        <w:rPr>
          <w:rFonts w:ascii="Arial" w:cs="Arial" w:eastAsia="Arial" w:hAnsi="Arial"/>
          <w:sz w:val="17"/>
          <w:szCs w:val="17"/>
          <w:color w:val="auto"/>
        </w:rPr>
        <w:t>.</w:t>
      </w:r>
    </w:p>
    <w:p>
      <w:pPr>
        <w:spacing w:after="0" w:line="225" w:lineRule="exact"/>
        <w:rPr>
          <w:sz w:val="20"/>
          <w:szCs w:val="20"/>
          <w:color w:val="auto"/>
        </w:rPr>
      </w:pPr>
    </w:p>
    <w:p>
      <w:pPr>
        <w:ind w:right="120" w:firstLine="656"/>
        <w:spacing w:after="0" w:line="286" w:lineRule="auto"/>
        <w:tabs>
          <w:tab w:leader="none" w:pos="1028" w:val="left"/>
        </w:tabs>
        <w:numPr>
          <w:ilvl w:val="0"/>
          <w:numId w:val="154"/>
        </w:numPr>
        <w:rPr>
          <w:rFonts w:ascii="Arial" w:cs="Arial" w:eastAsia="Arial" w:hAnsi="Arial"/>
          <w:sz w:val="17"/>
          <w:szCs w:val="17"/>
          <w:color w:val="auto"/>
        </w:rPr>
      </w:pPr>
      <w:r>
        <w:rPr>
          <w:rFonts w:ascii="Arial" w:cs="Arial" w:eastAsia="Arial" w:hAnsi="Arial"/>
          <w:sz w:val="17"/>
          <w:szCs w:val="17"/>
          <w:color w:val="auto"/>
        </w:rPr>
        <w:t>Upon the reasonable request of any Lender made at least ten days prior to the Restatement Effective Date, the Borrower shall have provided to such Lender the documentation and other information so requested in connection with applicable “know your customer” and anti-money-laundering rules and regulations, including the PATRIOT Act, in each case at least three days prior to the Restatement Effective Date.</w:t>
      </w:r>
    </w:p>
    <w:p>
      <w:pPr>
        <w:spacing w:after="0" w:line="165" w:lineRule="exact"/>
        <w:rPr>
          <w:rFonts w:ascii="Arial" w:cs="Arial" w:eastAsia="Arial" w:hAnsi="Arial"/>
          <w:sz w:val="17"/>
          <w:szCs w:val="17"/>
          <w:color w:val="auto"/>
        </w:rPr>
      </w:pPr>
    </w:p>
    <w:p>
      <w:pPr>
        <w:ind w:right="600" w:firstLine="656"/>
        <w:spacing w:after="0" w:line="277" w:lineRule="auto"/>
        <w:tabs>
          <w:tab w:leader="none" w:pos="102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At least three days prior to the Restatement Effective Date, if the Borrower qualifies as a “legal entity customer” under the Beneficial Ownership Regulation, the Borrower shall deliver a Beneficial Ownership Certification in relation to the Borrower.</w:t>
      </w:r>
    </w:p>
    <w:p>
      <w:pPr>
        <w:spacing w:after="0" w:line="170"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6.10</w:t>
      </w:r>
      <w:r>
        <w:rPr>
          <w:sz w:val="20"/>
          <w:szCs w:val="20"/>
          <w:color w:val="auto"/>
        </w:rPr>
        <w:tab/>
      </w:r>
      <w:r>
        <w:rPr>
          <w:rFonts w:ascii="Arial" w:cs="Arial" w:eastAsia="Arial" w:hAnsi="Arial"/>
          <w:sz w:val="16"/>
          <w:szCs w:val="16"/>
          <w:u w:val="single" w:color="auto"/>
          <w:color w:val="auto"/>
        </w:rPr>
        <w:t>Refinancing</w:t>
      </w:r>
      <w:r>
        <w:rPr>
          <w:rFonts w:ascii="Arial" w:cs="Arial" w:eastAsia="Arial" w:hAnsi="Arial"/>
          <w:sz w:val="16"/>
          <w:szCs w:val="16"/>
          <w:color w:val="auto"/>
        </w:rPr>
        <w:t>. Substantially simultaneously with the funding of the Term A Loans, the Restatement Date Refinancing shall be consummated.</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Notice of Term Loan Borrowing</w:t>
      </w:r>
      <w:r>
        <w:rPr>
          <w:rFonts w:ascii="Arial" w:cs="Arial" w:eastAsia="Arial" w:hAnsi="Arial"/>
          <w:sz w:val="18"/>
          <w:szCs w:val="18"/>
          <w:color w:val="auto"/>
        </w:rPr>
        <w:t xml:space="preserve">. The Administrative Agent (or its counsel) shall have received a Notice of Borrowing with respect to the Term A Loan meeting the requirements of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 xml:space="preserve">For purposes of determining compliance with the conditions specified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on the Restatement Effective Date, each Lender that has signed the Restatement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Restatement Effective Date specifying its objection thereto.</w:t>
      </w:r>
    </w:p>
    <w:p>
      <w:pPr>
        <w:spacing w:after="0" w:line="17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u w:val="single" w:color="auto"/>
          <w:color w:val="auto"/>
        </w:rPr>
        <w:t>Conditions Precedent to All Credit Events on and after the Restatement Effective Date</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the agreement of each Lender to make any Loan requested to be made by it on any date (excluding (i) Mandatory Borrowings and Revolving Credit Loans required to be made by the Revolving Credit Lenders in respect of Unpaid Drawings pursuant to </w:t>
      </w:r>
      <w:r>
        <w:rPr>
          <w:rFonts w:ascii="Arial" w:cs="Arial" w:eastAsia="Arial" w:hAnsi="Arial"/>
          <w:sz w:val="18"/>
          <w:szCs w:val="18"/>
          <w:u w:val="single" w:color="auto"/>
          <w:color w:val="auto"/>
        </w:rPr>
        <w:t>Sections 3.3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and (ii) borrowings under </w:t>
      </w:r>
      <w:r>
        <w:rPr>
          <w:rFonts w:ascii="Arial" w:cs="Arial" w:eastAsia="Arial" w:hAnsi="Arial"/>
          <w:sz w:val="18"/>
          <w:szCs w:val="18"/>
          <w:u w:val="single" w:color="auto"/>
          <w:color w:val="auto"/>
        </w:rPr>
        <w:t>Sections 2.14</w:t>
      </w:r>
      <w:r>
        <w:rPr>
          <w:rFonts w:ascii="Arial" w:cs="Arial" w:eastAsia="Arial" w:hAnsi="Arial"/>
          <w:sz w:val="18"/>
          <w:szCs w:val="18"/>
          <w:color w:val="auto"/>
        </w:rPr>
        <w:t>) and the obligation of the Letter of Credit Issuer to issue Letters of Credit on any date on or after the Restatement Effective Date is subject to the satisfaction (or waiver) of the following conditions precedent:</w:t>
      </w:r>
    </w:p>
    <w:p>
      <w:pPr>
        <w:spacing w:after="0" w:line="187"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No Default; Representations and Warranties</w:t>
      </w:r>
      <w:r>
        <w:rPr>
          <w:rFonts w:ascii="Arial" w:cs="Arial" w:eastAsia="Arial" w:hAnsi="Arial"/>
          <w:sz w:val="16"/>
          <w:szCs w:val="16"/>
          <w:color w:val="auto"/>
        </w:rPr>
        <w:t xml:space="preserve">. At the time of each Credit Event and also after giving effect thereto (other than any Credit Event pursuant to any Loan made pursuant to </w:t>
      </w:r>
      <w:r>
        <w:rPr>
          <w:rFonts w:ascii="Arial" w:cs="Arial" w:eastAsia="Arial" w:hAnsi="Arial"/>
          <w:sz w:val="16"/>
          <w:szCs w:val="16"/>
          <w:u w:val="single" w:color="auto"/>
          <w:color w:val="auto"/>
        </w:rPr>
        <w:t>Section 2.14(a)</w:t>
      </w:r>
      <w:r>
        <w:rPr>
          <w:rFonts w:ascii="Arial" w:cs="Arial" w:eastAsia="Arial" w:hAnsi="Arial"/>
          <w:sz w:val="16"/>
          <w:szCs w:val="16"/>
          <w:color w:val="auto"/>
        </w:rPr>
        <w:t xml:space="preserve"> (which shall be subject to the terms of </w:t>
      </w:r>
      <w:r>
        <w:rPr>
          <w:rFonts w:ascii="Arial" w:cs="Arial" w:eastAsia="Arial" w:hAnsi="Arial"/>
          <w:sz w:val="16"/>
          <w:szCs w:val="16"/>
          <w:u w:val="single" w:color="auto"/>
          <w:color w:val="auto"/>
        </w:rPr>
        <w:t>Section 2.14(a)</w:t>
      </w:r>
      <w:r>
        <w:rPr>
          <w:rFonts w:ascii="Arial" w:cs="Arial" w:eastAsia="Arial" w:hAnsi="Arial"/>
          <w:sz w:val="16"/>
          <w:szCs w:val="16"/>
          <w:color w:val="auto"/>
        </w:rPr>
        <w:t xml:space="preserve">) (a) no Default or Event of Default shall have occurred and be continuing </w:t>
      </w:r>
      <w:r>
        <w:rPr>
          <w:rFonts w:ascii="Arial" w:cs="Arial" w:eastAsia="Arial" w:hAnsi="Arial"/>
          <w:sz w:val="16"/>
          <w:szCs w:val="16"/>
          <w:u w:val="single" w:color="auto"/>
          <w:color w:val="0000FF"/>
        </w:rPr>
        <w:t>and, in the case of any borrowing of Revolving Loans or Swingline Loans, the aggregate unrestricted cash and Cash</w:t>
      </w:r>
      <w:r>
        <w:rPr>
          <w:rFonts w:ascii="Arial" w:cs="Arial" w:eastAsia="Arial" w:hAnsi="Arial"/>
          <w:sz w:val="16"/>
          <w:szCs w:val="16"/>
          <w:color w:val="auto"/>
        </w:rPr>
        <w:t xml:space="preserve"> </w:t>
      </w:r>
      <w:r>
        <w:rPr>
          <w:rFonts w:ascii="Arial" w:cs="Arial" w:eastAsia="Arial" w:hAnsi="Arial"/>
          <w:sz w:val="16"/>
          <w:szCs w:val="16"/>
          <w:u w:val="single" w:color="auto"/>
          <w:color w:val="0000FF"/>
        </w:rPr>
        <w:t>Equivalents of Holdings and its Restricted Subsidiaries would not exceed $50,000,000 on a Pro Forma Basis</w:t>
      </w:r>
      <w:r>
        <w:rPr>
          <w:rFonts w:ascii="Arial" w:cs="Arial" w:eastAsia="Arial" w:hAnsi="Arial"/>
          <w:sz w:val="16"/>
          <w:szCs w:val="16"/>
          <w:color w:val="0000FF"/>
        </w:rPr>
        <w:t xml:space="preserve"> </w:t>
      </w:r>
      <w:r>
        <w:rPr>
          <w:rFonts w:ascii="Arial" w:cs="Arial" w:eastAsia="Arial" w:hAnsi="Arial"/>
          <w:sz w:val="16"/>
          <w:szCs w:val="16"/>
          <w:color w:val="000000"/>
        </w:rPr>
        <w:t>and (b) all representations and warranties</w:t>
      </w:r>
      <w:r>
        <w:rPr>
          <w:rFonts w:ascii="Arial" w:cs="Arial" w:eastAsia="Arial" w:hAnsi="Arial"/>
          <w:sz w:val="16"/>
          <w:szCs w:val="16"/>
          <w:color w:val="0000FF"/>
        </w:rPr>
        <w:t xml:space="preserve"> </w:t>
      </w:r>
      <w:r>
        <w:rPr>
          <w:rFonts w:ascii="Arial" w:cs="Arial" w:eastAsia="Arial" w:hAnsi="Arial"/>
          <w:sz w:val="16"/>
          <w:szCs w:val="16"/>
          <w:color w:val="000000"/>
        </w:rPr>
        <w:t>made by any Credit Party contained herein or in the other Credit Documents shall be true and correct in all material respects (provided that any such representations and warranties which are qualified by materiality, material adverse effect or similar language shall be true and correct in</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341" w:right="339" w:bottom="1440" w:gutter="0" w:footer="0" w:header="0"/>
        </w:sectPr>
      </w:pPr>
    </w:p>
    <w:bookmarkStart w:id="180" w:name="page181"/>
    <w:bookmarkEnd w:id="180"/>
    <w:p>
      <w:pPr>
        <w:ind w:right="60"/>
        <w:spacing w:after="0" w:line="293" w:lineRule="auto"/>
        <w:rPr>
          <w:sz w:val="20"/>
          <w:szCs w:val="20"/>
          <w:color w:val="auto"/>
        </w:rPr>
      </w:pPr>
      <w:r>
        <w:rPr>
          <w:rFonts w:ascii="Arial" w:cs="Arial" w:eastAsia="Arial" w:hAnsi="Arial"/>
          <w:sz w:val="16"/>
          <w:szCs w:val="16"/>
          <w:color w:val="auto"/>
        </w:rPr>
        <w:t xml:space="preserve">all respects) with the same effect as though such representations and warranties had been made on and as of the date of such Credit Event (except where such representations and warranties expressly relate to an earlier date, in which case such representations and warranties shall have been true and correct in all material respects (provided that any such representations and warranties which are qualified by materiality, material adverse effect or similar language shall be true and correct in all respects) as of such earlier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solely with respect to any Credit event pursuant to any Incremental Term Loan made pursuant to Section 2.14(a), in connection with a Permitted Acquisition or other Investment permitted hereunder, all representations and warranties shall be subject to customary Sungard and “funds certain” provisions as reasonably agreed by the Borrower and the Administrative Agent.</w:t>
      </w:r>
    </w:p>
    <w:p>
      <w:pPr>
        <w:spacing w:after="0" w:line="16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Notice of Borrowing; Letter of Credit Request</w:t>
      </w:r>
      <w:r>
        <w:rPr>
          <w:rFonts w:ascii="Arial" w:cs="Arial" w:eastAsia="Arial" w:hAnsi="Arial"/>
          <w:sz w:val="16"/>
          <w:szCs w:val="16"/>
          <w:color w:val="auto"/>
        </w:rPr>
        <w:t>.</w:t>
      </w:r>
    </w:p>
    <w:p>
      <w:pPr>
        <w:spacing w:after="0" w:line="225" w:lineRule="exact"/>
        <w:rPr>
          <w:sz w:val="20"/>
          <w:szCs w:val="20"/>
          <w:color w:val="auto"/>
        </w:rPr>
      </w:pPr>
    </w:p>
    <w:p>
      <w:pPr>
        <w:ind w:right="560" w:firstLine="656"/>
        <w:spacing w:after="0" w:line="277" w:lineRule="auto"/>
        <w:tabs>
          <w:tab w:leader="none" w:pos="102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Prior to the making of each Term Loan after the Restatement Effective Date, the Administrative Agent shall have received a Notice of Borrowing meeting the requirements of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620" w:firstLine="656"/>
        <w:spacing w:after="0" w:line="308" w:lineRule="auto"/>
        <w:tabs>
          <w:tab w:leader="none" w:pos="1038" w:val="left"/>
        </w:tabs>
        <w:numPr>
          <w:ilvl w:val="0"/>
          <w:numId w:val="155"/>
        </w:numPr>
        <w:rPr>
          <w:rFonts w:ascii="Arial" w:cs="Arial" w:eastAsia="Arial" w:hAnsi="Arial"/>
          <w:sz w:val="17"/>
          <w:szCs w:val="17"/>
          <w:color w:val="auto"/>
        </w:rPr>
      </w:pPr>
      <w:r>
        <w:rPr>
          <w:rFonts w:ascii="Arial" w:cs="Arial" w:eastAsia="Arial" w:hAnsi="Arial"/>
          <w:sz w:val="17"/>
          <w:szCs w:val="17"/>
          <w:color w:val="auto"/>
        </w:rPr>
        <w:t xml:space="preserve">Prior to the making of each Revolving Credit Loan (other than any Revolving Credit Loan made pursuant to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and each Swingline Loan, the Administrative Agent shall have received a Notice of Borrowing meeting the requirements of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right="160" w:firstLine="656"/>
        <w:spacing w:after="0" w:line="277" w:lineRule="auto"/>
        <w:tabs>
          <w:tab w:leader="none" w:pos="1028"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Prior to the issuance of each Letter of Credit, the Administrative Agent and the Letter of Credit Issuer shall have received a Letter of Credit Request meeting the requirements of </w:t>
      </w:r>
      <w:r>
        <w:rPr>
          <w:rFonts w:ascii="Arial" w:cs="Arial" w:eastAsia="Arial" w:hAnsi="Arial"/>
          <w:sz w:val="18"/>
          <w:szCs w:val="18"/>
          <w:u w:val="single" w:color="auto"/>
          <w:color w:val="auto"/>
        </w:rPr>
        <w:t>Section 3.2(a)</w:t>
      </w:r>
      <w:r>
        <w:rPr>
          <w:rFonts w:ascii="Arial" w:cs="Arial" w:eastAsia="Arial" w:hAnsi="Arial"/>
          <w:sz w:val="18"/>
          <w:szCs w:val="18"/>
          <w:color w:val="auto"/>
        </w:rPr>
        <w:t>.</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The acceptance of the benefits of each Credit Event shall constitute a representation and warranty by each Credit Party to each of the Lenders that all the applicable conditions specified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above have been satisfied as of that time.</w:t>
      </w:r>
    </w:p>
    <w:p>
      <w:pPr>
        <w:spacing w:after="0" w:line="8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5"/>
          <w:szCs w:val="15"/>
          <w:u w:val="single" w:color="auto"/>
          <w:color w:val="auto"/>
        </w:rPr>
        <w:t>Representations and Warranties</w:t>
      </w:r>
    </w:p>
    <w:p>
      <w:pPr>
        <w:spacing w:after="0" w:line="22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In order to induce the Lenders to enter into this Agreement, to make the Loans and issue or participate in Letters of Credit as provided for herein, Holdings and the Borrower make the following representations and warranties to the Lenders, all of which shall survive the execution and delivery of this Agreement and the making of the Loans and the issuance of the Letters of Credit (it being understood that the following representations and warranties shall be deemed made with respect to any Foreign Subsidiary only to the extent relevant under applicable law):</w:t>
      </w:r>
    </w:p>
    <w:p>
      <w:pPr>
        <w:spacing w:after="0" w:line="17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Corporate Status</w:t>
      </w:r>
      <w:r>
        <w:rPr>
          <w:rFonts w:ascii="Arial" w:cs="Arial" w:eastAsia="Arial" w:hAnsi="Arial"/>
          <w:sz w:val="18"/>
          <w:szCs w:val="18"/>
          <w:color w:val="auto"/>
        </w:rPr>
        <w:t>. Each Credit Party (a) is a duly organized and validly existing corporation, limited liability company or other entity in good standing (if applicable) under the laws of the jurisdiction of its organization and has the corporate, limited liability company or other organizational power and authority to own its property and assets and to transact the business in which it is engaged and (b) has duly qualified and is authorized to do business and is in good standing (if applicable) in all jurisdictions where it is required to be so qualified, except where the failure to be so qualified would not reasonably be expected to result in a Material Adverse Effect.</w:t>
      </w:r>
    </w:p>
    <w:p>
      <w:pPr>
        <w:spacing w:after="0" w:line="188"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Corporate Power and Authority</w:t>
      </w:r>
      <w:r>
        <w:rPr>
          <w:rFonts w:ascii="Arial" w:cs="Arial" w:eastAsia="Arial" w:hAnsi="Arial"/>
          <w:sz w:val="17"/>
          <w:szCs w:val="17"/>
          <w:color w:val="auto"/>
        </w:rPr>
        <w:t>. Each Credit Party has the corporate or other organizational power and authority to execute, deliver and carry out the terms and provisions of the Credit Documents to which it is a party and has taken all necessary corporate or other organizational action to authorize the execution, delivery and performance of the Credit Documents to which it is a party. Each Credit Party has duly executed and delivered each Credit Document to which it is a party and each such Credit Document constitutes the legal, valid, and binding obligation of such Credit Party enforceable in accordance with its terms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the creation and perfection of security interests with respect to Indebtedness, Capital Stock and Stock Equivalents of Foreign Subsidiaries, only to the extent enforceability of such obligation with respect to which Capital Stock and Stock Equivalents of Foreign Subsidiaries is governed by the Uniform Commercial Code), except as the enforceability thereof may be limited by bankruptcy, insolvency or similar laws affecting creditors’ rights generally and subject to general principles of equity.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320" w:top="341" w:right="339" w:bottom="1440" w:gutter="0" w:footer="0" w:header="0"/>
        </w:sectPr>
      </w:pPr>
    </w:p>
    <w:bookmarkStart w:id="181" w:name="page182"/>
    <w:bookmarkEnd w:id="181"/>
    <w:p>
      <w:pPr>
        <w:ind w:right="20" w:firstLine="648"/>
        <w:spacing w:after="0" w:line="269"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No Violation</w:t>
      </w:r>
      <w:r>
        <w:rPr>
          <w:rFonts w:ascii="Arial" w:cs="Arial" w:eastAsia="Arial" w:hAnsi="Arial"/>
          <w:sz w:val="17"/>
          <w:szCs w:val="17"/>
          <w:color w:val="auto"/>
        </w:rPr>
        <w:t>. Neither the execution, delivery or performance by any Credit Party of the Credit Documents to which it is a party nor compliance with the terms and provisions thereof and the other transactions contemplated hereby or thereby will (a) contravene any applicable provision of any material law, statute, rule, regulation, order, writ, injunction or decree of any court or governmental instrumentality, (b) result in any breach of any of the terms, covenants, conditions or provisions of, or constitute a default under, or result in the creation or imposition of (or the obligation to create or impose) any Lien upon any of the property or assets of such Credit Party or any of the Restricted Subsidiaries (other than Liens created under the Credit Documents or Permitted Liens) pursuant to, the terms of any material indenture, loan agreement, lease agreement, mortgage, deed of trust, agreement or other material instrument to which such Credit Party or any of the Restricted Subsidiaries is a party or by which it or any of its property or assets is bound (any such term, covenant, condition or provision, a “</w:t>
      </w:r>
      <w:r>
        <w:rPr>
          <w:rFonts w:ascii="Arial" w:cs="Arial" w:eastAsia="Arial" w:hAnsi="Arial"/>
          <w:sz w:val="17"/>
          <w:szCs w:val="17"/>
          <w:b w:val="1"/>
          <w:bCs w:val="1"/>
          <w:color w:val="auto"/>
        </w:rPr>
        <w:t>Contractual Requirement</w:t>
      </w:r>
      <w:r>
        <w:rPr>
          <w:rFonts w:ascii="Arial" w:cs="Arial" w:eastAsia="Arial" w:hAnsi="Arial"/>
          <w:sz w:val="17"/>
          <w:szCs w:val="17"/>
          <w:color w:val="auto"/>
        </w:rPr>
        <w:t>”) other than any such breach, default or Lien that would not reasonably be expected to result in a Material Adverse Effect or (c) violate any provision of the certificate of incorporation, by-laws, articles or other organizational documents of such Credit Party or any of the Restricted Subsidiaries.</w:t>
      </w:r>
    </w:p>
    <w:p>
      <w:pPr>
        <w:spacing w:after="0" w:line="18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Litigation</w:t>
      </w:r>
      <w:r>
        <w:rPr>
          <w:rFonts w:ascii="Arial" w:cs="Arial" w:eastAsia="Arial" w:hAnsi="Arial"/>
          <w:sz w:val="17"/>
          <w:szCs w:val="17"/>
          <w:color w:val="auto"/>
        </w:rPr>
        <w:t>. There are no actions, suits or proceedings pending or, to the knowledge of Holdings or the Borrower, threatened in writing against Holdings, the Borrower or any of the Restricted Subsidiaries that would reasonably be expected to result in a Material Adverse Effect.</w:t>
      </w:r>
    </w:p>
    <w:p>
      <w:pPr>
        <w:spacing w:after="0" w:line="14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Margin Regulations</w:t>
      </w:r>
      <w:r>
        <w:rPr>
          <w:rFonts w:ascii="Arial" w:cs="Arial" w:eastAsia="Arial" w:hAnsi="Arial"/>
          <w:sz w:val="18"/>
          <w:szCs w:val="18"/>
          <w:color w:val="auto"/>
        </w:rPr>
        <w:t>. Neither the making of any Loan hereunder nor the use of the proceeds thereof will violate the provisions of Regulation T, U or X of the Board.</w:t>
      </w:r>
    </w:p>
    <w:p>
      <w:pPr>
        <w:spacing w:after="0" w:line="170"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Governmental Approvals</w:t>
      </w:r>
      <w:r>
        <w:rPr>
          <w:rFonts w:ascii="Arial" w:cs="Arial" w:eastAsia="Arial" w:hAnsi="Arial"/>
          <w:sz w:val="18"/>
          <w:szCs w:val="18"/>
          <w:color w:val="auto"/>
        </w:rPr>
        <w:t>. The execution, delivery and performance of each Credit Document does not require any consent or approval of, registration or filing with, or other action by, any Governmental Authority, except for (i) such as have been obtained or made and are in full force and effect, (ii) filings, consents, approvals, registrations and recordings in respect of the Liens created pursuant to the Security Documents (and to release existing Liens), and (iii) such licenses, approvals, authorizations, registrations, filings or consents the failure of which to obtain or make would not reasonably be expected to result in a Material Adverse Effect.</w:t>
      </w:r>
    </w:p>
    <w:p>
      <w:pPr>
        <w:spacing w:after="0" w:line="188"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None of Holdings, the Borrower, or any other Restricted Subsidiary is an “investment company” within the meaning of the Investment Company Act of 1940, as amended.</w:t>
      </w:r>
    </w:p>
    <w:p>
      <w:pPr>
        <w:spacing w:after="0" w:line="17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u w:val="single" w:color="auto"/>
          <w:color w:val="auto"/>
        </w:rPr>
        <w:t>True and Complete Disclosure</w:t>
      </w:r>
      <w:r>
        <w:rPr>
          <w:rFonts w:ascii="Arial" w:cs="Arial" w:eastAsia="Arial" w:hAnsi="Arial"/>
          <w:sz w:val="16"/>
          <w:szCs w:val="16"/>
          <w:color w:val="auto"/>
        </w:rPr>
        <w:t>.</w:t>
      </w:r>
    </w:p>
    <w:p>
      <w:pPr>
        <w:spacing w:after="0" w:line="225" w:lineRule="exact"/>
        <w:rPr>
          <w:sz w:val="20"/>
          <w:szCs w:val="20"/>
          <w:color w:val="auto"/>
        </w:rPr>
      </w:pPr>
    </w:p>
    <w:p>
      <w:pPr>
        <w:ind w:right="120" w:firstLine="656"/>
        <w:spacing w:after="0" w:line="269" w:lineRule="auto"/>
        <w:tabs>
          <w:tab w:leader="none" w:pos="1028"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None of the written factual information and written data (taken as a whole) heretofore or contemporaneously furnished by or on behalf of Holdings, the Borrower, any of the other Restricted Subsidiaries or any of their respective authorized representatives to the Administrative Agent, any Documentation Agent, Syndication Agent, any Joint Lead Arranger and Bookrunner, and/or any Lender on or before the Restatement Effective Date (including all such written information and data contained in (i) the Lender Presentation (as updated prior to the Restatement Effective Date and including all information incorporated by reference therein) and (ii) the Credit Documents) for purposes of or in connection with this Agreement or any transaction contemplated herein contained any untrue statement of any material fact or omitted to state any material fact necessary to make such information and data (taken as a whole) not materially misleading at such time in light of the circumstances under which such information or data was furnished (after giving effect to all supplements and updates), it being understood and agreed that for purposes of this </w:t>
      </w:r>
      <w:r>
        <w:rPr>
          <w:rFonts w:ascii="Arial" w:cs="Arial" w:eastAsia="Arial" w:hAnsi="Arial"/>
          <w:sz w:val="17"/>
          <w:szCs w:val="17"/>
          <w:u w:val="single" w:color="auto"/>
          <w:color w:val="auto"/>
        </w:rPr>
        <w:t>Section 8.8(a)</w:t>
      </w:r>
      <w:r>
        <w:rPr>
          <w:rFonts w:ascii="Arial" w:cs="Arial" w:eastAsia="Arial" w:hAnsi="Arial"/>
          <w:sz w:val="17"/>
          <w:szCs w:val="17"/>
          <w:color w:val="auto"/>
        </w:rPr>
        <w:t xml:space="preserve">, such factual information and data shall not include </w:t>
      </w:r>
      <w:r>
        <w:rPr>
          <w:rFonts w:ascii="Arial" w:cs="Arial" w:eastAsia="Arial" w:hAnsi="Arial"/>
          <w:sz w:val="17"/>
          <w:szCs w:val="17"/>
          <w:u w:val="single" w:color="auto"/>
          <w:color w:val="auto"/>
        </w:rPr>
        <w:t>pro forma</w:t>
      </w:r>
      <w:r>
        <w:rPr>
          <w:rFonts w:ascii="Arial" w:cs="Arial" w:eastAsia="Arial" w:hAnsi="Arial"/>
          <w:sz w:val="17"/>
          <w:szCs w:val="17"/>
          <w:color w:val="auto"/>
        </w:rPr>
        <w:t xml:space="preserve"> financial information, projections, estimates (including financial estimates, forecasts, and other forward-looking information) or other forward looking information and information of a general economic or general industry nature.</w:t>
      </w:r>
    </w:p>
    <w:p>
      <w:pPr>
        <w:spacing w:after="0" w:line="185" w:lineRule="exact"/>
        <w:rPr>
          <w:rFonts w:ascii="Arial" w:cs="Arial" w:eastAsia="Arial" w:hAnsi="Arial"/>
          <w:sz w:val="17"/>
          <w:szCs w:val="17"/>
          <w:color w:val="auto"/>
        </w:rPr>
      </w:pPr>
    </w:p>
    <w:p>
      <w:pPr>
        <w:ind w:right="40" w:firstLine="656"/>
        <w:spacing w:after="0" w:line="279" w:lineRule="auto"/>
        <w:tabs>
          <w:tab w:leader="none" w:pos="1034"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The projections (including financial estimates, forecasts, and other forward-looking information) contained in the information and data referred to in </w:t>
      </w:r>
      <w:r>
        <w:rPr>
          <w:rFonts w:ascii="Arial" w:cs="Arial" w:eastAsia="Arial" w:hAnsi="Arial"/>
          <w:sz w:val="17"/>
          <w:szCs w:val="17"/>
          <w:u w:val="single" w:color="auto"/>
          <w:color w:val="auto"/>
        </w:rPr>
        <w:t>paragraph (a)</w:t>
      </w:r>
      <w:r>
        <w:rPr>
          <w:rFonts w:ascii="Arial" w:cs="Arial" w:eastAsia="Arial" w:hAnsi="Arial"/>
          <w:sz w:val="17"/>
          <w:szCs w:val="17"/>
          <w:color w:val="auto"/>
        </w:rPr>
        <w:t xml:space="preserve"> above were based on good faith estimates and assumptions believed by such Persons to be reasonable at the time made, it being recognized by the Lenders that such projections as to future events are not to be viewed as facts and that actual results during the period or periods covered by any such projections may differ from the projected results and such differences may be material.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320" w:top="341" w:right="359" w:bottom="1440" w:gutter="0" w:footer="0" w:header="0"/>
        </w:sectPr>
      </w:pPr>
    </w:p>
    <w:bookmarkStart w:id="182" w:name="page183"/>
    <w:bookmarkEnd w:id="182"/>
    <w:p>
      <w:pPr>
        <w:ind w:left="660"/>
        <w:spacing w:after="0"/>
        <w:tabs>
          <w:tab w:leader="none" w:pos="100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As of the Restatement Effective Date, the information included in the Beneficial Ownership Certification is true and correct in all material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respects.</w:t>
      </w:r>
    </w:p>
    <w:p>
      <w:pPr>
        <w:spacing w:after="0" w:line="21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6"/>
          <w:szCs w:val="16"/>
          <w:u w:val="single" w:color="auto"/>
          <w:color w:val="auto"/>
        </w:rPr>
        <w:t>Financial Condition; Financial Statements</w:t>
      </w:r>
      <w:r>
        <w:rPr>
          <w:rFonts w:ascii="Arial" w:cs="Arial" w:eastAsia="Arial" w:hAnsi="Arial"/>
          <w:sz w:val="16"/>
          <w:szCs w:val="16"/>
          <w:color w:val="auto"/>
        </w:rPr>
        <w:t>.</w:t>
      </w:r>
    </w:p>
    <w:p>
      <w:pPr>
        <w:spacing w:after="0" w:line="225" w:lineRule="exact"/>
        <w:rPr>
          <w:sz w:val="20"/>
          <w:szCs w:val="20"/>
          <w:color w:val="auto"/>
        </w:rPr>
      </w:pPr>
    </w:p>
    <w:p>
      <w:pPr>
        <w:ind w:right="380" w:firstLine="656"/>
        <w:spacing w:after="0" w:line="301" w:lineRule="auto"/>
        <w:tabs>
          <w:tab w:leader="none" w:pos="1028" w:val="left"/>
        </w:tabs>
        <w:numPr>
          <w:ilvl w:val="0"/>
          <w:numId w:val="157"/>
        </w:numPr>
        <w:rPr>
          <w:rFonts w:ascii="Arial" w:cs="Arial" w:eastAsia="Arial" w:hAnsi="Arial"/>
          <w:sz w:val="16"/>
          <w:szCs w:val="16"/>
          <w:color w:val="auto"/>
        </w:rPr>
      </w:pPr>
      <w:r>
        <w:rPr>
          <w:rFonts w:ascii="Arial" w:cs="Arial" w:eastAsia="Arial" w:hAnsi="Arial"/>
          <w:sz w:val="16"/>
          <w:szCs w:val="16"/>
          <w:color w:val="auto"/>
        </w:rPr>
        <w:t xml:space="preserve">(i) The unaudited historical consolidated financial information of Holdings set forth in the Lender Presentation, and (ii) the Historical Financial Statements, in each case present fairly in all material respects the combined financial position of Holdings at the respective dates of said information, statements and results of operations for the respective periods covered thereby. The financial statements referred to in </w:t>
      </w:r>
      <w:r>
        <w:rPr>
          <w:rFonts w:ascii="Arial" w:cs="Arial" w:eastAsia="Arial" w:hAnsi="Arial"/>
          <w:sz w:val="16"/>
          <w:szCs w:val="16"/>
          <w:u w:val="single" w:color="auto"/>
          <w:color w:val="auto"/>
        </w:rPr>
        <w:t>clause (a)(ii)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8.9</w:t>
      </w:r>
      <w:r>
        <w:rPr>
          <w:rFonts w:ascii="Arial" w:cs="Arial" w:eastAsia="Arial" w:hAnsi="Arial"/>
          <w:sz w:val="16"/>
          <w:szCs w:val="16"/>
          <w:color w:val="auto"/>
        </w:rPr>
        <w:t xml:space="preserve"> have been prepared in accordance with GAAP consistently applied except to the extent provided in the notes to said financial statements.</w:t>
      </w:r>
    </w:p>
    <w:p>
      <w:pPr>
        <w:spacing w:after="0" w:line="157" w:lineRule="exact"/>
        <w:rPr>
          <w:rFonts w:ascii="Arial" w:cs="Arial" w:eastAsia="Arial" w:hAnsi="Arial"/>
          <w:sz w:val="16"/>
          <w:szCs w:val="16"/>
          <w:color w:val="auto"/>
        </w:rPr>
      </w:pPr>
    </w:p>
    <w:p>
      <w:pPr>
        <w:ind w:right="200" w:firstLine="656"/>
        <w:spacing w:after="0" w:line="301" w:lineRule="auto"/>
        <w:tabs>
          <w:tab w:leader="none" w:pos="1034" w:val="left"/>
        </w:tabs>
        <w:numPr>
          <w:ilvl w:val="0"/>
          <w:numId w:val="157"/>
        </w:numPr>
        <w:rPr>
          <w:rFonts w:ascii="Arial" w:cs="Arial" w:eastAsia="Arial" w:hAnsi="Arial"/>
          <w:sz w:val="16"/>
          <w:szCs w:val="16"/>
          <w:color w:val="auto"/>
        </w:rPr>
      </w:pPr>
      <w:r>
        <w:rPr>
          <w:rFonts w:ascii="Arial" w:cs="Arial" w:eastAsia="Arial" w:hAnsi="Arial"/>
          <w:sz w:val="16"/>
          <w:szCs w:val="16"/>
          <w:color w:val="auto"/>
        </w:rPr>
        <w:t>There has been no Material Adverse Effect since the Restatement Effective Date</w:t>
      </w:r>
      <w:r>
        <w:rPr>
          <w:rFonts w:ascii="Arial" w:cs="Arial" w:eastAsia="Arial" w:hAnsi="Arial"/>
          <w:sz w:val="16"/>
          <w:szCs w:val="16"/>
          <w:color w:val="FF0000"/>
          <w:strike w:val="1"/>
        </w:rPr>
        <w:t>.</w:t>
      </w:r>
      <w:r>
        <w:rPr>
          <w:rFonts w:ascii="Arial" w:cs="Arial" w:eastAsia="Arial" w:hAnsi="Arial"/>
          <w:sz w:val="16"/>
          <w:szCs w:val="16"/>
          <w:u w:val="single" w:color="auto"/>
          <w:color w:val="0000FF"/>
        </w:rPr>
        <w:t>; provided that, until the last day of Holdings fourth fiscal</w:t>
      </w:r>
      <w:r>
        <w:rPr>
          <w:rFonts w:ascii="Arial" w:cs="Arial" w:eastAsia="Arial" w:hAnsi="Arial"/>
          <w:sz w:val="16"/>
          <w:szCs w:val="16"/>
          <w:color w:val="auto"/>
        </w:rPr>
        <w:t xml:space="preserve"> </w:t>
      </w:r>
      <w:r>
        <w:rPr>
          <w:rFonts w:ascii="Arial" w:cs="Arial" w:eastAsia="Arial" w:hAnsi="Arial"/>
          <w:sz w:val="16"/>
          <w:szCs w:val="16"/>
          <w:u w:val="single" w:color="auto"/>
          <w:color w:val="0000FF"/>
        </w:rPr>
        <w:t>quarter of its 2021 fiscal year, the facts, circumstances and conditions relating to Holdings and its Subsidiaries that (i) exist on the Amendment No. 1 Effective Date, (ii) have been disclosed to the Lenders prior to the Amendment No. 1 Effective Date and (iii) have resulted solely and directly from the outbreak of Covid-19 shall, for purposes of this representation and warranty, be deemed to have existed on the Restatement Effective Date.</w:t>
      </w:r>
    </w:p>
    <w:p>
      <w:pPr>
        <w:spacing w:after="0" w:line="15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Each Lender and the Administrative Agent hereby acknowledges and agrees that Holdings and its Subsidiaries may be required to restate historical financial statements as the result of the implementation of changes in GAAP or IFRS, or the respective interpretation thereof, and that such restatements will not result in a Default or an Event of Default under the Credit Documents.</w:t>
      </w:r>
    </w:p>
    <w:p>
      <w:pPr>
        <w:spacing w:after="0" w:line="103"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 xml:space="preserve">8.10 </w:t>
      </w:r>
      <w:r>
        <w:rPr>
          <w:rFonts w:ascii="Arial" w:cs="Arial" w:eastAsia="Arial" w:hAnsi="Arial"/>
          <w:sz w:val="16"/>
          <w:szCs w:val="16"/>
          <w:u w:val="single" w:color="auto"/>
          <w:color w:val="auto"/>
        </w:rPr>
        <w:t>Compliance with Laws; No Default</w:t>
      </w:r>
      <w:r>
        <w:rPr>
          <w:rFonts w:ascii="Arial" w:cs="Arial" w:eastAsia="Arial" w:hAnsi="Arial"/>
          <w:sz w:val="16"/>
          <w:szCs w:val="16"/>
          <w:color w:val="auto"/>
        </w:rPr>
        <w:t>. Each Credit Party is in compliance with all Requirements of Law applicable to it or its property, except where the failure to be in compliance would not reasonably be expected to result in a Material Adverse Effect. No Default has occurred and is continuing.</w:t>
      </w:r>
    </w:p>
    <w:p>
      <w:pPr>
        <w:spacing w:after="0" w:line="124"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8.11 </w:t>
      </w:r>
      <w:r>
        <w:rPr>
          <w:rFonts w:ascii="Arial" w:cs="Arial" w:eastAsia="Arial" w:hAnsi="Arial"/>
          <w:sz w:val="17"/>
          <w:szCs w:val="17"/>
          <w:u w:val="single" w:color="auto"/>
          <w:color w:val="auto"/>
        </w:rPr>
        <w:t>Anti-Corruption, Sanctions and Anti-Money Laundering Compliance</w:t>
      </w:r>
      <w:r>
        <w:rPr>
          <w:rFonts w:ascii="Arial" w:cs="Arial" w:eastAsia="Arial" w:hAnsi="Arial"/>
          <w:sz w:val="17"/>
          <w:szCs w:val="17"/>
          <w:color w:val="auto"/>
        </w:rPr>
        <w:t>. The Credit Parties have instituted and maintained policies and procedures reasonably designed to promote and achieve compliance with Anti-Corruption Laws and Sanctions and each Credit Party, their respective Subsidiaries, and to the knowledge of each Credit Party, their respective Related Parties, are in compliance, in all material respects, with Anti-Corruption Laws, Sanctions, the Trading with the Enemy Act, as amended and Anti-Money Laundering Laws. None of the Credit Parties, their respective Subsidiaries, and to the knowledge of the Credit Parties, their respective Related Parties, is (a) the subject or target of Sanctions, (b) included on List of Specially Designated Nationals by the United States Treasury Department’s Office of Foreign Assets Control (“</w:t>
      </w:r>
      <w:r>
        <w:rPr>
          <w:rFonts w:ascii="Arial" w:cs="Arial" w:eastAsia="Arial" w:hAnsi="Arial"/>
          <w:sz w:val="17"/>
          <w:szCs w:val="17"/>
          <w:b w:val="1"/>
          <w:bCs w:val="1"/>
          <w:color w:val="auto"/>
        </w:rPr>
        <w:t>OFAC</w:t>
      </w:r>
      <w:r>
        <w:rPr>
          <w:rFonts w:ascii="Arial" w:cs="Arial" w:eastAsia="Arial" w:hAnsi="Arial"/>
          <w:sz w:val="17"/>
          <w:szCs w:val="17"/>
          <w:color w:val="auto"/>
        </w:rPr>
        <w:t>”) or any similar list enforced by any other relevant sanctions authority or (c) is located, organized or resident in a Designated Jurisdiction. No Borrowing or Letter of Credit, use of proceeds or other transaction contemplated by this Agreement will violate any Anti-Corruption Law or applicable Sanctions.</w:t>
      </w:r>
    </w:p>
    <w:p>
      <w:pPr>
        <w:spacing w:after="0" w:line="178"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8.12 </w:t>
      </w:r>
      <w:r>
        <w:rPr>
          <w:rFonts w:ascii="Arial" w:cs="Arial" w:eastAsia="Arial" w:hAnsi="Arial"/>
          <w:sz w:val="16"/>
          <w:szCs w:val="16"/>
          <w:u w:val="single" w:color="auto"/>
          <w:color w:val="auto"/>
        </w:rPr>
        <w:t>Tax Matters</w:t>
      </w:r>
      <w:r>
        <w:rPr>
          <w:rFonts w:ascii="Arial" w:cs="Arial" w:eastAsia="Arial" w:hAnsi="Arial"/>
          <w:sz w:val="16"/>
          <w:szCs w:val="16"/>
          <w:color w:val="auto"/>
        </w:rPr>
        <w:t>. Except as would not reasonably be expected to have a Material Adverse Effect, (a) each of Holdings, the Borrower and each of the other Restricted Subsidiaries has filed all Tax returns required to be filed by it and has timely paid all Taxes payable by it (whether or not shown on a Tax return and including in its capacity as withholding agent) that have become due, other than those being contested in good faith and by proper proceedings if it has maintained adequate reserves (in the good faith judgment of management of Holdings, the Borrower or such Restricted Subsidiary, as applicable) with respect thereto in accordance with GAAP and (b) each of Holdings, the Borrower and each of the Restricted Subsidiaries has paid, or has provided adequate reserves (in the good faith judgment of management of Holdings, the Borrower or such Restricted Subsidiary, as applicable) in accordance with GAAP for the payment of all Taxes not yet due and payable. There is no current or proposed Tax assessment, deficiency or other claim against Holdings, the Borrower or any Restricted Subsidiary that would reasonably be expected to result in a Material Adverse Effect.</w:t>
      </w:r>
    </w:p>
    <w:p>
      <w:pPr>
        <w:spacing w:after="0" w:line="16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8.13</w:t>
      </w:r>
      <w:r>
        <w:rPr>
          <w:sz w:val="20"/>
          <w:szCs w:val="20"/>
          <w:color w:val="auto"/>
        </w:rPr>
        <w:tab/>
      </w:r>
      <w:r>
        <w:rPr>
          <w:rFonts w:ascii="Arial" w:cs="Arial" w:eastAsia="Arial" w:hAnsi="Arial"/>
          <w:sz w:val="16"/>
          <w:szCs w:val="16"/>
          <w:u w:val="single" w:color="auto"/>
          <w:color w:val="auto"/>
        </w:rPr>
        <w:t>Compliance with ERISA</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341" w:right="339" w:bottom="1440" w:gutter="0" w:footer="0" w:header="0"/>
        </w:sectPr>
      </w:pPr>
    </w:p>
    <w:bookmarkStart w:id="183" w:name="page184"/>
    <w:bookmarkEnd w:id="183"/>
    <w:p>
      <w:pPr>
        <w:ind w:left="660"/>
        <w:spacing w:after="0"/>
        <w:tabs>
          <w:tab w:leader="none" w:pos="10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Except as would not reasonably be expected to have a Material Adverse Effect, no ERISA Event has occurred or is reasonably expected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occur.</w:t>
      </w:r>
    </w:p>
    <w:p>
      <w:pPr>
        <w:spacing w:after="0" w:line="211" w:lineRule="exact"/>
        <w:rPr>
          <w:sz w:val="20"/>
          <w:szCs w:val="20"/>
          <w:color w:val="auto"/>
        </w:rPr>
      </w:pPr>
    </w:p>
    <w:p>
      <w:pPr>
        <w:ind w:left="1040" w:hanging="384"/>
        <w:spacing w:after="0"/>
        <w:tabs>
          <w:tab w:leader="none" w:pos="104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Except as would not reasonably be expected to have a Material Adverse Effect, no Foreign Plan Event has occurred or is reasonably expected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occur.</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8.14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8.14</w:t>
      </w:r>
      <w:r>
        <w:rPr>
          <w:rFonts w:ascii="Arial" w:cs="Arial" w:eastAsia="Arial" w:hAnsi="Arial"/>
          <w:sz w:val="18"/>
          <w:szCs w:val="18"/>
          <w:color w:val="auto"/>
        </w:rPr>
        <w:t xml:space="preserve"> lists each Subsidiary of Holdings and the Borrower (and the direct and indirect ownership interest of Holdings and the Borrower therein), in each case existing on the Restatement Effective Date.</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8.15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Each of Holdings, the Borrower and the other Restricted Subsidiaries owns or has the right to use all Intellectual Property that is used in or otherwise necessary for the operation of their respective businesses as currently conducted, except where the failure of the foregoing would not reasonably be expected to have a Material Adverse Effect. The operation of their respective businesses by each of Holdings, the Borrower, and the other Restricted Subsidiaries does not infringe upon, misappropriate, violate or otherwise conflict with the Intellectual Property of any third party, except as would not reasonably be expected to have a Material Adverse Effect.</w:t>
      </w:r>
    </w:p>
    <w:p>
      <w:pPr>
        <w:spacing w:after="0" w:line="176"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8.16</w:t>
      </w:r>
      <w:r>
        <w:rPr>
          <w:sz w:val="20"/>
          <w:szCs w:val="20"/>
          <w:color w:val="auto"/>
        </w:rPr>
        <w:tab/>
      </w:r>
      <w:r>
        <w:rPr>
          <w:rFonts w:ascii="Arial" w:cs="Arial" w:eastAsia="Arial" w:hAnsi="Arial"/>
          <w:sz w:val="16"/>
          <w:szCs w:val="16"/>
          <w:u w:val="single" w:color="auto"/>
          <w:color w:val="auto"/>
        </w:rPr>
        <w:t>Environmental Laws</w:t>
      </w:r>
      <w:r>
        <w:rPr>
          <w:rFonts w:ascii="Arial" w:cs="Arial" w:eastAsia="Arial" w:hAnsi="Arial"/>
          <w:sz w:val="16"/>
          <w:szCs w:val="16"/>
          <w:color w:val="auto"/>
        </w:rPr>
        <w:t>.</w:t>
      </w:r>
    </w:p>
    <w:p>
      <w:pPr>
        <w:spacing w:after="0" w:line="225" w:lineRule="exact"/>
        <w:rPr>
          <w:sz w:val="20"/>
          <w:szCs w:val="20"/>
          <w:color w:val="auto"/>
        </w:rPr>
      </w:pPr>
    </w:p>
    <w:p>
      <w:pPr>
        <w:ind w:right="200" w:firstLine="656"/>
        <w:spacing w:after="0" w:line="291" w:lineRule="auto"/>
        <w:tabs>
          <w:tab w:leader="none" w:pos="1028" w:val="left"/>
        </w:tabs>
        <w:numPr>
          <w:ilvl w:val="1"/>
          <w:numId w:val="159"/>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8.16</w:t>
      </w:r>
      <w:r>
        <w:rPr>
          <w:rFonts w:ascii="Arial" w:cs="Arial" w:eastAsia="Arial" w:hAnsi="Arial"/>
          <w:sz w:val="16"/>
          <w:szCs w:val="16"/>
          <w:color w:val="auto"/>
        </w:rPr>
        <w:t>, or as would not reasonably be expected to have a Material Adverse Effect: (i) each of Holdings, the Borrower, and the other Restricted Subsidiaries and their respective operations and properties are in compliance with all applicable Environmental Laws;</w:t>
      </w:r>
    </w:p>
    <w:p>
      <w:pPr>
        <w:ind w:right="60" w:firstLine="8"/>
        <w:spacing w:after="0" w:line="253" w:lineRule="auto"/>
        <w:tabs>
          <w:tab w:leader="none" w:pos="26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none of Holdings, the Borrower, or any other Restricted Subsidiary has received written notice of any Environmental Claim; (iii) none of Holdings, the Borrower, or any Restricted Subsidiary is conducting any investigation, removal, remedial or other corrective action pursuant to any Environmental Law at any location; and (iv) to the knowledge of the Borrower, no underground or above ground storage tank or related piping, or any impoundment or other disposal area containing Hazardous Materials is located at, on or under any Real Estate currently owned or leased by Holdings, the Borrower or any of the Restricted Subsidiaries.</w:t>
      </w:r>
    </w:p>
    <w:p>
      <w:pPr>
        <w:spacing w:after="0" w:line="190" w:lineRule="exact"/>
        <w:rPr>
          <w:rFonts w:ascii="Arial" w:cs="Arial" w:eastAsia="Arial" w:hAnsi="Arial"/>
          <w:sz w:val="18"/>
          <w:szCs w:val="18"/>
          <w:color w:val="auto"/>
        </w:rPr>
      </w:pPr>
    </w:p>
    <w:p>
      <w:pPr>
        <w:jc w:val="both"/>
        <w:ind w:right="240" w:firstLine="656"/>
        <w:spacing w:after="0" w:line="279" w:lineRule="auto"/>
        <w:tabs>
          <w:tab w:leader="none" w:pos="1038" w:val="left"/>
        </w:tabs>
        <w:numPr>
          <w:ilvl w:val="1"/>
          <w:numId w:val="160"/>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8.16</w:t>
      </w:r>
      <w:r>
        <w:rPr>
          <w:rFonts w:ascii="Arial" w:cs="Arial" w:eastAsia="Arial" w:hAnsi="Arial"/>
          <w:sz w:val="17"/>
          <w:szCs w:val="17"/>
          <w:color w:val="auto"/>
        </w:rPr>
        <w:t>, none of Holdings, the Borrower or any of the Restricted Subsidiaries has treated, stored, transported, Released or arranged for disposal or transport for disposal or treatment of Hazardous Materials at, on, under or from any currently or, formerly owned or operated property nor, to the knowledge of the Borrower, has there been any other Release of Hazardous Materials at, on, under or from any such properties, in each case, in a manner that would reasonably be expected to have a Material Adverse Effect.</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8.17</w:t>
      </w:r>
      <w:r>
        <w:rPr>
          <w:sz w:val="20"/>
          <w:szCs w:val="20"/>
          <w:color w:val="auto"/>
        </w:rPr>
        <w:tab/>
      </w:r>
      <w:r>
        <w:rPr>
          <w:rFonts w:ascii="Arial" w:cs="Arial" w:eastAsia="Arial" w:hAnsi="Arial"/>
          <w:sz w:val="15"/>
          <w:szCs w:val="15"/>
          <w:u w:val="single" w:color="auto"/>
          <w:color w:val="auto"/>
        </w:rPr>
        <w:t>Properties</w:t>
      </w:r>
      <w:r>
        <w:rPr>
          <w:rFonts w:ascii="Arial" w:cs="Arial" w:eastAsia="Arial" w:hAnsi="Arial"/>
          <w:sz w:val="15"/>
          <w:szCs w:val="15"/>
          <w:color w:val="auto"/>
        </w:rPr>
        <w:t>.</w:t>
      </w:r>
    </w:p>
    <w:p>
      <w:pPr>
        <w:spacing w:after="0" w:line="225" w:lineRule="exact"/>
        <w:rPr>
          <w:sz w:val="20"/>
          <w:szCs w:val="20"/>
          <w:color w:val="auto"/>
        </w:rPr>
      </w:pPr>
    </w:p>
    <w:p>
      <w:pPr>
        <w:ind w:right="60" w:firstLine="656"/>
        <w:spacing w:after="0" w:line="293" w:lineRule="auto"/>
        <w:tabs>
          <w:tab w:leader="none" w:pos="1028"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Each of Holdings, the Borrower, and the other Restricted Subsidiaries has good and valid record title to, valid leasehold interests in, or rights to use, all properties that are necessary for the operation of their respective businesses as currently conducted and as proposed to be conducted, free and clear of all Liens (other than any Liens permitted by this Agreement) and except where the failure to have such good title or interest would not reasonably be expected, individually or in the aggregate, to have a Material Adverse Effect and (b) no Mortgage encumbers improved Real Estate that is located in an area that has been identified by the Secretary of Housing and Urban Development as an area having special flood hazards within the meaning of the National Flood Insurance Act of 1968, as amended, unless flood insurance available under such act has been obtained in accordance with </w:t>
      </w:r>
      <w:r>
        <w:rPr>
          <w:rFonts w:ascii="Arial" w:cs="Arial" w:eastAsia="Arial" w:hAnsi="Arial"/>
          <w:sz w:val="16"/>
          <w:szCs w:val="16"/>
          <w:u w:val="single" w:color="auto"/>
          <w:color w:val="auto"/>
        </w:rPr>
        <w:t>Section 9.3(b)</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right="440" w:firstLine="656"/>
        <w:spacing w:after="0" w:line="277" w:lineRule="auto"/>
        <w:tabs>
          <w:tab w:leader="none" w:pos="103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is a list of each real property owned by any Credit Party as of the Restatement Effective Date having a Fair Market Value in excess of $20,000,000.</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8.18 </w:t>
      </w:r>
      <w:r>
        <w:rPr>
          <w:rFonts w:ascii="Arial" w:cs="Arial" w:eastAsia="Arial" w:hAnsi="Arial"/>
          <w:sz w:val="17"/>
          <w:szCs w:val="17"/>
          <w:u w:val="single" w:color="auto"/>
          <w:color w:val="auto"/>
        </w:rPr>
        <w:t>Solvency</w:t>
      </w:r>
      <w:r>
        <w:rPr>
          <w:rFonts w:ascii="Arial" w:cs="Arial" w:eastAsia="Arial" w:hAnsi="Arial"/>
          <w:sz w:val="17"/>
          <w:szCs w:val="17"/>
          <w:color w:val="auto"/>
        </w:rPr>
        <w:t>. On the Restatement Effective Date (after giving effect to the Transactions) immediately following the making of the Loans and after giving effect to the application of the proceeds of such Loans, Holdings on a consolidated basis with its Subsidiaries will be Solvent.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341" w:right="339" w:bottom="1440" w:gutter="0" w:footer="0" w:header="0"/>
        </w:sectPr>
      </w:pPr>
    </w:p>
    <w:bookmarkStart w:id="184" w:name="page185"/>
    <w:bookmarkEnd w:id="184"/>
    <w:p>
      <w:pPr>
        <w:ind w:left="660"/>
        <w:spacing w:after="0"/>
        <w:tabs>
          <w:tab w:leader="none" w:pos="1140" w:val="left"/>
        </w:tabs>
        <w:rPr>
          <w:sz w:val="20"/>
          <w:szCs w:val="20"/>
          <w:color w:val="auto"/>
        </w:rPr>
      </w:pPr>
      <w:r>
        <w:rPr>
          <w:rFonts w:ascii="Arial" w:cs="Arial" w:eastAsia="Arial" w:hAnsi="Arial"/>
          <w:sz w:val="18"/>
          <w:szCs w:val="18"/>
          <w:color w:val="auto"/>
        </w:rPr>
        <w:t>8.19</w:t>
      </w:r>
      <w:r>
        <w:rPr>
          <w:sz w:val="20"/>
          <w:szCs w:val="20"/>
          <w:color w:val="auto"/>
        </w:rPr>
        <w:tab/>
      </w:r>
      <w:r>
        <w:rPr>
          <w:rFonts w:ascii="Arial" w:cs="Arial" w:eastAsia="Arial" w:hAnsi="Arial"/>
          <w:sz w:val="16"/>
          <w:szCs w:val="16"/>
          <w:u w:val="single" w:color="auto"/>
          <w:color w:val="auto"/>
        </w:rPr>
        <w:t>Patriot Act</w:t>
      </w:r>
      <w:r>
        <w:rPr>
          <w:rFonts w:ascii="Arial" w:cs="Arial" w:eastAsia="Arial" w:hAnsi="Arial"/>
          <w:sz w:val="16"/>
          <w:szCs w:val="16"/>
          <w:color w:val="auto"/>
        </w:rPr>
        <w:t>. On the Restatement Effective Date, the use of proceeds of the Loans will not violate the PATRIOT Act in any material respect.</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u w:val="single" w:color="auto"/>
          <w:color w:val="0000FF"/>
        </w:rPr>
        <w:t>EEA Financial Institutions. No Credit Party is an Affected Financial Institution.</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Affirmative Covenants</w:t>
      </w:r>
    </w:p>
    <w:p>
      <w:pPr>
        <w:spacing w:after="0" w:line="17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Each of Holdings and the Borrower hereby covenants and agrees that on the Restatement Effective Date and thereafter, until the Commitments, the Swingline Commitment and each Letter of Credit have terminated or been collateralized in accordance with the terms of this Agreement and the Loans and Unpaid Drawings, together with interest, Fees and all other Obligations incurred hereunder (other than contingent indemnity obligations, Secured Hedge Obligations and Secured Cash Management Obligations and Letters of Credit collateralized in accordance with the terms of this Agreement), are paid in full:</w:t>
      </w:r>
    </w:p>
    <w:p>
      <w:pPr>
        <w:spacing w:after="0" w:line="13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Information Covenants</w:t>
      </w:r>
      <w:r>
        <w:rPr>
          <w:rFonts w:ascii="Arial" w:cs="Arial" w:eastAsia="Arial" w:hAnsi="Arial"/>
          <w:sz w:val="18"/>
          <w:szCs w:val="18"/>
          <w:color w:val="auto"/>
        </w:rPr>
        <w:t>. The Borrower will furnish to the Administrative Agent (which shall promptly make such information available to the Lenders in accordance with its customary practice):</w:t>
      </w:r>
    </w:p>
    <w:p>
      <w:pPr>
        <w:spacing w:after="0" w:line="116" w:lineRule="exact"/>
        <w:rPr>
          <w:sz w:val="20"/>
          <w:szCs w:val="20"/>
          <w:color w:val="auto"/>
        </w:rPr>
      </w:pPr>
    </w:p>
    <w:p>
      <w:pPr>
        <w:ind w:left="660" w:right="60" w:firstLine="644"/>
        <w:spacing w:after="0" w:line="269" w:lineRule="auto"/>
        <w:tabs>
          <w:tab w:leader="none" w:pos="1687"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Annual Financial Statements</w:t>
      </w:r>
      <w:r>
        <w:rPr>
          <w:rFonts w:ascii="Arial" w:cs="Arial" w:eastAsia="Arial" w:hAnsi="Arial"/>
          <w:sz w:val="17"/>
          <w:szCs w:val="17"/>
          <w:color w:val="auto"/>
        </w:rPr>
        <w:t>. As soon as available and in any event within five days after the date on which such financial statements are required to be filed with the SEC (after giving effect to any permitted extensions) (or, if such financial statements are not required to be filed with the SEC, on or before the date that is 90 days after the end of each such fiscal year) (commencing with the fiscal year ending December 28, 2019), the consolidated balance sheets of Holdings and the Restricted Subsidiaries as at the end of each fiscal year, and the related consolidated statements of operations and cash flows for such fiscal year, setting forth comparative consolidated and/or combined figures for the preceding fiscal years, all in reasonable detail and prepared in accordance with GAAP, and, in each case, certified by independent certified public accountants of recognized national standing whose opinion shall not be qualified as to the scope of audit or as to the status of Holdings or any of the Material Subsidiaries (or group of Subsidiaries that together would constitute a Material Subsidiary) as a going concern (other than any exception, explanatory paragraph or qualification, that is expressly solely with respect to, or expressly resulting solely from, (i) an upcoming maturity date under any Indebtedness occurring within one year from the time such opinion is delivered or (ii) any potential inability to satisfy a financial maintenance covenant on a future date or in a future period).</w:t>
      </w:r>
    </w:p>
    <w:p>
      <w:pPr>
        <w:spacing w:after="0" w:line="127" w:lineRule="exact"/>
        <w:rPr>
          <w:rFonts w:ascii="Arial" w:cs="Arial" w:eastAsia="Arial" w:hAnsi="Arial"/>
          <w:sz w:val="17"/>
          <w:szCs w:val="17"/>
          <w:color w:val="auto"/>
        </w:rPr>
      </w:pPr>
    </w:p>
    <w:p>
      <w:pPr>
        <w:ind w:left="660" w:firstLine="644"/>
        <w:spacing w:after="0" w:line="286" w:lineRule="auto"/>
        <w:tabs>
          <w:tab w:leader="none" w:pos="1698"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Quarterly Financial Statements</w:t>
      </w:r>
      <w:r>
        <w:rPr>
          <w:rFonts w:ascii="Arial" w:cs="Arial" w:eastAsia="Arial" w:hAnsi="Arial"/>
          <w:sz w:val="16"/>
          <w:szCs w:val="16"/>
          <w:color w:val="auto"/>
        </w:rPr>
        <w:t>. As soon as available and in any event within five days after the date on which such financial statements are required to be filed with the SEC (after giving effect to any permitted extensions) with respect to each of the first three quarterly accounting periods in each fiscal year of Holdings (or, if such financial statements are not required to be filed with the SEC, on or before the date that is 45 days after the end of each such quarterly accounting period), the consolidated balance sheets of Holdings and the Restricted Subsidiaries as at the end of such quarterly period and the related consolidated statements of operations for such quarterly accounting period and for the elapsed portion of the fiscal year ended with the last day of such quarterly period, and the related consolidated statement of cash flows for the elapsed portion of the fiscal year ended with the last day of the applicable quarterly period, and commencing with the quarter ending September 30, 2019 setting forth comparative consolidated and/or combined figures for the related periods in the prior fiscal year or, in the case of such consolidated balance sheet, for the last day of the related period in the prior fiscal year, all of which shall be certified by an Authorized Officer of Holdings as fairly presenting in all material respects the financial condition, results of operations and cash flows of Holdings and its Restricted Subsidiaries in accordance with GAAP (except as noted therein), subject to changes resulting from normal year-end adjustments and the absence of footnotes, and, with respect to fiscal 2014 reporting periods, subject to finalization of the purchase price allocation to the fair value of assets acquired and liabilities assumed in the Transactions, as required by GAAP.</w:t>
      </w:r>
    </w:p>
    <w:p>
      <w:pPr>
        <w:spacing w:after="0" w:line="119" w:lineRule="exact"/>
        <w:rPr>
          <w:rFonts w:ascii="Arial" w:cs="Arial" w:eastAsia="Arial" w:hAnsi="Arial"/>
          <w:sz w:val="16"/>
          <w:szCs w:val="16"/>
          <w:color w:val="auto"/>
        </w:rPr>
      </w:pPr>
    </w:p>
    <w:p>
      <w:pPr>
        <w:jc w:val="both"/>
        <w:ind w:left="660" w:right="300" w:firstLine="644"/>
        <w:spacing w:after="0" w:line="263" w:lineRule="auto"/>
        <w:tabs>
          <w:tab w:leader="none" w:pos="1687"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Budgets</w:t>
      </w:r>
      <w:r>
        <w:rPr>
          <w:rFonts w:ascii="Arial" w:cs="Arial" w:eastAsia="Arial" w:hAnsi="Arial"/>
          <w:sz w:val="18"/>
          <w:szCs w:val="18"/>
          <w:color w:val="auto"/>
        </w:rPr>
        <w:t>. In the event that Holdings (or any Parent Entity) ceases to provide public guidance or provides public guidance that is substantially less in scope than the most recent annual guidance provided by National Vision Holdings, Inc. prior to the Restatement Effective Date, within 90</w:t>
      </w: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80"/>
          </w:cols>
          <w:pgMar w:left="320" w:top="341" w:right="399" w:bottom="1440" w:gutter="0" w:footer="0" w:header="0"/>
        </w:sectPr>
      </w:pPr>
    </w:p>
    <w:bookmarkStart w:id="185" w:name="page186"/>
    <w:bookmarkEnd w:id="185"/>
    <w:p>
      <w:pPr>
        <w:ind w:right="60"/>
        <w:spacing w:after="0" w:line="254" w:lineRule="auto"/>
        <w:rPr>
          <w:sz w:val="20"/>
          <w:szCs w:val="20"/>
          <w:color w:val="auto"/>
        </w:rPr>
      </w:pPr>
      <w:r>
        <w:rPr>
          <w:rFonts w:ascii="Arial" w:cs="Arial" w:eastAsia="Arial" w:hAnsi="Arial"/>
          <w:sz w:val="18"/>
          <w:szCs w:val="18"/>
          <w:color w:val="auto"/>
        </w:rPr>
        <w:t xml:space="preserve">days after the commencement of each fiscal year of Holdings, a budget of Holdings in reasonable detail on an annual basis for such fiscal year as customarily prepared by management of Holdings for its internal use consistent in scope with the financial statements provided pursuant to </w:t>
      </w:r>
      <w:r>
        <w:rPr>
          <w:rFonts w:ascii="Arial" w:cs="Arial" w:eastAsia="Arial" w:hAnsi="Arial"/>
          <w:sz w:val="18"/>
          <w:szCs w:val="18"/>
          <w:u w:val="single" w:color="auto"/>
          <w:color w:val="auto"/>
        </w:rPr>
        <w:t>Section 9.1(a)</w:t>
      </w:r>
      <w:r>
        <w:rPr>
          <w:rFonts w:ascii="Arial" w:cs="Arial" w:eastAsia="Arial" w:hAnsi="Arial"/>
          <w:sz w:val="18"/>
          <w:szCs w:val="18"/>
          <w:color w:val="auto"/>
        </w:rPr>
        <w:t>, setting forth the principal assumptions upon which such budget is based (collectively, the “</w:t>
      </w:r>
      <w:r>
        <w:rPr>
          <w:rFonts w:ascii="Arial" w:cs="Arial" w:eastAsia="Arial" w:hAnsi="Arial"/>
          <w:sz w:val="18"/>
          <w:szCs w:val="18"/>
          <w:b w:val="1"/>
          <w:bCs w:val="1"/>
          <w:color w:val="auto"/>
        </w:rPr>
        <w:t>Projections</w:t>
      </w:r>
      <w:r>
        <w:rPr>
          <w:rFonts w:ascii="Arial" w:cs="Arial" w:eastAsia="Arial" w:hAnsi="Arial"/>
          <w:sz w:val="18"/>
          <w:szCs w:val="18"/>
          <w:color w:val="auto"/>
        </w:rPr>
        <w:t>”), which Projections shall in each case be accompanied by a certificate of an Authorized Officer of Holdings or the Borrower stating that such Projections have been prepared in good faith on the basis of the assumptions stated therein, which assumptions were believed to be reasonable at the time of preparation of such Projections, it being understood and agreed that such Projections and assumptions as to future events are not to be viewed as facts and that actual results during the period or periods covered by any such Projections may differ from the projected results and such differences may be material.</w:t>
      </w:r>
    </w:p>
    <w:p>
      <w:pPr>
        <w:spacing w:after="0" w:line="111" w:lineRule="exact"/>
        <w:rPr>
          <w:sz w:val="20"/>
          <w:szCs w:val="20"/>
          <w:color w:val="auto"/>
        </w:rPr>
      </w:pPr>
    </w:p>
    <w:p>
      <w:pPr>
        <w:ind w:right="40" w:firstLine="644"/>
        <w:spacing w:after="0" w:line="269" w:lineRule="auto"/>
        <w:tabs>
          <w:tab w:leader="none" w:pos="1038"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Officer’s Certificates</w:t>
      </w:r>
      <w:r>
        <w:rPr>
          <w:rFonts w:ascii="Arial" w:cs="Arial" w:eastAsia="Arial" w:hAnsi="Arial"/>
          <w:sz w:val="17"/>
          <w:szCs w:val="17"/>
          <w:color w:val="auto"/>
        </w:rPr>
        <w:t xml:space="preserve">. Not later than five days after the delivery of the financial statements provided for in </w:t>
      </w:r>
      <w:r>
        <w:rPr>
          <w:rFonts w:ascii="Arial" w:cs="Arial" w:eastAsia="Arial" w:hAnsi="Arial"/>
          <w:sz w:val="17"/>
          <w:szCs w:val="17"/>
          <w:u w:val="single" w:color="auto"/>
          <w:color w:val="auto"/>
        </w:rPr>
        <w:t>Sections 9.1(a)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 certificate of an Authorized Officer of Holdings or the Borrower to the effect that no Default or Event of Default exists or, if any Default or Event of Default does exist, specifying the nature and extent thereof, as the case may be, which certificate shall set forth (i) a specification of any change in the identity of the Restricted Subsidiaries and Unrestricted Subsidiaries as at the end of such fiscal year or period, as the case may be, from the Restricted Subsidiaries and Unrestricted Subsidiaries, respectively, provided to the Lenders on the Restatement Effective Date or the most recent fiscal year or period, as the case may be and (ii) the </w:t>
      </w:r>
      <w:r>
        <w:rPr>
          <w:rFonts w:ascii="Arial" w:cs="Arial" w:eastAsia="Arial" w:hAnsi="Arial"/>
          <w:sz w:val="17"/>
          <w:szCs w:val="17"/>
          <w:u w:val="single" w:color="auto"/>
          <w:color w:val="0000FF"/>
        </w:rPr>
        <w:t>reasonably detailed calculation of the</w:t>
      </w:r>
      <w:r>
        <w:rPr>
          <w:rFonts w:ascii="Arial" w:cs="Arial" w:eastAsia="Arial" w:hAnsi="Arial"/>
          <w:sz w:val="17"/>
          <w:szCs w:val="17"/>
          <w:color w:val="auto"/>
        </w:rPr>
        <w:t xml:space="preserve"> then applicable </w:t>
      </w:r>
      <w:r>
        <w:rPr>
          <w:rFonts w:ascii="Arial" w:cs="Arial" w:eastAsia="Arial" w:hAnsi="Arial"/>
          <w:sz w:val="17"/>
          <w:szCs w:val="17"/>
          <w:color w:val="FF0000"/>
          <w:strike w:val="1"/>
        </w:rPr>
        <w:t>status and underlying calculations in</w:t>
      </w:r>
      <w:r>
        <w:rPr>
          <w:rFonts w:ascii="Arial" w:cs="Arial" w:eastAsia="Arial" w:hAnsi="Arial"/>
          <w:sz w:val="17"/>
          <w:szCs w:val="17"/>
          <w:color w:val="auto"/>
        </w:rPr>
        <w:t xml:space="preserve"> </w:t>
      </w:r>
      <w:r>
        <w:rPr>
          <w:rFonts w:ascii="Arial" w:cs="Arial" w:eastAsia="Arial" w:hAnsi="Arial"/>
          <w:sz w:val="17"/>
          <w:szCs w:val="17"/>
          <w:color w:val="FF0000"/>
          <w:strike w:val="1"/>
        </w:rPr>
        <w:t>connection therewith.</w:t>
      </w:r>
      <w:r>
        <w:rPr>
          <w:rFonts w:ascii="Arial" w:cs="Arial" w:eastAsia="Arial" w:hAnsi="Arial"/>
          <w:sz w:val="17"/>
          <w:szCs w:val="17"/>
          <w:u w:val="single" w:color="auto"/>
          <w:color w:val="0000FF"/>
        </w:rPr>
        <w:t>financial maintenance covenants under Section 10.7.</w:t>
      </w:r>
      <w:r>
        <w:rPr>
          <w:rFonts w:ascii="Arial" w:cs="Arial" w:eastAsia="Arial" w:hAnsi="Arial"/>
          <w:sz w:val="17"/>
          <w:szCs w:val="17"/>
          <w:color w:val="FF0000"/>
        </w:rPr>
        <w:t xml:space="preserve"> </w:t>
      </w:r>
      <w:r>
        <w:rPr>
          <w:rFonts w:ascii="Arial" w:cs="Arial" w:eastAsia="Arial" w:hAnsi="Arial"/>
          <w:sz w:val="17"/>
          <w:szCs w:val="17"/>
          <w:color w:val="000000"/>
        </w:rPr>
        <w:t>At the time of the delivery of the financial statements provided for in</w:t>
      </w:r>
      <w:r>
        <w:rPr>
          <w:rFonts w:ascii="Arial" w:cs="Arial" w:eastAsia="Arial" w:hAnsi="Arial"/>
          <w:sz w:val="17"/>
          <w:szCs w:val="17"/>
          <w:color w:val="FF0000"/>
        </w:rPr>
        <w:t xml:space="preserve"> </w:t>
      </w:r>
      <w:r>
        <w:rPr>
          <w:rFonts w:ascii="Arial" w:cs="Arial" w:eastAsia="Arial" w:hAnsi="Arial"/>
          <w:sz w:val="17"/>
          <w:szCs w:val="17"/>
          <w:u w:val="single" w:color="auto"/>
          <w:color w:val="000000"/>
        </w:rPr>
        <w:t>Section 9.1(a)</w:t>
      </w:r>
      <w:r>
        <w:rPr>
          <w:rFonts w:ascii="Arial" w:cs="Arial" w:eastAsia="Arial" w:hAnsi="Arial"/>
          <w:sz w:val="17"/>
          <w:szCs w:val="17"/>
          <w:color w:val="000000"/>
        </w:rPr>
        <w:t xml:space="preserve">, a certificate of an Authorized Officer of Holdings or the Borrower setting forth changes to the legal name, jurisdiction of formation, type of entity and organizational number (or equivalent) to the Person organized in a jurisdiction where an organizational identification number is required to be included in a Uniform Commercial Code financing statement, in each case for each Credit Party or confirming that there has been no change in such information since the Restatement Effective Date or the date of the most recent certificate delivered pursuant to this </w:t>
      </w:r>
      <w:r>
        <w:rPr>
          <w:rFonts w:ascii="Arial" w:cs="Arial" w:eastAsia="Arial" w:hAnsi="Arial"/>
          <w:sz w:val="17"/>
          <w:szCs w:val="17"/>
          <w:u w:val="single" w:color="auto"/>
          <w:color w:val="000000"/>
        </w:rPr>
        <w:t>clause (d)</w:t>
      </w:r>
      <w:r>
        <w:rPr>
          <w:rFonts w:ascii="Arial" w:cs="Arial" w:eastAsia="Arial" w:hAnsi="Arial"/>
          <w:sz w:val="17"/>
          <w:szCs w:val="17"/>
          <w:color w:val="000000"/>
        </w:rPr>
        <w:t>, as the case may be.</w:t>
      </w:r>
    </w:p>
    <w:p>
      <w:pPr>
        <w:spacing w:after="0" w:line="97" w:lineRule="exact"/>
        <w:rPr>
          <w:rFonts w:ascii="Arial" w:cs="Arial" w:eastAsia="Arial" w:hAnsi="Arial"/>
          <w:sz w:val="17"/>
          <w:szCs w:val="17"/>
          <w:color w:val="auto"/>
        </w:rPr>
      </w:pPr>
    </w:p>
    <w:p>
      <w:pPr>
        <w:ind w:right="260" w:firstLine="644"/>
        <w:spacing w:after="0" w:line="257" w:lineRule="auto"/>
        <w:tabs>
          <w:tab w:leader="none" w:pos="1027"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Notice of Default or Litigation</w:t>
      </w:r>
      <w:r>
        <w:rPr>
          <w:rFonts w:ascii="Arial" w:cs="Arial" w:eastAsia="Arial" w:hAnsi="Arial"/>
          <w:sz w:val="18"/>
          <w:szCs w:val="18"/>
          <w:color w:val="auto"/>
        </w:rPr>
        <w:t>. Promptly after an Authorized Officer of Holdings or any of the Restricted Subsidiaries obtains knowledge thereof, notice of (i) the occurrence of any event that constitutes a Default or Event of Default, which notice shall specify the nature thereof, the period of existence thereof and what action Holdings proposes to take with respect thereto and (ii) any litigation or governmental proceeding pending against Holdings or any of the Subsidiaries that would reasonably be expected to be determined adversely and, if so determined, to result in a Material Adverse Effect.</w:t>
      </w:r>
    </w:p>
    <w:p>
      <w:pPr>
        <w:spacing w:after="0" w:line="106" w:lineRule="exact"/>
        <w:rPr>
          <w:rFonts w:ascii="Arial" w:cs="Arial" w:eastAsia="Arial" w:hAnsi="Arial"/>
          <w:sz w:val="18"/>
          <w:szCs w:val="18"/>
          <w:color w:val="auto"/>
        </w:rPr>
      </w:pPr>
    </w:p>
    <w:p>
      <w:pPr>
        <w:ind w:right="200" w:firstLine="644"/>
        <w:spacing w:after="0" w:line="263" w:lineRule="auto"/>
        <w:tabs>
          <w:tab w:leader="none" w:pos="1008"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Environmental Matters</w:t>
      </w:r>
      <w:r>
        <w:rPr>
          <w:rFonts w:ascii="Arial" w:cs="Arial" w:eastAsia="Arial" w:hAnsi="Arial"/>
          <w:sz w:val="18"/>
          <w:szCs w:val="18"/>
          <w:color w:val="auto"/>
        </w:rPr>
        <w:t>. Promptly after an Authorized Officer of Holdings or any of the Restricted Subsidiaries obtains knowledge of any one or more of the following environmental matters, unless such environmental matters would not reasonably be expected to result in a Material Adverse Effect, notice of:</w:t>
      </w:r>
    </w:p>
    <w:p>
      <w:pPr>
        <w:spacing w:after="0" w:line="102" w:lineRule="exact"/>
        <w:rPr>
          <w:rFonts w:ascii="Arial" w:cs="Arial" w:eastAsia="Arial" w:hAnsi="Arial"/>
          <w:sz w:val="18"/>
          <w:szCs w:val="18"/>
          <w:color w:val="auto"/>
        </w:rPr>
      </w:pPr>
    </w:p>
    <w:p>
      <w:pPr>
        <w:ind w:left="1880" w:hanging="345"/>
        <w:spacing w:after="0"/>
        <w:tabs>
          <w:tab w:leader="none" w:pos="188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any pending or threatened Environmental Claim against any Credit Party or any Real Estate; and</w:t>
      </w:r>
    </w:p>
    <w:p>
      <w:pPr>
        <w:spacing w:after="0" w:line="144" w:lineRule="exact"/>
        <w:rPr>
          <w:rFonts w:ascii="Arial" w:cs="Arial" w:eastAsia="Arial" w:hAnsi="Arial"/>
          <w:sz w:val="18"/>
          <w:szCs w:val="18"/>
          <w:color w:val="auto"/>
        </w:rPr>
      </w:pPr>
    </w:p>
    <w:p>
      <w:pPr>
        <w:ind w:left="640" w:right="40" w:firstLine="895"/>
        <w:spacing w:after="0" w:line="308" w:lineRule="auto"/>
        <w:tabs>
          <w:tab w:leader="none" w:pos="1931" w:val="left"/>
        </w:tabs>
        <w:numPr>
          <w:ilvl w:val="1"/>
          <w:numId w:val="163"/>
        </w:numPr>
        <w:rPr>
          <w:rFonts w:ascii="Arial" w:cs="Arial" w:eastAsia="Arial" w:hAnsi="Arial"/>
          <w:sz w:val="17"/>
          <w:szCs w:val="17"/>
          <w:color w:val="auto"/>
        </w:rPr>
      </w:pPr>
      <w:r>
        <w:rPr>
          <w:rFonts w:ascii="Arial" w:cs="Arial" w:eastAsia="Arial" w:hAnsi="Arial"/>
          <w:sz w:val="17"/>
          <w:szCs w:val="17"/>
          <w:color w:val="auto"/>
        </w:rPr>
        <w:t>the conduct of any investigation, or any removal, remedial or other corrective action in response to the actual or alleged presence, Release or threatened Release of any Hazardous Material on, at, under or from any Real Estate.</w:t>
      </w:r>
    </w:p>
    <w:p>
      <w:pPr>
        <w:spacing w:after="0" w:line="6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All such notices shall describe in reasonable detail the nature of the claim, investigation or removal, remedial or other corrective action in response thereto. The term “</w:t>
      </w:r>
      <w:r>
        <w:rPr>
          <w:rFonts w:ascii="Arial" w:cs="Arial" w:eastAsia="Arial" w:hAnsi="Arial"/>
          <w:sz w:val="17"/>
          <w:szCs w:val="17"/>
          <w:b w:val="1"/>
          <w:bCs w:val="1"/>
          <w:color w:val="auto"/>
        </w:rPr>
        <w:t>Real Estate</w:t>
      </w:r>
      <w:r>
        <w:rPr>
          <w:rFonts w:ascii="Arial" w:cs="Arial" w:eastAsia="Arial" w:hAnsi="Arial"/>
          <w:sz w:val="17"/>
          <w:szCs w:val="17"/>
          <w:color w:val="auto"/>
        </w:rPr>
        <w:t>” shall mean land, buildings, facilities and improvements owned or leased by any Credit Party.</w:t>
      </w:r>
    </w:p>
    <w:p>
      <w:pPr>
        <w:spacing w:after="0" w:line="65" w:lineRule="exact"/>
        <w:rPr>
          <w:sz w:val="20"/>
          <w:szCs w:val="20"/>
          <w:color w:val="auto"/>
        </w:rPr>
      </w:pPr>
    </w:p>
    <w:p>
      <w:pPr>
        <w:ind w:right="340" w:firstLine="644"/>
        <w:spacing w:after="0" w:line="286" w:lineRule="auto"/>
        <w:tabs>
          <w:tab w:leader="none" w:pos="1038"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Other Information</w:t>
      </w:r>
      <w:r>
        <w:rPr>
          <w:rFonts w:ascii="Arial" w:cs="Arial" w:eastAsia="Arial" w:hAnsi="Arial"/>
          <w:sz w:val="17"/>
          <w:szCs w:val="17"/>
          <w:color w:val="auto"/>
        </w:rPr>
        <w:t>. Promptly upon filing thereof, copies of any filings (including on Form 10-K, 10-Q or 8-K) or registration statements (other than drafts of pre-effective versions of registration statements) with, and reports to, the SEC or any analogous Governmental Authority in any relevant jurisdiction by Holdings or any of the Restricted Subsidiaries (other than amendments to any</w:t>
      </w:r>
    </w:p>
    <w:p>
      <w:pPr>
        <w:spacing w:after="0" w:line="200" w:lineRule="exact"/>
        <w:rPr>
          <w:sz w:val="20"/>
          <w:szCs w:val="20"/>
          <w:color w:val="auto"/>
        </w:rPr>
      </w:pPr>
    </w:p>
    <w:p>
      <w:pPr>
        <w:spacing w:after="0" w:line="316"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580"/>
          </w:cols>
          <w:pgMar w:left="980" w:top="341" w:right="339" w:bottom="1440" w:gutter="0" w:footer="0" w:header="0"/>
        </w:sectPr>
      </w:pPr>
    </w:p>
    <w:bookmarkStart w:id="186" w:name="page187"/>
    <w:bookmarkEnd w:id="186"/>
    <w:p>
      <w:pPr>
        <w:ind w:left="660" w:right="20"/>
        <w:spacing w:after="0" w:line="287" w:lineRule="auto"/>
        <w:rPr>
          <w:sz w:val="20"/>
          <w:szCs w:val="20"/>
          <w:color w:val="auto"/>
        </w:rPr>
      </w:pPr>
      <w:r>
        <w:rPr>
          <w:rFonts w:ascii="Arial" w:cs="Arial" w:eastAsia="Arial" w:hAnsi="Arial"/>
          <w:sz w:val="16"/>
          <w:szCs w:val="16"/>
          <w:color w:val="auto"/>
        </w:rPr>
        <w:t xml:space="preserve">registration statement (to the extent such registration statement, in the form it becomes effective, is delivered to the Administrative Agent), exhibits to any registration statement and, if applicable, any registration statements on Form S-8) and copies of all financial statements, proxy statements, notices, and reports that Holdings or any of the Restricted Subsidiaries shall send to the holders of any publicly issued debt of Holdings and/or any of the Restricted Subsidiaries, in their capacity as such holders, lenders or agents (in each case to the extent not theretofore delivered to the Administrative Agent pursuant to this Agreement) and, with reasonable promptness, such other information (financial or otherwise) as the Administrative Agent on its own behalf or on behalf of any Lender (acting through the Administrative Agent) may reasonably request in writing from time to time (including, without limitation, information and documentation reasonably requested by the Administrative Agent or any Lender for purposes of compliance with applicable “know your customer” requirements under the PATRIOT Act or other applicable anti-money laundering laws); </w:t>
      </w:r>
      <w:r>
        <w:rPr>
          <w:rFonts w:ascii="Arial" w:cs="Arial" w:eastAsia="Arial" w:hAnsi="Arial"/>
          <w:sz w:val="16"/>
          <w:szCs w:val="16"/>
          <w:u w:val="single" w:color="auto"/>
          <w:color w:val="auto"/>
        </w:rPr>
        <w:t>provided</w:t>
      </w:r>
      <w:r>
        <w:rPr>
          <w:rFonts w:ascii="Arial" w:cs="Arial" w:eastAsia="Arial" w:hAnsi="Arial"/>
          <w:sz w:val="16"/>
          <w:szCs w:val="16"/>
          <w:color w:val="auto"/>
        </w:rPr>
        <w:t>, that none of Holdings, the Borrower nor any other Restricted Subsidiary will be required to disclose or permit the inspection or discussion of, any document, information or other matter (i) that constitutes non-financial trade secrets or non-financial proprietary information, (ii) in respect of which disclosure to the Administrative Agent or any Lender (or their respective contractors) is prohibited by law, or any binding agreement or (iii) that is subject to attorney client or similar privilege or constitutes attorney work product.</w:t>
      </w:r>
    </w:p>
    <w:p>
      <w:pPr>
        <w:spacing w:after="0" w:line="87" w:lineRule="exact"/>
        <w:rPr>
          <w:sz w:val="20"/>
          <w:szCs w:val="20"/>
          <w:color w:val="auto"/>
        </w:rPr>
      </w:pPr>
    </w:p>
    <w:p>
      <w:pPr>
        <w:ind w:left="660" w:right="140" w:firstLine="644"/>
        <w:spacing w:after="0" w:line="286" w:lineRule="auto"/>
        <w:tabs>
          <w:tab w:leader="none" w:pos="1698" w:val="left"/>
        </w:tabs>
        <w:numPr>
          <w:ilvl w:val="0"/>
          <w:numId w:val="165"/>
        </w:numPr>
        <w:rPr>
          <w:rFonts w:ascii="Arial" w:cs="Arial" w:eastAsia="Arial" w:hAnsi="Arial"/>
          <w:sz w:val="17"/>
          <w:szCs w:val="17"/>
          <w:color w:val="auto"/>
        </w:rPr>
      </w:pPr>
      <w:r>
        <w:rPr>
          <w:rFonts w:ascii="Arial" w:cs="Arial" w:eastAsia="Arial" w:hAnsi="Arial"/>
          <w:sz w:val="17"/>
          <w:szCs w:val="17"/>
          <w:color w:val="auto"/>
        </w:rPr>
        <w:t>Patriot Act/Beneficial Ownership Regulation. Promptly following any request therefor, information and documentation reasonably requested by the Administrative Agent or any Lender for purposes of compliance with applicable “know your customer” and anti-money-laundering rules and regulations, including, without limitation, the PATRIOT Act and the Beneficial Ownership Regulation.</w:t>
      </w:r>
    </w:p>
    <w:p>
      <w:pPr>
        <w:spacing w:after="0" w:line="84"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 xml:space="preserve">Notwithstanding the foregoing, the obligations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may be satisfied with respect to financial information of Holdings and the Restricted Subsidiaries by furnishing (A) the applicable financial statements of the Borrower or any direct or indirect parent of Holdings or (B) Holdings’ (or any direct or indirect parent thereof), as applicable, Form 10-K or 10-Q, as applicable, filed with the SEC;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each of </w:t>
      </w:r>
      <w:r>
        <w:rPr>
          <w:rFonts w:ascii="Arial" w:cs="Arial" w:eastAsia="Arial" w:hAnsi="Arial"/>
          <w:sz w:val="17"/>
          <w:szCs w:val="17"/>
          <w:u w:val="single" w:color="auto"/>
          <w:color w:val="auto"/>
        </w:rPr>
        <w:t>subclauses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paragraph, to the extent such information relates to a parent of Holdings, such information is accompanied by consolidating or other information that explains in reasonable detail the differences between the information relating to such parent, on the one hand, and the information relating to Holdings and the Restricted Subsidiaries on a standalone basis, on the other hand.</w:t>
      </w:r>
    </w:p>
    <w:p>
      <w:pPr>
        <w:spacing w:after="0" w:line="12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 xml:space="preserve">Documents required to be delivered pursuant to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(g)</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(to the extent any such documents are included in materials otherwise filed with the SEC) may be delivered electronically and if so delivered, shall be deemed to have been delivered on the earliest date on which (i) Holdings posts such documents, or provides a link thereto on Holdings’ website on the Internet; (ii) such documents are posted on Holdings’ behalf on IntraLinks/IntraAgency or another website, if any, to which each Lender and the Administrative Agent have access (whether a commercial, third-party website or whether sponsored by the Administrative Agent), or (iii) such financial statements and/or other documents are posted on the SEC’s website on the internet at www.sec.gov; </w:t>
      </w:r>
      <w:r>
        <w:rPr>
          <w:rFonts w:ascii="Arial" w:cs="Arial" w:eastAsia="Arial" w:hAnsi="Arial"/>
          <w:sz w:val="17"/>
          <w:szCs w:val="17"/>
          <w:u w:val="single" w:color="auto"/>
          <w:color w:val="auto"/>
        </w:rPr>
        <w:t>provided</w:t>
      </w:r>
      <w:r>
        <w:rPr>
          <w:rFonts w:ascii="Arial" w:cs="Arial" w:eastAsia="Arial" w:hAnsi="Arial"/>
          <w:sz w:val="17"/>
          <w:szCs w:val="17"/>
          <w:color w:val="auto"/>
        </w:rPr>
        <w:t>, that, (A) the Borrower shall, at the request of the Administrative Agent, continue to deliver copies (which delivery may be by electronic transmission ) of such documents to the Administrative Agent and (B) the Borrower shall notify (which notification may be by facsimile or electronic transmission) the Administrative Agent of the posting of any such documents on any website described in this paragraph. Each Lender shall be solely responsible for timely accessing posted documents or requesting delivery of paper copies of such documents from the Administrative Agent and maintaining its copies of such documents.</w:t>
      </w:r>
    </w:p>
    <w:p>
      <w:pPr>
        <w:spacing w:after="0" w:line="131"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 xml:space="preserve">Each Credit Party hereby acknowledges and agrees that, unless the Borrower notifies the Administrative Agent in advance, all financial statements and certificates furnished pursuant to </w:t>
      </w:r>
      <w:r>
        <w:rPr>
          <w:rFonts w:ascii="Arial" w:cs="Arial" w:eastAsia="Arial" w:hAnsi="Arial"/>
          <w:sz w:val="17"/>
          <w:szCs w:val="17"/>
          <w:u w:val="single" w:color="auto"/>
          <w:color w:val="auto"/>
        </w:rPr>
        <w:t>Sections 9.1(a)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above are hereby deemed to be suitable for distribution, and to be made available, to all Lenders and may be treated by the Administrative Agent and the Lenders as not containing any material nonpublic information.</w:t>
      </w:r>
    </w:p>
    <w:p>
      <w:pPr>
        <w:spacing w:after="0" w:line="111"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Books, Records, and Inspections</w:t>
      </w:r>
      <w:r>
        <w:rPr>
          <w:rFonts w:ascii="Arial" w:cs="Arial" w:eastAsia="Arial" w:hAnsi="Arial"/>
          <w:sz w:val="16"/>
          <w:szCs w:val="16"/>
          <w:color w:val="auto"/>
        </w:rPr>
        <w:t>. Holdings will, and will cause each Restricted Subsidiary to, permit officers and designated representatives of the Administrative Agent or the Required Lenders to visit and inspect any of the properties or assets of Holdings and any such Subsidiary in whomsoever’s possession to the extent that it is within such party’s control to permit such inspection (and shall use commercially reasonable efforts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341" w:right="339" w:bottom="1440" w:gutter="0" w:footer="0" w:header="0"/>
        </w:sectPr>
      </w:pPr>
    </w:p>
    <w:bookmarkStart w:id="187" w:name="page188"/>
    <w:bookmarkEnd w:id="187"/>
    <w:p>
      <w:pPr>
        <w:ind w:right="40"/>
        <w:spacing w:after="0" w:line="286" w:lineRule="auto"/>
        <w:rPr>
          <w:sz w:val="20"/>
          <w:szCs w:val="20"/>
          <w:color w:val="auto"/>
        </w:rPr>
      </w:pPr>
      <w:r>
        <w:rPr>
          <w:rFonts w:ascii="Arial" w:cs="Arial" w:eastAsia="Arial" w:hAnsi="Arial"/>
          <w:sz w:val="16"/>
          <w:szCs w:val="16"/>
          <w:color w:val="auto"/>
        </w:rPr>
        <w:t xml:space="preserve">to cause such inspection to be permitted to the extent that it is not within such party’s control to permit such inspection), and to examine the books and records of Holdings and any such Subsidiary and discuss the affairs, finances and accounts of Holdings and of any such Subsidiary with, and be advised as to the same by, its and their officers and independent accountants, all at such reasonable times and intervals and to such reasonable extent as the Administrative Agent or the Required Lenders may desire (and subject, in the case of any such meetings or advice from such independent accountants, to such accountants’ customary policies and procedures);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excluding any such visits and inspections during the continuation of an Event of Default, (a) only the Administrative Agent on behalf of the Required Lenders may exercise rights of the Administrative Agent and the Lenders under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(b) the Administrative Agent shall not exercise such rights more than one time in any calendar year, which such visit will be at Holdings’ expense, and (c) notwithstanding anything to the contrary in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none of Holdings or any of the Restricted Subsidiaries will be required to disclose, permit the inspection, examination or making copies or abstracts of, or discussion of, any document, information or other matter that (i) constitutes non-financial trade secrets or non-financial proprietary information, (ii) in respect of which disclosure to the Administrative Agent or any Lender (or their respective representatives or contractors) is prohibited by law or any agreement binding on a third-party or (iii) is subject to attorney-client or similar privilege or constitutes attorney work product;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when an Event of Default exists, the Administrative Agent (or any of its respective representatives or independent contractors) or any representative of the Required Lenders may do any of the foregoing at the expense of Holdings at any time during normal business hours and upon reasonable advance notice. The Administrative Agent and the Required Lenders shall give Holdings the opportunity to participate in any discussions with Holdings’ independent public accountants.</w:t>
      </w:r>
    </w:p>
    <w:p>
      <w:pPr>
        <w:spacing w:after="0" w:line="113"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Maintenance of Insurance</w:t>
      </w:r>
      <w:r>
        <w:rPr>
          <w:rFonts w:ascii="Arial" w:cs="Arial" w:eastAsia="Arial" w:hAnsi="Arial"/>
          <w:sz w:val="16"/>
          <w:szCs w:val="16"/>
          <w:color w:val="auto"/>
        </w:rPr>
        <w:t>. (a) Holdings will, and will cause each Material Subsidiary to, at all times maintain in full force and effect, pursuant to self-insurance arrangements or with insurance companies that Holdings believes (in the good faith judgment of the management of Holdings) are financially sound and responsible at the time the relevant coverage is placed or renewed, insurance in at least such amounts (after giving effect to any self-insurance which Holdings believes (in the good faith judgment of management of Holdings) is reasonable and prudent in light of the size and nature of its business and the availability of insurance on a cost-effective basis) and against at least such risks (and with such risk retentions) as Holdings believes (in the good faith judgment of management of Holdings) is reasonable and prudent in light of the size and nature of its business and the availability of insurance on a cost-effective basis; and will furnish to the Administrative Agent, promptly following written request from the Administrative Agent, information presented in reasonable detail as to the insurance so carried and (b) with respect to each Mortgaged Property, Holdings will obtain flood insurance in such total amount as may reasonably be required by the Collateral Agent but in any event in the minimum amount as required by law, if at any time the area in which any improvements located on any Mortgaged Property is designated a “special flood hazard area” in any Flood Insurance Rate Map published by the Federal Emergency Management Agency (or any successor agency), and otherwise comply with the National Flood Insurance Program as set forth in the Flood Disaster Protection Act of 1973, as amended from time to time. Each such policy of insurance shall (i) name the Collateral Agent, on behalf of the Secured Parties as an additional insured thereunder as its interests may appear and (ii) in the case of each casualty insurance policy, contain a loss payable clause or endorsement that names the Collateral Agent, on behalf of the Secured Parties as the loss payee thereunder.</w:t>
      </w:r>
    </w:p>
    <w:p>
      <w:pPr>
        <w:spacing w:after="0" w:line="11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Payment of Taxes</w:t>
      </w:r>
      <w:r>
        <w:rPr>
          <w:rFonts w:ascii="Arial" w:cs="Arial" w:eastAsia="Arial" w:hAnsi="Arial"/>
          <w:sz w:val="17"/>
          <w:szCs w:val="17"/>
          <w:color w:val="auto"/>
        </w:rPr>
        <w:t xml:space="preserve">. Holdings will pay and discharge, and will cause each of the Restricted Subsidiaries to pay and discharge, all material Taxes imposed upon it (including in its capacity as a withholding agent) or upon its income or profits, or upon any properties belonging to it, prior to the date on which material penalties attach thereto, and all lawful material claims in respect of any Taxes imposed, assessed or levied that, if unpaid, would reasonably be expected to become a material Lien upon any properties of Holdings or any of the Restricted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neither Holdings nor any of the Restricted Subsidiaries shall be required to pay any such Tax that is being contested in good faith and by proper proceedings if it has maintained adequate reserves (in the good faith judgment of management of Holdings) with respect thereto in accordance with GAAP and the failure to pay would not reasonably be expected to result in a Material Adverse Effect.</w:t>
      </w:r>
    </w:p>
    <w:p>
      <w:pPr>
        <w:spacing w:after="0" w:line="123"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Preservation of Existence; Consolidated Corporate Franchises</w:t>
      </w:r>
      <w:r>
        <w:rPr>
          <w:rFonts w:ascii="Arial" w:cs="Arial" w:eastAsia="Arial" w:hAnsi="Arial"/>
          <w:sz w:val="16"/>
          <w:szCs w:val="16"/>
          <w:color w:val="auto"/>
        </w:rPr>
        <w:t>. Holdings and the Borrower will, and will cause each Material Subsidiary to, take all actions necessary (a) to preserve and keep in full force and effect its existence, organizational rights and authority and (b) to maintain its rights, privileges (including its good standing (if applicable)), permits, licenses and franchises necessary in the normal conduct of its business, in each case, except</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320" w:top="341" w:right="359" w:bottom="1440" w:gutter="0" w:footer="0" w:header="0"/>
        </w:sectPr>
      </w:pPr>
    </w:p>
    <w:bookmarkStart w:id="188" w:name="page189"/>
    <w:bookmarkEnd w:id="188"/>
    <w:p>
      <w:pPr>
        <w:ind w:right="620"/>
        <w:spacing w:after="0" w:line="308" w:lineRule="auto"/>
        <w:rPr>
          <w:sz w:val="20"/>
          <w:szCs w:val="20"/>
          <w:color w:val="auto"/>
        </w:rPr>
      </w:pPr>
      <w:r>
        <w:rPr>
          <w:rFonts w:ascii="Arial" w:cs="Arial" w:eastAsia="Arial" w:hAnsi="Arial"/>
          <w:sz w:val="17"/>
          <w:szCs w:val="17"/>
          <w:color w:val="auto"/>
        </w:rPr>
        <w:t xml:space="preserve">to the extent that the failure to do so would not reasonably be expected to have a Material Adverse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Holdings and its Subsidiaries may consummate any transaction permitted under Permitted Investments and </w:t>
      </w:r>
      <w:r>
        <w:rPr>
          <w:rFonts w:ascii="Arial" w:cs="Arial" w:eastAsia="Arial" w:hAnsi="Arial"/>
          <w:sz w:val="17"/>
          <w:szCs w:val="17"/>
          <w:u w:val="single" w:color="auto"/>
          <w:color w:val="auto"/>
        </w:rPr>
        <w:t>Sections 10.2</w:t>
      </w:r>
      <w:r>
        <w:rPr>
          <w:rFonts w:ascii="Arial" w:cs="Arial" w:eastAsia="Arial" w:hAnsi="Arial"/>
          <w:sz w:val="17"/>
          <w:szCs w:val="17"/>
          <w:color w:val="auto"/>
        </w:rPr>
        <w:t xml:space="preserve">, </w:t>
      </w:r>
      <w:r>
        <w:rPr>
          <w:rFonts w:ascii="Arial" w:cs="Arial" w:eastAsia="Arial" w:hAnsi="Arial"/>
          <w:sz w:val="17"/>
          <w:szCs w:val="17"/>
          <w:u w:val="single" w:color="auto"/>
          <w:color w:val="auto"/>
        </w:rPr>
        <w:t>10.3</w:t>
      </w:r>
      <w:r>
        <w:rPr>
          <w:rFonts w:ascii="Arial" w:cs="Arial" w:eastAsia="Arial" w:hAnsi="Arial"/>
          <w:sz w:val="17"/>
          <w:szCs w:val="17"/>
          <w:color w:val="auto"/>
        </w:rPr>
        <w:t xml:space="preserve">, </w:t>
      </w:r>
      <w:r>
        <w:rPr>
          <w:rFonts w:ascii="Arial" w:cs="Arial" w:eastAsia="Arial" w:hAnsi="Arial"/>
          <w:sz w:val="17"/>
          <w:szCs w:val="17"/>
          <w:u w:val="single" w:color="auto"/>
          <w:color w:val="auto"/>
        </w:rPr>
        <w:t>10.4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10.5</w:t>
      </w:r>
      <w:r>
        <w:rPr>
          <w:rFonts w:ascii="Arial" w:cs="Arial" w:eastAsia="Arial" w:hAnsi="Arial"/>
          <w:sz w:val="17"/>
          <w:szCs w:val="17"/>
          <w:color w:val="auto"/>
        </w:rPr>
        <w:t>.</w:t>
      </w:r>
    </w:p>
    <w:p>
      <w:pPr>
        <w:spacing w:after="0" w:line="92"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Compliance with Statutes, Regulations, Etc.</w:t>
      </w:r>
      <w:r>
        <w:rPr>
          <w:rFonts w:ascii="Arial" w:cs="Arial" w:eastAsia="Arial" w:hAnsi="Arial"/>
          <w:sz w:val="16"/>
          <w:szCs w:val="16"/>
          <w:color w:val="auto"/>
        </w:rPr>
        <w:t xml:space="preserve"> Holdings will, and will cause each Restricted Subsidiary to, (a) comply with all applicable laws, rules, regulations, and orders applicable to it or its property, including, without limitation, applicable Sanctions and Anti-Corruption Laws, as amended, and the rules and regulations promulgated thereunder, and all governmental approvals or authorizations required to conduct its business, and to maintain all such governmental approvals or authorizations in full force and effect, (b) comply with, and use commercially reasonable efforts to ensure compliance by all tenants and subtenants, if any, with, all Environmental Laws, and obtain and comply with and maintain, and use commercially reasonable efforts to ensure that all tenants and subtenants obtain and comply with and maintain, any and all licenses, approvals, notifications, registrations or permits required by Environmental Laws, and (c) conduct and complete all investigations, studies, sampling and testing, and all remedial, removal, and other actions required under Environmental Laws and promptly comply with all lawful orders and directives of all Governmental Authorities regarding Environmental Laws, other than such orders and directives which are being timely contested in good faith by proper proceedings, except in each case of </w:t>
      </w:r>
      <w:r>
        <w:rPr>
          <w:rFonts w:ascii="Arial" w:cs="Arial" w:eastAsia="Arial" w:hAnsi="Arial"/>
          <w:sz w:val="16"/>
          <w:szCs w:val="16"/>
          <w:u w:val="single" w:color="auto"/>
          <w:color w:val="auto"/>
        </w:rPr>
        <w:t>(a)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9.6</w:t>
      </w:r>
      <w:r>
        <w:rPr>
          <w:rFonts w:ascii="Arial" w:cs="Arial" w:eastAsia="Arial" w:hAnsi="Arial"/>
          <w:sz w:val="16"/>
          <w:szCs w:val="16"/>
          <w:color w:val="auto"/>
        </w:rPr>
        <w:t>, where the failure to do so would not reasonably be expected to result in a Material Adverse Effect.</w:t>
      </w:r>
    </w:p>
    <w:p>
      <w:pPr>
        <w:spacing w:after="0" w:line="168"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u w:val="single" w:color="auto"/>
          <w:color w:val="auto"/>
        </w:rPr>
        <w:t>ERISA</w:t>
      </w:r>
      <w:r>
        <w:rPr>
          <w:rFonts w:ascii="Arial" w:cs="Arial" w:eastAsia="Arial" w:hAnsi="Arial"/>
          <w:sz w:val="16"/>
          <w:szCs w:val="16"/>
          <w:color w:val="auto"/>
        </w:rPr>
        <w:t xml:space="preserve">. (a) Holdings will furnish to the Administrative Agent promptly following receipt thereof, copies of any documents described in Sections 101(k) or 101(l) of ERISA that any Credit Party or any of its Subsidiaries may request with respect to any Multiemployer Plan to which a Credit Party or any of its Subsidiaries is obligated to contribute;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Credit Parties or any of their Subsidiaries have not requested such documents or notices from the administrator or sponsor of the applicable Multiemployer Plan, then, upon reasonable request of the Administrative Agent, the Credit Parties shall promptly make a request for such documents or notices from such administrator or sponsor and the Borrower shall provide copies of such documents and notices to the Administrative Agent promptly after receipt thereof; and further provided, that the rights granted to the Administrative Agent in this Section shall be exercised not more than once during a 12-month period, and (b) Holdings will notify the Administrative Agent promptly following the occurrence of any ERISA Event or Foreign Plan Event that, alone or together with any other ERISA Events or Foreign Plan Events that have occurred, would reasonably be expected to result in liability of any Credit Party that would reasonably be expected to have a Material Adverse Effect.</w:t>
      </w:r>
    </w:p>
    <w:p>
      <w:pPr>
        <w:spacing w:after="0" w:line="112"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Maintenance of Properties</w:t>
      </w:r>
      <w:r>
        <w:rPr>
          <w:rFonts w:ascii="Arial" w:cs="Arial" w:eastAsia="Arial" w:hAnsi="Arial"/>
          <w:sz w:val="18"/>
          <w:szCs w:val="18"/>
          <w:color w:val="auto"/>
        </w:rPr>
        <w:t>. Holdings will, and will cause each of the Restricted Subsidiaries to, keep and maintain all property material to the conduct of its business in good working order and condition, ordinary wear and tear, casualty, and condemnation excepted, except to the extent that the failure to do so would not reasonably be expected to have a Material Adverse Effect.</w:t>
      </w:r>
    </w:p>
    <w:p>
      <w:pPr>
        <w:spacing w:after="0" w:line="130"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 xml:space="preserve">9.9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xml:space="preserve">. Holdings will conduct, and cause each of the Restricted Subsidiaries to conduct, all transactions with any of its Affiliates (other than Holdings and the Restricted Subsidiaries) involving aggregate payments or consideration in excess of $2,500,000 for any individual transaction or series of related transactions on terms that are at least substantially as favorable to Holdings or such Restricted Subsidiary as it would obtain in a comparable arm’s-length transaction with a Person that is not an Affiliate, as determined by the board of directors of Holdings or such Restricted Subsidiary in good faith;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restrictions shall not apply to (a) the payment of fees for management, consulting, and financial services rendered to Holdings and the Restricted Subsidiaries and customary investment banking fees for services rendered to Holdings and the Subsidiaries in connection with divestitures, acquisitions, financings and other transactions which payments are approved by a majority of the board of directors of Holdings in good faith, (b) transactions permitted by </w:t>
      </w:r>
      <w:r>
        <w:rPr>
          <w:rFonts w:ascii="Arial" w:cs="Arial" w:eastAsia="Arial" w:hAnsi="Arial"/>
          <w:sz w:val="16"/>
          <w:szCs w:val="16"/>
          <w:u w:val="single" w:color="auto"/>
          <w:color w:val="auto"/>
        </w:rPr>
        <w:t>Section 10.5</w:t>
      </w:r>
      <w:r>
        <w:rPr>
          <w:rFonts w:ascii="Arial" w:cs="Arial" w:eastAsia="Arial" w:hAnsi="Arial"/>
          <w:sz w:val="16"/>
          <w:szCs w:val="16"/>
          <w:color w:val="auto"/>
        </w:rPr>
        <w:t xml:space="preserve">, (c) consummation of the Transactions and the payment of the Transaction Expenses, (d) the issuance of Capital Stock or Stock Equivalents of Holdings (or any direct or indirect parent thereof) or any of its Subsidiaries not otherwise prohibited by the Credit Documents, (e) loans, advances and other transactions between or among Holdings, any Restricted Subsidiary or any joint venture (regardless of the form of legal entity) in which Holdings or any Subsidiary has invested (and which Subsidiary or joint venture would not be an Affiliate of Holdings but for Holdings’ or a Subsidiary’s ownership of Capital Stock or Stock Equivalents in such joint venture or Subsidiary) to the extent permitted under </w:t>
      </w:r>
      <w:r>
        <w:rPr>
          <w:rFonts w:ascii="Arial" w:cs="Arial" w:eastAsia="Arial" w:hAnsi="Arial"/>
          <w:sz w:val="16"/>
          <w:szCs w:val="16"/>
          <w:u w:val="single" w:color="auto"/>
          <w:color w:val="auto"/>
        </w:rPr>
        <w:t>Section 10</w:t>
      </w:r>
      <w:r>
        <w:rPr>
          <w:rFonts w:ascii="Arial" w:cs="Arial" w:eastAsia="Arial" w:hAnsi="Arial"/>
          <w:sz w:val="16"/>
          <w:szCs w:val="16"/>
          <w:color w:val="auto"/>
        </w:rPr>
        <w:t>, (f) employment and severance arrangements between Holdings and the</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320" w:top="341" w:right="359" w:bottom="1440" w:gutter="0" w:footer="0" w:header="0"/>
        </w:sectPr>
      </w:pPr>
    </w:p>
    <w:bookmarkStart w:id="189" w:name="page190"/>
    <w:bookmarkEnd w:id="189"/>
    <w:p>
      <w:pPr>
        <w:spacing w:after="0" w:line="283" w:lineRule="auto"/>
        <w:rPr>
          <w:sz w:val="20"/>
          <w:szCs w:val="20"/>
          <w:color w:val="auto"/>
        </w:rPr>
      </w:pPr>
      <w:r>
        <w:rPr>
          <w:rFonts w:ascii="Arial" w:cs="Arial" w:eastAsia="Arial" w:hAnsi="Arial"/>
          <w:sz w:val="16"/>
          <w:szCs w:val="16"/>
          <w:color w:val="auto"/>
        </w:rPr>
        <w:t xml:space="preserve">Restricted Subsidiaries and their respective officers, employees or consultants (including management and employee benefit plans or agreements, stock option plans and other compensatory arrangements) in the ordinary course of business (including loans and advances in connection therewith), (g) payments by Holdings (and any direct or indirect parent thereof) and the Subsidiaries pursuant to the tax sharing agreements among Holdings (and any such parent) and the Subsidiaries that are permitted under </w:t>
      </w:r>
      <w:r>
        <w:rPr>
          <w:rFonts w:ascii="Arial" w:cs="Arial" w:eastAsia="Arial" w:hAnsi="Arial"/>
          <w:sz w:val="16"/>
          <w:szCs w:val="16"/>
          <w:u w:val="single" w:color="auto"/>
          <w:color w:val="auto"/>
        </w:rPr>
        <w:t>Section 10.5(b)(15)</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the amount of such payments in any fiscal year does not exceed the amount that Holdings, the Restricted Subsidiaries and the Unrestricted Subsidiaries (to the extent of the amount received from Unrestricted Subsidiaries) would have been required to pay in respect of such foreign, federal, state and/or local taxes for such fiscal year had Holdings, the Restricted Subsidiaries and the Unrestricted Subsidiaries (to the extent described above) paid such taxes separately from any such direct or indirect parent company of Holdings, (h) the payment of customary fees and reasonable out of pocket costs to, and indemnities provided on behalf of, directors, managers, consultants, officers, employees of Holdings (or any direct or indirect parent thereof) and the Subsidiaries in the ordinary course of business to the extent attributable to the ownership or operation of Holdings and the Subsidiaries, (i) transactions undertaken pursuant to membership in a purchasing consortium,</w:t>
      </w:r>
    </w:p>
    <w:p>
      <w:pPr>
        <w:spacing w:after="0" w:line="5" w:lineRule="exact"/>
        <w:rPr>
          <w:sz w:val="20"/>
          <w:szCs w:val="20"/>
          <w:color w:val="auto"/>
        </w:rPr>
      </w:pPr>
    </w:p>
    <w:p>
      <w:pPr>
        <w:ind w:firstLine="8"/>
        <w:spacing w:after="0" w:line="267" w:lineRule="auto"/>
        <w:tabs>
          <w:tab w:leader="none" w:pos="215"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transactions pursuant to any agreement or arrangement as in effect as of the Restatement Effective Date, or any amendment, modification, supplement or replacement thereto (so long as any such amendment, modification, supplement or replacement is not disadvantageous in any material respect to the Lenders when taken as a whole as compared to the applicable agreement as in effect on the Restatement Effective Date as determined by the Borrower in good faith), (k) customary payments by Holdings (or any direct or indirect parent) and any Restricted Subsidiaries to the Sponsor made for any financial advisory, consulting, financing, underwriting or placement services or in respect of other investment banking activities (including in connection with acquisitions or divestitures), (l) the existence and performance of agreements and transactions with any Unrestricted Subsidiary that were entered into prior to the designation of a Restricted Subsidiary as such Unrestricted Subsidiary to the extent that the transaction was permitted at the time that it was entered into with such Restricted Subsidiary and transactions entered into by an Unrestricted Subsidiary with an Affiliate prior to the redesignation of any such Unrestricted Subsidiary as a Restricted Subsidiary; provided that such transaction was not entered into in contemplation of such designation or redesignation, as applicable, (m) Affiliate repurchases of the Loans or Commitments to the extent permitted hereunder and the holding of such Loans or Commitments and the payments and other transactions contemplated herein in respect thereof, and (n) any customary transactions with a Receivables Subsidiary effected as part of a Receivables Facility.</w:t>
      </w:r>
    </w:p>
    <w:p>
      <w:pPr>
        <w:spacing w:after="0" w:line="130"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 xml:space="preserve">9.10 </w:t>
      </w:r>
      <w:r>
        <w:rPr>
          <w:rFonts w:ascii="Arial" w:cs="Arial" w:eastAsia="Arial" w:hAnsi="Arial"/>
          <w:sz w:val="16"/>
          <w:szCs w:val="16"/>
          <w:u w:val="single" w:color="auto"/>
          <w:color w:val="auto"/>
        </w:rPr>
        <w:t>End of Fiscal Years</w:t>
      </w:r>
      <w:r>
        <w:rPr>
          <w:rFonts w:ascii="Arial" w:cs="Arial" w:eastAsia="Arial" w:hAnsi="Arial"/>
          <w:sz w:val="16"/>
          <w:szCs w:val="16"/>
          <w:color w:val="auto"/>
        </w:rPr>
        <w:t xml:space="preserve">. Holdings will, for financial reporting purposes, cause each of its, and each of the Restricted Subsidiaries’, fiscal years to end on dates consistent with past practice;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Holdings may, upon written notice to the Administrative Agent change the financial reporting convention specified above to (x) align the dates of such fiscal year and for any Restricted Subsidiary whose fiscal years end on dates different from those of Holdings or (y) any other financial reporting convention (including a change of fiscal year) reasonably acceptable (such consent not to be unreasonably withheld or delayed) to the Administrative Agent, in which case Holdings and the Administrative Agent will, and are hereby authorized by the Lenders to, make any adjustments to this Agreement that are necessary in order to reflect such change in financial reporting.</w:t>
      </w:r>
    </w:p>
    <w:p>
      <w:pPr>
        <w:spacing w:after="0" w:line="16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9.11 </w:t>
      </w:r>
      <w:r>
        <w:rPr>
          <w:rFonts w:ascii="Arial" w:cs="Arial" w:eastAsia="Arial" w:hAnsi="Arial"/>
          <w:sz w:val="16"/>
          <w:szCs w:val="16"/>
          <w:u w:val="single" w:color="auto"/>
          <w:color w:val="auto"/>
        </w:rPr>
        <w:t>Additional Guarantors and Grantors</w:t>
      </w:r>
      <w:r>
        <w:rPr>
          <w:rFonts w:ascii="Arial" w:cs="Arial" w:eastAsia="Arial" w:hAnsi="Arial"/>
          <w:sz w:val="16"/>
          <w:szCs w:val="16"/>
          <w:color w:val="auto"/>
        </w:rPr>
        <w:t xml:space="preserve">. Subject to any applicable limitations set forth in the Security Documents, Holdings will cause each direct or indirect Subsidiary (other than any Excluded Subsidiary) formed or otherwise purchased or acquired after the Restatement Effective Date (including pursuant to a Permitted Acquisition), and each other Subsidiary that ceases to constitute an Excluded Subsidiary, within 60 days from the date of such formation, acquisition or cessation, as applicable (or such longer period as the Administrative Agent may agree in its reasonable discretion), and Holdings may at its option cause any Subsidiary, to execute a supplement to each of the Guarantee, the Pledge Agreement and the Security Agreement in order to become a Guarantor under the Guarantee and a grantor under such Security Documents or, to the extent reasonably requested by the Collateral Agent, enter into a new Security Document substantially consistent with the analogous existing Security Documents and otherwise in form and substance reasonably satisfactory to the Collateral Agent and take all other action reasonably requested by the Collateral Agent to grant a perfected security interest in its assets to substantially the same extent as created and perfected by the Credit Parties on the Restatement Effective Date and pursuant to </w:t>
      </w:r>
      <w:r>
        <w:rPr>
          <w:rFonts w:ascii="Arial" w:cs="Arial" w:eastAsia="Arial" w:hAnsi="Arial"/>
          <w:sz w:val="16"/>
          <w:szCs w:val="16"/>
          <w:u w:val="single" w:color="auto"/>
          <w:color w:val="auto"/>
        </w:rPr>
        <w:t>Section 9.14(d)</w:t>
      </w:r>
      <w:r>
        <w:rPr>
          <w:rFonts w:ascii="Arial" w:cs="Arial" w:eastAsia="Arial" w:hAnsi="Arial"/>
          <w:sz w:val="16"/>
          <w:szCs w:val="16"/>
          <w:color w:val="auto"/>
        </w:rPr>
        <w:t xml:space="preserve"> in the case of such Credit Parties. For the avoidance of doubt, no Credit Party or any Restricted Subsidiary that is a Domestic Subsidiary shall be required to take any action outside the United States to perfect any security interest in the Collateral (including the execution of any agreement, document or other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320" w:top="341" w:right="35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color w:val="auto"/>
        </w:rPr>
        <w:t>instrument governed by the law of any jurisdiction other than the United States, any State thereof or the District of Columbia).</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9.12 </w:t>
      </w:r>
      <w:r>
        <w:rPr>
          <w:rFonts w:ascii="Arial" w:cs="Arial" w:eastAsia="Arial" w:hAnsi="Arial"/>
          <w:sz w:val="17"/>
          <w:szCs w:val="17"/>
          <w:u w:val="single" w:color="auto"/>
          <w:color w:val="auto"/>
        </w:rPr>
        <w:t>Pledge of Additional Stock and Evidence of Indebtedness</w:t>
      </w:r>
      <w:r>
        <w:rPr>
          <w:rFonts w:ascii="Arial" w:cs="Arial" w:eastAsia="Arial" w:hAnsi="Arial"/>
          <w:sz w:val="17"/>
          <w:szCs w:val="17"/>
          <w:color w:val="auto"/>
        </w:rPr>
        <w:t xml:space="preserve">. Subject to any applicable limitations set forth in the Security Documents and other than (x) when in the reasonable determination of the Administrative Agent and the Borrower (as agreed to in writing), the cost or other consequences of doing so would be excessive in view of the benefits to be obtained by the Lenders therefrom or (y) to the extent doing so would result in material adverse tax consequences as reasonably determined by the Borrower in consultation with the Administrative Agent, Holdings will cause (i) all certificates representing Capital Stock and Stock Equivalents of any Restricted Subsidiary (other than any Excluded Stock and Stock Equivalents) held directly by Holdings or any other Credit Party, (ii) all evidences of Indebtedness in excess of $10,000,000 received by Holdings or any of the Guarantors in connection with any disposition of assets pursuant to </w:t>
      </w:r>
      <w:r>
        <w:rPr>
          <w:rFonts w:ascii="Arial" w:cs="Arial" w:eastAsia="Arial" w:hAnsi="Arial"/>
          <w:sz w:val="17"/>
          <w:szCs w:val="17"/>
          <w:u w:val="single" w:color="auto"/>
          <w:color w:val="auto"/>
        </w:rPr>
        <w:t>Section 10.4(b)</w:t>
      </w:r>
      <w:r>
        <w:rPr>
          <w:rFonts w:ascii="Arial" w:cs="Arial" w:eastAsia="Arial" w:hAnsi="Arial"/>
          <w:sz w:val="17"/>
          <w:szCs w:val="17"/>
          <w:color w:val="auto"/>
        </w:rPr>
        <w:t>, and (iii) any promissory notes executed after the Restatement Effective Date evidencing Indebtedness in excess of $10,000,000 of Holdings or any Subsidiary that is owing to Holdings or any other Credit Party, in each case, to be delivered to the Collateral Agent as security for the Obligations accompanied by undated instruments of transfer executed in blank pursuant to the terms of the Security Documents. Notwithstanding the foregoing any promissory note among Holdings and/or its Subsidiaries need not be delivered to the Collateral Agent so long as (i) a global intercompany note superseding such promissory note has been delivered to the Collateral Agent, (ii) such promissory note is not delivered to any other party other than Holdings or any other Credit Party, in each case, owed money thereunder, and (iii) such promissory note indicates on its face that it is subject to the security interest of the Collateral Agent.</w:t>
      </w:r>
    </w:p>
    <w:p>
      <w:pPr>
        <w:spacing w:after="0" w:line="186"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9.13</w:t>
      </w:r>
      <w:r>
        <w:rPr>
          <w:sz w:val="20"/>
          <w:szCs w:val="20"/>
          <w:color w:val="auto"/>
        </w:rPr>
        <w:tab/>
      </w:r>
      <w:r>
        <w:rPr>
          <w:rFonts w:ascii="Arial" w:cs="Arial" w:eastAsia="Arial" w:hAnsi="Arial"/>
          <w:sz w:val="15"/>
          <w:szCs w:val="15"/>
          <w:u w:val="single" w:color="auto"/>
          <w:color w:val="auto"/>
        </w:rPr>
        <w:t>Use of Proceeds</w:t>
      </w:r>
      <w:r>
        <w:rPr>
          <w:rFonts w:ascii="Arial" w:cs="Arial" w:eastAsia="Arial" w:hAnsi="Arial"/>
          <w:sz w:val="15"/>
          <w:szCs w:val="15"/>
          <w:color w:val="auto"/>
        </w:rPr>
        <w:t>.</w:t>
      </w:r>
    </w:p>
    <w:p>
      <w:pPr>
        <w:spacing w:after="0" w:line="225" w:lineRule="exact"/>
        <w:rPr>
          <w:sz w:val="20"/>
          <w:szCs w:val="20"/>
          <w:color w:val="auto"/>
        </w:rPr>
      </w:pPr>
    </w:p>
    <w:p>
      <w:pPr>
        <w:ind w:right="740" w:firstLine="656"/>
        <w:spacing w:after="0" w:line="277" w:lineRule="auto"/>
        <w:tabs>
          <w:tab w:leader="none" w:pos="102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Borrower will use Letters of Credit, Revolving Loans and Swingline Loans for working capital and general corporate purposes (including any transaction not prohibited by the Credit Documents).</w:t>
      </w:r>
    </w:p>
    <w:p>
      <w:pPr>
        <w:spacing w:after="0" w:line="116" w:lineRule="exact"/>
        <w:rPr>
          <w:rFonts w:ascii="Arial" w:cs="Arial" w:eastAsia="Arial" w:hAnsi="Arial"/>
          <w:sz w:val="18"/>
          <w:szCs w:val="18"/>
          <w:color w:val="auto"/>
        </w:rPr>
      </w:pPr>
    </w:p>
    <w:p>
      <w:pPr>
        <w:ind w:right="200" w:firstLine="656"/>
        <w:spacing w:after="0" w:line="263" w:lineRule="auto"/>
        <w:tabs>
          <w:tab w:leader="none" w:pos="103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On the Restatement Effective Date, the Borrower will use the proceeds of the Term A Loans and cash on hand to effect the transactions contemplated by the Restatement Agreement, including the prepayment of all amounts outstanding (other than contingent obligations) under the Original Credit Agreement immediately prior the Restatement Effective Date.</w:t>
      </w:r>
    </w:p>
    <w:p>
      <w:pPr>
        <w:spacing w:after="0" w:line="129" w:lineRule="exact"/>
        <w:rPr>
          <w:rFonts w:ascii="Arial" w:cs="Arial" w:eastAsia="Arial" w:hAnsi="Arial"/>
          <w:sz w:val="18"/>
          <w:szCs w:val="18"/>
          <w:color w:val="auto"/>
        </w:rPr>
      </w:pPr>
    </w:p>
    <w:p>
      <w:pPr>
        <w:ind w:right="420" w:firstLine="656"/>
        <w:spacing w:after="0" w:line="277" w:lineRule="auto"/>
        <w:tabs>
          <w:tab w:leader="none" w:pos="102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Notwithstanding the foregoing, the Borrower shall not use the proceeds of any Loan in any manner that would make the representations described in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untrue.</w:t>
      </w:r>
    </w:p>
    <w:p>
      <w:pPr>
        <w:spacing w:after="0" w:line="116"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9.14</w:t>
      </w:r>
      <w:r>
        <w:rPr>
          <w:sz w:val="20"/>
          <w:szCs w:val="20"/>
          <w:color w:val="auto"/>
        </w:rPr>
        <w:tab/>
      </w:r>
      <w:r>
        <w:rPr>
          <w:rFonts w:ascii="Arial" w:cs="Arial" w:eastAsia="Arial" w:hAnsi="Arial"/>
          <w:sz w:val="15"/>
          <w:szCs w:val="15"/>
          <w:u w:val="single" w:color="auto"/>
          <w:color w:val="auto"/>
        </w:rPr>
        <w:t>Further Assurances</w:t>
      </w:r>
      <w:r>
        <w:rPr>
          <w:rFonts w:ascii="Arial" w:cs="Arial" w:eastAsia="Arial" w:hAnsi="Arial"/>
          <w:sz w:val="15"/>
          <w:szCs w:val="15"/>
          <w:color w:val="auto"/>
        </w:rPr>
        <w:t>.</w:t>
      </w:r>
    </w:p>
    <w:p>
      <w:pPr>
        <w:spacing w:after="0" w:line="171" w:lineRule="exact"/>
        <w:rPr>
          <w:sz w:val="20"/>
          <w:szCs w:val="20"/>
          <w:color w:val="auto"/>
        </w:rPr>
      </w:pPr>
    </w:p>
    <w:p>
      <w:pPr>
        <w:ind w:right="60" w:firstLine="656"/>
        <w:spacing w:after="0" w:line="296" w:lineRule="auto"/>
        <w:tabs>
          <w:tab w:leader="none" w:pos="1028" w:val="left"/>
        </w:tabs>
        <w:numPr>
          <w:ilvl w:val="0"/>
          <w:numId w:val="168"/>
        </w:numPr>
        <w:rPr>
          <w:rFonts w:ascii="Arial" w:cs="Arial" w:eastAsia="Arial" w:hAnsi="Arial"/>
          <w:sz w:val="16"/>
          <w:szCs w:val="16"/>
          <w:color w:val="auto"/>
        </w:rPr>
      </w:pPr>
      <w:r>
        <w:rPr>
          <w:rFonts w:ascii="Arial" w:cs="Arial" w:eastAsia="Arial" w:hAnsi="Arial"/>
          <w:sz w:val="16"/>
          <w:szCs w:val="16"/>
          <w:color w:val="auto"/>
        </w:rPr>
        <w:t xml:space="preserve">Subject to the terms of </w:t>
      </w:r>
      <w:r>
        <w:rPr>
          <w:rFonts w:ascii="Arial" w:cs="Arial" w:eastAsia="Arial" w:hAnsi="Arial"/>
          <w:sz w:val="16"/>
          <w:szCs w:val="16"/>
          <w:u w:val="single" w:color="auto"/>
          <w:color w:val="auto"/>
        </w:rPr>
        <w:t>Sections 9.11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9.12</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9.14</w:t>
      </w:r>
      <w:r>
        <w:rPr>
          <w:rFonts w:ascii="Arial" w:cs="Arial" w:eastAsia="Arial" w:hAnsi="Arial"/>
          <w:sz w:val="16"/>
          <w:szCs w:val="16"/>
          <w:color w:val="auto"/>
        </w:rPr>
        <w:t xml:space="preserve"> and the Security Documents, Holdings will, and will cause each other Credit Party to, execute any and all further documents, financing statements, agreements, and instruments, and take all such further actions (including the filing and recording of financing statements, fixture filings, mortgages, deeds of trust, and other documents) that may be required under any applicable law, or that the Collateral Agent or the Required Lenders may reasonably request, in order to grant, preserve, protect, and perfect the validity and priority of the security interests created or intended to be created by the applicable Security Documents, all at the expense of Holdings and the Restricted Subsidiaries.</w:t>
      </w:r>
    </w:p>
    <w:p>
      <w:pPr>
        <w:spacing w:after="0" w:line="107" w:lineRule="exact"/>
        <w:rPr>
          <w:rFonts w:ascii="Arial" w:cs="Arial" w:eastAsia="Arial" w:hAnsi="Arial"/>
          <w:sz w:val="16"/>
          <w:szCs w:val="16"/>
          <w:color w:val="auto"/>
        </w:rPr>
      </w:pPr>
    </w:p>
    <w:p>
      <w:pPr>
        <w:ind w:right="80" w:firstLine="656"/>
        <w:spacing w:after="0" w:line="270" w:lineRule="auto"/>
        <w:tabs>
          <w:tab w:leader="none" w:pos="1038" w:val="left"/>
        </w:tabs>
        <w:numPr>
          <w:ilvl w:val="0"/>
          <w:numId w:val="168"/>
        </w:numPr>
        <w:rPr>
          <w:rFonts w:ascii="Arial" w:cs="Arial" w:eastAsia="Arial" w:hAnsi="Arial"/>
          <w:sz w:val="17"/>
          <w:szCs w:val="17"/>
          <w:color w:val="auto"/>
        </w:rPr>
      </w:pPr>
      <w:r>
        <w:rPr>
          <w:rFonts w:ascii="Arial" w:cs="Arial" w:eastAsia="Arial" w:hAnsi="Arial"/>
          <w:sz w:val="17"/>
          <w:szCs w:val="17"/>
          <w:color w:val="auto"/>
        </w:rPr>
        <w:t>Subject to any applicable limitations set forth in the Security Documents and other than (x) when in the reasonable determination of the Administrative Agent and the Borrower (as agreed to in writing), the cost or other consequences of doing so would be excessive in view of the benefits to be obtained by the Lenders therefrom or (y) to the extent doing so would result in material adverse tax consequences as reasonably determined by the Borrower in consultation with the Administrative Agent, if any assets (other than Excluded Property) (including any real estate or improvements thereto or any interest therein but excluding Capital Stock and Stock Equivalents of any Subsidiary and excluding any real estate which the Borrower or applicable Credit Party intends to dispose of pursuant to a Permitted Sale Leaseback so long as actually disposed of within 270 days of acquisition (or such longer period as the Administrative Agent may reasonably agree)) with a book value in excess of $20,000,000 (at the time of acquisition) are acquired by Holdings or any other Credit Party after the Restatement Effective Date (other than assets constituting Collateral under a Security Document that become subject to the Lien of the</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341" w:right="339" w:bottom="1440" w:gutter="0" w:footer="0" w:header="0"/>
        </w:sectPr>
      </w:pPr>
    </w:p>
    <w:bookmarkStart w:id="191" w:name="page192"/>
    <w:bookmarkEnd w:id="191"/>
    <w:p>
      <w:pPr>
        <w:ind w:right="60"/>
        <w:spacing w:after="0" w:line="255" w:lineRule="auto"/>
        <w:rPr>
          <w:sz w:val="20"/>
          <w:szCs w:val="20"/>
          <w:color w:val="auto"/>
        </w:rPr>
      </w:pPr>
      <w:r>
        <w:rPr>
          <w:rFonts w:ascii="Arial" w:cs="Arial" w:eastAsia="Arial" w:hAnsi="Arial"/>
          <w:sz w:val="18"/>
          <w:szCs w:val="18"/>
          <w:color w:val="auto"/>
        </w:rPr>
        <w:t xml:space="preserve">applicable Security Document upon acquisition thereof) that are of a nature secured by a Security Document or that constitute a fee interest in real property in the United States, Holdings will notify the Collateral Agent, and, if requested by the Collateral Agent, Holdings will cause such assets to be subjected to a Lien securing the Obligations and will take, and cause the other applicable Credit Parties to take, such actions as shall be necessary or reasonably requested by the Collateral Agent, as soon as commercially reasonable but in no event later than 90 days, unless extended by the Administrative Agent in its sole discretion, to grant and perfect such Liens consistent with the applicable requirements of the Security Documents, including actions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9.14</w:t>
      </w:r>
      <w:r>
        <w:rPr>
          <w:rFonts w:ascii="Arial" w:cs="Arial" w:eastAsia="Arial" w:hAnsi="Arial"/>
          <w:sz w:val="18"/>
          <w:szCs w:val="18"/>
          <w:color w:val="auto"/>
        </w:rPr>
        <w:t>.</w:t>
      </w:r>
    </w:p>
    <w:p>
      <w:pPr>
        <w:spacing w:after="0" w:line="138" w:lineRule="exact"/>
        <w:rPr>
          <w:sz w:val="20"/>
          <w:szCs w:val="20"/>
          <w:color w:val="auto"/>
        </w:rPr>
      </w:pPr>
    </w:p>
    <w:p>
      <w:pPr>
        <w:ind w:right="20" w:firstLine="656"/>
        <w:spacing w:after="0" w:line="285" w:lineRule="auto"/>
        <w:tabs>
          <w:tab w:leader="none" w:pos="1018"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Any Mortgage delivered to the Administrative Agent in accordance with the preceding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shall, if requested by the Collateral Agent, be received as soon as commercially reasonable but in no event later than 90 days (except as set forth in the preceding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unless extended by the Administrative Agent acting reasonably and accompanied by (x) a policy or policies (or an unconditional binding commitment therefor to be replaced by a final title policy) of title insurance issued by a nationally recognized title insurance company, in such amounts as reasonably acceptable to the Administrative Agent not to exceed the Fair Market Value of the applicable Mortgaged Property, insuring the Lien of each Mortgage as a valid first Lien on the Mortgaged Property described therein, free of any other Liens except as expressly permitted by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or as otherwise permitted by the Administrative Agent and otherwise in form and substance reasonably acceptable to the Administrative Agent and the Borrower, together with such endorsements, coinsurance and reinsurance as the Administrative Agent may reasonably request but only to the extent such endorsements are (i) available in the relevant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no event shall the Administrative Agent request a creditors’ rights endorsement) and (ii) available at commercially reasonable rates, (y) an opinion of local counsel to the applicable Credit Party in form and substance reasonably acceptable to the Administrative Agent, (z) a completed “Life-of-Loan” Federal Emergency Management Agency Standard Flood Hazard Determination, and if any improvements on such Mortgaged Property are located in a special flood hazard area, (i) a notice about special flood hazard area status and flood disaster assistance duly executed by the applicable Credit Parties and (ii) certificates of insurance evidencing the insurance required by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in form and substance reasonably satisfactory to the Administrative Agent, and (aa) an ALTA survey in a form and substance reasonably acceptable to the Collateral Agent or such existing survey together with a no-change affidavit sufficient for the title company to remove all standard survey exceptions from the title policy related to such Mortgaged Property and issue the endorsements required in (x)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Mortgage shall be executed and delivered until each Lender has received the documents stipulated in </w:t>
      </w:r>
      <w:r>
        <w:rPr>
          <w:rFonts w:ascii="Arial" w:cs="Arial" w:eastAsia="Arial" w:hAnsi="Arial"/>
          <w:sz w:val="16"/>
          <w:szCs w:val="16"/>
          <w:u w:val="single" w:color="auto"/>
          <w:color w:val="auto"/>
        </w:rPr>
        <w:t>clause (z)</w:t>
      </w:r>
      <w:r>
        <w:rPr>
          <w:rFonts w:ascii="Arial" w:cs="Arial" w:eastAsia="Arial" w:hAnsi="Arial"/>
          <w:sz w:val="16"/>
          <w:szCs w:val="16"/>
          <w:color w:val="auto"/>
        </w:rPr>
        <w:t xml:space="preserve"> above.</w:t>
      </w:r>
    </w:p>
    <w:p>
      <w:pPr>
        <w:spacing w:after="0" w:line="338" w:lineRule="exact"/>
        <w:rPr>
          <w:rFonts w:ascii="Arial" w:cs="Arial" w:eastAsia="Arial" w:hAnsi="Arial"/>
          <w:sz w:val="16"/>
          <w:szCs w:val="16"/>
          <w:color w:val="auto"/>
        </w:rPr>
      </w:pPr>
    </w:p>
    <w:p>
      <w:pPr>
        <w:ind w:right="180" w:firstLine="656"/>
        <w:spacing w:after="0" w:line="263" w:lineRule="auto"/>
        <w:tabs>
          <w:tab w:leader="none" w:pos="1038"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Post-Closing Covenant</w:t>
      </w:r>
      <w:r>
        <w:rPr>
          <w:rFonts w:ascii="Arial" w:cs="Arial" w:eastAsia="Arial" w:hAnsi="Arial"/>
          <w:sz w:val="18"/>
          <w:szCs w:val="18"/>
          <w:color w:val="auto"/>
        </w:rPr>
        <w:t xml:space="preserve">. Holdings agrees that it will, or will cause its relevant Subsidiaries to, complete each of the actions described on </w:t>
      </w:r>
      <w:r>
        <w:rPr>
          <w:rFonts w:ascii="Arial" w:cs="Arial" w:eastAsia="Arial" w:hAnsi="Arial"/>
          <w:sz w:val="18"/>
          <w:szCs w:val="18"/>
          <w:u w:val="single" w:color="auto"/>
          <w:color w:val="auto"/>
        </w:rPr>
        <w:t>Schedule 9.14</w:t>
      </w:r>
      <w:r>
        <w:rPr>
          <w:rFonts w:ascii="Arial" w:cs="Arial" w:eastAsia="Arial" w:hAnsi="Arial"/>
          <w:sz w:val="18"/>
          <w:szCs w:val="18"/>
          <w:color w:val="auto"/>
        </w:rPr>
        <w:t xml:space="preserve"> as soon as commercially reasonable and by no later than the date set forth in </w:t>
      </w:r>
      <w:r>
        <w:rPr>
          <w:rFonts w:ascii="Arial" w:cs="Arial" w:eastAsia="Arial" w:hAnsi="Arial"/>
          <w:sz w:val="18"/>
          <w:szCs w:val="18"/>
          <w:u w:val="single" w:color="auto"/>
          <w:color w:val="auto"/>
        </w:rPr>
        <w:t>Schedule 9.14</w:t>
      </w:r>
      <w:r>
        <w:rPr>
          <w:rFonts w:ascii="Arial" w:cs="Arial" w:eastAsia="Arial" w:hAnsi="Arial"/>
          <w:sz w:val="18"/>
          <w:szCs w:val="18"/>
          <w:color w:val="auto"/>
        </w:rPr>
        <w:t xml:space="preserve"> with respect to such action or such later date as the Administrative Agent may reasonably agree.</w:t>
      </w:r>
    </w:p>
    <w:p>
      <w:pPr>
        <w:spacing w:after="0" w:line="130" w:lineRule="exact"/>
        <w:rPr>
          <w:sz w:val="20"/>
          <w:szCs w:val="20"/>
          <w:color w:val="auto"/>
        </w:rPr>
      </w:pPr>
    </w:p>
    <w:p>
      <w:pPr>
        <w:jc w:val="both"/>
        <w:ind w:right="60" w:firstLine="648"/>
        <w:spacing w:after="0" w:line="279" w:lineRule="auto"/>
        <w:rPr>
          <w:sz w:val="20"/>
          <w:szCs w:val="20"/>
          <w:color w:val="auto"/>
        </w:rPr>
      </w:pPr>
      <w:r>
        <w:rPr>
          <w:rFonts w:ascii="Arial" w:cs="Arial" w:eastAsia="Arial" w:hAnsi="Arial"/>
          <w:sz w:val="17"/>
          <w:szCs w:val="17"/>
          <w:color w:val="auto"/>
        </w:rPr>
        <w:t xml:space="preserve">9.15 </w:t>
      </w:r>
      <w:r>
        <w:rPr>
          <w:rFonts w:ascii="Arial" w:cs="Arial" w:eastAsia="Arial" w:hAnsi="Arial"/>
          <w:sz w:val="17"/>
          <w:szCs w:val="17"/>
          <w:u w:val="single" w:color="auto"/>
          <w:color w:val="auto"/>
        </w:rPr>
        <w:t>Lines of Business</w:t>
      </w:r>
      <w:r>
        <w:rPr>
          <w:rFonts w:ascii="Arial" w:cs="Arial" w:eastAsia="Arial" w:hAnsi="Arial"/>
          <w:sz w:val="17"/>
          <w:szCs w:val="17"/>
          <w:color w:val="auto"/>
        </w:rPr>
        <w:t>. Holdings and the Restricted Subsidiaries, taken as a whole, will not fundamentally and substantively alter the character of their business, taken as a whole, from the business conducted by Holdings and the Subsidiaries, taken as a whole, on the Restatement Effective Date and other business activities which are extensions thereof or otherwise incidental, synergistic, reasonably related, or ancillary to any of the foregoing (and non-core incidental businesses acquired in connection with any Permitted Acquisition or permitted Investment).</w:t>
      </w:r>
    </w:p>
    <w:p>
      <w:pPr>
        <w:spacing w:after="0" w:line="17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5"/>
          <w:szCs w:val="15"/>
          <w:u w:val="single" w:color="auto"/>
          <w:color w:val="auto"/>
        </w:rPr>
        <w:t>Negative Covenants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Each of Holdings and the Borrower hereby covenants and agrees that on the Restatement Effective Date (immediately after consummation of the Acquisition) and thereafter, until the Commitments, the Swingline Commitment and each Letter of Credit have terminated or been collateralized in accordance with the terms of this Agreement and the Loans and Unpaid Drawings, together with interest, Fees, and all other Obligations incurred hereunder (other than contingent indemnity obligations, Secured Hedge Obligations and Secured Cash Management Obligations and Letters of Credit, collateralized in accordance with the terms of this Agreement), are paid in full:</w:t>
      </w:r>
    </w:p>
    <w:p>
      <w:pPr>
        <w:spacing w:after="0" w:line="134"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Limitation on Indebtedness</w:t>
      </w:r>
      <w:r>
        <w:rPr>
          <w:rFonts w:ascii="Arial" w:cs="Arial" w:eastAsia="Arial" w:hAnsi="Arial"/>
          <w:sz w:val="18"/>
          <w:szCs w:val="18"/>
          <w:color w:val="auto"/>
        </w:rPr>
        <w:t>. Holdings will not, and will not permit any Restricted Subsidiary to create, incur, issue, assume, guarantee or otherwise become liable, contingently or otherwise (collectively, “</w:t>
      </w:r>
      <w:r>
        <w:rPr>
          <w:rFonts w:ascii="Arial" w:cs="Arial" w:eastAsia="Arial" w:hAnsi="Arial"/>
          <w:sz w:val="18"/>
          <w:szCs w:val="18"/>
          <w:b w:val="1"/>
          <w:bCs w:val="1"/>
          <w:color w:val="auto"/>
        </w:rPr>
        <w:t>incur</w:t>
      </w:r>
      <w:r>
        <w:rPr>
          <w:rFonts w:ascii="Arial" w:cs="Arial" w:eastAsia="Arial" w:hAnsi="Arial"/>
          <w:sz w:val="18"/>
          <w:szCs w:val="18"/>
          <w:color w:val="auto"/>
        </w:rPr>
        <w:t>” and collectively, an “</w:t>
      </w:r>
      <w:r>
        <w:rPr>
          <w:rFonts w:ascii="Arial" w:cs="Arial" w:eastAsia="Arial" w:hAnsi="Arial"/>
          <w:sz w:val="18"/>
          <w:szCs w:val="18"/>
          <w:b w:val="1"/>
          <w:bCs w:val="1"/>
          <w:color w:val="auto"/>
        </w:rPr>
        <w:t>incurrence</w:t>
      </w:r>
      <w:r>
        <w:rPr>
          <w:rFonts w:ascii="Arial" w:cs="Arial" w:eastAsia="Arial" w:hAnsi="Arial"/>
          <w:sz w:val="18"/>
          <w:szCs w:val="18"/>
          <w:color w:val="auto"/>
        </w:rPr>
        <w:t>”) with respect to any Indebtedness (including Acquired Indebtedness) and</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341" w:right="339" w:bottom="1440" w:gutter="0" w:footer="0" w:header="0"/>
        </w:sectPr>
      </w:pPr>
    </w:p>
    <w:bookmarkStart w:id="192" w:name="page193"/>
    <w:bookmarkEnd w:id="192"/>
    <w:p>
      <w:pPr>
        <w:spacing w:after="0" w:line="270" w:lineRule="auto"/>
        <w:rPr>
          <w:sz w:val="20"/>
          <w:szCs w:val="20"/>
          <w:color w:val="auto"/>
        </w:rPr>
      </w:pPr>
      <w:r>
        <w:rPr>
          <w:rFonts w:ascii="Arial" w:cs="Arial" w:eastAsia="Arial" w:hAnsi="Arial"/>
          <w:sz w:val="17"/>
          <w:szCs w:val="17"/>
          <w:color w:val="auto"/>
        </w:rPr>
        <w:t xml:space="preserve">Holdings will not issue any shares of Disqualified Stock and will not permit any Restricted Subsidiary to issue any shares of Disqualified Stock or, in the case of Restricted Subsidiaries that are not Guarantors, preferred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r>
        <w:rPr>
          <w:rFonts w:ascii="Arial" w:cs="Arial" w:eastAsia="Arial" w:hAnsi="Arial"/>
          <w:sz w:val="17"/>
          <w:szCs w:val="17"/>
          <w:u w:val="single" w:color="auto"/>
          <w:color w:val="0000FF"/>
        </w:rPr>
        <w:t>, following the Additional Restrictions Period,</w:t>
      </w:r>
      <w:r>
        <w:rPr>
          <w:rFonts w:ascii="Arial" w:cs="Arial" w:eastAsia="Arial" w:hAnsi="Arial"/>
          <w:sz w:val="17"/>
          <w:szCs w:val="17"/>
          <w:color w:val="auto"/>
        </w:rPr>
        <w:t xml:space="preserve"> Holdings may incur Indebtedness (including Acquired Indebtedness) or issue shares of Disqualified Stock, and </w:t>
      </w:r>
      <w:r>
        <w:rPr>
          <w:rFonts w:ascii="Arial" w:cs="Arial" w:eastAsia="Arial" w:hAnsi="Arial"/>
          <w:sz w:val="17"/>
          <w:szCs w:val="17"/>
          <w:color w:val="FF0000"/>
          <w:strike w:val="1"/>
        </w:rPr>
        <w:t>any Restricted Subsidiary</w:t>
      </w:r>
      <w:r>
        <w:rPr>
          <w:rFonts w:ascii="Arial" w:cs="Arial" w:eastAsia="Arial" w:hAnsi="Arial"/>
          <w:sz w:val="17"/>
          <w:szCs w:val="17"/>
          <w:u w:val="single" w:color="auto"/>
          <w:color w:val="0000FF"/>
        </w:rPr>
        <w:t>the Borrower or any Guarantor</w:t>
      </w:r>
      <w:r>
        <w:rPr>
          <w:rFonts w:ascii="Arial" w:cs="Arial" w:eastAsia="Arial" w:hAnsi="Arial"/>
          <w:sz w:val="17"/>
          <w:szCs w:val="17"/>
          <w:color w:val="auto"/>
        </w:rPr>
        <w:t xml:space="preserve"> may incur Indebtedness (including Acquired Indebtedness), issue shares of Disqualified Stock and issue shares of preferred stock, if, after giving effect thereto, the </w:t>
      </w:r>
      <w:r>
        <w:rPr>
          <w:rFonts w:ascii="Arial" w:cs="Arial" w:eastAsia="Arial" w:hAnsi="Arial"/>
          <w:sz w:val="17"/>
          <w:szCs w:val="17"/>
          <w:color w:val="FF0000"/>
          <w:strike w:val="1"/>
        </w:rPr>
        <w:t>Fixed Charge Coverage Ratio of Holdings and the Restricted Subsidiaries would be at least 2.00 to 1.00;</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provided further</w:t>
      </w:r>
      <w:r>
        <w:rPr>
          <w:rFonts w:ascii="Arial" w:cs="Arial" w:eastAsia="Arial" w:hAnsi="Arial"/>
          <w:sz w:val="17"/>
          <w:szCs w:val="17"/>
          <w:color w:val="auto"/>
        </w:rPr>
        <w:t xml:space="preserve"> </w:t>
      </w:r>
      <w:r>
        <w:rPr>
          <w:rFonts w:ascii="Arial" w:cs="Arial" w:eastAsia="Arial" w:hAnsi="Arial"/>
          <w:sz w:val="17"/>
          <w:szCs w:val="17"/>
          <w:color w:val="FF0000"/>
          <w:strike w:val="1"/>
        </w:rPr>
        <w:t>that the amount of</w:t>
      </w:r>
      <w:r>
        <w:rPr>
          <w:rFonts w:ascii="Arial" w:cs="Arial" w:eastAsia="Arial" w:hAnsi="Arial"/>
          <w:sz w:val="17"/>
          <w:szCs w:val="17"/>
          <w:color w:val="auto"/>
        </w:rPr>
        <w:t xml:space="preserve"> </w:t>
      </w:r>
      <w:r>
        <w:rPr>
          <w:rFonts w:ascii="Arial" w:cs="Arial" w:eastAsia="Arial" w:hAnsi="Arial"/>
          <w:sz w:val="17"/>
          <w:szCs w:val="17"/>
          <w:color w:val="FF0000"/>
          <w:strike w:val="1"/>
        </w:rPr>
        <w:t xml:space="preserve">Indebtedness (other than Acquired Indebtedness), Disqualified Stock and preferred stock that may be incurred pursuant to the foregoing together with any amounts incurred under </w:t>
      </w:r>
      <w:r>
        <w:rPr>
          <w:rFonts w:ascii="Arial" w:cs="Arial" w:eastAsia="Arial" w:hAnsi="Arial"/>
          <w:sz w:val="17"/>
          <w:szCs w:val="17"/>
          <w:u w:val="single" w:color="auto"/>
          <w:color w:val="FF0000"/>
          <w:strike w:val="1"/>
        </w:rPr>
        <w:t>Section 10.1(n)(x)</w:t>
      </w:r>
      <w:r>
        <w:rPr>
          <w:rFonts w:ascii="Arial" w:cs="Arial" w:eastAsia="Arial" w:hAnsi="Arial"/>
          <w:sz w:val="17"/>
          <w:szCs w:val="17"/>
          <w:color w:val="FF0000"/>
          <w:strike w:val="1"/>
        </w:rPr>
        <w:t xml:space="preserve"> by Restricted Subsidiaries that are not Guarantors shall not exceed the greater of (x) $35,000,000 and (y) 30.0% of Consolidated EBITDA for the most recently ended Test Period (calculated on a Pro Forma Basis) at any one time outstanding.</w:t>
      </w:r>
      <w:r>
        <w:rPr>
          <w:rFonts w:ascii="Arial" w:cs="Arial" w:eastAsia="Arial" w:hAnsi="Arial"/>
          <w:sz w:val="17"/>
          <w:szCs w:val="17"/>
          <w:u w:val="single" w:color="auto"/>
          <w:color w:val="0000FF"/>
          <w:strike w:val="1"/>
        </w:rPr>
        <w:t>Consolidated Total Debt to</w:t>
      </w:r>
      <w:r>
        <w:rPr>
          <w:rFonts w:ascii="Arial" w:cs="Arial" w:eastAsia="Arial" w:hAnsi="Arial"/>
          <w:sz w:val="17"/>
          <w:szCs w:val="17"/>
          <w:color w:val="FF0000"/>
          <w:strike w:val="1"/>
        </w:rPr>
        <w:t xml:space="preserve"> </w:t>
      </w:r>
      <w:r>
        <w:rPr>
          <w:rFonts w:ascii="Arial" w:cs="Arial" w:eastAsia="Arial" w:hAnsi="Arial"/>
          <w:sz w:val="17"/>
          <w:szCs w:val="17"/>
          <w:u w:val="single" w:color="auto"/>
          <w:color w:val="0000FF"/>
          <w:strike w:val="1"/>
        </w:rPr>
        <w:t>Consolidated EBITDA Ratio is equal to or less than 3.75:1.00.</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limitations will not apply to:</w:t>
      </w:r>
    </w:p>
    <w:p>
      <w:pPr>
        <w:spacing w:after="0" w:line="225" w:lineRule="exact"/>
        <w:rPr>
          <w:sz w:val="20"/>
          <w:szCs w:val="20"/>
          <w:color w:val="auto"/>
        </w:rPr>
      </w:pPr>
    </w:p>
    <w:p>
      <w:pPr>
        <w:ind w:left="1680" w:hanging="376"/>
        <w:spacing w:after="0"/>
        <w:tabs>
          <w:tab w:leader="none" w:pos="16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Indebtedness arising under the Credit Documents;</w:t>
      </w:r>
    </w:p>
    <w:p>
      <w:pPr>
        <w:spacing w:after="0" w:line="144" w:lineRule="exact"/>
        <w:rPr>
          <w:rFonts w:ascii="Arial" w:cs="Arial" w:eastAsia="Arial" w:hAnsi="Arial"/>
          <w:sz w:val="18"/>
          <w:szCs w:val="18"/>
          <w:color w:val="auto"/>
        </w:rPr>
      </w:pPr>
    </w:p>
    <w:p>
      <w:pPr>
        <w:ind w:left="1700" w:hanging="396"/>
        <w:spacing w:after="0"/>
        <w:tabs>
          <w:tab w:leader="none" w:pos="17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[Reserved];</w:t>
      </w:r>
    </w:p>
    <w:p>
      <w:pPr>
        <w:spacing w:after="0" w:line="144" w:lineRule="exact"/>
        <w:rPr>
          <w:rFonts w:ascii="Arial" w:cs="Arial" w:eastAsia="Arial" w:hAnsi="Arial"/>
          <w:sz w:val="18"/>
          <w:szCs w:val="18"/>
          <w:color w:val="auto"/>
        </w:rPr>
      </w:pPr>
    </w:p>
    <w:p>
      <w:pPr>
        <w:jc w:val="both"/>
        <w:ind w:left="660" w:firstLine="644"/>
        <w:spacing w:after="0" w:line="263" w:lineRule="auto"/>
        <w:tabs>
          <w:tab w:leader="none" w:pos="168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(i) Indebtedness (including any unused commitment) outstanding on the Restatement Effective Date listed on </w:t>
      </w:r>
      <w:r>
        <w:rPr>
          <w:rFonts w:ascii="Arial" w:cs="Arial" w:eastAsia="Arial" w:hAnsi="Arial"/>
          <w:sz w:val="18"/>
          <w:szCs w:val="18"/>
          <w:u w:val="single" w:color="auto"/>
          <w:color w:val="auto"/>
        </w:rPr>
        <w:t>Schedule 10.1</w:t>
      </w:r>
      <w:r>
        <w:rPr>
          <w:rFonts w:ascii="Arial" w:cs="Arial" w:eastAsia="Arial" w:hAnsi="Arial"/>
          <w:sz w:val="18"/>
          <w:szCs w:val="18"/>
          <w:color w:val="auto"/>
        </w:rPr>
        <w:t xml:space="preserve"> and (ii) intercompany Indebtedness (including any unused commitment) outstanding on the Restatement Effective Date listed on </w:t>
      </w:r>
      <w:r>
        <w:rPr>
          <w:rFonts w:ascii="Arial" w:cs="Arial" w:eastAsia="Arial" w:hAnsi="Arial"/>
          <w:sz w:val="18"/>
          <w:szCs w:val="18"/>
          <w:u w:val="single" w:color="auto"/>
          <w:color w:val="auto"/>
        </w:rPr>
        <w:t>Schedule 10.1</w:t>
      </w:r>
      <w:r>
        <w:rPr>
          <w:rFonts w:ascii="Arial" w:cs="Arial" w:eastAsia="Arial" w:hAnsi="Arial"/>
          <w:sz w:val="18"/>
          <w:szCs w:val="18"/>
          <w:color w:val="auto"/>
        </w:rPr>
        <w:t xml:space="preserve"> (other than intercompany Indebtedness owed by a Credit Party to another Credit Party);</w:t>
      </w:r>
    </w:p>
    <w:p>
      <w:pPr>
        <w:spacing w:after="0" w:line="102" w:lineRule="exact"/>
        <w:rPr>
          <w:rFonts w:ascii="Arial" w:cs="Arial" w:eastAsia="Arial" w:hAnsi="Arial"/>
          <w:sz w:val="18"/>
          <w:szCs w:val="18"/>
          <w:color w:val="auto"/>
        </w:rPr>
      </w:pPr>
    </w:p>
    <w:p>
      <w:pPr>
        <w:ind w:left="660" w:firstLine="644"/>
        <w:spacing w:after="0" w:line="268" w:lineRule="auto"/>
        <w:tabs>
          <w:tab w:leader="none" w:pos="1698" w:val="left"/>
        </w:tabs>
        <w:numPr>
          <w:ilvl w:val="0"/>
          <w:numId w:val="170"/>
        </w:numPr>
        <w:rPr>
          <w:rFonts w:ascii="Arial" w:cs="Arial" w:eastAsia="Arial" w:hAnsi="Arial"/>
          <w:sz w:val="17"/>
          <w:szCs w:val="17"/>
          <w:color w:val="auto"/>
        </w:rPr>
      </w:pPr>
      <w:r>
        <w:rPr>
          <w:rFonts w:ascii="Arial" w:cs="Arial" w:eastAsia="Arial" w:hAnsi="Arial"/>
          <w:sz w:val="17"/>
          <w:szCs w:val="17"/>
          <w:color w:val="auto"/>
        </w:rPr>
        <w:t xml:space="preserve">Indebtedness (including Capitalized Lease Obligations), Disqualified Stock and preferred stock incurred by Holdings or any Restricted Subsidiary, to finance the purchase, lease, construction, installation, maintenance, replacement or improvement of property (real or personal) or equipment that is used or useful in a Similar Business, whether through the direct purchase of assets or the Capital Stock of any Person owning such assets and Indebtedness arising from the conversion of the obligations of Holdings or any Restricted Subsidiary under or pursuant to any “synthetic lease” transactions to on-balance sheet Indebtedness of Holdings or such Restricted Subsidiary, in an aggregate principal amount which, when aggregated with the principal amount of all other Indebtedness, Disqualified Stock and preferred stock then outstanding and incurred pursuant to this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and all Refinancing Indebtedness incurred to refinance any other Indebtedness, Disqualified Stock and preferred stock incurred pursuant to this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does not exceed the greater of (x) $35,000,000 and (y) 35.0% of Consolidated EBITDA for the most recently ended Test Period (calculated on a Pro Forma Basis) at the time of incurrence;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Capitalized Lease Obligations incurred by Holdings or any Restricted Subsidiary pursuant to this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in connection with a Permitted Sale Leaseback shall not be subject to the foregoing limitation so long as the proceeds of such Permitted Sale Leaseback are used by Holdings or such Restricted Subsidiary to permanently repay outstanding Term Loans or other Indebtedness secured by a Lien on the assets subject to such Permitted Sale Leaseback (excluding any Lien ranking junior to the Lien securing the Obligations);</w:t>
      </w:r>
    </w:p>
    <w:p>
      <w:pPr>
        <w:spacing w:after="0" w:line="105" w:lineRule="exact"/>
        <w:rPr>
          <w:rFonts w:ascii="Arial" w:cs="Arial" w:eastAsia="Arial" w:hAnsi="Arial"/>
          <w:sz w:val="17"/>
          <w:szCs w:val="17"/>
          <w:color w:val="auto"/>
        </w:rPr>
      </w:pPr>
    </w:p>
    <w:p>
      <w:pPr>
        <w:ind w:left="660" w:right="40" w:firstLine="644"/>
        <w:spacing w:after="0" w:line="296" w:lineRule="auto"/>
        <w:tabs>
          <w:tab w:leader="none" w:pos="1688" w:val="left"/>
        </w:tabs>
        <w:numPr>
          <w:ilvl w:val="0"/>
          <w:numId w:val="170"/>
        </w:numPr>
        <w:rPr>
          <w:rFonts w:ascii="Arial" w:cs="Arial" w:eastAsia="Arial" w:hAnsi="Arial"/>
          <w:sz w:val="16"/>
          <w:szCs w:val="16"/>
          <w:color w:val="auto"/>
        </w:rPr>
      </w:pPr>
      <w:r>
        <w:rPr>
          <w:rFonts w:ascii="Arial" w:cs="Arial" w:eastAsia="Arial" w:hAnsi="Arial"/>
          <w:sz w:val="16"/>
          <w:szCs w:val="16"/>
          <w:color w:val="auto"/>
        </w:rPr>
        <w:t>Indebtedness incurred by Holdings or any Restricted Subsidiary (including letter of credit obligations consistent with past practice constituting reimbursement obligations with respect to letters of credit issued in the ordinary course of business), in respect of workers’ compensation claims, performance or surety bonds, health, disability or other employee benefits or property, casualty or liability insurance or self-insurance or other Indebtedness with respect to reimbursement or indemnification type obligations regarding workers’ compensation claims, performance or surety bonds, health, disability or other employee benefits or property, casualty or liability insurance or self-insurance;</w:t>
      </w:r>
    </w:p>
    <w:p>
      <w:pPr>
        <w:spacing w:after="0" w:line="80" w:lineRule="exact"/>
        <w:rPr>
          <w:rFonts w:ascii="Arial" w:cs="Arial" w:eastAsia="Arial" w:hAnsi="Arial"/>
          <w:sz w:val="16"/>
          <w:szCs w:val="16"/>
          <w:color w:val="auto"/>
        </w:rPr>
      </w:pPr>
    </w:p>
    <w:p>
      <w:pPr>
        <w:ind w:left="660" w:firstLine="644"/>
        <w:spacing w:after="0" w:line="259" w:lineRule="auto"/>
        <w:tabs>
          <w:tab w:leader="none" w:pos="166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Indebtedness arising from agreements of Holdings or a Restricted Subsidiary providing for indemnification, adjustment of purchase price, earnout or similar obligations, in each case, incurred or assumed in connection with the acquisition or disposition of any business, assets or a Subsidiary or other Person, other than guarantees of Indebtedness incurred by any Person acquiring all or any portion of such business, assets or a Subsidiary for the purpose of financing such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341" w:right="339" w:bottom="1440" w:gutter="0" w:footer="0" w:header="0"/>
        </w:sectPr>
      </w:pPr>
    </w:p>
    <w:bookmarkStart w:id="193" w:name="page194"/>
    <w:bookmarkEnd w:id="193"/>
    <w:p>
      <w:pPr>
        <w:ind w:right="100"/>
        <w:spacing w:after="0" w:line="263" w:lineRule="auto"/>
        <w:rPr>
          <w:sz w:val="20"/>
          <w:szCs w:val="20"/>
          <w:color w:val="auto"/>
        </w:rPr>
      </w:pPr>
      <w:r>
        <w:rPr>
          <w:rFonts w:ascii="Arial" w:cs="Arial" w:eastAsia="Arial" w:hAnsi="Arial"/>
          <w:sz w:val="18"/>
          <w:szCs w:val="18"/>
          <w:color w:val="auto"/>
        </w:rPr>
        <w:t xml:space="preserve">Indebtedness is not reflected on the balance sheet of Holdings or any Restricted Subsidiary (contingent obligations referred to in a footnote to financial statements and not otherwise reflected on the balance sheet will not be deemed to be reflected as Indebtedness on such balance sheet for purposes of this </w:t>
      </w:r>
      <w:r>
        <w:rPr>
          <w:rFonts w:ascii="Arial" w:cs="Arial" w:eastAsia="Arial" w:hAnsi="Arial"/>
          <w:sz w:val="18"/>
          <w:szCs w:val="18"/>
          <w:u w:val="single" w:color="auto"/>
          <w:color w:val="auto"/>
        </w:rPr>
        <w:t>clause (f)</w:t>
      </w:r>
      <w:r>
        <w:rPr>
          <w:rFonts w:ascii="Arial" w:cs="Arial" w:eastAsia="Arial" w:hAnsi="Arial"/>
          <w:sz w:val="18"/>
          <w:szCs w:val="18"/>
          <w:color w:val="auto"/>
        </w:rPr>
        <w:t>);</w:t>
      </w:r>
    </w:p>
    <w:p>
      <w:pPr>
        <w:spacing w:after="0" w:line="103" w:lineRule="exact"/>
        <w:rPr>
          <w:sz w:val="20"/>
          <w:szCs w:val="20"/>
          <w:color w:val="auto"/>
        </w:rPr>
      </w:pPr>
    </w:p>
    <w:p>
      <w:pPr>
        <w:ind w:right="20" w:firstLine="644"/>
        <w:spacing w:after="0" w:line="257" w:lineRule="auto"/>
        <w:tabs>
          <w:tab w:leader="none" w:pos="103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Indebtedness of Holdings to a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Indebtedness owing to a Restricted Subsidiary that is not the Borrower or a Guarantor is subordinated in right of payment to Holdings’ Guarantee;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subsequent issuance or transfer of any Capital Stock or any other event which results in any such Restricted Subsidiary ceasing to be a Restricted Subsidiary or any other subsequent transfer of any such Indebtedness (except to another Borrower or another Restricted Subsidiary) shall be deemed, in each case to be an incurrence of such Indebtedness not permitted by this clause;</w:t>
      </w:r>
    </w:p>
    <w:p>
      <w:pPr>
        <w:spacing w:after="0" w:line="106" w:lineRule="exact"/>
        <w:rPr>
          <w:rFonts w:ascii="Arial" w:cs="Arial" w:eastAsia="Arial" w:hAnsi="Arial"/>
          <w:sz w:val="18"/>
          <w:szCs w:val="18"/>
          <w:color w:val="auto"/>
        </w:rPr>
      </w:pPr>
    </w:p>
    <w:p>
      <w:pPr>
        <w:ind w:right="20" w:firstLine="644"/>
        <w:spacing w:after="0" w:line="257" w:lineRule="auto"/>
        <w:tabs>
          <w:tab w:leader="none" w:pos="103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Indebtedness of a Restricted Subsidiary owing to Holdings or another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Borrower or a Guarantor incurs such Indebtedness owing to a Restricted Subsidiary that is not the Borrower or a Guarantor, such Indebtedness is subordinated in right of payment to the Guarantee of such Guarantor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subsequent transfer of any such Indebtedness (except to Holdings or another Restricted Subsidiary) shall be deemed, in each case to be an incurrence of such Indebtedness not permitted by this clause;</w:t>
      </w:r>
    </w:p>
    <w:p>
      <w:pPr>
        <w:spacing w:after="0" w:line="106" w:lineRule="exact"/>
        <w:rPr>
          <w:rFonts w:ascii="Arial" w:cs="Arial" w:eastAsia="Arial" w:hAnsi="Arial"/>
          <w:sz w:val="18"/>
          <w:szCs w:val="18"/>
          <w:color w:val="auto"/>
        </w:rPr>
      </w:pPr>
    </w:p>
    <w:p>
      <w:pPr>
        <w:ind w:right="120" w:firstLine="644"/>
        <w:spacing w:after="0" w:line="279" w:lineRule="auto"/>
        <w:tabs>
          <w:tab w:leader="none" w:pos="998" w:val="left"/>
        </w:tabs>
        <w:numPr>
          <w:ilvl w:val="0"/>
          <w:numId w:val="171"/>
        </w:numPr>
        <w:rPr>
          <w:rFonts w:ascii="Arial" w:cs="Arial" w:eastAsia="Arial" w:hAnsi="Arial"/>
          <w:sz w:val="17"/>
          <w:szCs w:val="17"/>
          <w:color w:val="auto"/>
        </w:rPr>
      </w:pPr>
      <w:r>
        <w:rPr>
          <w:rFonts w:ascii="Arial" w:cs="Arial" w:eastAsia="Arial" w:hAnsi="Arial"/>
          <w:sz w:val="17"/>
          <w:szCs w:val="17"/>
          <w:color w:val="auto"/>
        </w:rPr>
        <w:t xml:space="preserve">shares of preferred stock of a Restricted Subsidiary issued to Holdings or another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subsequent issuance or transfer of any Capital Stock or any other event which results in any such Restricted Subsidiary ceasing to be a Restricted Subsidiary or any other subsequent transfer of any such shares of preferred stock (except to Holdings or another Restricted Subsidiary) shall be deemed in each case to be an issuance of such shares of preferred stock not permitted by this clause;</w:t>
      </w:r>
    </w:p>
    <w:p>
      <w:pPr>
        <w:spacing w:after="0" w:line="90" w:lineRule="exact"/>
        <w:rPr>
          <w:rFonts w:ascii="Arial" w:cs="Arial" w:eastAsia="Arial" w:hAnsi="Arial"/>
          <w:sz w:val="17"/>
          <w:szCs w:val="17"/>
          <w:color w:val="auto"/>
        </w:rPr>
      </w:pPr>
    </w:p>
    <w:p>
      <w:pPr>
        <w:ind w:left="1000" w:hanging="356"/>
        <w:spacing w:after="0"/>
        <w:tabs>
          <w:tab w:leader="none" w:pos="10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Hedging Obligations (excluding Hedging Obligations entered into for speculative purposes);</w:t>
      </w:r>
    </w:p>
    <w:p>
      <w:pPr>
        <w:spacing w:after="0" w:line="144" w:lineRule="exact"/>
        <w:rPr>
          <w:rFonts w:ascii="Arial" w:cs="Arial" w:eastAsia="Arial" w:hAnsi="Arial"/>
          <w:sz w:val="18"/>
          <w:szCs w:val="18"/>
          <w:color w:val="auto"/>
        </w:rPr>
      </w:pPr>
    </w:p>
    <w:p>
      <w:pPr>
        <w:ind w:right="80" w:firstLine="644"/>
        <w:spacing w:after="0" w:line="263" w:lineRule="auto"/>
        <w:tabs>
          <w:tab w:leader="none" w:pos="1038" w:val="left"/>
        </w:tabs>
        <w:numPr>
          <w:ilvl w:val="0"/>
          <w:numId w:val="171"/>
        </w:numPr>
        <w:rPr>
          <w:rFonts w:ascii="Arial" w:cs="Arial" w:eastAsia="Arial" w:hAnsi="Arial"/>
          <w:sz w:val="18"/>
          <w:szCs w:val="18"/>
          <w:color w:val="auto"/>
        </w:rPr>
      </w:pPr>
      <w:r>
        <w:rPr>
          <w:rFonts w:ascii="Arial" w:cs="Arial" w:eastAsia="Arial" w:hAnsi="Arial"/>
          <w:sz w:val="18"/>
          <w:szCs w:val="18"/>
          <w:color w:val="auto"/>
        </w:rPr>
        <w:t>obligations in respect of self-insurance, performance, bid, appeal, and surety bonds and completion guarantees and similar obligations provided by Holdings or any Restricted Subsidiary or obligations in respect of letters of credit, bank guarantees or similar instruments related thereto, in each case, in the ordinary course of business or consistent with past practice;</w:t>
      </w:r>
    </w:p>
    <w:p>
      <w:pPr>
        <w:spacing w:after="0" w:line="102" w:lineRule="exact"/>
        <w:rPr>
          <w:rFonts w:ascii="Arial" w:cs="Arial" w:eastAsia="Arial" w:hAnsi="Arial"/>
          <w:sz w:val="18"/>
          <w:szCs w:val="18"/>
          <w:color w:val="auto"/>
        </w:rPr>
      </w:pPr>
    </w:p>
    <w:p>
      <w:pPr>
        <w:ind w:firstLine="644"/>
        <w:spacing w:after="0" w:line="285" w:lineRule="auto"/>
        <w:tabs>
          <w:tab w:leader="none" w:pos="998" w:val="left"/>
        </w:tabs>
        <w:numPr>
          <w:ilvl w:val="0"/>
          <w:numId w:val="171"/>
        </w:numPr>
        <w:rPr>
          <w:rFonts w:ascii="Arial" w:cs="Arial" w:eastAsia="Arial" w:hAnsi="Arial"/>
          <w:sz w:val="16"/>
          <w:szCs w:val="16"/>
          <w:color w:val="auto"/>
        </w:rPr>
      </w:pPr>
      <w:r>
        <w:rPr>
          <w:rFonts w:ascii="Arial" w:cs="Arial" w:eastAsia="Arial" w:hAnsi="Arial"/>
          <w:sz w:val="16"/>
          <w:szCs w:val="16"/>
          <w:color w:val="FF0000"/>
          <w:strike w:val="1"/>
        </w:rPr>
        <w:t xml:space="preserve">(i) Indebtedness, Disqualified Stock and preferred stock of Holdings or any Restricted Subsidiary in an aggregate principal amount or liquidation preference up to 100% of the net cash proceeds received by Holdings since immediately after the Restatement Effective Date from the issue or sale of Equity Interests of Holdings or cash contributed to the capital of Holdings (in each case, other than Excluded Contributions, any Cure Amount or proceeds of Disqualified Stock or sales of Equity Interests to Holdings or any of its Subsidiaries) as determined in accordance with </w:t>
      </w:r>
      <w:r>
        <w:rPr>
          <w:rFonts w:ascii="Arial" w:cs="Arial" w:eastAsia="Arial" w:hAnsi="Arial"/>
          <w:sz w:val="16"/>
          <w:szCs w:val="16"/>
          <w:u w:val="single" w:color="auto"/>
          <w:color w:val="FF0000"/>
          <w:strike w:val="1"/>
        </w:rPr>
        <w:t>Sections 10.5(a)(iii)(B)</w:t>
      </w:r>
      <w:r>
        <w:rPr>
          <w:rFonts w:ascii="Arial" w:cs="Arial" w:eastAsia="Arial" w:hAnsi="Arial"/>
          <w:sz w:val="16"/>
          <w:szCs w:val="16"/>
          <w:color w:val="FF0000"/>
          <w:strike w:val="1"/>
        </w:rPr>
        <w:t xml:space="preserve"> and </w:t>
      </w:r>
      <w:r>
        <w:rPr>
          <w:rFonts w:ascii="Arial" w:cs="Arial" w:eastAsia="Arial" w:hAnsi="Arial"/>
          <w:sz w:val="16"/>
          <w:szCs w:val="16"/>
          <w:u w:val="single" w:color="auto"/>
          <w:color w:val="FF0000"/>
          <w:strike w:val="1"/>
        </w:rPr>
        <w:t>10.5(a)(iii)(C)</w:t>
      </w:r>
      <w:r>
        <w:rPr>
          <w:rFonts w:ascii="Arial" w:cs="Arial" w:eastAsia="Arial" w:hAnsi="Arial"/>
          <w:sz w:val="16"/>
          <w:szCs w:val="16"/>
          <w:color w:val="FF0000"/>
          <w:strike w:val="1"/>
        </w:rPr>
        <w:t xml:space="preserve"> to the extent such net cash proceeds or cash have not been applied pursuant to such clauses to make Restricted Payments or to make other Investments, payments or exchanges pursuant to </w:t>
      </w:r>
      <w:r>
        <w:rPr>
          <w:rFonts w:ascii="Arial" w:cs="Arial" w:eastAsia="Arial" w:hAnsi="Arial"/>
          <w:sz w:val="16"/>
          <w:szCs w:val="16"/>
          <w:u w:val="single" w:color="auto"/>
          <w:color w:val="FF0000"/>
          <w:strike w:val="1"/>
        </w:rPr>
        <w:t>Section 10.5(b)</w:t>
      </w:r>
      <w:r>
        <w:rPr>
          <w:rFonts w:ascii="Arial" w:cs="Arial" w:eastAsia="Arial" w:hAnsi="Arial"/>
          <w:sz w:val="16"/>
          <w:szCs w:val="16"/>
          <w:color w:val="FF0000"/>
          <w:strike w:val="1"/>
        </w:rPr>
        <w:t xml:space="preserve"> or to make Permitted Investments (other than Permitted Investments specified in </w:t>
      </w:r>
      <w:r>
        <w:rPr>
          <w:rFonts w:ascii="Arial" w:cs="Arial" w:eastAsia="Arial" w:hAnsi="Arial"/>
          <w:sz w:val="16"/>
          <w:szCs w:val="16"/>
          <w:u w:val="single" w:color="auto"/>
          <w:color w:val="FF0000"/>
          <w:strike w:val="1"/>
        </w:rPr>
        <w:t>clauses (i)</w:t>
      </w:r>
      <w:r>
        <w:rPr>
          <w:rFonts w:ascii="Arial" w:cs="Arial" w:eastAsia="Arial" w:hAnsi="Arial"/>
          <w:sz w:val="16"/>
          <w:szCs w:val="16"/>
          <w:color w:val="FF0000"/>
          <w:strike w:val="1"/>
        </w:rPr>
        <w:t xml:space="preserve"> and </w:t>
      </w:r>
      <w:r>
        <w:rPr>
          <w:rFonts w:ascii="Arial" w:cs="Arial" w:eastAsia="Arial" w:hAnsi="Arial"/>
          <w:sz w:val="16"/>
          <w:szCs w:val="16"/>
          <w:u w:val="single" w:color="auto"/>
          <w:color w:val="FF0000"/>
          <w:strike w:val="1"/>
        </w:rPr>
        <w:t>(iii)</w:t>
      </w:r>
      <w:r>
        <w:rPr>
          <w:rFonts w:ascii="Arial" w:cs="Arial" w:eastAsia="Arial" w:hAnsi="Arial"/>
          <w:sz w:val="16"/>
          <w:szCs w:val="16"/>
          <w:color w:val="FF0000"/>
          <w:strike w:val="1"/>
        </w:rPr>
        <w:t xml:space="preserve"> of the definition thereof) and (ii) Indebtedness, Disqualified Stock or preferred stock of Holdings or any Restricted Subsidiary not otherwise permitted hereunder in an aggregate principal amount or liquidation preference, which when aggregated with the principal amount and liquidation preference of all other Indebtedness, Disqualified Stock and preferred stock then outstanding and incurred pursuant to this </w:t>
      </w:r>
      <w:r>
        <w:rPr>
          <w:rFonts w:ascii="Arial" w:cs="Arial" w:eastAsia="Arial" w:hAnsi="Arial"/>
          <w:sz w:val="16"/>
          <w:szCs w:val="16"/>
          <w:u w:val="single" w:color="auto"/>
          <w:color w:val="FF0000"/>
          <w:strike w:val="1"/>
        </w:rPr>
        <w:t>clause (l)(ii)</w:t>
      </w:r>
      <w:r>
        <w:rPr>
          <w:rFonts w:ascii="Arial" w:cs="Arial" w:eastAsia="Arial" w:hAnsi="Arial"/>
          <w:sz w:val="16"/>
          <w:szCs w:val="16"/>
          <w:color w:val="FF0000"/>
          <w:strike w:val="1"/>
        </w:rPr>
        <w:t xml:space="preserve">, does not at any one time outstanding exceed the greater of (x) $45,000,000 and (y) 40.0% of Consolidated EBITDA for the most recently ended Test Period (calculated on a Pro Forma Basis) at the time of incurrence (it being understood that any Indebtedness, Disqualified Stock or preferred stock incurred pursuant to this </w:t>
      </w:r>
      <w:r>
        <w:rPr>
          <w:rFonts w:ascii="Arial" w:cs="Arial" w:eastAsia="Arial" w:hAnsi="Arial"/>
          <w:sz w:val="16"/>
          <w:szCs w:val="16"/>
          <w:u w:val="single" w:color="auto"/>
          <w:color w:val="FF0000"/>
          <w:strike w:val="1"/>
        </w:rPr>
        <w:t>clause (l)(ii)</w:t>
      </w:r>
      <w:r>
        <w:rPr>
          <w:rFonts w:ascii="Arial" w:cs="Arial" w:eastAsia="Arial" w:hAnsi="Arial"/>
          <w:sz w:val="16"/>
          <w:szCs w:val="16"/>
          <w:color w:val="FF0000"/>
          <w:strike w:val="1"/>
        </w:rPr>
        <w:t xml:space="preserve"> shall cease to be deemed incurred or outstanding for purposes of this </w:t>
      </w:r>
      <w:r>
        <w:rPr>
          <w:rFonts w:ascii="Arial" w:cs="Arial" w:eastAsia="Arial" w:hAnsi="Arial"/>
          <w:sz w:val="16"/>
          <w:szCs w:val="16"/>
          <w:u w:val="single" w:color="auto"/>
          <w:color w:val="FF0000"/>
          <w:strike w:val="1"/>
        </w:rPr>
        <w:t>clause (l)(ii)</w:t>
      </w:r>
      <w:r>
        <w:rPr>
          <w:rFonts w:ascii="Arial" w:cs="Arial" w:eastAsia="Arial" w:hAnsi="Arial"/>
          <w:sz w:val="16"/>
          <w:szCs w:val="16"/>
          <w:color w:val="FF0000"/>
          <w:strike w:val="1"/>
        </w:rPr>
        <w:t xml:space="preserve"> but shall be deemed incurred for the purposes of the first paragraph of this </w:t>
      </w:r>
      <w:r>
        <w:rPr>
          <w:rFonts w:ascii="Arial" w:cs="Arial" w:eastAsia="Arial" w:hAnsi="Arial"/>
          <w:sz w:val="16"/>
          <w:szCs w:val="16"/>
          <w:u w:val="single" w:color="auto"/>
          <w:color w:val="FF0000"/>
          <w:strike w:val="1"/>
        </w:rPr>
        <w:t xml:space="preserve">Section 10.1 </w:t>
      </w:r>
      <w:r>
        <w:rPr>
          <w:rFonts w:ascii="Arial" w:cs="Arial" w:eastAsia="Arial" w:hAnsi="Arial"/>
          <w:sz w:val="16"/>
          <w:szCs w:val="16"/>
          <w:color w:val="FF0000"/>
          <w:strike w:val="1"/>
        </w:rPr>
        <w:t>from and after the first date on which Holdings or such Restricted Subsidiary could have incurred such Indebtedness, Disqualified</w:t>
      </w:r>
      <w:r>
        <w:rPr>
          <w:rFonts w:ascii="Arial" w:cs="Arial" w:eastAsia="Arial" w:hAnsi="Arial"/>
          <w:sz w:val="16"/>
          <w:szCs w:val="16"/>
          <w:u w:val="single" w:color="auto"/>
          <w:color w:val="FF0000"/>
          <w:strike w:val="1"/>
        </w:rPr>
        <w:t xml:space="preserve"> </w:t>
      </w:r>
      <w:r>
        <w:rPr>
          <w:rFonts w:ascii="Arial" w:cs="Arial" w:eastAsia="Arial" w:hAnsi="Arial"/>
          <w:sz w:val="16"/>
          <w:szCs w:val="16"/>
          <w:color w:val="FF0000"/>
          <w:strike w:val="1"/>
        </w:rPr>
        <w:t xml:space="preserve">Stock or preferred stock under the first paragraph of this </w:t>
      </w:r>
      <w:r>
        <w:rPr>
          <w:rFonts w:ascii="Arial" w:cs="Arial" w:eastAsia="Arial" w:hAnsi="Arial"/>
          <w:sz w:val="16"/>
          <w:szCs w:val="16"/>
          <w:u w:val="single" w:color="auto"/>
          <w:color w:val="FF0000"/>
          <w:strike w:val="1"/>
        </w:rPr>
        <w:t>Section 10.1</w:t>
      </w:r>
      <w:r>
        <w:rPr>
          <w:rFonts w:ascii="Arial" w:cs="Arial" w:eastAsia="Arial" w:hAnsi="Arial"/>
          <w:sz w:val="16"/>
          <w:szCs w:val="16"/>
          <w:color w:val="FF0000"/>
          <w:strike w:val="1"/>
        </w:rPr>
        <w:t xml:space="preserve"> without reliance on this </w:t>
      </w:r>
      <w:r>
        <w:rPr>
          <w:rFonts w:ascii="Arial" w:cs="Arial" w:eastAsia="Arial" w:hAnsi="Arial"/>
          <w:sz w:val="16"/>
          <w:szCs w:val="16"/>
          <w:u w:val="single" w:color="auto"/>
          <w:color w:val="FF0000"/>
          <w:strike w:val="1"/>
        </w:rPr>
        <w:t>clause (l)(ii)</w:t>
      </w:r>
      <w:r>
        <w:rPr>
          <w:rFonts w:ascii="Arial" w:cs="Arial" w:eastAsia="Arial" w:hAnsi="Arial"/>
          <w:sz w:val="16"/>
          <w:szCs w:val="16"/>
          <w:color w:val="FF0000"/>
          <w:strike w:val="1"/>
        </w:rPr>
        <w:t>);</w:t>
      </w:r>
      <w:r>
        <w:rPr>
          <w:rFonts w:ascii="Arial" w:cs="Arial" w:eastAsia="Arial" w:hAnsi="Arial"/>
          <w:sz w:val="16"/>
          <w:szCs w:val="16"/>
          <w:u w:val="single" w:color="auto"/>
          <w:color w:val="0000FF"/>
          <w:strike w:val="1"/>
        </w:rPr>
        <w:t>Permitted Other Indebtedness and/or</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Permitted Convertible Indebtedness in an aggregate principal amount not to exceed $750,000,000;</w:t>
      </w:r>
    </w:p>
    <w:p>
      <w:pPr>
        <w:spacing w:after="0" w:line="200" w:lineRule="exact"/>
        <w:rPr>
          <w:sz w:val="20"/>
          <w:szCs w:val="20"/>
          <w:color w:val="auto"/>
        </w:rPr>
      </w:pPr>
    </w:p>
    <w:p>
      <w:pPr>
        <w:spacing w:after="0" w:line="32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560"/>
          </w:cols>
          <w:pgMar w:left="980" w:top="341" w:right="359" w:bottom="1440" w:gutter="0" w:footer="0" w:header="0"/>
        </w:sectPr>
      </w:pPr>
    </w:p>
    <w:bookmarkStart w:id="194" w:name="page195"/>
    <w:bookmarkEnd w:id="194"/>
    <w:p>
      <w:pPr>
        <w:ind w:left="4" w:firstLine="644"/>
        <w:spacing w:after="0" w:line="286" w:lineRule="auto"/>
        <w:tabs>
          <w:tab w:leader="none" w:pos="1092" w:val="left"/>
        </w:tabs>
        <w:numPr>
          <w:ilvl w:val="1"/>
          <w:numId w:val="172"/>
        </w:numPr>
        <w:rPr>
          <w:rFonts w:ascii="Arial" w:cs="Arial" w:eastAsia="Arial" w:hAnsi="Arial"/>
          <w:sz w:val="16"/>
          <w:szCs w:val="16"/>
          <w:color w:val="auto"/>
        </w:rPr>
      </w:pPr>
      <w:r>
        <w:rPr>
          <w:rFonts w:ascii="Arial" w:cs="Arial" w:eastAsia="Arial" w:hAnsi="Arial"/>
          <w:sz w:val="16"/>
          <w:szCs w:val="16"/>
          <w:color w:val="auto"/>
        </w:rPr>
        <w:t xml:space="preserve">the incurrence or issuance by Holdings or any Restricted Subsidiary of Indebtedness, Disqualified Stock or preferred stock which serves to refinance any Indebtedness, Disqualified Stock or preferred stock incurred as permitted under the first paragraph of this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above, </w:t>
      </w:r>
      <w:r>
        <w:rPr>
          <w:rFonts w:ascii="Arial" w:cs="Arial" w:eastAsia="Arial" w:hAnsi="Arial"/>
          <w:sz w:val="16"/>
          <w:szCs w:val="16"/>
          <w:u w:val="single" w:color="auto"/>
          <w:color w:val="auto"/>
        </w:rPr>
        <w:t>clause (l)(i)</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clause (m)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clause (n)</w:t>
      </w:r>
      <w:r>
        <w:rPr>
          <w:rFonts w:ascii="Arial" w:cs="Arial" w:eastAsia="Arial" w:hAnsi="Arial"/>
          <w:sz w:val="16"/>
          <w:szCs w:val="16"/>
          <w:color w:val="auto"/>
        </w:rPr>
        <w:t xml:space="preserve"> below or any Indebtedness, Disqualified Stock or preferred stock issued to so refinance, replace, refund, extend, renew, defease, restructure, amend, restate or otherwise modify (collectively, “</w:t>
      </w:r>
      <w:r>
        <w:rPr>
          <w:rFonts w:ascii="Arial" w:cs="Arial" w:eastAsia="Arial" w:hAnsi="Arial"/>
          <w:sz w:val="16"/>
          <w:szCs w:val="16"/>
          <w:b w:val="1"/>
          <w:bCs w:val="1"/>
          <w:color w:val="auto"/>
        </w:rPr>
        <w:t>refinance</w:t>
      </w:r>
      <w:r>
        <w:rPr>
          <w:rFonts w:ascii="Arial" w:cs="Arial" w:eastAsia="Arial" w:hAnsi="Arial"/>
          <w:sz w:val="16"/>
          <w:szCs w:val="16"/>
          <w:color w:val="auto"/>
        </w:rPr>
        <w:t>”) such Indebtedness, Disqualified Stock or preferred stock (the “</w:t>
      </w:r>
      <w:r>
        <w:rPr>
          <w:rFonts w:ascii="Arial" w:cs="Arial" w:eastAsia="Arial" w:hAnsi="Arial"/>
          <w:sz w:val="16"/>
          <w:szCs w:val="16"/>
          <w:b w:val="1"/>
          <w:bCs w:val="1"/>
          <w:color w:val="auto"/>
        </w:rPr>
        <w:t>Refinancing Indebtedness</w:t>
      </w:r>
      <w:r>
        <w:rPr>
          <w:rFonts w:ascii="Arial" w:cs="Arial" w:eastAsia="Arial" w:hAnsi="Arial"/>
          <w:sz w:val="16"/>
          <w:szCs w:val="16"/>
          <w:color w:val="auto"/>
        </w:rPr>
        <w:t xml:space="preserve">”) prior to its respective maturity; </w:t>
      </w:r>
      <w:r>
        <w:rPr>
          <w:rFonts w:ascii="Arial" w:cs="Arial" w:eastAsia="Arial" w:hAnsi="Arial"/>
          <w:sz w:val="16"/>
          <w:szCs w:val="16"/>
          <w:u w:val="single" w:color="auto"/>
          <w:color w:val="auto"/>
        </w:rPr>
        <w:t>provided</w:t>
      </w:r>
      <w:r>
        <w:rPr>
          <w:rFonts w:ascii="Arial" w:cs="Arial" w:eastAsia="Arial" w:hAnsi="Arial"/>
          <w:sz w:val="16"/>
          <w:szCs w:val="16"/>
          <w:color w:val="auto"/>
        </w:rPr>
        <w:t>, that such Refinancing Indebtedness (1) has a weighted average life to maturity at the time such Refinancing Indebtedness is incurred which is not less than the remaining weighted average life to maturity of the Indebtedness, Disqualified Stock or preferred stock being refinanced, (2) to the extent such Refinancing Indebtedness refinances (i) Indebtedness that is unsecured or secured by a Lien ranking junior to the Liens securing the Obligations, such Refinancing Indebtedness is unsecured or secured by a Lien ranking junior to the Liens securing the Obligations, (ii) Disqualified Stock or preferred stock, such Refinancing Indebtedness must be Disqualified Stock or preferred stock, respectively, and (iii) Indebtedness subordinated to the Obligations, such Refinancing Indebtedness is subordinated to the Obligations at least to the same extent as the Indebtedness being refinanced and (3) shall not include Indebtedness, Disqualified Stock or preferred stock of a Subsidiary of Holdings that is not the Borrower or a Guarantor that refinances Indebtedness, Disqualified Stock or preferred stock of the Borrower or a Guarantor;</w:t>
      </w:r>
    </w:p>
    <w:p>
      <w:pPr>
        <w:spacing w:after="0" w:line="92" w:lineRule="exact"/>
        <w:rPr>
          <w:rFonts w:ascii="Arial" w:cs="Arial" w:eastAsia="Arial" w:hAnsi="Arial"/>
          <w:sz w:val="16"/>
          <w:szCs w:val="16"/>
          <w:color w:val="auto"/>
        </w:rPr>
      </w:pPr>
    </w:p>
    <w:p>
      <w:pPr>
        <w:ind w:left="4" w:firstLine="644"/>
        <w:spacing w:after="0" w:line="286" w:lineRule="auto"/>
        <w:tabs>
          <w:tab w:leader="none" w:pos="1042" w:val="left"/>
        </w:tabs>
        <w:numPr>
          <w:ilvl w:val="1"/>
          <w:numId w:val="172"/>
        </w:numPr>
        <w:rPr>
          <w:rFonts w:ascii="Arial" w:cs="Arial" w:eastAsia="Arial" w:hAnsi="Arial"/>
          <w:sz w:val="16"/>
          <w:szCs w:val="16"/>
          <w:color w:val="auto"/>
        </w:rPr>
      </w:pPr>
      <w:r>
        <w:rPr>
          <w:rFonts w:ascii="Arial" w:cs="Arial" w:eastAsia="Arial" w:hAnsi="Arial"/>
          <w:sz w:val="16"/>
          <w:szCs w:val="16"/>
          <w:u w:val="single" w:color="auto"/>
          <w:color w:val="0000FF"/>
        </w:rPr>
        <w:t>following the Additional Restrictions Period,</w:t>
      </w:r>
      <w:r>
        <w:rPr>
          <w:rFonts w:ascii="Arial" w:cs="Arial" w:eastAsia="Arial" w:hAnsi="Arial"/>
          <w:sz w:val="16"/>
          <w:szCs w:val="16"/>
          <w:color w:val="0000FF"/>
        </w:rPr>
        <w:t xml:space="preserve"> </w:t>
      </w:r>
      <w:r>
        <w:rPr>
          <w:rFonts w:ascii="Arial" w:cs="Arial" w:eastAsia="Arial" w:hAnsi="Arial"/>
          <w:sz w:val="16"/>
          <w:szCs w:val="16"/>
          <w:color w:val="000000"/>
        </w:rPr>
        <w:t>Indebtedness, Disqualified Stock or preferred stock of (x) Holdings</w:t>
      </w:r>
      <w:r>
        <w:rPr>
          <w:rFonts w:ascii="Arial" w:cs="Arial" w:eastAsia="Arial" w:hAnsi="Arial"/>
          <w:sz w:val="16"/>
          <w:szCs w:val="16"/>
          <w:u w:val="single" w:color="auto"/>
          <w:color w:val="0000FF"/>
        </w:rPr>
        <w:t>, the Borrower</w:t>
      </w:r>
      <w:r>
        <w:rPr>
          <w:rFonts w:ascii="Arial" w:cs="Arial" w:eastAsia="Arial" w:hAnsi="Arial"/>
          <w:sz w:val="16"/>
          <w:szCs w:val="16"/>
          <w:color w:val="0000FF"/>
        </w:rPr>
        <w:t xml:space="preserve"> </w:t>
      </w:r>
      <w:r>
        <w:rPr>
          <w:rFonts w:ascii="Arial" w:cs="Arial" w:eastAsia="Arial" w:hAnsi="Arial"/>
          <w:sz w:val="16"/>
          <w:szCs w:val="16"/>
          <w:color w:val="000000"/>
        </w:rPr>
        <w:t>or a</w:t>
      </w:r>
      <w:r>
        <w:rPr>
          <w:rFonts w:ascii="Arial" w:cs="Arial" w:eastAsia="Arial" w:hAnsi="Arial"/>
          <w:sz w:val="16"/>
          <w:szCs w:val="16"/>
          <w:color w:val="0000FF"/>
        </w:rPr>
        <w:t xml:space="preserve"> </w:t>
      </w:r>
      <w:r>
        <w:rPr>
          <w:rFonts w:ascii="Arial" w:cs="Arial" w:eastAsia="Arial" w:hAnsi="Arial"/>
          <w:sz w:val="16"/>
          <w:szCs w:val="16"/>
          <w:color w:val="FF0000"/>
          <w:strike w:val="1"/>
        </w:rPr>
        <w:t>Restricted Subsidiary</w:t>
      </w:r>
      <w:r>
        <w:rPr>
          <w:rFonts w:ascii="Arial" w:cs="Arial" w:eastAsia="Arial" w:hAnsi="Arial"/>
          <w:sz w:val="16"/>
          <w:szCs w:val="16"/>
          <w:u w:val="single" w:color="auto"/>
          <w:color w:val="0000FF"/>
        </w:rPr>
        <w:t>Guarantor</w:t>
      </w:r>
      <w:r>
        <w:rPr>
          <w:rFonts w:ascii="Arial" w:cs="Arial" w:eastAsia="Arial" w:hAnsi="Arial"/>
          <w:sz w:val="16"/>
          <w:szCs w:val="16"/>
          <w:color w:val="FF0000"/>
        </w:rPr>
        <w:t xml:space="preserve"> </w:t>
      </w:r>
      <w:r>
        <w:rPr>
          <w:rFonts w:ascii="Arial" w:cs="Arial" w:eastAsia="Arial" w:hAnsi="Arial"/>
          <w:sz w:val="16"/>
          <w:szCs w:val="16"/>
          <w:color w:val="000000"/>
        </w:rPr>
        <w:t>incurred or issued to finance an acquisition, merger, or consolidation;</w:t>
      </w:r>
      <w:r>
        <w:rPr>
          <w:rFonts w:ascii="Arial" w:cs="Arial" w:eastAsia="Arial" w:hAnsi="Arial"/>
          <w:sz w:val="16"/>
          <w:szCs w:val="16"/>
          <w:color w:val="FF0000"/>
        </w:rPr>
        <w:t xml:space="preserve"> </w:t>
      </w:r>
      <w:r>
        <w:rPr>
          <w:rFonts w:ascii="Arial" w:cs="Arial" w:eastAsia="Arial" w:hAnsi="Arial"/>
          <w:sz w:val="16"/>
          <w:szCs w:val="16"/>
          <w:u w:val="single" w:color="auto"/>
          <w:color w:val="FF0000"/>
          <w:strike w:val="1"/>
        </w:rPr>
        <w:t>provided</w:t>
      </w:r>
      <w:r>
        <w:rPr>
          <w:rFonts w:ascii="Arial" w:cs="Arial" w:eastAsia="Arial" w:hAnsi="Arial"/>
          <w:sz w:val="16"/>
          <w:szCs w:val="16"/>
          <w:color w:val="FF0000"/>
        </w:rPr>
        <w:t xml:space="preserve"> </w:t>
      </w:r>
      <w:r>
        <w:rPr>
          <w:rFonts w:ascii="Arial" w:cs="Arial" w:eastAsia="Arial" w:hAnsi="Arial"/>
          <w:sz w:val="16"/>
          <w:szCs w:val="16"/>
          <w:color w:val="FF0000"/>
          <w:strike w:val="1"/>
        </w:rPr>
        <w:t>that the amount of Indebtedness</w:t>
      </w:r>
      <w:r>
        <w:rPr>
          <w:rFonts w:ascii="Arial" w:cs="Arial" w:eastAsia="Arial" w:hAnsi="Arial"/>
          <w:sz w:val="16"/>
          <w:szCs w:val="16"/>
          <w:color w:val="FF0000"/>
        </w:rPr>
        <w:t xml:space="preserve"> </w:t>
      </w:r>
      <w:r>
        <w:rPr>
          <w:rFonts w:ascii="Arial" w:cs="Arial" w:eastAsia="Arial" w:hAnsi="Arial"/>
          <w:sz w:val="16"/>
          <w:szCs w:val="16"/>
          <w:color w:val="FF0000"/>
          <w:strike w:val="1"/>
        </w:rPr>
        <w:t xml:space="preserve">(other than Acquired Indebtedness), Disqualified Stock and preferred stock that may be incurred pursuant to the foregoing, together with any amounts incurred under the first paragraph of this </w:t>
      </w:r>
      <w:r>
        <w:rPr>
          <w:rFonts w:ascii="Arial" w:cs="Arial" w:eastAsia="Arial" w:hAnsi="Arial"/>
          <w:sz w:val="16"/>
          <w:szCs w:val="16"/>
          <w:u w:val="single" w:color="auto"/>
          <w:color w:val="FF0000"/>
          <w:strike w:val="1"/>
        </w:rPr>
        <w:t>Section 10.1</w:t>
      </w:r>
      <w:r>
        <w:rPr>
          <w:rFonts w:ascii="Arial" w:cs="Arial" w:eastAsia="Arial" w:hAnsi="Arial"/>
          <w:sz w:val="16"/>
          <w:szCs w:val="16"/>
          <w:color w:val="FF0000"/>
          <w:strike w:val="1"/>
        </w:rPr>
        <w:t xml:space="preserve"> by Restricted Subsidiaries that are not Guarantors shall not exceed the greater of</w:t>
      </w:r>
    </w:p>
    <w:p>
      <w:pPr>
        <w:spacing w:after="0" w:line="1" w:lineRule="exact"/>
        <w:rPr>
          <w:rFonts w:ascii="Arial" w:cs="Arial" w:eastAsia="Arial" w:hAnsi="Arial"/>
          <w:sz w:val="16"/>
          <w:szCs w:val="16"/>
          <w:color w:val="auto"/>
        </w:rPr>
      </w:pPr>
    </w:p>
    <w:p>
      <w:pPr>
        <w:ind w:left="4" w:right="20" w:hanging="4"/>
        <w:spacing w:after="0" w:line="251" w:lineRule="auto"/>
        <w:tabs>
          <w:tab w:leader="none" w:pos="259" w:val="left"/>
        </w:tabs>
        <w:numPr>
          <w:ilvl w:val="0"/>
          <w:numId w:val="173"/>
        </w:numPr>
        <w:rPr>
          <w:rFonts w:ascii="Arial" w:cs="Arial" w:eastAsia="Arial" w:hAnsi="Arial"/>
          <w:sz w:val="18"/>
          <w:szCs w:val="18"/>
          <w:color w:val="FF0000"/>
          <w:strike w:val="1"/>
        </w:rPr>
      </w:pPr>
      <w:r>
        <w:rPr>
          <w:rFonts w:ascii="Arial" w:cs="Arial" w:eastAsia="Arial" w:hAnsi="Arial"/>
          <w:sz w:val="18"/>
          <w:szCs w:val="18"/>
          <w:color w:val="FF0000"/>
          <w:strike w:val="1"/>
        </w:rPr>
        <w:t xml:space="preserve">$30,000,000 and (y) 30.0% of Consolidated EBITDA for the most recently ended Test Period (calculated on a Pro Forma Basis) at any one time outstanding, or (y) Persons that are acquired by Holdings or any Restricted Subsidiary or merged into or consolidated with Holdings or a Restricted Subsidiary in accordance with the terms hereof (including designating an Unrestricted Subsidiary a Restricted Subsidiary); </w:t>
      </w:r>
      <w:r>
        <w:rPr>
          <w:rFonts w:ascii="Arial" w:cs="Arial" w:eastAsia="Arial" w:hAnsi="Arial"/>
          <w:sz w:val="18"/>
          <w:szCs w:val="18"/>
          <w:u w:val="single" w:color="auto"/>
          <w:color w:val="000000"/>
          <w:strike w:val="1"/>
        </w:rPr>
        <w:t>provided</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that after giving effect to any such acquisition, merger, consolidation or designation described in this </w:t>
      </w:r>
      <w:r>
        <w:rPr>
          <w:rFonts w:ascii="Arial" w:cs="Arial" w:eastAsia="Arial" w:hAnsi="Arial"/>
          <w:sz w:val="18"/>
          <w:szCs w:val="18"/>
          <w:u w:val="single" w:color="auto"/>
          <w:color w:val="000000"/>
          <w:strike w:val="1"/>
        </w:rPr>
        <w:t>clause (n)</w:t>
      </w:r>
      <w:r>
        <w:rPr>
          <w:rFonts w:ascii="Arial" w:cs="Arial" w:eastAsia="Arial" w:hAnsi="Arial"/>
          <w:sz w:val="18"/>
          <w:szCs w:val="18"/>
          <w:color w:val="000000"/>
          <w:strike w:val="1"/>
        </w:rPr>
        <w:t xml:space="preserve">, </w:t>
      </w:r>
      <w:r>
        <w:rPr>
          <w:rFonts w:ascii="Arial" w:cs="Arial" w:eastAsia="Arial" w:hAnsi="Arial"/>
          <w:sz w:val="18"/>
          <w:szCs w:val="18"/>
          <w:color w:val="FF0000"/>
          <w:strike w:val="1"/>
        </w:rPr>
        <w:t>either: (1) Holdings would be</w:t>
      </w:r>
      <w:r>
        <w:rPr>
          <w:rFonts w:ascii="Arial" w:cs="Arial" w:eastAsia="Arial" w:hAnsi="Arial"/>
          <w:sz w:val="18"/>
          <w:szCs w:val="18"/>
          <w:color w:val="000000"/>
          <w:strike w:val="1"/>
        </w:rPr>
        <w:t xml:space="preserve"> </w:t>
      </w:r>
      <w:r>
        <w:rPr>
          <w:rFonts w:ascii="Arial" w:cs="Arial" w:eastAsia="Arial" w:hAnsi="Arial"/>
          <w:sz w:val="18"/>
          <w:szCs w:val="18"/>
          <w:color w:val="FF0000"/>
          <w:strike w:val="1"/>
        </w:rPr>
        <w:t xml:space="preserve">permitted to incur at least $1.00 of additional Indebtedness pursuant to the Fixed Charge Coverage Ratio test set forth in the first paragraph of this </w:t>
      </w:r>
      <w:r>
        <w:rPr>
          <w:rFonts w:ascii="Arial" w:cs="Arial" w:eastAsia="Arial" w:hAnsi="Arial"/>
          <w:sz w:val="18"/>
          <w:szCs w:val="18"/>
          <w:u w:val="single" w:color="auto"/>
          <w:color w:val="FF0000"/>
          <w:strike w:val="1"/>
        </w:rPr>
        <w:t xml:space="preserve">Section 10.1 </w:t>
      </w:r>
      <w:r>
        <w:rPr>
          <w:rFonts w:ascii="Arial" w:cs="Arial" w:eastAsia="Arial" w:hAnsi="Arial"/>
          <w:sz w:val="18"/>
          <w:szCs w:val="18"/>
          <w:color w:val="FF0000"/>
          <w:strike w:val="1"/>
        </w:rPr>
        <w:t>or (2) the Fixed Charge Coverage Ratio of Holdings and the Restricted Subsidiaries is equal to or greater than that immediately prior</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to such acquisition, merger, consolidation or designation</w:t>
      </w:r>
      <w:r>
        <w:rPr>
          <w:rFonts w:ascii="Arial" w:cs="Arial" w:eastAsia="Arial" w:hAnsi="Arial"/>
          <w:sz w:val="18"/>
          <w:szCs w:val="18"/>
          <w:u w:val="single" w:color="auto"/>
          <w:color w:val="0000FF"/>
          <w:strike w:val="1"/>
        </w:rPr>
        <w:t>the Consolidated Total Debt to Consolidated EBITDA Ratio is equal to or less than</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3.75:1.00</w:t>
      </w:r>
      <w:r>
        <w:rPr>
          <w:rFonts w:ascii="Arial" w:cs="Arial" w:eastAsia="Arial" w:hAnsi="Arial"/>
          <w:sz w:val="18"/>
          <w:szCs w:val="18"/>
          <w:color w:val="000000"/>
          <w:strike w:val="1"/>
        </w:rPr>
        <w:t>;</w:t>
      </w:r>
    </w:p>
    <w:p>
      <w:pPr>
        <w:spacing w:after="0" w:line="116" w:lineRule="exact"/>
        <w:rPr>
          <w:rFonts w:ascii="Arial" w:cs="Arial" w:eastAsia="Arial" w:hAnsi="Arial"/>
          <w:sz w:val="18"/>
          <w:szCs w:val="18"/>
          <w:color w:val="FF0000"/>
          <w:strike w:val="1"/>
        </w:rPr>
      </w:pPr>
    </w:p>
    <w:p>
      <w:pPr>
        <w:ind w:left="4" w:right="60" w:firstLine="644"/>
        <w:spacing w:after="0" w:line="277" w:lineRule="auto"/>
        <w:tabs>
          <w:tab w:leader="none" w:pos="1042" w:val="left"/>
        </w:tabs>
        <w:numPr>
          <w:ilvl w:val="1"/>
          <w:numId w:val="173"/>
        </w:numPr>
        <w:rPr>
          <w:rFonts w:ascii="Arial" w:cs="Arial" w:eastAsia="Arial" w:hAnsi="Arial"/>
          <w:sz w:val="18"/>
          <w:szCs w:val="18"/>
          <w:color w:val="auto"/>
        </w:rPr>
      </w:pPr>
      <w:r>
        <w:rPr>
          <w:rFonts w:ascii="Arial" w:cs="Arial" w:eastAsia="Arial" w:hAnsi="Arial"/>
          <w:sz w:val="18"/>
          <w:szCs w:val="18"/>
          <w:color w:val="auto"/>
        </w:rPr>
        <w:t>Indebtedness arising from the honoring by a bank or other financial institution of a check, draft or similar instrument drawn against insufficient funds in the ordinary course of business;</w:t>
      </w:r>
    </w:p>
    <w:p>
      <w:pPr>
        <w:spacing w:after="0" w:line="89" w:lineRule="exact"/>
        <w:rPr>
          <w:rFonts w:ascii="Arial" w:cs="Arial" w:eastAsia="Arial" w:hAnsi="Arial"/>
          <w:sz w:val="18"/>
          <w:szCs w:val="18"/>
          <w:color w:val="auto"/>
        </w:rPr>
      </w:pPr>
    </w:p>
    <w:p>
      <w:pPr>
        <w:ind w:left="4" w:right="20" w:firstLine="644"/>
        <w:spacing w:after="0" w:line="257" w:lineRule="auto"/>
        <w:tabs>
          <w:tab w:leader="none" w:pos="1042" w:val="left"/>
        </w:tabs>
        <w:numPr>
          <w:ilvl w:val="1"/>
          <w:numId w:val="173"/>
        </w:numPr>
        <w:rPr>
          <w:rFonts w:ascii="Arial" w:cs="Arial" w:eastAsia="Arial" w:hAnsi="Arial"/>
          <w:sz w:val="18"/>
          <w:szCs w:val="18"/>
          <w:color w:val="auto"/>
        </w:rPr>
      </w:pPr>
      <w:r>
        <w:rPr>
          <w:rFonts w:ascii="Arial" w:cs="Arial" w:eastAsia="Arial" w:hAnsi="Arial"/>
          <w:sz w:val="18"/>
          <w:szCs w:val="18"/>
          <w:color w:val="auto"/>
        </w:rPr>
        <w:t xml:space="preserve">(i) Indebtedness of Holdings or any Restricted Subsidiary supported by a letter of credit, in a principal amount not in excess of the stated amount of such letter of credit so long as such letter of credit is otherwise permitted to be incurred pursuant to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or (ii) obligations in respect of letters of support, guarantees or similar obligations issued, made or incurred for the benefit of any Subsidiary of Holdings to the extent required by law or in connection with any statutory filing or the delivery of audit opinions performed in jurisdictions other than within the United States;</w:t>
      </w:r>
    </w:p>
    <w:p>
      <w:pPr>
        <w:spacing w:after="0" w:line="106" w:lineRule="exact"/>
        <w:rPr>
          <w:rFonts w:ascii="Arial" w:cs="Arial" w:eastAsia="Arial" w:hAnsi="Arial"/>
          <w:sz w:val="18"/>
          <w:szCs w:val="18"/>
          <w:color w:val="auto"/>
        </w:rPr>
      </w:pPr>
    </w:p>
    <w:p>
      <w:pPr>
        <w:ind w:left="4" w:right="120" w:firstLine="644"/>
        <w:spacing w:after="0" w:line="311" w:lineRule="auto"/>
        <w:tabs>
          <w:tab w:leader="none" w:pos="1042" w:val="left"/>
        </w:tabs>
        <w:numPr>
          <w:ilvl w:val="1"/>
          <w:numId w:val="173"/>
        </w:numPr>
        <w:rPr>
          <w:rFonts w:ascii="Arial" w:cs="Arial" w:eastAsia="Arial" w:hAnsi="Arial"/>
          <w:sz w:val="16"/>
          <w:szCs w:val="16"/>
          <w:color w:val="auto"/>
        </w:rPr>
      </w:pPr>
      <w:r>
        <w:rPr>
          <w:rFonts w:ascii="Arial" w:cs="Arial" w:eastAsia="Arial" w:hAnsi="Arial"/>
          <w:sz w:val="16"/>
          <w:szCs w:val="16"/>
          <w:color w:val="auto"/>
        </w:rPr>
        <w:t>(1) any guarantee by Holdings or a Restricted Subsidiary of Indebtedness or other obligations of any Restricted Subsidiary so long as in the case of a guarantee of Indebtedness by a Restricted Subsidiary that is not a Guarantor, such Indebtedness could have been incurred directly by the Restricted Subsidiary providing such guarantee or (2) any guarantee by a Restricted Subsidiary of Indebtedness of Holdings;</w:t>
      </w:r>
    </w:p>
    <w:p>
      <w:pPr>
        <w:spacing w:after="0" w:line="67" w:lineRule="exact"/>
        <w:rPr>
          <w:rFonts w:ascii="Arial" w:cs="Arial" w:eastAsia="Arial" w:hAnsi="Arial"/>
          <w:sz w:val="16"/>
          <w:szCs w:val="16"/>
          <w:color w:val="auto"/>
        </w:rPr>
      </w:pPr>
    </w:p>
    <w:p>
      <w:pPr>
        <w:ind w:left="4" w:right="140" w:firstLine="644"/>
        <w:spacing w:after="0" w:line="263" w:lineRule="auto"/>
        <w:tabs>
          <w:tab w:leader="none" w:pos="1012" w:val="left"/>
        </w:tabs>
        <w:numPr>
          <w:ilvl w:val="1"/>
          <w:numId w:val="173"/>
        </w:numPr>
        <w:rPr>
          <w:rFonts w:ascii="Arial" w:cs="Arial" w:eastAsia="Arial" w:hAnsi="Arial"/>
          <w:sz w:val="18"/>
          <w:szCs w:val="18"/>
          <w:color w:val="auto"/>
        </w:rPr>
      </w:pPr>
      <w:r>
        <w:rPr>
          <w:rFonts w:ascii="Arial" w:cs="Arial" w:eastAsia="Arial" w:hAnsi="Arial"/>
          <w:sz w:val="18"/>
          <w:szCs w:val="18"/>
          <w:color w:val="FF0000"/>
          <w:strike w:val="1"/>
        </w:rPr>
        <w:t>Indebtedness of Restricted Subsidiaries that are not Guarantors in an amount not to exceed, in the aggregate at any one time outstanding, the greater of (x) $15,000,000 and (y) 10.0% of Consolidated EBITDA for the most recently ended Test Period (calculated on a Pro Forma Basis) (it being</w:t>
      </w:r>
    </w:p>
    <w:p>
      <w:pPr>
        <w:spacing w:after="0" w:line="200" w:lineRule="exact"/>
        <w:rPr>
          <w:sz w:val="20"/>
          <w:szCs w:val="20"/>
          <w:color w:val="auto"/>
        </w:rPr>
      </w:pPr>
    </w:p>
    <w:p>
      <w:pPr>
        <w:spacing w:after="0" w:line="335" w:lineRule="exact"/>
        <w:rPr>
          <w:sz w:val="20"/>
          <w:szCs w:val="20"/>
          <w:color w:val="auto"/>
        </w:rPr>
      </w:pPr>
    </w:p>
    <w:p>
      <w:pPr>
        <w:ind w:left="4784"/>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544"/>
          </w:cols>
          <w:pgMar w:left="976" w:top="341" w:right="379" w:bottom="1440" w:gutter="0" w:footer="0" w:header="0"/>
        </w:sectPr>
      </w:pPr>
    </w:p>
    <w:bookmarkStart w:id="195" w:name="page196"/>
    <w:bookmarkEnd w:id="195"/>
    <w:p>
      <w:pPr>
        <w:ind w:left="660"/>
        <w:spacing w:after="0"/>
        <w:rPr>
          <w:sz w:val="20"/>
          <w:szCs w:val="20"/>
          <w:color w:val="auto"/>
        </w:rPr>
      </w:pPr>
      <w:r>
        <w:rPr>
          <w:rFonts w:ascii="Arial" w:cs="Arial" w:eastAsia="Arial" w:hAnsi="Arial"/>
          <w:sz w:val="16"/>
          <w:szCs w:val="16"/>
          <w:color w:val="FF0000"/>
          <w:strike w:val="1"/>
        </w:rPr>
        <w:t xml:space="preserve">understood that any Indebtedness incurred pursuant to this </w:t>
      </w:r>
      <w:r>
        <w:rPr>
          <w:rFonts w:ascii="Arial" w:cs="Arial" w:eastAsia="Arial" w:hAnsi="Arial"/>
          <w:sz w:val="16"/>
          <w:szCs w:val="16"/>
          <w:u w:val="single" w:color="auto"/>
          <w:color w:val="FF0000"/>
          <w:strike w:val="1"/>
        </w:rPr>
        <w:t>clause (r)</w:t>
      </w:r>
      <w:r>
        <w:rPr>
          <w:rFonts w:ascii="Arial" w:cs="Arial" w:eastAsia="Arial" w:hAnsi="Arial"/>
          <w:sz w:val="16"/>
          <w:szCs w:val="16"/>
          <w:color w:val="FF0000"/>
          <w:strike w:val="1"/>
        </w:rPr>
        <w:t xml:space="preserve"> shall cease to be deemed incurred or outstanding for purposes of this </w:t>
      </w:r>
      <w:r>
        <w:rPr>
          <w:rFonts w:ascii="Arial" w:cs="Arial" w:eastAsia="Arial" w:hAnsi="Arial"/>
          <w:sz w:val="16"/>
          <w:szCs w:val="16"/>
          <w:u w:val="single" w:color="auto"/>
          <w:color w:val="FF0000"/>
          <w:strike w:val="1"/>
        </w:rPr>
        <w:t>clause</w:t>
      </w:r>
    </w:p>
    <w:p>
      <w:pPr>
        <w:spacing w:after="0" w:line="46" w:lineRule="exact"/>
        <w:rPr>
          <w:sz w:val="20"/>
          <w:szCs w:val="20"/>
          <w:color w:val="auto"/>
        </w:rPr>
      </w:pPr>
    </w:p>
    <w:p>
      <w:pPr>
        <w:ind w:left="660" w:right="440" w:hanging="4"/>
        <w:spacing w:after="0" w:line="323" w:lineRule="auto"/>
        <w:tabs>
          <w:tab w:leader="none" w:pos="885" w:val="left"/>
        </w:tabs>
        <w:numPr>
          <w:ilvl w:val="0"/>
          <w:numId w:val="174"/>
        </w:numPr>
        <w:rPr>
          <w:rFonts w:ascii="Arial" w:cs="Arial" w:eastAsia="Arial" w:hAnsi="Arial"/>
          <w:sz w:val="16"/>
          <w:szCs w:val="16"/>
          <w:u w:val="single" w:color="auto"/>
          <w:color w:val="FF0000"/>
          <w:strike w:val="1"/>
        </w:rPr>
      </w:pPr>
      <w:r>
        <w:rPr>
          <w:rFonts w:ascii="Arial" w:cs="Arial" w:eastAsia="Arial" w:hAnsi="Arial"/>
          <w:sz w:val="16"/>
          <w:szCs w:val="16"/>
          <w:color w:val="FF0000"/>
          <w:strike w:val="1"/>
        </w:rPr>
        <w:t xml:space="preserve">but shall be deemed incurred for the purposes of the first paragraph of this covenant from and after the first date on which such Restricted Subsidiary could have incurred such Indebtedness under the first paragraph of this covenant without reliance on this </w:t>
      </w:r>
      <w:r>
        <w:rPr>
          <w:rFonts w:ascii="Arial" w:cs="Arial" w:eastAsia="Arial" w:hAnsi="Arial"/>
          <w:sz w:val="16"/>
          <w:szCs w:val="16"/>
          <w:u w:val="single" w:color="auto"/>
          <w:color w:val="FF0000"/>
          <w:strike w:val="1"/>
        </w:rPr>
        <w:t>clause (r))</w:t>
      </w:r>
      <w:r>
        <w:rPr>
          <w:rFonts w:ascii="Arial" w:cs="Arial" w:eastAsia="Arial" w:hAnsi="Arial"/>
          <w:sz w:val="16"/>
          <w:szCs w:val="16"/>
          <w:color w:val="FF0000"/>
          <w:strike w:val="1"/>
        </w:rPr>
        <w:t>;</w:t>
      </w:r>
      <w:r>
        <w:rPr>
          <w:rFonts w:ascii="Arial" w:cs="Arial" w:eastAsia="Arial" w:hAnsi="Arial"/>
          <w:sz w:val="16"/>
          <w:szCs w:val="16"/>
          <w:u w:val="single" w:color="auto"/>
          <w:color w:val="0000FF"/>
          <w:strike w:val="1"/>
        </w:rPr>
        <w:t>[reserved];</w:t>
      </w:r>
    </w:p>
    <w:p>
      <w:pPr>
        <w:spacing w:after="0" w:line="57" w:lineRule="exact"/>
        <w:rPr>
          <w:rFonts w:ascii="Arial" w:cs="Arial" w:eastAsia="Arial" w:hAnsi="Arial"/>
          <w:sz w:val="16"/>
          <w:szCs w:val="16"/>
          <w:u w:val="single" w:color="auto"/>
          <w:color w:val="FF0000"/>
          <w:strike w:val="1"/>
        </w:rPr>
      </w:pPr>
    </w:p>
    <w:p>
      <w:pPr>
        <w:ind w:left="660" w:right="200" w:firstLine="644"/>
        <w:spacing w:after="0" w:line="342" w:lineRule="auto"/>
        <w:tabs>
          <w:tab w:leader="none" w:pos="1678" w:val="left"/>
        </w:tabs>
        <w:numPr>
          <w:ilvl w:val="1"/>
          <w:numId w:val="174"/>
        </w:numPr>
        <w:rPr>
          <w:rFonts w:ascii="Arial" w:cs="Arial" w:eastAsia="Arial" w:hAnsi="Arial"/>
          <w:sz w:val="16"/>
          <w:szCs w:val="16"/>
          <w:color w:val="auto"/>
        </w:rPr>
      </w:pPr>
      <w:r>
        <w:rPr>
          <w:rFonts w:ascii="Arial" w:cs="Arial" w:eastAsia="Arial" w:hAnsi="Arial"/>
          <w:sz w:val="16"/>
          <w:szCs w:val="16"/>
          <w:color w:val="auto"/>
        </w:rPr>
        <w:t>Indebtedness of Holdings or any of the Restricted Subsidiaries consisting of (i) the financing of insurance premiums or (ii) take or pay obligations contained in supply arrangements in each case, incurred in the ordinary course of business or consistent with past practice;</w:t>
      </w:r>
    </w:p>
    <w:p>
      <w:pPr>
        <w:spacing w:after="0" w:line="42" w:lineRule="exact"/>
        <w:rPr>
          <w:rFonts w:ascii="Arial" w:cs="Arial" w:eastAsia="Arial" w:hAnsi="Arial"/>
          <w:sz w:val="16"/>
          <w:szCs w:val="16"/>
          <w:color w:val="auto"/>
        </w:rPr>
      </w:pPr>
    </w:p>
    <w:p>
      <w:pPr>
        <w:ind w:left="660" w:right="80" w:firstLine="644"/>
        <w:spacing w:after="0" w:line="263" w:lineRule="auto"/>
        <w:tabs>
          <w:tab w:leader="none" w:pos="1658" w:val="left"/>
        </w:tabs>
        <w:numPr>
          <w:ilvl w:val="1"/>
          <w:numId w:val="174"/>
        </w:numPr>
        <w:rPr>
          <w:rFonts w:ascii="Arial" w:cs="Arial" w:eastAsia="Arial" w:hAnsi="Arial"/>
          <w:sz w:val="18"/>
          <w:szCs w:val="18"/>
          <w:color w:val="auto"/>
        </w:rPr>
      </w:pPr>
      <w:r>
        <w:rPr>
          <w:rFonts w:ascii="Arial" w:cs="Arial" w:eastAsia="Arial" w:hAnsi="Arial"/>
          <w:sz w:val="18"/>
          <w:szCs w:val="18"/>
          <w:color w:val="auto"/>
        </w:rPr>
        <w:t>Indebtedness of Holdings or any of the Restricted Subsidiaries undertaken in connection with cash management and related activities with respect to any Subsidiary or joint venture in the ordinary course of business, including with respect to financial accommodations of the type described in the definition of “Cash Management Services”;</w:t>
      </w:r>
    </w:p>
    <w:p>
      <w:pPr>
        <w:spacing w:after="0" w:line="102" w:lineRule="exact"/>
        <w:rPr>
          <w:rFonts w:ascii="Arial" w:cs="Arial" w:eastAsia="Arial" w:hAnsi="Arial"/>
          <w:sz w:val="18"/>
          <w:szCs w:val="18"/>
          <w:color w:val="auto"/>
        </w:rPr>
      </w:pPr>
    </w:p>
    <w:p>
      <w:pPr>
        <w:ind w:left="660" w:right="260" w:firstLine="644"/>
        <w:spacing w:after="0" w:line="259" w:lineRule="auto"/>
        <w:tabs>
          <w:tab w:leader="none" w:pos="1698" w:val="left"/>
        </w:tabs>
        <w:numPr>
          <w:ilvl w:val="1"/>
          <w:numId w:val="174"/>
        </w:numPr>
        <w:rPr>
          <w:rFonts w:ascii="Arial" w:cs="Arial" w:eastAsia="Arial" w:hAnsi="Arial"/>
          <w:sz w:val="18"/>
          <w:szCs w:val="18"/>
          <w:color w:val="auto"/>
        </w:rPr>
      </w:pPr>
      <w:r>
        <w:rPr>
          <w:rFonts w:ascii="Arial" w:cs="Arial" w:eastAsia="Arial" w:hAnsi="Arial"/>
          <w:sz w:val="18"/>
          <w:szCs w:val="18"/>
          <w:color w:val="auto"/>
        </w:rPr>
        <w:t xml:space="preserve">Indebtedness consisting of Indebtedness issued by Holdings or any of the Restricted Subsidiaries to future, current or former officers, directors, managers and employees thereof, their respective estates, spouses or former spouses, in each case to finance the purchase or redemption of Equity Interests of Holdings or any direct or indirect parent company of Holdings to the extent described in </w:t>
      </w:r>
      <w:r>
        <w:rPr>
          <w:rFonts w:ascii="Arial" w:cs="Arial" w:eastAsia="Arial" w:hAnsi="Arial"/>
          <w:sz w:val="18"/>
          <w:szCs w:val="18"/>
          <w:u w:val="single" w:color="auto"/>
          <w:color w:val="auto"/>
        </w:rPr>
        <w:t>clause (4)</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10.5(b)</w:t>
      </w:r>
      <w:r>
        <w:rPr>
          <w:rFonts w:ascii="Arial" w:cs="Arial" w:eastAsia="Arial" w:hAnsi="Arial"/>
          <w:sz w:val="18"/>
          <w:szCs w:val="18"/>
          <w:color w:val="auto"/>
        </w:rPr>
        <w:t>;</w:t>
      </w:r>
    </w:p>
    <w:p>
      <w:pPr>
        <w:spacing w:after="0" w:line="105" w:lineRule="exact"/>
        <w:rPr>
          <w:rFonts w:ascii="Arial" w:cs="Arial" w:eastAsia="Arial" w:hAnsi="Arial"/>
          <w:sz w:val="18"/>
          <w:szCs w:val="18"/>
          <w:color w:val="auto"/>
        </w:rPr>
      </w:pPr>
    </w:p>
    <w:p>
      <w:pPr>
        <w:ind w:left="1700" w:hanging="396"/>
        <w:spacing w:after="0"/>
        <w:tabs>
          <w:tab w:leader="none" w:pos="170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to the extent constituting Indebtedness, obligations pursuant to the Wal-Mart Agreements;</w:t>
      </w:r>
    </w:p>
    <w:p>
      <w:pPr>
        <w:spacing w:after="0" w:line="144" w:lineRule="exact"/>
        <w:rPr>
          <w:rFonts w:ascii="Arial" w:cs="Arial" w:eastAsia="Arial" w:hAnsi="Arial"/>
          <w:sz w:val="18"/>
          <w:szCs w:val="18"/>
          <w:color w:val="auto"/>
        </w:rPr>
      </w:pPr>
    </w:p>
    <w:p>
      <w:pPr>
        <w:ind w:left="660" w:right="40" w:firstLine="644"/>
        <w:spacing w:after="0" w:line="273" w:lineRule="auto"/>
        <w:tabs>
          <w:tab w:leader="none" w:pos="1738" w:val="left"/>
        </w:tabs>
        <w:numPr>
          <w:ilvl w:val="1"/>
          <w:numId w:val="174"/>
        </w:numPr>
        <w:rPr>
          <w:rFonts w:ascii="Arial" w:cs="Arial" w:eastAsia="Arial" w:hAnsi="Arial"/>
          <w:sz w:val="17"/>
          <w:szCs w:val="17"/>
          <w:color w:val="auto"/>
        </w:rPr>
      </w:pPr>
      <w:r>
        <w:rPr>
          <w:rFonts w:ascii="Arial" w:cs="Arial" w:eastAsia="Arial" w:hAnsi="Arial"/>
          <w:sz w:val="17"/>
          <w:szCs w:val="17"/>
          <w:color w:val="auto"/>
        </w:rPr>
        <w:t xml:space="preserve">Indebtedness in respect of (i) Permitted Other Indebtedness to the extent that the Net Cash Proceeds therefrom are applied to the prepayment of Term Loans in the manner set forth in </w:t>
      </w:r>
      <w:r>
        <w:rPr>
          <w:rFonts w:ascii="Arial" w:cs="Arial" w:eastAsia="Arial" w:hAnsi="Arial"/>
          <w:sz w:val="17"/>
          <w:szCs w:val="17"/>
          <w:u w:val="single" w:color="auto"/>
          <w:color w:val="auto"/>
        </w:rPr>
        <w:t>Section 5.2(a)(i)</w:t>
      </w:r>
      <w:r>
        <w:rPr>
          <w:rFonts w:ascii="Arial" w:cs="Arial" w:eastAsia="Arial" w:hAnsi="Arial"/>
          <w:sz w:val="17"/>
          <w:szCs w:val="17"/>
          <w:color w:val="auto"/>
        </w:rPr>
        <w:t xml:space="preserve">; and (ii) any refinancing, refunding, renewal or extension of any Indebtedness specified in </w:t>
      </w:r>
      <w:r>
        <w:rPr>
          <w:rFonts w:ascii="Arial" w:cs="Arial" w:eastAsia="Arial" w:hAnsi="Arial"/>
          <w:sz w:val="17"/>
          <w:szCs w:val="17"/>
          <w:u w:val="single" w:color="auto"/>
          <w:color w:val="auto"/>
        </w:rPr>
        <w:t>subclause (i)</w:t>
      </w:r>
      <w:r>
        <w:rPr>
          <w:rFonts w:ascii="Arial" w:cs="Arial" w:eastAsia="Arial" w:hAnsi="Arial"/>
          <w:sz w:val="17"/>
          <w:szCs w:val="17"/>
          <w:color w:val="auto"/>
        </w:rPr>
        <w:t xml:space="preserve">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(x) the principal amount of any such Indebtedness is not increased above the principal amount thereof outstanding immediately prior to such refinancing, refunding, renewal or extension (except for any original issue discount thereon and the amount of fees, expenses, and premium and accrued and unpaid interest in connection with such refinancing) and (y) such Indebtedness otherwise complies with the definition of “Permitted Other Indebtedness”; and</w:t>
      </w:r>
    </w:p>
    <w:p>
      <w:pPr>
        <w:spacing w:after="0" w:line="96" w:lineRule="exact"/>
        <w:rPr>
          <w:rFonts w:ascii="Arial" w:cs="Arial" w:eastAsia="Arial" w:hAnsi="Arial"/>
          <w:sz w:val="17"/>
          <w:szCs w:val="17"/>
          <w:color w:val="auto"/>
        </w:rPr>
      </w:pPr>
    </w:p>
    <w:p>
      <w:pPr>
        <w:ind w:left="660" w:right="140" w:firstLine="644"/>
        <w:spacing w:after="0" w:line="254" w:lineRule="auto"/>
        <w:tabs>
          <w:tab w:leader="none" w:pos="1698"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0000FF"/>
        </w:rPr>
        <w:t>following the Additional Restrictions Period,</w:t>
      </w:r>
      <w:r>
        <w:rPr>
          <w:rFonts w:ascii="Arial" w:cs="Arial" w:eastAsia="Arial" w:hAnsi="Arial"/>
          <w:sz w:val="18"/>
          <w:szCs w:val="18"/>
          <w:color w:val="0000FF"/>
        </w:rPr>
        <w:t xml:space="preserve"> </w:t>
      </w:r>
      <w:r>
        <w:rPr>
          <w:rFonts w:ascii="Arial" w:cs="Arial" w:eastAsia="Arial" w:hAnsi="Arial"/>
          <w:sz w:val="18"/>
          <w:szCs w:val="18"/>
          <w:color w:val="000000"/>
        </w:rPr>
        <w:t>Indebtedness in respect of (i) Permitted Other Indebtedness; provided that the</w:t>
      </w:r>
      <w:r>
        <w:rPr>
          <w:rFonts w:ascii="Arial" w:cs="Arial" w:eastAsia="Arial" w:hAnsi="Arial"/>
          <w:sz w:val="18"/>
          <w:szCs w:val="18"/>
          <w:color w:val="0000FF"/>
        </w:rPr>
        <w:t xml:space="preserve"> </w:t>
      </w:r>
      <w:r>
        <w:rPr>
          <w:rFonts w:ascii="Arial" w:cs="Arial" w:eastAsia="Arial" w:hAnsi="Arial"/>
          <w:sz w:val="18"/>
          <w:szCs w:val="18"/>
          <w:color w:val="000000"/>
        </w:rPr>
        <w:t>aggregate principal amount of all such Permitted Other Indebtedness issued or incurred pursuant to this clause (i), when aggregated with the amount of Incremental Term Loans and New Revolving Commitments established shall not exceed the Maximum Incremental Facilities Amount and (ii) any refinancing, refunding, renewal or extension of any Indebtedness specified in subclause (i) above; provided that (x) the principal amount of any such Indebtedness is not increased above the principal amount thereof outstanding immediately prior to such refinancing, refunding, renewal or extension (except for any original issue discount thereon and the amount of fees, expenses and premium and accrued and unpaid interest in connection with such refinancing) and (y) such Indebtedness otherwise complies with the definition of “Permitted Other Indebtedness”.</w:t>
      </w:r>
    </w:p>
    <w:p>
      <w:pPr>
        <w:spacing w:after="0" w:line="1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For purposes of determining compliance with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(i) in the event that an item of Indebtedness, Disqualified Stock or preferred stock (or any portion thereof) meets the criteria of more than one of the categories of permitted Indebtedness, Disqualified Stock or preferred stock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(x</w:t>
      </w:r>
      <w:r>
        <w:rPr>
          <w:rFonts w:ascii="Arial" w:cs="Arial" w:eastAsia="Arial" w:hAnsi="Arial"/>
          <w:sz w:val="18"/>
          <w:szCs w:val="18"/>
          <w:color w:val="auto"/>
        </w:rPr>
        <w:t xml:space="preserve">) above or is entitled to be incurred pursuant to the first paragraph of this </w:t>
      </w:r>
      <w:r>
        <w:rPr>
          <w:rFonts w:ascii="Arial" w:cs="Arial" w:eastAsia="Arial" w:hAnsi="Arial"/>
          <w:sz w:val="18"/>
          <w:szCs w:val="18"/>
          <w:u w:val="single" w:color="auto"/>
          <w:color w:val="auto"/>
        </w:rPr>
        <w:t>Section 10.1</w:t>
      </w:r>
      <w:r>
        <w:rPr>
          <w:rFonts w:ascii="Arial" w:cs="Arial" w:eastAsia="Arial" w:hAnsi="Arial"/>
          <w:sz w:val="18"/>
          <w:szCs w:val="18"/>
          <w:color w:val="auto"/>
        </w:rPr>
        <w:t>, Holdings, in its sole discretion, will classify and may reclassify such item of Indebtedness, Disqualified Stock or preferred stock (or any portion thereof) and will only be required to include the amount and type of such Indebtedness, Disqualified Stock or preferred stock in one of the above clauses or paragraphs; and (ii) at the time of incurrence, Holdings will be entitled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341" w:right="33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color w:val="auto"/>
        </w:rPr>
        <w:t xml:space="preserve">to divide and classify an item of Indebtedness in more than one of the types of Indebtedness described in this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 xml:space="preserve">Accrual of interest or dividends, the accretion of accreted value, the accretion or amortization of original issue discount and the payment of interest or dividends in the form of additional Indebtedness, Disqualified Stock or preferred stock will not be deemed to be an incurrence of Indebtedness, Disqualified Stock or preferred stock for purposes of this covenant. Any Refinancing Indebtedness and any Indebtedness incurred to refinance Indebtedness incurred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(l)(i)</w:t>
      </w:r>
      <w:r>
        <w:rPr>
          <w:rFonts w:ascii="Arial" w:cs="Arial" w:eastAsia="Arial" w:hAnsi="Arial"/>
          <w:sz w:val="16"/>
          <w:szCs w:val="16"/>
          <w:color w:val="auto"/>
        </w:rPr>
        <w:t xml:space="preserve"> above shall be deemed to include additional Indebtedness, Disqualified Stock or preferred stock incurred to pay premiums (including reasonable tender premiums), defeasance costs, fees, and expenses in connection with such refinancing.</w:t>
      </w:r>
    </w:p>
    <w:p>
      <w:pPr>
        <w:spacing w:after="0" w:line="16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For purposes of determining compliance with any Dollar-denominated restriction on the incurrence of Indebtedness, the principal amount of Indebtedness denominated in another currency shall be calculated based on the relevant currency exchange rate in effect on the date such Indebtedness was incurred, in the case of term debt, or first committed, in the case of revolving credit debt;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Indebtedness is incurred to refinance other Indebtedness denominated in another currency,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refinancing Indebtedness does not exceed (i) the principal amount of such Indebtedness being refinanced plus (ii) the aggregate amount of fees, underwriting discounts, premiums, and other costs and expenses and accrued and unpaid interest incurred in connection with such refinancing.</w:t>
      </w:r>
    </w:p>
    <w:p>
      <w:pPr>
        <w:spacing w:after="0" w:line="178"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w:t>
      </w:r>
    </w:p>
    <w:p>
      <w:pPr>
        <w:spacing w:after="0" w:line="184"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This Agreement will not treat (1) unsecured Indebtedness as subordinated or junior to secured Indebtedness merely because it is unsecured or (2) senior Indebtedness as subordinated or junior to any other senior Indebtedness merely because it has a junior priority with respect to the same collateral.</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Limitation on Liens</w:t>
      </w:r>
      <w:r>
        <w:rPr>
          <w:rFonts w:ascii="Arial" w:cs="Arial" w:eastAsia="Arial" w:hAnsi="Arial"/>
          <w:sz w:val="18"/>
          <w:szCs w:val="18"/>
          <w:color w:val="auto"/>
        </w:rPr>
        <w:t xml:space="preserve">. </w:t>
      </w:r>
      <w:r>
        <w:rPr>
          <w:rFonts w:ascii="Arial" w:cs="Arial" w:eastAsia="Arial" w:hAnsi="Arial"/>
          <w:sz w:val="18"/>
          <w:szCs w:val="18"/>
          <w:color w:val="FF0000"/>
          <w:strike w:val="1"/>
        </w:rPr>
        <w:t>(a) Holdings will not, and will not permit any of the Restricted Subsidiaries to, create, incur, assume or suffer to exist</w:t>
      </w:r>
      <w:r>
        <w:rPr>
          <w:rFonts w:ascii="Arial" w:cs="Arial" w:eastAsia="Arial" w:hAnsi="Arial"/>
          <w:sz w:val="18"/>
          <w:szCs w:val="18"/>
          <w:color w:val="auto"/>
        </w:rPr>
        <w:t xml:space="preserve"> </w:t>
      </w:r>
      <w:r>
        <w:rPr>
          <w:rFonts w:ascii="Arial" w:cs="Arial" w:eastAsia="Arial" w:hAnsi="Arial"/>
          <w:sz w:val="18"/>
          <w:szCs w:val="18"/>
          <w:color w:val="FF0000"/>
          <w:strike w:val="1"/>
        </w:rPr>
        <w:t>any Lien upon any property or assets of any kind (real or personal, tangible or intangible) of Holdings or any Restricted Subsidiary, whether now owned or hereafter acquired (each, a “</w:t>
      </w:r>
      <w:r>
        <w:rPr>
          <w:rFonts w:ascii="Arial" w:cs="Arial" w:eastAsia="Arial" w:hAnsi="Arial"/>
          <w:sz w:val="18"/>
          <w:szCs w:val="18"/>
          <w:b w:val="1"/>
          <w:bCs w:val="1"/>
          <w:color w:val="FF0000"/>
          <w:strike w:val="1"/>
        </w:rPr>
        <w:t>Subject Lien</w:t>
      </w:r>
      <w:r>
        <w:rPr>
          <w:rFonts w:ascii="Arial" w:cs="Arial" w:eastAsia="Arial" w:hAnsi="Arial"/>
          <w:sz w:val="18"/>
          <w:szCs w:val="18"/>
          <w:color w:val="FF0000"/>
          <w:strike w:val="1"/>
        </w:rPr>
        <w:t>”) that secures obligations under any Indebtedness on any asset or property of Holdings or any Restricted Subsidiary, except:</w:t>
      </w:r>
      <w:r>
        <w:rPr>
          <w:rFonts w:ascii="Arial" w:cs="Arial" w:eastAsia="Arial" w:hAnsi="Arial"/>
          <w:sz w:val="18"/>
          <w:szCs w:val="18"/>
          <w:u w:val="single" w:color="auto"/>
          <w:color w:val="0000FF"/>
          <w:strike w:val="1"/>
        </w:rPr>
        <w:t>Holdings will not, and will not permit any of the Restricted Subsidiaries to, create, incur, assume or suffer to exist any Lien upon any</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property or assets of any kind (real or personal, tangible or intangible) of Holdings or any Restricted Subsidiary, whether now owned or hereafter acquired other than Permitted Liens.</w:t>
      </w:r>
    </w:p>
    <w:p>
      <w:pPr>
        <w:spacing w:after="0" w:line="138" w:lineRule="exact"/>
        <w:rPr>
          <w:sz w:val="20"/>
          <w:szCs w:val="20"/>
          <w:color w:val="auto"/>
        </w:rPr>
      </w:pPr>
    </w:p>
    <w:p>
      <w:pPr>
        <w:ind w:left="1900" w:hanging="353"/>
        <w:spacing w:after="0"/>
        <w:tabs>
          <w:tab w:leader="none" w:pos="1900" w:val="left"/>
        </w:tabs>
        <w:numPr>
          <w:ilvl w:val="0"/>
          <w:numId w:val="175"/>
        </w:numPr>
        <w:rPr>
          <w:rFonts w:ascii="Arial" w:cs="Arial" w:eastAsia="Arial" w:hAnsi="Arial"/>
          <w:sz w:val="18"/>
          <w:szCs w:val="18"/>
          <w:color w:val="FF0000"/>
          <w:strike w:val="1"/>
        </w:rPr>
      </w:pPr>
      <w:r>
        <w:rPr>
          <w:rFonts w:ascii="Arial" w:cs="Arial" w:eastAsia="Arial" w:hAnsi="Arial"/>
          <w:sz w:val="18"/>
          <w:szCs w:val="18"/>
          <w:color w:val="FF0000"/>
          <w:strike w:val="1"/>
        </w:rPr>
        <w:t>in the case of Subject Liens on any Collateral, if such Subject Lien is a Permitted Lien;</w:t>
      </w:r>
    </w:p>
    <w:p>
      <w:pPr>
        <w:spacing w:after="0" w:line="171" w:lineRule="exact"/>
        <w:rPr>
          <w:rFonts w:ascii="Arial" w:cs="Arial" w:eastAsia="Arial" w:hAnsi="Arial"/>
          <w:sz w:val="18"/>
          <w:szCs w:val="18"/>
          <w:color w:val="FF0000"/>
          <w:strike w:val="1"/>
        </w:rPr>
      </w:pPr>
    </w:p>
    <w:p>
      <w:pPr>
        <w:ind w:left="660" w:right="200" w:firstLine="887"/>
        <w:spacing w:after="0" w:line="263" w:lineRule="auto"/>
        <w:tabs>
          <w:tab w:leader="none" w:pos="1951" w:val="left"/>
        </w:tabs>
        <w:numPr>
          <w:ilvl w:val="0"/>
          <w:numId w:val="175"/>
        </w:numPr>
        <w:rPr>
          <w:rFonts w:ascii="Arial" w:cs="Arial" w:eastAsia="Arial" w:hAnsi="Arial"/>
          <w:sz w:val="18"/>
          <w:szCs w:val="18"/>
          <w:color w:val="FF0000"/>
          <w:strike w:val="1"/>
        </w:rPr>
      </w:pPr>
      <w:r>
        <w:rPr>
          <w:rFonts w:ascii="Arial" w:cs="Arial" w:eastAsia="Arial" w:hAnsi="Arial"/>
          <w:sz w:val="18"/>
          <w:szCs w:val="18"/>
          <w:color w:val="FF0000"/>
          <w:strike w:val="1"/>
        </w:rPr>
        <w:t>in the case of any other asset or property, any Subject Lien if (i) the Obligations are equally and ratably secured with (or on a senior basis to, in the case such Subject Lien secures any Junior Debt) the obligations secured by such Subject Lien or (ii) such Subject Lien is a Permitted Lien; and</w:t>
      </w:r>
    </w:p>
    <w:p>
      <w:pPr>
        <w:spacing w:after="0" w:line="129" w:lineRule="exact"/>
        <w:rPr>
          <w:rFonts w:ascii="Arial" w:cs="Arial" w:eastAsia="Arial" w:hAnsi="Arial"/>
          <w:sz w:val="18"/>
          <w:szCs w:val="18"/>
          <w:color w:val="FF0000"/>
          <w:strike w:val="1"/>
        </w:rPr>
      </w:pPr>
    </w:p>
    <w:p>
      <w:pPr>
        <w:ind w:left="660" w:right="40" w:firstLine="887"/>
        <w:spacing w:after="0" w:line="271" w:lineRule="auto"/>
        <w:tabs>
          <w:tab w:leader="none" w:pos="2001" w:val="left"/>
        </w:tabs>
        <w:numPr>
          <w:ilvl w:val="0"/>
          <w:numId w:val="175"/>
        </w:numPr>
        <w:rPr>
          <w:rFonts w:ascii="Arial" w:cs="Arial" w:eastAsia="Arial" w:hAnsi="Arial"/>
          <w:sz w:val="17"/>
          <w:szCs w:val="17"/>
          <w:color w:val="FF0000"/>
          <w:strike w:val="1"/>
        </w:rPr>
      </w:pPr>
      <w:r>
        <w:rPr>
          <w:rFonts w:ascii="Arial" w:cs="Arial" w:eastAsia="Arial" w:hAnsi="Arial"/>
          <w:sz w:val="17"/>
          <w:szCs w:val="17"/>
          <w:color w:val="FF0000"/>
          <w:strike w:val="1"/>
        </w:rPr>
        <w:t xml:space="preserve">any other Subject Lien (without duplication of Liens permitted under clauses (i) and (ii) of this </w:t>
      </w:r>
      <w:r>
        <w:rPr>
          <w:rFonts w:ascii="Arial" w:cs="Arial" w:eastAsia="Arial" w:hAnsi="Arial"/>
          <w:sz w:val="17"/>
          <w:szCs w:val="17"/>
          <w:u w:val="single" w:color="auto"/>
          <w:color w:val="FF0000"/>
          <w:strike w:val="1"/>
        </w:rPr>
        <w:t>Section 10.2(a))</w:t>
      </w:r>
      <w:r>
        <w:rPr>
          <w:rFonts w:ascii="Arial" w:cs="Arial" w:eastAsia="Arial" w:hAnsi="Arial"/>
          <w:sz w:val="17"/>
          <w:szCs w:val="17"/>
          <w:color w:val="FF0000"/>
          <w:strike w:val="1"/>
        </w:rPr>
        <w:t xml:space="preserve"> if (x) the obligations secured by such Subject Lien (“Junior Lien Indebtedness”) are junior to the Obligations and (y) the assets or property secured by such Subject Lien are on Collateral (or immediately upon incurring such Junior Lien Indebtedness such assets or property become Collateral); </w:t>
      </w:r>
      <w:r>
        <w:rPr>
          <w:rFonts w:ascii="Arial" w:cs="Arial" w:eastAsia="Arial" w:hAnsi="Arial"/>
          <w:sz w:val="17"/>
          <w:szCs w:val="17"/>
          <w:u w:val="single" w:color="auto"/>
          <w:color w:val="FF0000"/>
          <w:strike w:val="1"/>
        </w:rPr>
        <w:t>provided</w:t>
      </w:r>
      <w:r>
        <w:rPr>
          <w:rFonts w:ascii="Arial" w:cs="Arial" w:eastAsia="Arial" w:hAnsi="Arial"/>
          <w:sz w:val="17"/>
          <w:szCs w:val="17"/>
          <w:color w:val="FF0000"/>
          <w:strike w:val="1"/>
        </w:rPr>
        <w:t xml:space="preserve"> that (i) in the case of Junior Lien Indebtedness that constitutes debt for borrowed money, such Junior Lien Indebtedness complies with clauses (a), (b), and (c) of the definition of “Permitted Other Indebtedness” and (ii) in the case of Junior Lien Indebtedness that constitutes debt for borrowed money, the applicable holders of such Junior Lien Indebtedness (or a representative thereof on behalf of such holders) shall enter into security documents with terms and conditions not materially more restrictive to the Credit Parties, taken as a whole, than the terms and conditions of the Security Documents and shall (A) in the case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341" w:right="339" w:bottom="1440" w:gutter="0" w:footer="0" w:header="0"/>
        </w:sectPr>
      </w:pPr>
    </w:p>
    <w:bookmarkStart w:id="197" w:name="page198"/>
    <w:bookmarkEnd w:id="197"/>
    <w:p>
      <w:pPr>
        <w:ind w:left="660"/>
        <w:spacing w:after="0" w:line="255" w:lineRule="auto"/>
        <w:rPr>
          <w:sz w:val="20"/>
          <w:szCs w:val="20"/>
          <w:color w:val="auto"/>
        </w:rPr>
      </w:pPr>
      <w:r>
        <w:rPr>
          <w:rFonts w:ascii="Arial" w:cs="Arial" w:eastAsia="Arial" w:hAnsi="Arial"/>
          <w:sz w:val="18"/>
          <w:szCs w:val="18"/>
          <w:color w:val="FF0000"/>
          <w:strike w:val="1"/>
        </w:rPr>
        <w:t>of the first such issuance of such Junior Lien Indebtedness, the Collateral Agent, the Administrative Agent and the representative of the holders of such Junior Lien Indebtedness shall have entered into the Second Lien Intercreditor Agreement and (B) in the case of subsequent issuances of such Junior Lien Indebtedness, the representative for the holders of such Junior Lien Indebtedness shall have become a party to the Second Lien Intercreditor Agreement in accordance with the terms thereof; and without any further consent of the Lenders, the Administrative Agent and the Collateral Agent shall be authorized to execute and deliver on behalf of the Secured Parties the Second Lien Intercreditor Agreement contemplated by this clause (ii).</w:t>
      </w:r>
    </w:p>
    <w:p>
      <w:pPr>
        <w:spacing w:after="0" w:line="138" w:lineRule="exact"/>
        <w:rPr>
          <w:sz w:val="20"/>
          <w:szCs w:val="20"/>
          <w:color w:val="auto"/>
        </w:rPr>
      </w:pPr>
    </w:p>
    <w:p>
      <w:pPr>
        <w:ind w:firstLine="656"/>
        <w:spacing w:after="0" w:line="263" w:lineRule="auto"/>
        <w:tabs>
          <w:tab w:leader="none" w:pos="1028" w:val="left"/>
        </w:tabs>
        <w:numPr>
          <w:ilvl w:val="0"/>
          <w:numId w:val="176"/>
        </w:numPr>
        <w:rPr>
          <w:rFonts w:ascii="Arial" w:cs="Arial" w:eastAsia="Arial" w:hAnsi="Arial"/>
          <w:sz w:val="18"/>
          <w:szCs w:val="18"/>
          <w:color w:val="FF0000"/>
          <w:strike w:val="1"/>
        </w:rPr>
      </w:pPr>
      <w:r>
        <w:rPr>
          <w:rFonts w:ascii="Arial" w:cs="Arial" w:eastAsia="Arial" w:hAnsi="Arial"/>
          <w:sz w:val="18"/>
          <w:szCs w:val="18"/>
          <w:color w:val="FF0000"/>
          <w:strike w:val="1"/>
        </w:rPr>
        <w:t>Any Lien created for the benefit of the Secured Parties pursuant to the preceding paragraph shall provide by its terms that such Lien shall be automatically and unconditionally be released and discharged upon the release and discharge of the Subject Lien that gave rise to the obligation to so secure the Obligations.</w:t>
      </w:r>
    </w:p>
    <w:p>
      <w:pPr>
        <w:spacing w:after="0" w:line="130" w:lineRule="exact"/>
        <w:rPr>
          <w:sz w:val="20"/>
          <w:szCs w:val="20"/>
          <w:color w:val="auto"/>
        </w:rPr>
      </w:pPr>
    </w:p>
    <w:p>
      <w:pPr>
        <w:jc w:val="both"/>
        <w:ind w:right="280" w:firstLine="648"/>
        <w:spacing w:after="0" w:line="263"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Limitation on Fundamental Changes</w:t>
      </w:r>
      <w:r>
        <w:rPr>
          <w:rFonts w:ascii="Arial" w:cs="Arial" w:eastAsia="Arial" w:hAnsi="Arial"/>
          <w:sz w:val="18"/>
          <w:szCs w:val="18"/>
          <w:color w:val="auto"/>
        </w:rPr>
        <w:t>. Holdings will not, and will not permit any of the Restricted Subsidiaries to, enter into any merger, consolidation or amalgamation, or liquidate, wind up or dissolve itself (or suffer any liquidation or dissolution), or convey, sell, lease, assign, transfer or otherwise dispose of, all or substantially all its business units, assets or other properties, except that:</w:t>
      </w:r>
    </w:p>
    <w:p>
      <w:pPr>
        <w:spacing w:after="0" w:line="130" w:lineRule="exact"/>
        <w:rPr>
          <w:sz w:val="20"/>
          <w:szCs w:val="20"/>
          <w:color w:val="auto"/>
        </w:rPr>
      </w:pPr>
    </w:p>
    <w:p>
      <w:pPr>
        <w:ind w:left="660" w:right="20" w:firstLine="644"/>
        <w:spacing w:after="0" w:line="285" w:lineRule="auto"/>
        <w:tabs>
          <w:tab w:leader="none" w:pos="1688" w:val="left"/>
        </w:tabs>
        <w:numPr>
          <w:ilvl w:val="0"/>
          <w:numId w:val="177"/>
        </w:numPr>
        <w:rPr>
          <w:rFonts w:ascii="Arial" w:cs="Arial" w:eastAsia="Arial" w:hAnsi="Arial"/>
          <w:sz w:val="16"/>
          <w:szCs w:val="16"/>
          <w:color w:val="auto"/>
        </w:rPr>
      </w:pPr>
      <w:r>
        <w:rPr>
          <w:rFonts w:ascii="Arial" w:cs="Arial" w:eastAsia="Arial" w:hAnsi="Arial"/>
          <w:sz w:val="16"/>
          <w:szCs w:val="16"/>
          <w:color w:val="auto"/>
        </w:rPr>
        <w:t xml:space="preserve">so long as no Event of Default has occurred and is continuing or would result therefrom, any Subsidiary of Holdings or any other Person may be merged, amalgamated or consolidated with or into Holdings or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Holdings or the Borrower shall be the continuing or surviving corporation or (B) if the Person formed by or surviving any such merger, amalgamation or consolidation is not Holdings or the Borrower (such other Person, the “</w:t>
      </w:r>
      <w:r>
        <w:rPr>
          <w:rFonts w:ascii="Arial" w:cs="Arial" w:eastAsia="Arial" w:hAnsi="Arial"/>
          <w:sz w:val="16"/>
          <w:szCs w:val="16"/>
          <w:b w:val="1"/>
          <w:bCs w:val="1"/>
          <w:color w:val="auto"/>
        </w:rPr>
        <w:t>Successor Borrower</w:t>
      </w:r>
      <w:r>
        <w:rPr>
          <w:rFonts w:ascii="Arial" w:cs="Arial" w:eastAsia="Arial" w:hAnsi="Arial"/>
          <w:sz w:val="16"/>
          <w:szCs w:val="16"/>
          <w:color w:val="auto"/>
        </w:rPr>
        <w:t xml:space="preserve">”), (1) the Successor Borrower shall be an entity organized or existing under the laws of the United States, any state thereof, or the District of Columbia, (2) the Successor Borrower shall expressly assume all the obligations of Holdings or the Borrower under this Agreement and the other Credit Documents pursuant to a supplement hereto or thereto or in a form otherwise reasonably satisfactory to the Administrative Agent, (3) each Guarantor, unless it is the other party to such merger, amalgamation or consolidation, shall have by a supplement to the Guarantee confirmed that its guarantee thereunder shall apply to any Successor Borrower’s obligations under this Agreement, (4) each Subsidiary grantor and each Subsidiary pledgor, unless it is the other party to such merger, amalgamation or consolidation, shall have by a supplement to any applicable Security Document affirmed that its obligations thereunder shall apply to its Guarantee as reaffirmed pursuant to </w:t>
      </w:r>
      <w:r>
        <w:rPr>
          <w:rFonts w:ascii="Arial" w:cs="Arial" w:eastAsia="Arial" w:hAnsi="Arial"/>
          <w:sz w:val="16"/>
          <w:szCs w:val="16"/>
          <w:u w:val="single" w:color="auto"/>
          <w:color w:val="auto"/>
        </w:rPr>
        <w:t>clause (3)</w:t>
      </w:r>
      <w:r>
        <w:rPr>
          <w:rFonts w:ascii="Arial" w:cs="Arial" w:eastAsia="Arial" w:hAnsi="Arial"/>
          <w:sz w:val="16"/>
          <w:szCs w:val="16"/>
          <w:color w:val="auto"/>
        </w:rPr>
        <w:t xml:space="preserve">, (5) each mortgagor of a Mortgaged Property, unless it is the other party to such merger, amalgamation or consolidation, shall have affirmed that its obligations under the applicable Mortgage shall apply to its Guarantee as reaffirmed pursuant to </w:t>
      </w:r>
      <w:r>
        <w:rPr>
          <w:rFonts w:ascii="Arial" w:cs="Arial" w:eastAsia="Arial" w:hAnsi="Arial"/>
          <w:sz w:val="16"/>
          <w:szCs w:val="16"/>
          <w:u w:val="single" w:color="auto"/>
          <w:color w:val="auto"/>
        </w:rPr>
        <w:t>clause (3)</w:t>
      </w:r>
      <w:r>
        <w:rPr>
          <w:rFonts w:ascii="Arial" w:cs="Arial" w:eastAsia="Arial" w:hAnsi="Arial"/>
          <w:sz w:val="16"/>
          <w:szCs w:val="16"/>
          <w:color w:val="auto"/>
        </w:rPr>
        <w:t xml:space="preserve">, and (6) the Successor Borrower shall have delivered to the Administrative Agent (x) an officer’s certificate stating that such merger, amalgamation, or consolidation and such supplements preserve the enforceability of the Guarantee and the perfection and priority of the Liens under the applicable Security Documents and (y) if requested by the Administrative Agent, an opinion of counsel to the effect that such merger, amalgamation, or consolidation does not violate this Agreement or any other Credit Document and that the provisions set forth in the preceding </w:t>
      </w:r>
      <w:r>
        <w:rPr>
          <w:rFonts w:ascii="Arial" w:cs="Arial" w:eastAsia="Arial" w:hAnsi="Arial"/>
          <w:sz w:val="16"/>
          <w:szCs w:val="16"/>
          <w:u w:val="single" w:color="auto"/>
          <w:color w:val="auto"/>
        </w:rPr>
        <w:t>clauses (3)</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(5)</w:t>
      </w:r>
      <w:r>
        <w:rPr>
          <w:rFonts w:ascii="Arial" w:cs="Arial" w:eastAsia="Arial" w:hAnsi="Arial"/>
          <w:sz w:val="16"/>
          <w:szCs w:val="16"/>
          <w:color w:val="auto"/>
        </w:rPr>
        <w:t xml:space="preserve"> preserve the enforceability of the Guarantee and the perfection of the Liens created under the applicable Security Documents (it being understood that if the foregoing are satisfied, the Successor Borrower will succeed to, and be substituted for, the Borrower under this Agreement);</w:t>
      </w:r>
    </w:p>
    <w:p>
      <w:pPr>
        <w:spacing w:after="0" w:line="333" w:lineRule="exact"/>
        <w:rPr>
          <w:rFonts w:ascii="Arial" w:cs="Arial" w:eastAsia="Arial" w:hAnsi="Arial"/>
          <w:sz w:val="16"/>
          <w:szCs w:val="16"/>
          <w:color w:val="auto"/>
        </w:rPr>
      </w:pPr>
    </w:p>
    <w:p>
      <w:pPr>
        <w:ind w:left="660" w:firstLine="644"/>
        <w:spacing w:after="0" w:line="289" w:lineRule="auto"/>
        <w:tabs>
          <w:tab w:leader="none" w:pos="1698" w:val="left"/>
        </w:tabs>
        <w:numPr>
          <w:ilvl w:val="0"/>
          <w:numId w:val="177"/>
        </w:numPr>
        <w:rPr>
          <w:rFonts w:ascii="Arial" w:cs="Arial" w:eastAsia="Arial" w:hAnsi="Arial"/>
          <w:sz w:val="16"/>
          <w:szCs w:val="16"/>
          <w:color w:val="auto"/>
        </w:rPr>
      </w:pPr>
      <w:r>
        <w:rPr>
          <w:rFonts w:ascii="Arial" w:cs="Arial" w:eastAsia="Arial" w:hAnsi="Arial"/>
          <w:sz w:val="16"/>
          <w:szCs w:val="16"/>
          <w:color w:val="auto"/>
        </w:rPr>
        <w:t xml:space="preserve">so long as no Event of Default has occurred and is continuing or would result therefrom, any Subsidiary of Holdings or any other Person (in each case, other than the Borrower) may be merged, amalgamated or consolidated with or into any one or more Subsidiaries of Holdings;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the case of any merger, amalgamation or consolidation involving one or more Restricted Subsidiaries, (A) a Restricted Subsidiary shall be the continuing or surviving Person or (B) Holdings shall cause the Person formed by or surviving any such merger, amalgamation or consolidation (if other than a Restricted Subsidiary) to become a Restricted Subsidiary, (ii) in the case of any merger, amalgamation or consolidation involving one or more Guarantors, a Guarantor shall be the continuing or surviving Person or the Person formed by or surviving any such merger, amalgamation or consolidation and if the surviving Person is not already a Guarantor, such Person shall execute a supplement to the Guarantee and the relevant Security Documents in form and substance reasonably satisfactory to the Administrative Agent in order to become a Guarantor and pledgor, mortgagor and grantor, as applicable, thereunder for the benefit of the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341" w:right="339" w:bottom="1440" w:gutter="0" w:footer="0" w:header="0"/>
        </w:sectPr>
      </w:pPr>
    </w:p>
    <w:bookmarkStart w:id="198" w:name="page199"/>
    <w:bookmarkEnd w:id="198"/>
    <w:p>
      <w:pPr>
        <w:jc w:val="both"/>
        <w:ind w:right="40"/>
        <w:spacing w:after="0" w:line="263" w:lineRule="auto"/>
        <w:rPr>
          <w:sz w:val="20"/>
          <w:szCs w:val="20"/>
          <w:color w:val="auto"/>
        </w:rPr>
      </w:pPr>
      <w:r>
        <w:rPr>
          <w:rFonts w:ascii="Arial" w:cs="Arial" w:eastAsia="Arial" w:hAnsi="Arial"/>
          <w:sz w:val="18"/>
          <w:szCs w:val="18"/>
          <w:color w:val="auto"/>
        </w:rPr>
        <w:t>Secured Parties, and (iii) Holdings shall have delivered to the Administrative Agent an officer’s certificate stating that such merger, amalgamation or consolidation and any such supplements to any Security Document preserve the enforceability of the Guarantees and the perfection and priority of the Liens under the applicable Security Documents;</w:t>
      </w:r>
    </w:p>
    <w:p>
      <w:pPr>
        <w:spacing w:after="0" w:line="130" w:lineRule="exact"/>
        <w:rPr>
          <w:sz w:val="20"/>
          <w:szCs w:val="20"/>
          <w:color w:val="auto"/>
        </w:rPr>
      </w:pPr>
    </w:p>
    <w:p>
      <w:pPr>
        <w:ind w:left="1020" w:hanging="376"/>
        <w:spacing w:after="0"/>
        <w:tabs>
          <w:tab w:leader="none" w:pos="10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Transactions may be consummated;</w:t>
      </w:r>
    </w:p>
    <w:p>
      <w:pPr>
        <w:spacing w:after="0" w:line="144" w:lineRule="exact"/>
        <w:rPr>
          <w:rFonts w:ascii="Arial" w:cs="Arial" w:eastAsia="Arial" w:hAnsi="Arial"/>
          <w:sz w:val="18"/>
          <w:szCs w:val="18"/>
          <w:color w:val="auto"/>
        </w:rPr>
      </w:pPr>
    </w:p>
    <w:p>
      <w:pPr>
        <w:ind w:right="140" w:firstLine="644"/>
        <w:spacing w:after="0" w:line="259" w:lineRule="auto"/>
        <w:tabs>
          <w:tab w:leader="none" w:pos="103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 any Restricted Subsidiary that is not a Credit Party may convey, sell, lease, assign, transfer or otherwise dispose of any or all of its assets (upon voluntary liquidation or dissolution or otherwise) to Holdings or any other Restricted Subsidiary or (ii) any Credit Party (other than the Borrower) may convey, sell, lease, assign, transfer or otherwise dispose of any or all of its assets (upon voluntary liquidation or dissolution or otherwise) to any other Credit Party;</w:t>
      </w:r>
    </w:p>
    <w:p>
      <w:pPr>
        <w:spacing w:after="0" w:line="105" w:lineRule="exact"/>
        <w:rPr>
          <w:rFonts w:ascii="Arial" w:cs="Arial" w:eastAsia="Arial" w:hAnsi="Arial"/>
          <w:sz w:val="18"/>
          <w:szCs w:val="18"/>
          <w:color w:val="auto"/>
        </w:rPr>
      </w:pPr>
    </w:p>
    <w:p>
      <w:pPr>
        <w:jc w:val="both"/>
        <w:ind w:right="40" w:firstLine="644"/>
        <w:spacing w:after="0" w:line="263" w:lineRule="auto"/>
        <w:tabs>
          <w:tab w:leader="none" w:pos="102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any Subsidiary may convey, sell, lease, assign, transfer or otherwise dispose of any or all of its assets (upon voluntary liquidation or dissolution or otherwise) to a Credit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consideration for any such disposition by any Person other than a Guarantor shall not exceed the fair value of such assets;</w:t>
      </w:r>
    </w:p>
    <w:p>
      <w:pPr>
        <w:spacing w:after="0" w:line="102" w:lineRule="exact"/>
        <w:rPr>
          <w:rFonts w:ascii="Arial" w:cs="Arial" w:eastAsia="Arial" w:hAnsi="Arial"/>
          <w:sz w:val="18"/>
          <w:szCs w:val="18"/>
          <w:color w:val="auto"/>
        </w:rPr>
      </w:pPr>
    </w:p>
    <w:p>
      <w:pPr>
        <w:ind w:right="620" w:firstLine="644"/>
        <w:spacing w:after="0" w:line="308" w:lineRule="auto"/>
        <w:tabs>
          <w:tab w:leader="none" w:pos="1008" w:val="left"/>
        </w:tabs>
        <w:numPr>
          <w:ilvl w:val="0"/>
          <w:numId w:val="178"/>
        </w:numPr>
        <w:rPr>
          <w:rFonts w:ascii="Arial" w:cs="Arial" w:eastAsia="Arial" w:hAnsi="Arial"/>
          <w:sz w:val="17"/>
          <w:szCs w:val="17"/>
          <w:color w:val="auto"/>
        </w:rPr>
      </w:pPr>
      <w:r>
        <w:rPr>
          <w:rFonts w:ascii="Arial" w:cs="Arial" w:eastAsia="Arial" w:hAnsi="Arial"/>
          <w:sz w:val="17"/>
          <w:szCs w:val="17"/>
          <w:color w:val="auto"/>
        </w:rPr>
        <w:t>any Restricted Subsidiary (other than the Borrower) may liquidate or dissolve if Holdings determines in good faith that such liquidation or dissolution is in the best interests of Holdings and is not materially disadvantageous to the Lenders;</w:t>
      </w:r>
    </w:p>
    <w:p>
      <w:pPr>
        <w:spacing w:after="0" w:line="65" w:lineRule="exact"/>
        <w:rPr>
          <w:rFonts w:ascii="Arial" w:cs="Arial" w:eastAsia="Arial" w:hAnsi="Arial"/>
          <w:sz w:val="17"/>
          <w:szCs w:val="17"/>
          <w:color w:val="auto"/>
        </w:rPr>
      </w:pPr>
    </w:p>
    <w:p>
      <w:pPr>
        <w:ind w:right="40" w:firstLine="644"/>
        <w:spacing w:after="0" w:line="279" w:lineRule="auto"/>
        <w:tabs>
          <w:tab w:leader="none" w:pos="1038" w:val="left"/>
        </w:tabs>
        <w:numPr>
          <w:ilvl w:val="0"/>
          <w:numId w:val="178"/>
        </w:numPr>
        <w:rPr>
          <w:rFonts w:ascii="Arial" w:cs="Arial" w:eastAsia="Arial" w:hAnsi="Arial"/>
          <w:sz w:val="17"/>
          <w:szCs w:val="17"/>
          <w:color w:val="auto"/>
        </w:rPr>
      </w:pPr>
      <w:r>
        <w:rPr>
          <w:rFonts w:ascii="Arial" w:cs="Arial" w:eastAsia="Arial" w:hAnsi="Arial"/>
          <w:sz w:val="17"/>
          <w:szCs w:val="17"/>
          <w:color w:val="auto"/>
        </w:rPr>
        <w:t xml:space="preserve">Holdings and the Restricted Subsidiaries may consummate a merger, dissolution, liquidation, consolidation, investment or conveyance, sale, lease, assignment or disposition, the purpose of which is to effect an Asset Sale (which for purposes of this </w:t>
      </w:r>
      <w:r>
        <w:rPr>
          <w:rFonts w:ascii="Arial" w:cs="Arial" w:eastAsia="Arial" w:hAnsi="Arial"/>
          <w:sz w:val="17"/>
          <w:szCs w:val="17"/>
          <w:u w:val="single" w:color="auto"/>
          <w:color w:val="auto"/>
        </w:rPr>
        <w:t>Section 10.3(g)</w:t>
      </w:r>
      <w:r>
        <w:rPr>
          <w:rFonts w:ascii="Arial" w:cs="Arial" w:eastAsia="Arial" w:hAnsi="Arial"/>
          <w:sz w:val="17"/>
          <w:szCs w:val="17"/>
          <w:color w:val="auto"/>
        </w:rPr>
        <w:t xml:space="preserve">, will include any disposition below the dollar threshold set forth in clause (d) of the definition of “Asset Sale”) permitted by </w:t>
      </w:r>
      <w:r>
        <w:rPr>
          <w:rFonts w:ascii="Arial" w:cs="Arial" w:eastAsia="Arial" w:hAnsi="Arial"/>
          <w:sz w:val="17"/>
          <w:szCs w:val="17"/>
          <w:u w:val="single" w:color="auto"/>
          <w:color w:val="auto"/>
        </w:rPr>
        <w:t>Section 10.4</w:t>
      </w:r>
      <w:r>
        <w:rPr>
          <w:rFonts w:ascii="Arial" w:cs="Arial" w:eastAsia="Arial" w:hAnsi="Arial"/>
          <w:sz w:val="17"/>
          <w:szCs w:val="17"/>
          <w:color w:val="auto"/>
        </w:rPr>
        <w:t xml:space="preserve"> or an investment permitted pursuant to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or an investment that constitutes a Permitted Investment; and</w:t>
      </w:r>
    </w:p>
    <w:p>
      <w:pPr>
        <w:spacing w:after="0" w:line="90" w:lineRule="exact"/>
        <w:rPr>
          <w:rFonts w:ascii="Arial" w:cs="Arial" w:eastAsia="Arial" w:hAnsi="Arial"/>
          <w:sz w:val="17"/>
          <w:szCs w:val="17"/>
          <w:color w:val="auto"/>
        </w:rPr>
      </w:pPr>
    </w:p>
    <w:p>
      <w:pPr>
        <w:ind w:right="20" w:firstLine="644"/>
        <w:spacing w:after="0" w:line="277" w:lineRule="auto"/>
        <w:tabs>
          <w:tab w:leader="none" w:pos="1038"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so long as no Event of Default has occurred and is continuing or would result therefrom, Holdings or any Restricted Subsidiary may change its legal form.</w:t>
      </w:r>
    </w:p>
    <w:p>
      <w:pPr>
        <w:spacing w:after="0" w:line="8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u w:val="single" w:color="auto"/>
          <w:color w:val="auto"/>
        </w:rPr>
        <w:t>Limitation on Sale of Assets</w:t>
      </w:r>
      <w:r>
        <w:rPr>
          <w:rFonts w:ascii="Arial" w:cs="Arial" w:eastAsia="Arial" w:hAnsi="Arial"/>
          <w:sz w:val="16"/>
          <w:szCs w:val="16"/>
          <w:color w:val="auto"/>
        </w:rPr>
        <w:t>. Holdings will not, and will not permit any Restricted Subsidiary to, consummate an Asset Sale, unless:</w:t>
      </w:r>
    </w:p>
    <w:p>
      <w:pPr>
        <w:spacing w:after="0" w:line="225" w:lineRule="exact"/>
        <w:rPr>
          <w:sz w:val="20"/>
          <w:szCs w:val="20"/>
          <w:color w:val="auto"/>
        </w:rPr>
      </w:pPr>
    </w:p>
    <w:p>
      <w:pPr>
        <w:ind w:firstLine="644"/>
        <w:spacing w:after="0" w:line="342" w:lineRule="auto"/>
        <w:tabs>
          <w:tab w:leader="none" w:pos="1028" w:val="left"/>
        </w:tabs>
        <w:numPr>
          <w:ilvl w:val="0"/>
          <w:numId w:val="179"/>
        </w:numPr>
        <w:rPr>
          <w:rFonts w:ascii="Arial" w:cs="Arial" w:eastAsia="Arial" w:hAnsi="Arial"/>
          <w:sz w:val="16"/>
          <w:szCs w:val="16"/>
          <w:color w:val="auto"/>
        </w:rPr>
      </w:pPr>
      <w:r>
        <w:rPr>
          <w:rFonts w:ascii="Arial" w:cs="Arial" w:eastAsia="Arial" w:hAnsi="Arial"/>
          <w:sz w:val="16"/>
          <w:szCs w:val="16"/>
          <w:color w:val="auto"/>
        </w:rPr>
        <w:t>Holdings or such Restricted Subsidiary, as the case may be, receives consideration at the time of such Asset Sale at least equal to the Fair Market Value (as determined at the time of contractually agreeing to such Asset Sale) of the assets sold or otherwise disposed of; and</w:t>
      </w:r>
    </w:p>
    <w:p>
      <w:pPr>
        <w:spacing w:after="0" w:line="42" w:lineRule="exact"/>
        <w:rPr>
          <w:rFonts w:ascii="Arial" w:cs="Arial" w:eastAsia="Arial" w:hAnsi="Arial"/>
          <w:sz w:val="16"/>
          <w:szCs w:val="16"/>
          <w:color w:val="auto"/>
        </w:rPr>
      </w:pPr>
    </w:p>
    <w:p>
      <w:pPr>
        <w:ind w:right="180" w:firstLine="644"/>
        <w:spacing w:after="0" w:line="263" w:lineRule="auto"/>
        <w:tabs>
          <w:tab w:leader="none" w:pos="103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except in the case of a Permitted Asset Swap, if the property or assets sold or otherwise disposed of have a Fair Market Value in excess of $</w:t>
      </w:r>
      <w:r>
        <w:rPr>
          <w:rFonts w:ascii="Arial" w:cs="Arial" w:eastAsia="Arial" w:hAnsi="Arial"/>
          <w:sz w:val="18"/>
          <w:szCs w:val="18"/>
          <w:color w:val="FF0000"/>
          <w:strike w:val="1"/>
        </w:rPr>
        <w:t>10,000,000,</w:t>
      </w:r>
      <w:r>
        <w:rPr>
          <w:rFonts w:ascii="Arial" w:cs="Arial" w:eastAsia="Arial" w:hAnsi="Arial"/>
          <w:sz w:val="18"/>
          <w:szCs w:val="18"/>
          <w:u w:val="single" w:color="auto"/>
          <w:color w:val="0000FF"/>
        </w:rPr>
        <w:t>1,000,000,</w:t>
      </w:r>
      <w:r>
        <w:rPr>
          <w:rFonts w:ascii="Arial" w:cs="Arial" w:eastAsia="Arial" w:hAnsi="Arial"/>
          <w:sz w:val="18"/>
          <w:szCs w:val="18"/>
          <w:color w:val="auto"/>
        </w:rPr>
        <w:t xml:space="preserve"> at least 75% of the consideration therefor received by Holdings or such Restricted Subsidiary, as the case may be, is in the form of cash or Cash Equivalents;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w:t>
      </w:r>
    </w:p>
    <w:p>
      <w:pPr>
        <w:spacing w:after="0" w:line="102" w:lineRule="exact"/>
        <w:rPr>
          <w:rFonts w:ascii="Arial" w:cs="Arial" w:eastAsia="Arial" w:hAnsi="Arial"/>
          <w:sz w:val="18"/>
          <w:szCs w:val="18"/>
          <w:color w:val="auto"/>
        </w:rPr>
      </w:pPr>
    </w:p>
    <w:p>
      <w:pPr>
        <w:ind w:left="640" w:firstLine="895"/>
        <w:spacing w:after="0" w:line="293" w:lineRule="auto"/>
        <w:tabs>
          <w:tab w:leader="none" w:pos="1881" w:val="left"/>
        </w:tabs>
        <w:numPr>
          <w:ilvl w:val="1"/>
          <w:numId w:val="179"/>
        </w:numPr>
        <w:rPr>
          <w:rFonts w:ascii="Arial" w:cs="Arial" w:eastAsia="Arial" w:hAnsi="Arial"/>
          <w:sz w:val="16"/>
          <w:szCs w:val="16"/>
          <w:color w:val="auto"/>
        </w:rPr>
      </w:pPr>
      <w:r>
        <w:rPr>
          <w:rFonts w:ascii="Arial" w:cs="Arial" w:eastAsia="Arial" w:hAnsi="Arial"/>
          <w:sz w:val="16"/>
          <w:szCs w:val="16"/>
          <w:color w:val="auto"/>
        </w:rPr>
        <w:t>any liabilities (as reflected on Holdings’ most recent consolidated balance sheet or in the footnotes thereto, or if incurred or accrued subsequent to the date of such balance sheet, such liabilities that would have been reflected on Holdings’ consolidated balance sheet or in the footnotes thereto if such incurrence or accrual had taken place on or prior to the date of such balance sheet, as determined in good faith by Holdings) of Holdings, other than liabilities that are by their terms subordinated to the Loans, that are assumed by the transferee of any such assets (or are otherwise extinguished in connection with the transactions relating to such Asset Sale) and for which Holdings and all such Restricted Subsidiaries have been validly released by all applicable creditors in writing;</w:t>
      </w:r>
    </w:p>
    <w:p>
      <w:pPr>
        <w:spacing w:after="0" w:line="200" w:lineRule="exact"/>
        <w:rPr>
          <w:sz w:val="20"/>
          <w:szCs w:val="20"/>
          <w:color w:val="auto"/>
        </w:rPr>
      </w:pPr>
    </w:p>
    <w:p>
      <w:pPr>
        <w:spacing w:after="0" w:line="31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560"/>
          </w:cols>
          <w:pgMar w:left="980" w:top="341" w:right="359" w:bottom="1440" w:gutter="0" w:footer="0" w:header="0"/>
        </w:sectPr>
      </w:pPr>
    </w:p>
    <w:bookmarkStart w:id="199" w:name="page200"/>
    <w:bookmarkEnd w:id="199"/>
    <w:p>
      <w:pPr>
        <w:ind w:left="644" w:firstLine="895"/>
        <w:spacing w:after="0" w:line="259" w:lineRule="auto"/>
        <w:tabs>
          <w:tab w:leader="none" w:pos="193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securities, notes or other obligations or assets received by Holdings or such Restricted Subsidiary from such transferee that are converted by Holdings or such Restricted Subsidiary into cash or Cash Equivalents, or by their terms are required to be satisfied for cash or Cash Equivalents (to the extent of the cash or Cash Equivalents received), in each case, within 180 days following the closing of such Asset Sale;</w:t>
      </w:r>
    </w:p>
    <w:p>
      <w:pPr>
        <w:spacing w:after="0" w:line="105" w:lineRule="exact"/>
        <w:rPr>
          <w:rFonts w:ascii="Arial" w:cs="Arial" w:eastAsia="Arial" w:hAnsi="Arial"/>
          <w:sz w:val="18"/>
          <w:szCs w:val="18"/>
          <w:color w:val="auto"/>
        </w:rPr>
      </w:pPr>
    </w:p>
    <w:p>
      <w:pPr>
        <w:ind w:left="644" w:right="280" w:firstLine="895"/>
        <w:spacing w:after="0" w:line="311" w:lineRule="auto"/>
        <w:tabs>
          <w:tab w:leader="none" w:pos="1985" w:val="left"/>
        </w:tabs>
        <w:numPr>
          <w:ilvl w:val="0"/>
          <w:numId w:val="180"/>
        </w:numPr>
        <w:rPr>
          <w:rFonts w:ascii="Arial" w:cs="Arial" w:eastAsia="Arial" w:hAnsi="Arial"/>
          <w:sz w:val="16"/>
          <w:szCs w:val="16"/>
          <w:color w:val="auto"/>
        </w:rPr>
      </w:pPr>
      <w:r>
        <w:rPr>
          <w:rFonts w:ascii="Arial" w:cs="Arial" w:eastAsia="Arial" w:hAnsi="Arial"/>
          <w:sz w:val="16"/>
          <w:szCs w:val="16"/>
          <w:color w:val="auto"/>
        </w:rPr>
        <w:t>Indebtedness, other than liabilities that are by their terms subordinated to the Loans, that are of any Restricted Subsidiary that is no longer a Restricted Subsidiary as a result of such Asset Sale, to the extent that Holdings and all Restricted Subsidiaries have been validly released from any Guarantee of payment of such Indebtedness in connection with such Asset Sale; and</w:t>
      </w:r>
    </w:p>
    <w:p>
      <w:pPr>
        <w:spacing w:after="0" w:line="67" w:lineRule="exact"/>
        <w:rPr>
          <w:rFonts w:ascii="Arial" w:cs="Arial" w:eastAsia="Arial" w:hAnsi="Arial"/>
          <w:sz w:val="16"/>
          <w:szCs w:val="16"/>
          <w:color w:val="auto"/>
        </w:rPr>
      </w:pPr>
    </w:p>
    <w:p>
      <w:pPr>
        <w:ind w:left="644" w:firstLine="895"/>
        <w:spacing w:after="0" w:line="255" w:lineRule="auto"/>
        <w:tabs>
          <w:tab w:leader="none" w:pos="1975"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0000FF"/>
        </w:rPr>
        <w:t>except during the Additional Restrictions Period,</w:t>
      </w:r>
      <w:r>
        <w:rPr>
          <w:rFonts w:ascii="Arial" w:cs="Arial" w:eastAsia="Arial" w:hAnsi="Arial"/>
          <w:sz w:val="18"/>
          <w:szCs w:val="18"/>
          <w:color w:val="0000FF"/>
        </w:rPr>
        <w:t xml:space="preserve"> </w:t>
      </w:r>
      <w:r>
        <w:rPr>
          <w:rFonts w:ascii="Arial" w:cs="Arial" w:eastAsia="Arial" w:hAnsi="Arial"/>
          <w:sz w:val="18"/>
          <w:szCs w:val="18"/>
          <w:color w:val="000000"/>
        </w:rPr>
        <w:t>any Designated Non-Cash Consideration received by Holdings or</w:t>
      </w:r>
      <w:r>
        <w:rPr>
          <w:rFonts w:ascii="Arial" w:cs="Arial" w:eastAsia="Arial" w:hAnsi="Arial"/>
          <w:sz w:val="18"/>
          <w:szCs w:val="18"/>
          <w:color w:val="0000FF"/>
        </w:rPr>
        <w:t xml:space="preserve"> </w:t>
      </w:r>
      <w:r>
        <w:rPr>
          <w:rFonts w:ascii="Arial" w:cs="Arial" w:eastAsia="Arial" w:hAnsi="Arial"/>
          <w:sz w:val="18"/>
          <w:szCs w:val="18"/>
          <w:color w:val="000000"/>
        </w:rPr>
        <w:t xml:space="preserve">such Restricted Subsidiary in such Asset Sale having an aggregate Fair Market Value, taken together with all other Designated Non-Cash Consideration received pursuant to this </w:t>
      </w:r>
      <w:r>
        <w:rPr>
          <w:rFonts w:ascii="Arial" w:cs="Arial" w:eastAsia="Arial" w:hAnsi="Arial"/>
          <w:sz w:val="18"/>
          <w:szCs w:val="18"/>
          <w:u w:val="single" w:color="auto"/>
          <w:color w:val="000000"/>
        </w:rPr>
        <w:t>clause (iv)</w:t>
      </w:r>
      <w:r>
        <w:rPr>
          <w:rFonts w:ascii="Arial" w:cs="Arial" w:eastAsia="Arial" w:hAnsi="Arial"/>
          <w:sz w:val="18"/>
          <w:szCs w:val="18"/>
          <w:color w:val="000000"/>
        </w:rPr>
        <w:t xml:space="preserve"> that is at that time outstanding, not to exceed the greater of $</w:t>
      </w:r>
      <w:r>
        <w:rPr>
          <w:rFonts w:ascii="Arial" w:cs="Arial" w:eastAsia="Arial" w:hAnsi="Arial"/>
          <w:sz w:val="18"/>
          <w:szCs w:val="18"/>
          <w:color w:val="FF0000"/>
          <w:strike w:val="1"/>
        </w:rPr>
        <w:t>85,000,000</w:t>
      </w:r>
      <w:r>
        <w:rPr>
          <w:rFonts w:ascii="Arial" w:cs="Arial" w:eastAsia="Arial" w:hAnsi="Arial"/>
          <w:sz w:val="18"/>
          <w:szCs w:val="18"/>
          <w:u w:val="single" w:color="auto"/>
          <w:color w:val="0000FF"/>
        </w:rPr>
        <w:t>40,000,000</w:t>
      </w:r>
      <w:r>
        <w:rPr>
          <w:rFonts w:ascii="Arial" w:cs="Arial" w:eastAsia="Arial" w:hAnsi="Arial"/>
          <w:sz w:val="18"/>
          <w:szCs w:val="18"/>
          <w:color w:val="000000"/>
        </w:rPr>
        <w:t xml:space="preserve"> or </w:t>
      </w:r>
      <w:r>
        <w:rPr>
          <w:rFonts w:ascii="Arial" w:cs="Arial" w:eastAsia="Arial" w:hAnsi="Arial"/>
          <w:sz w:val="18"/>
          <w:szCs w:val="18"/>
          <w:color w:val="FF0000"/>
          <w:strike w:val="1"/>
        </w:rPr>
        <w:t>6.0</w:t>
      </w:r>
      <w:r>
        <w:rPr>
          <w:rFonts w:ascii="Arial" w:cs="Arial" w:eastAsia="Arial" w:hAnsi="Arial"/>
          <w:sz w:val="18"/>
          <w:szCs w:val="18"/>
          <w:u w:val="single" w:color="auto"/>
          <w:color w:val="0000FF"/>
        </w:rPr>
        <w:t>2.0</w:t>
      </w:r>
      <w:r>
        <w:rPr>
          <w:rFonts w:ascii="Arial" w:cs="Arial" w:eastAsia="Arial" w:hAnsi="Arial"/>
          <w:sz w:val="18"/>
          <w:szCs w:val="18"/>
          <w:color w:val="000000"/>
        </w:rPr>
        <w:t>% of Consolidated Total Assets at the time of the receipt of such Designated Non-Cash Consideration, with the Fair Market Value</w:t>
      </w:r>
      <w:r>
        <w:rPr>
          <w:rFonts w:ascii="Arial" w:cs="Arial" w:eastAsia="Arial" w:hAnsi="Arial"/>
          <w:sz w:val="18"/>
          <w:szCs w:val="18"/>
          <w:color w:val="FF0000"/>
        </w:rPr>
        <w:t xml:space="preserve"> </w:t>
      </w:r>
      <w:r>
        <w:rPr>
          <w:rFonts w:ascii="Arial" w:cs="Arial" w:eastAsia="Arial" w:hAnsi="Arial"/>
          <w:sz w:val="18"/>
          <w:szCs w:val="18"/>
          <w:color w:val="000000"/>
        </w:rPr>
        <w:t>of each item of Designated Non-Cash Consideration being measured at the time received and without giving effect to subsequent changes in value,</w:t>
      </w:r>
    </w:p>
    <w:p>
      <w:pPr>
        <w:spacing w:after="0" w:line="11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shall be deemed to be cash for purposes of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this provision and for no other purpose.</w:t>
      </w:r>
    </w:p>
    <w:p>
      <w:pPr>
        <w:spacing w:after="0" w:line="225" w:lineRule="exact"/>
        <w:rPr>
          <w:sz w:val="20"/>
          <w:szCs w:val="20"/>
          <w:color w:val="auto"/>
        </w:rPr>
      </w:pPr>
    </w:p>
    <w:p>
      <w:pPr>
        <w:ind w:left="4" w:right="520" w:firstLine="648"/>
        <w:spacing w:after="0" w:line="277" w:lineRule="auto"/>
        <w:rPr>
          <w:sz w:val="20"/>
          <w:szCs w:val="20"/>
          <w:color w:val="auto"/>
        </w:rPr>
      </w:pPr>
      <w:r>
        <w:rPr>
          <w:rFonts w:ascii="Arial" w:cs="Arial" w:eastAsia="Arial" w:hAnsi="Arial"/>
          <w:sz w:val="18"/>
          <w:szCs w:val="18"/>
          <w:color w:val="auto"/>
        </w:rPr>
        <w:t>Within the Reinvestment Period after Holdings’ or any Restricted Subsidiary’s receipt of the Net Cash Proceeds of any Asset Sale, Holdings or such Restricted Subsidiary shall apply the Net Cash Proceeds from such Asset Sale:</w:t>
      </w:r>
    </w:p>
    <w:p>
      <w:pPr>
        <w:spacing w:after="0" w:line="170" w:lineRule="exact"/>
        <w:rPr>
          <w:sz w:val="20"/>
          <w:szCs w:val="20"/>
          <w:color w:val="auto"/>
        </w:rPr>
      </w:pPr>
    </w:p>
    <w:p>
      <w:pPr>
        <w:ind w:left="1244" w:hanging="353"/>
        <w:spacing w:after="0"/>
        <w:tabs>
          <w:tab w:leader="none" w:pos="124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to prepay Loans or Permitted Other Indebtedness in accordance with </w:t>
      </w:r>
      <w:r>
        <w:rPr>
          <w:rFonts w:ascii="Arial" w:cs="Arial" w:eastAsia="Arial" w:hAnsi="Arial"/>
          <w:sz w:val="18"/>
          <w:szCs w:val="18"/>
          <w:u w:val="single" w:color="auto"/>
          <w:color w:val="auto"/>
        </w:rPr>
        <w:t>Section 5.2(a)(i)</w:t>
      </w:r>
      <w:r>
        <w:rPr>
          <w:rFonts w:ascii="Arial" w:cs="Arial" w:eastAsia="Arial" w:hAnsi="Arial"/>
          <w:sz w:val="18"/>
          <w:szCs w:val="18"/>
          <w:color w:val="auto"/>
        </w:rPr>
        <w:t>; and/or</w:t>
      </w:r>
    </w:p>
    <w:p>
      <w:pPr>
        <w:spacing w:after="0" w:line="225" w:lineRule="exact"/>
        <w:rPr>
          <w:rFonts w:ascii="Arial" w:cs="Arial" w:eastAsia="Arial" w:hAnsi="Arial"/>
          <w:sz w:val="18"/>
          <w:szCs w:val="18"/>
          <w:color w:val="auto"/>
        </w:rPr>
      </w:pPr>
    </w:p>
    <w:p>
      <w:pPr>
        <w:ind w:left="4" w:firstLine="887"/>
        <w:spacing w:after="0" w:line="293" w:lineRule="auto"/>
        <w:tabs>
          <w:tab w:leader="none" w:pos="1295"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to make investments in the Borrower and its Subsidiaries</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u w:val="single" w:color="auto"/>
          <w:color w:val="FF0000"/>
          <w:strike w:val="1"/>
        </w:rPr>
        <w:t>provided</w:t>
      </w:r>
      <w:r>
        <w:rPr>
          <w:rFonts w:ascii="Arial" w:cs="Arial" w:eastAsia="Arial" w:hAnsi="Arial"/>
          <w:sz w:val="16"/>
          <w:szCs w:val="16"/>
          <w:color w:val="auto"/>
        </w:rPr>
        <w:t xml:space="preserve"> </w:t>
      </w:r>
      <w:r>
        <w:rPr>
          <w:rFonts w:ascii="Arial" w:cs="Arial" w:eastAsia="Arial" w:hAnsi="Arial"/>
          <w:sz w:val="16"/>
          <w:szCs w:val="16"/>
          <w:color w:val="FF0000"/>
          <w:strike w:val="1"/>
        </w:rPr>
        <w:t>that Holdings and the Restricted Subsidiaries will be deemed</w:t>
      </w:r>
      <w:r>
        <w:rPr>
          <w:rFonts w:ascii="Arial" w:cs="Arial" w:eastAsia="Arial" w:hAnsi="Arial"/>
          <w:sz w:val="16"/>
          <w:szCs w:val="16"/>
          <w:color w:val="auto"/>
        </w:rPr>
        <w:t xml:space="preserve"> </w:t>
      </w:r>
      <w:r>
        <w:rPr>
          <w:rFonts w:ascii="Arial" w:cs="Arial" w:eastAsia="Arial" w:hAnsi="Arial"/>
          <w:sz w:val="16"/>
          <w:szCs w:val="16"/>
          <w:color w:val="FF0000"/>
          <w:strike w:val="1"/>
        </w:rPr>
        <w:t xml:space="preserve">to have complied with this </w:t>
      </w:r>
      <w:r>
        <w:rPr>
          <w:rFonts w:ascii="Arial" w:cs="Arial" w:eastAsia="Arial" w:hAnsi="Arial"/>
          <w:sz w:val="16"/>
          <w:szCs w:val="16"/>
          <w:u w:val="single" w:color="auto"/>
          <w:color w:val="FF0000"/>
          <w:strike w:val="1"/>
        </w:rPr>
        <w:t>clause (ii)</w:t>
      </w:r>
      <w:r>
        <w:rPr>
          <w:rFonts w:ascii="Arial" w:cs="Arial" w:eastAsia="Arial" w:hAnsi="Arial"/>
          <w:sz w:val="16"/>
          <w:szCs w:val="16"/>
          <w:color w:val="FF0000"/>
          <w:strike w:val="1"/>
        </w:rPr>
        <w:t xml:space="preserve"> if and to the extent that, within the Reinvestment Period after the Asset Sale that generated the Net Cash Proceeds, Holdings or such Restricted Subsidiary has entered into and not abandoned or rejected a binding agreement to consummate any such investment described in this </w:t>
      </w:r>
      <w:r>
        <w:rPr>
          <w:rFonts w:ascii="Arial" w:cs="Arial" w:eastAsia="Arial" w:hAnsi="Arial"/>
          <w:sz w:val="16"/>
          <w:szCs w:val="16"/>
          <w:u w:val="single" w:color="auto"/>
          <w:color w:val="FF0000"/>
          <w:strike w:val="1"/>
        </w:rPr>
        <w:t>clause (ii)</w:t>
      </w:r>
      <w:r>
        <w:rPr>
          <w:rFonts w:ascii="Arial" w:cs="Arial" w:eastAsia="Arial" w:hAnsi="Arial"/>
          <w:sz w:val="16"/>
          <w:szCs w:val="16"/>
          <w:color w:val="FF0000"/>
          <w:strike w:val="1"/>
        </w:rPr>
        <w:t xml:space="preserve"> with the good faith expectation that such Net Cash Proceeds will be applied to satisfy such commitment within 180 days of such commitment and, in the event any such commitment is later cancelled or terminated for any reason before the Net Cash Proceeds are applied in connection therewith, Holdings or such Restricted Subsidiary prepays the Loans in accordance with </w:t>
      </w:r>
      <w:r>
        <w:rPr>
          <w:rFonts w:ascii="Arial" w:cs="Arial" w:eastAsia="Arial" w:hAnsi="Arial"/>
          <w:sz w:val="16"/>
          <w:szCs w:val="16"/>
          <w:u w:val="single" w:color="auto"/>
          <w:color w:val="FF0000"/>
          <w:strike w:val="1"/>
        </w:rPr>
        <w:t>Section 5.2(a)(i)</w:t>
      </w:r>
      <w:r>
        <w:rPr>
          <w:rFonts w:ascii="Arial" w:cs="Arial" w:eastAsia="Arial" w:hAnsi="Arial"/>
          <w:sz w:val="16"/>
          <w:szCs w:val="16"/>
          <w:color w:val="000000"/>
          <w:strike w:val="1"/>
        </w:rPr>
        <w:t>.</w:t>
      </w:r>
    </w:p>
    <w:p>
      <w:pPr>
        <w:spacing w:after="0" w:line="164" w:lineRule="exact"/>
        <w:rPr>
          <w:sz w:val="20"/>
          <w:szCs w:val="20"/>
          <w:color w:val="auto"/>
        </w:rPr>
      </w:pPr>
    </w:p>
    <w:p>
      <w:pPr>
        <w:ind w:left="4" w:right="120" w:firstLine="644"/>
        <w:spacing w:after="0" w:line="286" w:lineRule="auto"/>
        <w:tabs>
          <w:tab w:leader="none" w:pos="1032" w:val="left"/>
        </w:tabs>
        <w:numPr>
          <w:ilvl w:val="0"/>
          <w:numId w:val="182"/>
        </w:numPr>
        <w:rPr>
          <w:rFonts w:ascii="Arial" w:cs="Arial" w:eastAsia="Arial" w:hAnsi="Arial"/>
          <w:sz w:val="17"/>
          <w:szCs w:val="17"/>
          <w:color w:val="auto"/>
        </w:rPr>
      </w:pPr>
      <w:r>
        <w:rPr>
          <w:rFonts w:ascii="Arial" w:cs="Arial" w:eastAsia="Arial" w:hAnsi="Arial"/>
          <w:sz w:val="17"/>
          <w:szCs w:val="17"/>
          <w:color w:val="auto"/>
        </w:rPr>
        <w:t>Pending the final application of any Net Cash Proceeds pursuant to this covenant, Holdings or the applicable Restricted Subsidiary may apply such Net Cash Proceeds temporarily to reduce Indebtedness outstanding under the Revolving Credit Facility or any other revolving credit facility or otherwise invest such Net Cash Proceeds in any manner not prohibited by this Agreement.</w:t>
      </w:r>
    </w:p>
    <w:p>
      <w:pPr>
        <w:spacing w:after="0" w:line="84" w:lineRule="exact"/>
        <w:rPr>
          <w:sz w:val="20"/>
          <w:szCs w:val="20"/>
          <w:color w:val="auto"/>
        </w:rPr>
      </w:pPr>
    </w:p>
    <w:p>
      <w:pPr>
        <w:ind w:left="4"/>
        <w:spacing w:after="0"/>
        <w:tabs>
          <w:tab w:leader="none" w:pos="484"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u w:val="single" w:color="auto"/>
          <w:color w:val="auto"/>
        </w:rPr>
        <w:t>Limitation on Restricted Payments</w:t>
      </w:r>
      <w:r>
        <w:rPr>
          <w:rFonts w:ascii="Arial" w:cs="Arial" w:eastAsia="Arial" w:hAnsi="Arial"/>
          <w:sz w:val="16"/>
          <w:szCs w:val="16"/>
          <w:color w:val="auto"/>
        </w:rPr>
        <w:t>.</w:t>
      </w:r>
    </w:p>
    <w:p>
      <w:pPr>
        <w:spacing w:after="0" w:line="225" w:lineRule="exact"/>
        <w:rPr>
          <w:sz w:val="20"/>
          <w:szCs w:val="20"/>
          <w:color w:val="auto"/>
        </w:rPr>
      </w:pPr>
    </w:p>
    <w:p>
      <w:pPr>
        <w:ind w:left="384" w:hanging="384"/>
        <w:spacing w:after="0"/>
        <w:tabs>
          <w:tab w:leader="none" w:pos="38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Holdings will not, and will not permit any Restricted Subsidiary to, directly or indirectly:</w:t>
      </w:r>
    </w:p>
    <w:p>
      <w:pPr>
        <w:spacing w:after="0" w:line="225" w:lineRule="exact"/>
        <w:rPr>
          <w:rFonts w:ascii="Arial" w:cs="Arial" w:eastAsia="Arial" w:hAnsi="Arial"/>
          <w:sz w:val="18"/>
          <w:szCs w:val="18"/>
          <w:color w:val="auto"/>
        </w:rPr>
      </w:pPr>
    </w:p>
    <w:p>
      <w:pPr>
        <w:ind w:left="4" w:right="340" w:firstLine="644"/>
        <w:spacing w:after="0" w:line="308" w:lineRule="auto"/>
        <w:tabs>
          <w:tab w:leader="none" w:pos="1042" w:val="left"/>
        </w:tabs>
        <w:numPr>
          <w:ilvl w:val="1"/>
          <w:numId w:val="183"/>
        </w:numPr>
        <w:rPr>
          <w:rFonts w:ascii="Arial" w:cs="Arial" w:eastAsia="Arial" w:hAnsi="Arial"/>
          <w:sz w:val="17"/>
          <w:szCs w:val="17"/>
          <w:color w:val="010000"/>
        </w:rPr>
      </w:pPr>
      <w:r>
        <w:rPr>
          <w:rFonts w:ascii="Arial" w:cs="Arial" w:eastAsia="Arial" w:hAnsi="Arial"/>
          <w:sz w:val="17"/>
          <w:szCs w:val="17"/>
          <w:color w:val="auto"/>
        </w:rPr>
        <w:t>declare or pay any dividend or make any payment or distribution on account of Holdings’ or any Restricted Subsidiary’s Equity Interests, including any dividend or distribution payable in connection with any merger or consolidation, other than:</w:t>
      </w:r>
    </w:p>
    <w:p>
      <w:pPr>
        <w:spacing w:after="0" w:line="200" w:lineRule="exact"/>
        <w:rPr>
          <w:sz w:val="20"/>
          <w:szCs w:val="20"/>
          <w:color w:val="auto"/>
        </w:rPr>
      </w:pPr>
    </w:p>
    <w:p>
      <w:pPr>
        <w:spacing w:after="0" w:line="378" w:lineRule="exact"/>
        <w:rPr>
          <w:sz w:val="20"/>
          <w:szCs w:val="20"/>
          <w:color w:val="auto"/>
        </w:rPr>
      </w:pPr>
    </w:p>
    <w:p>
      <w:pPr>
        <w:ind w:left="4784"/>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564"/>
          </w:cols>
          <w:pgMar w:left="976" w:top="341" w:right="359" w:bottom="1440" w:gutter="0" w:footer="0" w:header="0"/>
        </w:sectPr>
      </w:pPr>
    </w:p>
    <w:bookmarkStart w:id="200" w:name="page201"/>
    <w:bookmarkEnd w:id="200"/>
    <w:p>
      <w:pPr>
        <w:ind w:left="1300" w:right="540" w:firstLine="652"/>
        <w:spacing w:after="0" w:line="277" w:lineRule="auto"/>
        <w:tabs>
          <w:tab w:leader="none" w:pos="2378" w:val="left"/>
        </w:tabs>
        <w:numPr>
          <w:ilvl w:val="1"/>
          <w:numId w:val="184"/>
        </w:numPr>
        <w:rPr>
          <w:rFonts w:ascii="Arial" w:cs="Arial" w:eastAsia="Arial" w:hAnsi="Arial"/>
          <w:sz w:val="18"/>
          <w:szCs w:val="18"/>
          <w:color w:val="auto"/>
        </w:rPr>
      </w:pPr>
      <w:r>
        <w:rPr>
          <w:rFonts w:ascii="Arial" w:cs="Arial" w:eastAsia="Arial" w:hAnsi="Arial"/>
          <w:sz w:val="18"/>
          <w:szCs w:val="18"/>
          <w:color w:val="auto"/>
        </w:rPr>
        <w:t>dividends or distributions by Holdings payable in Equity Interests (other than Disqualified Stock) of Holdings or in options, warrants or other rights to purchase such Equity Interests, or</w:t>
      </w:r>
    </w:p>
    <w:p>
      <w:pPr>
        <w:spacing w:after="0" w:line="89" w:lineRule="exact"/>
        <w:rPr>
          <w:rFonts w:ascii="Arial" w:cs="Arial" w:eastAsia="Arial" w:hAnsi="Arial"/>
          <w:sz w:val="18"/>
          <w:szCs w:val="18"/>
          <w:color w:val="auto"/>
        </w:rPr>
      </w:pPr>
    </w:p>
    <w:p>
      <w:pPr>
        <w:ind w:left="1300" w:firstLine="652"/>
        <w:spacing w:after="0" w:line="259" w:lineRule="auto"/>
        <w:tabs>
          <w:tab w:leader="none" w:pos="2368" w:val="left"/>
        </w:tabs>
        <w:numPr>
          <w:ilvl w:val="1"/>
          <w:numId w:val="184"/>
        </w:numPr>
        <w:rPr>
          <w:rFonts w:ascii="Arial" w:cs="Arial" w:eastAsia="Arial" w:hAnsi="Arial"/>
          <w:sz w:val="18"/>
          <w:szCs w:val="18"/>
          <w:color w:val="auto"/>
        </w:rPr>
      </w:pPr>
      <w:r>
        <w:rPr>
          <w:rFonts w:ascii="Arial" w:cs="Arial" w:eastAsia="Arial" w:hAnsi="Arial"/>
          <w:sz w:val="18"/>
          <w:szCs w:val="18"/>
          <w:color w:val="auto"/>
        </w:rPr>
        <w:t>dividends or distributions by a Restricted Subsidiary so long as, in the case of any dividend or distribution payable on or in respect of any class or series of securities issued by a Subsidiary other than a Wholly-Owned Subsidiary, Holdings or a Restricted Subsidiary receives at least its pro rata share of such dividend or distribution in accordance with its Equity Interests in such class or series of securities;</w:t>
      </w:r>
    </w:p>
    <w:p>
      <w:pPr>
        <w:spacing w:after="0" w:line="105" w:lineRule="exact"/>
        <w:rPr>
          <w:rFonts w:ascii="Arial" w:cs="Arial" w:eastAsia="Arial" w:hAnsi="Arial"/>
          <w:sz w:val="18"/>
          <w:szCs w:val="18"/>
          <w:color w:val="auto"/>
        </w:rPr>
      </w:pPr>
    </w:p>
    <w:p>
      <w:pPr>
        <w:ind w:left="660" w:right="200" w:firstLine="644"/>
        <w:spacing w:after="0" w:line="277" w:lineRule="auto"/>
        <w:tabs>
          <w:tab w:leader="none" w:pos="1698" w:val="left"/>
        </w:tabs>
        <w:numPr>
          <w:ilvl w:val="0"/>
          <w:numId w:val="185"/>
        </w:numPr>
        <w:rPr>
          <w:rFonts w:ascii="Arial" w:cs="Arial" w:eastAsia="Arial" w:hAnsi="Arial"/>
          <w:sz w:val="18"/>
          <w:szCs w:val="18"/>
          <w:color w:val="010000"/>
        </w:rPr>
      </w:pPr>
      <w:r>
        <w:rPr>
          <w:rFonts w:ascii="Arial" w:cs="Arial" w:eastAsia="Arial" w:hAnsi="Arial"/>
          <w:sz w:val="18"/>
          <w:szCs w:val="18"/>
          <w:color w:val="auto"/>
        </w:rPr>
        <w:t>purchase, redeem, defease or otherwise acquire or retire for value any Equity Interests of Holdings or any direct or indirect parent company of Holdings, including in connection with any merger or consolidation;</w:t>
      </w:r>
    </w:p>
    <w:p>
      <w:pPr>
        <w:spacing w:after="0" w:line="170" w:lineRule="exact"/>
        <w:rPr>
          <w:rFonts w:ascii="Arial" w:cs="Arial" w:eastAsia="Arial" w:hAnsi="Arial"/>
          <w:sz w:val="18"/>
          <w:szCs w:val="18"/>
          <w:color w:val="010000"/>
        </w:rPr>
      </w:pPr>
    </w:p>
    <w:p>
      <w:pPr>
        <w:ind w:left="660" w:right="20" w:firstLine="644"/>
        <w:spacing w:after="0" w:line="257" w:lineRule="auto"/>
        <w:tabs>
          <w:tab w:leader="none" w:pos="1698" w:val="left"/>
        </w:tabs>
        <w:numPr>
          <w:ilvl w:val="0"/>
          <w:numId w:val="185"/>
        </w:numPr>
        <w:rPr>
          <w:rFonts w:ascii="Arial" w:cs="Arial" w:eastAsia="Arial" w:hAnsi="Arial"/>
          <w:sz w:val="18"/>
          <w:szCs w:val="18"/>
          <w:color w:val="010000"/>
        </w:rPr>
      </w:pPr>
      <w:r>
        <w:rPr>
          <w:rFonts w:ascii="Arial" w:cs="Arial" w:eastAsia="Arial" w:hAnsi="Arial"/>
          <w:sz w:val="18"/>
          <w:szCs w:val="18"/>
          <w:color w:val="auto"/>
        </w:rPr>
        <w:t xml:space="preserve">make any principal payment on, or redeem, repurchase, defease or otherwise acquire or retire for value in each case, prior to any scheduled repayment, sinking fund payment or maturity, any Junior Debt of Holdings or any Restricted Subsidiary </w:t>
      </w:r>
      <w:r>
        <w:rPr>
          <w:rFonts w:ascii="Arial" w:cs="Arial" w:eastAsia="Arial" w:hAnsi="Arial"/>
          <w:sz w:val="18"/>
          <w:szCs w:val="18"/>
          <w:u w:val="single" w:color="auto"/>
          <w:color w:val="0000FF"/>
        </w:rPr>
        <w:t>or any Permitted Convertible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Indebtedness</w:t>
      </w:r>
      <w:r>
        <w:rPr>
          <w:rFonts w:ascii="Arial" w:cs="Arial" w:eastAsia="Arial" w:hAnsi="Arial"/>
          <w:sz w:val="18"/>
          <w:szCs w:val="18"/>
          <w:color w:val="000000"/>
        </w:rPr>
        <w:t>, other than (A) Indebtedness permitted under</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clauses (g)</w:t>
      </w:r>
      <w:r>
        <w:rPr>
          <w:rFonts w:ascii="Arial" w:cs="Arial" w:eastAsia="Arial" w:hAnsi="Arial"/>
          <w:sz w:val="18"/>
          <w:szCs w:val="18"/>
          <w:color w:val="0000FF"/>
        </w:rPr>
        <w:t xml:space="preserve"> </w:t>
      </w:r>
      <w:r>
        <w:rPr>
          <w:rFonts w:ascii="Arial" w:cs="Arial" w:eastAsia="Arial" w:hAnsi="Arial"/>
          <w:sz w:val="18"/>
          <w:szCs w:val="18"/>
          <w:color w:val="000000"/>
        </w:rPr>
        <w:t>and</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(h)</w:t>
      </w:r>
      <w:r>
        <w:rPr>
          <w:rFonts w:ascii="Arial" w:cs="Arial" w:eastAsia="Arial" w:hAnsi="Arial"/>
          <w:sz w:val="18"/>
          <w:szCs w:val="18"/>
          <w:color w:val="0000FF"/>
        </w:rPr>
        <w:t xml:space="preserve"> </w:t>
      </w:r>
      <w:r>
        <w:rPr>
          <w:rFonts w:ascii="Arial" w:cs="Arial" w:eastAsia="Arial" w:hAnsi="Arial"/>
          <w:sz w:val="18"/>
          <w:szCs w:val="18"/>
          <w:color w:val="000000"/>
        </w:rPr>
        <w:t>of</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Section 10.1</w:t>
      </w:r>
      <w:r>
        <w:rPr>
          <w:rFonts w:ascii="Arial" w:cs="Arial" w:eastAsia="Arial" w:hAnsi="Arial"/>
          <w:sz w:val="18"/>
          <w:szCs w:val="18"/>
          <w:color w:val="0000FF"/>
        </w:rPr>
        <w:t xml:space="preserve"> </w:t>
      </w:r>
      <w:r>
        <w:rPr>
          <w:rFonts w:ascii="Arial" w:cs="Arial" w:eastAsia="Arial" w:hAnsi="Arial"/>
          <w:sz w:val="18"/>
          <w:szCs w:val="18"/>
          <w:color w:val="000000"/>
        </w:rPr>
        <w:t>or (B) the purchase, repurchase or other acquisition</w:t>
      </w:r>
      <w:r>
        <w:rPr>
          <w:rFonts w:ascii="Arial" w:cs="Arial" w:eastAsia="Arial" w:hAnsi="Arial"/>
          <w:sz w:val="18"/>
          <w:szCs w:val="18"/>
          <w:color w:val="0000FF"/>
        </w:rPr>
        <w:t xml:space="preserve"> </w:t>
      </w:r>
      <w:r>
        <w:rPr>
          <w:rFonts w:ascii="Arial" w:cs="Arial" w:eastAsia="Arial" w:hAnsi="Arial"/>
          <w:sz w:val="18"/>
          <w:szCs w:val="18"/>
          <w:color w:val="000000"/>
        </w:rPr>
        <w:t>of Junior Debt purchased in anticipation of satisfying a sinking fund obligation, principal installment or final maturity, in each case due within one year of the date of purchase, repurchase or acquisition; or</w:t>
      </w:r>
    </w:p>
    <w:p>
      <w:pPr>
        <w:spacing w:after="0" w:line="187" w:lineRule="exact"/>
        <w:rPr>
          <w:rFonts w:ascii="Arial" w:cs="Arial" w:eastAsia="Arial" w:hAnsi="Arial"/>
          <w:sz w:val="18"/>
          <w:szCs w:val="18"/>
          <w:color w:val="010000"/>
        </w:rPr>
      </w:pPr>
    </w:p>
    <w:p>
      <w:pPr>
        <w:ind w:left="1700" w:hanging="396"/>
        <w:spacing w:after="0"/>
        <w:tabs>
          <w:tab w:leader="none" w:pos="1700" w:val="left"/>
        </w:tabs>
        <w:numPr>
          <w:ilvl w:val="0"/>
          <w:numId w:val="185"/>
        </w:numPr>
        <w:rPr>
          <w:rFonts w:ascii="Arial" w:cs="Arial" w:eastAsia="Arial" w:hAnsi="Arial"/>
          <w:sz w:val="18"/>
          <w:szCs w:val="18"/>
          <w:color w:val="010000"/>
        </w:rPr>
      </w:pPr>
      <w:r>
        <w:rPr>
          <w:rFonts w:ascii="Arial" w:cs="Arial" w:eastAsia="Arial" w:hAnsi="Arial"/>
          <w:sz w:val="18"/>
          <w:szCs w:val="18"/>
          <w:color w:val="auto"/>
        </w:rPr>
        <w:t>make any Restricted Investment;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(all such payments and other actions set forth in </w:t>
      </w:r>
      <w:r>
        <w:rPr>
          <w:rFonts w:ascii="Arial" w:cs="Arial" w:eastAsia="Arial" w:hAnsi="Arial"/>
          <w:sz w:val="17"/>
          <w:szCs w:val="17"/>
          <w:u w:val="single" w:color="auto"/>
          <w:color w:val="auto"/>
        </w:rPr>
        <w:t>clauses (1)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(4)</w:t>
      </w:r>
      <w:r>
        <w:rPr>
          <w:rFonts w:ascii="Arial" w:cs="Arial" w:eastAsia="Arial" w:hAnsi="Arial"/>
          <w:sz w:val="17"/>
          <w:szCs w:val="17"/>
          <w:color w:val="auto"/>
        </w:rPr>
        <w:t xml:space="preserve"> above (other than any exception thereto) being collectively referred to as</w:t>
      </w:r>
    </w:p>
    <w:p>
      <w:pPr>
        <w:spacing w:after="0" w:line="35"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Payments</w:t>
      </w:r>
      <w:r>
        <w:rPr>
          <w:rFonts w:ascii="Arial" w:cs="Arial" w:eastAsia="Arial" w:hAnsi="Arial"/>
          <w:sz w:val="18"/>
          <w:szCs w:val="18"/>
          <w:color w:val="auto"/>
        </w:rPr>
        <w:t>”), unless</w:t>
      </w:r>
      <w:r>
        <w:rPr>
          <w:rFonts w:ascii="Arial" w:cs="Arial" w:eastAsia="Arial" w:hAnsi="Arial"/>
          <w:sz w:val="18"/>
          <w:szCs w:val="18"/>
          <w:u w:val="single" w:color="auto"/>
          <w:color w:val="0000FF"/>
        </w:rPr>
        <w:t>, such Restricted Payment is after the termination of the Additional Restrictions Period and</w:t>
      </w:r>
      <w:r>
        <w:rPr>
          <w:rFonts w:ascii="Arial" w:cs="Arial" w:eastAsia="Arial" w:hAnsi="Arial"/>
          <w:sz w:val="18"/>
          <w:szCs w:val="18"/>
          <w:color w:val="auto"/>
        </w:rPr>
        <w:t>, at the time of such Restricted Payment:</w:t>
      </w:r>
    </w:p>
    <w:p>
      <w:pPr>
        <w:spacing w:after="0" w:line="104" w:lineRule="exact"/>
        <w:rPr>
          <w:sz w:val="20"/>
          <w:szCs w:val="20"/>
          <w:color w:val="auto"/>
        </w:rPr>
      </w:pPr>
    </w:p>
    <w:p>
      <w:pPr>
        <w:ind w:left="660" w:firstLine="887"/>
        <w:spacing w:after="0" w:line="286" w:lineRule="auto"/>
        <w:tabs>
          <w:tab w:leader="none" w:pos="1901" w:val="left"/>
        </w:tabs>
        <w:numPr>
          <w:ilvl w:val="0"/>
          <w:numId w:val="186"/>
        </w:numPr>
        <w:rPr>
          <w:rFonts w:ascii="Arial" w:cs="Arial" w:eastAsia="Arial" w:hAnsi="Arial"/>
          <w:sz w:val="17"/>
          <w:szCs w:val="17"/>
          <w:color w:val="auto"/>
        </w:rPr>
      </w:pPr>
      <w:r>
        <w:rPr>
          <w:rFonts w:ascii="Arial" w:cs="Arial" w:eastAsia="Arial" w:hAnsi="Arial"/>
          <w:sz w:val="17"/>
          <w:szCs w:val="17"/>
          <w:color w:val="auto"/>
        </w:rPr>
        <w:t>no Event of Default shall have occurred and be continuing or would occur as a consequence thereof (or in the case of a Restricted Investment, no Event of Default under S</w:t>
      </w:r>
      <w:r>
        <w:rPr>
          <w:rFonts w:ascii="Arial" w:cs="Arial" w:eastAsia="Arial" w:hAnsi="Arial"/>
          <w:sz w:val="17"/>
          <w:szCs w:val="17"/>
          <w:u w:val="single" w:color="auto"/>
          <w:color w:val="auto"/>
        </w:rPr>
        <w:t>ection 11.1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11.5</w:t>
      </w:r>
      <w:r>
        <w:rPr>
          <w:rFonts w:ascii="Arial" w:cs="Arial" w:eastAsia="Arial" w:hAnsi="Arial"/>
          <w:sz w:val="17"/>
          <w:szCs w:val="17"/>
          <w:color w:val="auto"/>
        </w:rPr>
        <w:t xml:space="preserve"> shall have occurred and be continuing or would occur as a consequence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condition shall not apply to amounts attributable to subclause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below;</w:t>
      </w:r>
    </w:p>
    <w:p>
      <w:pPr>
        <w:spacing w:after="0" w:line="165" w:lineRule="exact"/>
        <w:rPr>
          <w:rFonts w:ascii="Arial" w:cs="Arial" w:eastAsia="Arial" w:hAnsi="Arial"/>
          <w:sz w:val="17"/>
          <w:szCs w:val="17"/>
          <w:color w:val="auto"/>
        </w:rPr>
      </w:pPr>
    </w:p>
    <w:p>
      <w:pPr>
        <w:ind w:left="660" w:right="80" w:firstLine="887"/>
        <w:spacing w:after="0" w:line="259" w:lineRule="auto"/>
        <w:tabs>
          <w:tab w:leader="none" w:pos="1951"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except in the case of a Restricted Investment, immediately after giving effect to such transaction on a pro forma basis, </w:t>
      </w:r>
      <w:r>
        <w:rPr>
          <w:rFonts w:ascii="Arial" w:cs="Arial" w:eastAsia="Arial" w:hAnsi="Arial"/>
          <w:sz w:val="18"/>
          <w:szCs w:val="18"/>
          <w:color w:val="FF0000"/>
          <w:strike w:val="1"/>
        </w:rPr>
        <w:t>Holdings</w:t>
      </w:r>
      <w:r>
        <w:rPr>
          <w:rFonts w:ascii="Arial" w:cs="Arial" w:eastAsia="Arial" w:hAnsi="Arial"/>
          <w:sz w:val="18"/>
          <w:szCs w:val="18"/>
          <w:color w:val="auto"/>
        </w:rPr>
        <w:t xml:space="preserve"> </w:t>
      </w:r>
      <w:r>
        <w:rPr>
          <w:rFonts w:ascii="Arial" w:cs="Arial" w:eastAsia="Arial" w:hAnsi="Arial"/>
          <w:sz w:val="18"/>
          <w:szCs w:val="18"/>
          <w:color w:val="FF0000"/>
          <w:strike w:val="1"/>
        </w:rPr>
        <w:t xml:space="preserve">could incur $1.00 of additional Indebtedness under the provisions of the first paragraph of </w:t>
      </w:r>
      <w:r>
        <w:rPr>
          <w:rFonts w:ascii="Arial" w:cs="Arial" w:eastAsia="Arial" w:hAnsi="Arial"/>
          <w:sz w:val="18"/>
          <w:szCs w:val="18"/>
          <w:u w:val="single" w:color="auto"/>
          <w:color w:val="FF0000"/>
          <w:strike w:val="1"/>
        </w:rPr>
        <w:t>Section 10.1</w:t>
      </w:r>
      <w:r>
        <w:rPr>
          <w:rFonts w:ascii="Arial" w:cs="Arial" w:eastAsia="Arial" w:hAnsi="Arial"/>
          <w:sz w:val="18"/>
          <w:szCs w:val="18"/>
          <w:u w:val="single" w:color="auto"/>
          <w:color w:val="0000FF"/>
          <w:strike w:val="1"/>
        </w:rPr>
        <w:t>the Consolidated Total Debt to</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Consolidated EBITDA Ratio would not exceed 3.75 to 1.00</w:t>
      </w:r>
      <w:r>
        <w:rPr>
          <w:rFonts w:ascii="Arial" w:cs="Arial" w:eastAsia="Arial" w:hAnsi="Arial"/>
          <w:sz w:val="18"/>
          <w:szCs w:val="18"/>
          <w:color w:val="000000"/>
          <w:strike w:val="1"/>
        </w:rPr>
        <w:t>;</w:t>
      </w:r>
      <w:r>
        <w:rPr>
          <w:rFonts w:ascii="Arial" w:cs="Arial" w:eastAsia="Arial" w:hAnsi="Arial"/>
          <w:sz w:val="18"/>
          <w:szCs w:val="18"/>
          <w:color w:val="0000FF"/>
          <w:strike w:val="1"/>
        </w:rPr>
        <w:t xml:space="preserve"> </w:t>
      </w:r>
      <w:r>
        <w:rPr>
          <w:rFonts w:ascii="Arial" w:cs="Arial" w:eastAsia="Arial" w:hAnsi="Arial"/>
          <w:sz w:val="18"/>
          <w:szCs w:val="18"/>
          <w:u w:val="single" w:color="auto"/>
          <w:color w:val="000000"/>
          <w:strike w:val="1"/>
        </w:rPr>
        <w:t>provided</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that the foregoing condition shall not apply to amounts attributable to</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 xml:space="preserve">subclause </w:t>
      </w:r>
      <w:r>
        <w:rPr>
          <w:rFonts w:ascii="Arial" w:cs="Arial" w:eastAsia="Arial" w:hAnsi="Arial"/>
          <w:sz w:val="18"/>
          <w:szCs w:val="18"/>
          <w:u w:val="single" w:color="auto"/>
          <w:color w:val="000000"/>
          <w:strike w:val="1"/>
        </w:rPr>
        <w:t>(B)</w:t>
      </w:r>
      <w:r>
        <w:rPr>
          <w:rFonts w:ascii="Arial" w:cs="Arial" w:eastAsia="Arial" w:hAnsi="Arial"/>
          <w:sz w:val="18"/>
          <w:szCs w:val="18"/>
          <w:color w:val="000000"/>
          <w:strike w:val="1"/>
        </w:rPr>
        <w:t xml:space="preserve"> of </w:t>
      </w:r>
      <w:r>
        <w:rPr>
          <w:rFonts w:ascii="Arial" w:cs="Arial" w:eastAsia="Arial" w:hAnsi="Arial"/>
          <w:sz w:val="18"/>
          <w:szCs w:val="18"/>
          <w:u w:val="single" w:color="auto"/>
          <w:color w:val="000000"/>
          <w:strike w:val="1"/>
        </w:rPr>
        <w:t>clause (iii)</w:t>
      </w:r>
      <w:r>
        <w:rPr>
          <w:rFonts w:ascii="Arial" w:cs="Arial" w:eastAsia="Arial" w:hAnsi="Arial"/>
          <w:sz w:val="18"/>
          <w:szCs w:val="18"/>
          <w:color w:val="000000"/>
          <w:strike w:val="1"/>
        </w:rPr>
        <w:t xml:space="preserve"> below; and</w:t>
      </w:r>
    </w:p>
    <w:p>
      <w:pPr>
        <w:spacing w:after="0" w:line="186" w:lineRule="exact"/>
        <w:rPr>
          <w:rFonts w:ascii="Arial" w:cs="Arial" w:eastAsia="Arial" w:hAnsi="Arial"/>
          <w:sz w:val="18"/>
          <w:szCs w:val="18"/>
          <w:color w:val="auto"/>
        </w:rPr>
      </w:pPr>
    </w:p>
    <w:p>
      <w:pPr>
        <w:ind w:left="660" w:right="160" w:firstLine="887"/>
        <w:spacing w:after="0" w:line="279" w:lineRule="auto"/>
        <w:tabs>
          <w:tab w:leader="none" w:pos="2001" w:val="left"/>
        </w:tabs>
        <w:numPr>
          <w:ilvl w:val="0"/>
          <w:numId w:val="186"/>
        </w:numPr>
        <w:rPr>
          <w:rFonts w:ascii="Arial" w:cs="Arial" w:eastAsia="Arial" w:hAnsi="Arial"/>
          <w:sz w:val="17"/>
          <w:szCs w:val="17"/>
          <w:color w:val="auto"/>
        </w:rPr>
      </w:pPr>
      <w:r>
        <w:rPr>
          <w:rFonts w:ascii="Arial" w:cs="Arial" w:eastAsia="Arial" w:hAnsi="Arial"/>
          <w:sz w:val="17"/>
          <w:szCs w:val="17"/>
          <w:color w:val="auto"/>
        </w:rPr>
        <w:t xml:space="preserve">such Restricted Payment, together with the aggregate amount of all other Restricted Payments made by Holdings and the Restricted Subsidiaries after the Restatement Effective Date (including Restricted Payments permitted by </w:t>
      </w:r>
      <w:r>
        <w:rPr>
          <w:rFonts w:ascii="Arial" w:cs="Arial" w:eastAsia="Arial" w:hAnsi="Arial"/>
          <w:sz w:val="17"/>
          <w:szCs w:val="17"/>
          <w:u w:val="single" w:color="auto"/>
          <w:color w:val="auto"/>
        </w:rPr>
        <w:t>clauses (1)</w:t>
      </w:r>
      <w:r>
        <w:rPr>
          <w:rFonts w:ascii="Arial" w:cs="Arial" w:eastAsia="Arial" w:hAnsi="Arial"/>
          <w:sz w:val="17"/>
          <w:szCs w:val="17"/>
          <w:color w:val="auto"/>
        </w:rPr>
        <w:t xml:space="preserve">, </w:t>
      </w:r>
      <w:r>
        <w:rPr>
          <w:rFonts w:ascii="Arial" w:cs="Arial" w:eastAsia="Arial" w:hAnsi="Arial"/>
          <w:sz w:val="17"/>
          <w:szCs w:val="17"/>
          <w:u w:val="single" w:color="auto"/>
          <w:color w:val="auto"/>
        </w:rPr>
        <w:t>(2)</w:t>
      </w:r>
      <w:r>
        <w:rPr>
          <w:rFonts w:ascii="Arial" w:cs="Arial" w:eastAsia="Arial" w:hAnsi="Arial"/>
          <w:sz w:val="17"/>
          <w:szCs w:val="17"/>
          <w:color w:val="auto"/>
        </w:rPr>
        <w:t xml:space="preserve"> (with respect to the payment of dividends on Refunding Capital Stock pursuant to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thereof only), </w:t>
      </w:r>
      <w:r>
        <w:rPr>
          <w:rFonts w:ascii="Arial" w:cs="Arial" w:eastAsia="Arial" w:hAnsi="Arial"/>
          <w:sz w:val="17"/>
          <w:szCs w:val="17"/>
          <w:u w:val="single" w:color="auto"/>
          <w:color w:val="auto"/>
        </w:rPr>
        <w:t>(6)(C)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10.5(b)</w:t>
      </w:r>
      <w:r>
        <w:rPr>
          <w:rFonts w:ascii="Arial" w:cs="Arial" w:eastAsia="Arial" w:hAnsi="Arial"/>
          <w:sz w:val="17"/>
          <w:szCs w:val="17"/>
          <w:color w:val="auto"/>
        </w:rPr>
        <w:t xml:space="preserve"> below, but excluding all other Restricted Payments permitted by </w:t>
      </w:r>
      <w:r>
        <w:rPr>
          <w:rFonts w:ascii="Arial" w:cs="Arial" w:eastAsia="Arial" w:hAnsi="Arial"/>
          <w:sz w:val="17"/>
          <w:szCs w:val="17"/>
          <w:u w:val="single" w:color="auto"/>
          <w:color w:val="auto"/>
        </w:rPr>
        <w:t>Section 10.5(b)</w:t>
      </w:r>
      <w:r>
        <w:rPr>
          <w:rFonts w:ascii="Arial" w:cs="Arial" w:eastAsia="Arial" w:hAnsi="Arial"/>
          <w:sz w:val="17"/>
          <w:szCs w:val="17"/>
          <w:color w:val="auto"/>
        </w:rPr>
        <w:t>), is less than the sum of (without duplication):</w:t>
      </w:r>
    </w:p>
    <w:p>
      <w:pPr>
        <w:spacing w:after="0" w:line="171" w:lineRule="exact"/>
        <w:rPr>
          <w:rFonts w:ascii="Arial" w:cs="Arial" w:eastAsia="Arial" w:hAnsi="Arial"/>
          <w:sz w:val="17"/>
          <w:szCs w:val="17"/>
          <w:color w:val="auto"/>
        </w:rPr>
      </w:pPr>
    </w:p>
    <w:p>
      <w:pPr>
        <w:ind w:left="1300" w:right="240" w:firstLine="652"/>
        <w:spacing w:after="0" w:line="259" w:lineRule="auto"/>
        <w:tabs>
          <w:tab w:leader="none" w:pos="2378" w:val="left"/>
        </w:tabs>
        <w:numPr>
          <w:ilvl w:val="1"/>
          <w:numId w:val="186"/>
        </w:numPr>
        <w:rPr>
          <w:rFonts w:ascii="Arial" w:cs="Arial" w:eastAsia="Arial" w:hAnsi="Arial"/>
          <w:sz w:val="18"/>
          <w:szCs w:val="18"/>
          <w:color w:val="auto"/>
        </w:rPr>
      </w:pPr>
      <w:r>
        <w:rPr>
          <w:rFonts w:ascii="Arial" w:cs="Arial" w:eastAsia="Arial" w:hAnsi="Arial"/>
          <w:sz w:val="18"/>
          <w:szCs w:val="18"/>
          <w:color w:val="auto"/>
        </w:rPr>
        <w:t xml:space="preserve">the Consolidated EBITDA for the period (taken as one accounting period) from the first day of the fiscal quarter during which the Restatement Effective Date occurs to the end of Holdings’ most recently ended fiscal quarter for which internal financial statements are available at the time of such Restricted Payment less the product of 1.5 times Holdings’ Fixed Charges for such period, </w:t>
      </w:r>
      <w:r>
        <w:rPr>
          <w:rFonts w:ascii="Arial" w:cs="Arial" w:eastAsia="Arial" w:hAnsi="Arial"/>
          <w:sz w:val="18"/>
          <w:szCs w:val="18"/>
          <w:i w:val="1"/>
          <w:iCs w:val="1"/>
          <w:color w:val="auto"/>
        </w:rPr>
        <w:t>plus</w:t>
      </w:r>
    </w:p>
    <w:p>
      <w:pPr>
        <w:spacing w:after="0" w:line="132" w:lineRule="exact"/>
        <w:rPr>
          <w:rFonts w:ascii="Arial" w:cs="Arial" w:eastAsia="Arial" w:hAnsi="Arial"/>
          <w:sz w:val="18"/>
          <w:szCs w:val="18"/>
          <w:color w:val="auto"/>
        </w:rPr>
      </w:pPr>
    </w:p>
    <w:p>
      <w:pPr>
        <w:ind w:left="1300" w:right="80" w:firstLine="652"/>
        <w:spacing w:after="0" w:line="277" w:lineRule="auto"/>
        <w:tabs>
          <w:tab w:leader="none" w:pos="2368" w:val="left"/>
        </w:tabs>
        <w:numPr>
          <w:ilvl w:val="1"/>
          <w:numId w:val="186"/>
        </w:numPr>
        <w:rPr>
          <w:rFonts w:ascii="Arial" w:cs="Arial" w:eastAsia="Arial" w:hAnsi="Arial"/>
          <w:sz w:val="18"/>
          <w:szCs w:val="18"/>
          <w:color w:val="auto"/>
        </w:rPr>
      </w:pPr>
      <w:r>
        <w:rPr>
          <w:rFonts w:ascii="Arial" w:cs="Arial" w:eastAsia="Arial" w:hAnsi="Arial"/>
          <w:sz w:val="18"/>
          <w:szCs w:val="18"/>
          <w:color w:val="auto"/>
        </w:rPr>
        <w:t>100% of the aggregate net cash proceeds and the Fair Market Value of marketable securities or other property received by Holdings since immediately after the</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320" w:top="341" w:right="359" w:bottom="1440" w:gutter="0" w:footer="0" w:header="0"/>
        </w:sectPr>
      </w:pPr>
    </w:p>
    <w:bookmarkStart w:id="201" w:name="page202"/>
    <w:bookmarkEnd w:id="201"/>
    <w:p>
      <w:pPr>
        <w:ind w:left="644"/>
        <w:spacing w:after="0" w:line="286" w:lineRule="auto"/>
        <w:rPr>
          <w:sz w:val="20"/>
          <w:szCs w:val="20"/>
          <w:color w:val="auto"/>
        </w:rPr>
      </w:pPr>
      <w:r>
        <w:rPr>
          <w:rFonts w:ascii="Arial" w:cs="Arial" w:eastAsia="Arial" w:hAnsi="Arial"/>
          <w:sz w:val="16"/>
          <w:szCs w:val="16"/>
          <w:color w:val="auto"/>
        </w:rPr>
        <w:t xml:space="preserve">Restatement Effective Date (other than net cash proceeds from Cure Amounts or to the extent such net cash proceeds have been used to incur Indebtedness, Disqualified Stock or preferred stock pursuant to </w:t>
      </w:r>
      <w:r>
        <w:rPr>
          <w:rFonts w:ascii="Arial" w:cs="Arial" w:eastAsia="Arial" w:hAnsi="Arial"/>
          <w:sz w:val="16"/>
          <w:szCs w:val="16"/>
          <w:u w:val="single" w:color="auto"/>
          <w:color w:val="auto"/>
        </w:rPr>
        <w:t>clause (l)(i)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from the issue or sale of (x) Equity Interests of Holdings, including Retired Capital Stock, but excluding cash proceeds and the Fair Market Value of marketable securities or other property received from the sale of (A) Equity Interests to any employee, director, manager or consultant of Holdings, any direct or indirect parent company of Holdings and Holdings’ Subsidiaries after the Restatement Effective Date to the extent such amounts have been applied to Restricted Payments made in accordance with </w:t>
      </w:r>
      <w:r>
        <w:rPr>
          <w:rFonts w:ascii="Arial" w:cs="Arial" w:eastAsia="Arial" w:hAnsi="Arial"/>
          <w:sz w:val="16"/>
          <w:szCs w:val="16"/>
          <w:u w:val="single" w:color="auto"/>
          <w:color w:val="auto"/>
        </w:rPr>
        <w:t>clause (4)</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10.5(b)</w:t>
      </w:r>
      <w:r>
        <w:rPr>
          <w:rFonts w:ascii="Arial" w:cs="Arial" w:eastAsia="Arial" w:hAnsi="Arial"/>
          <w:sz w:val="16"/>
          <w:szCs w:val="16"/>
          <w:color w:val="auto"/>
        </w:rPr>
        <w:t xml:space="preserve"> below, and (B) Designated Preferred Stock, and, to the extent such net cash proceeds are actually contributed to Holdings, Equity Interests of any direct or indirect parent company of Holdings (excluding contributions of the proceeds from the sale of Designated Preferred Stock of such companies or contributions to the extent such amounts have been applied to Restricted Payments made in accordance with </w:t>
      </w:r>
      <w:r>
        <w:rPr>
          <w:rFonts w:ascii="Arial" w:cs="Arial" w:eastAsia="Arial" w:hAnsi="Arial"/>
          <w:sz w:val="16"/>
          <w:szCs w:val="16"/>
          <w:u w:val="single" w:color="auto"/>
          <w:color w:val="auto"/>
        </w:rPr>
        <w:t>clause (4)</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10.5(b)</w:t>
      </w:r>
      <w:r>
        <w:rPr>
          <w:rFonts w:ascii="Arial" w:cs="Arial" w:eastAsia="Arial" w:hAnsi="Arial"/>
          <w:sz w:val="16"/>
          <w:szCs w:val="16"/>
          <w:color w:val="auto"/>
        </w:rPr>
        <w:t xml:space="preserve"> below) or (y) Indebtedness of Holdings or a Restricted Subsidiary that has been converted into or exchanged for such Equity Interests of Holdings or any direct or indirect parent company of Holdings;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shall not include the proceeds from (a) Refunding Capital Stock, (b) Equity Interests or Indebtedness that has been converted or exchanged for Equity Interests of Holdings sold to a Restricted Subsidiary or Holdings, as the case may be, (c) Disqualified Stock or Indebtedness that has been converted or exchanged into Disqualified Stock or (d) Excluded Contributions, </w:t>
      </w:r>
      <w:r>
        <w:rPr>
          <w:rFonts w:ascii="Arial" w:cs="Arial" w:eastAsia="Arial" w:hAnsi="Arial"/>
          <w:sz w:val="16"/>
          <w:szCs w:val="16"/>
          <w:i w:val="1"/>
          <w:iCs w:val="1"/>
          <w:color w:val="auto"/>
        </w:rPr>
        <w:t>plus</w:t>
      </w:r>
    </w:p>
    <w:p>
      <w:pPr>
        <w:spacing w:after="0" w:line="63" w:lineRule="exact"/>
        <w:rPr>
          <w:sz w:val="20"/>
          <w:szCs w:val="20"/>
          <w:color w:val="auto"/>
        </w:rPr>
      </w:pPr>
    </w:p>
    <w:p>
      <w:pPr>
        <w:ind w:left="644" w:right="80" w:firstLine="652"/>
        <w:spacing w:after="0" w:line="301" w:lineRule="auto"/>
        <w:tabs>
          <w:tab w:leader="none" w:pos="1712" w:val="left"/>
        </w:tabs>
        <w:numPr>
          <w:ilvl w:val="2"/>
          <w:numId w:val="187"/>
        </w:numPr>
        <w:rPr>
          <w:rFonts w:ascii="Arial" w:cs="Arial" w:eastAsia="Arial" w:hAnsi="Arial"/>
          <w:sz w:val="16"/>
          <w:szCs w:val="16"/>
          <w:color w:val="auto"/>
        </w:rPr>
      </w:pPr>
      <w:r>
        <w:rPr>
          <w:rFonts w:ascii="Arial" w:cs="Arial" w:eastAsia="Arial" w:hAnsi="Arial"/>
          <w:sz w:val="16"/>
          <w:szCs w:val="16"/>
          <w:color w:val="auto"/>
        </w:rPr>
        <w:t xml:space="preserve">100% of the aggregate amount of cash and the Fair Market Value of marketable securities or other property contributed to the capital of Holdings following the Restatement Effective Date (other than the net cash proceeds from Cure Amounts or to the extent such net cash proceeds (i) have been used to incur Indebtedness, Disqualified Stock or preferred stock pursuant to </w:t>
      </w:r>
      <w:r>
        <w:rPr>
          <w:rFonts w:ascii="Arial" w:cs="Arial" w:eastAsia="Arial" w:hAnsi="Arial"/>
          <w:sz w:val="16"/>
          <w:szCs w:val="16"/>
          <w:u w:val="single" w:color="auto"/>
          <w:color w:val="auto"/>
        </w:rPr>
        <w:t>clause (l)(i)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w:t>
      </w:r>
      <w:r>
        <w:rPr>
          <w:rFonts w:ascii="Arial" w:cs="Arial" w:eastAsia="Arial" w:hAnsi="Arial"/>
          <w:sz w:val="16"/>
          <w:szCs w:val="16"/>
          <w:color w:val="auto"/>
        </w:rPr>
        <w:t xml:space="preserve">), (ii) are contributed by a Restricted Subsidiary or (iii) constitute Excluded Contributions), </w:t>
      </w:r>
      <w:r>
        <w:rPr>
          <w:rFonts w:ascii="Arial" w:cs="Arial" w:eastAsia="Arial" w:hAnsi="Arial"/>
          <w:sz w:val="16"/>
          <w:szCs w:val="16"/>
          <w:i w:val="1"/>
          <w:iCs w:val="1"/>
          <w:color w:val="auto"/>
        </w:rPr>
        <w:t>plus</w:t>
      </w:r>
    </w:p>
    <w:p>
      <w:pPr>
        <w:spacing w:after="0" w:line="49" w:lineRule="exact"/>
        <w:rPr>
          <w:rFonts w:ascii="Arial" w:cs="Arial" w:eastAsia="Arial" w:hAnsi="Arial"/>
          <w:sz w:val="16"/>
          <w:szCs w:val="16"/>
          <w:color w:val="auto"/>
        </w:rPr>
      </w:pPr>
    </w:p>
    <w:p>
      <w:pPr>
        <w:ind w:left="644" w:right="60" w:firstLine="652"/>
        <w:spacing w:after="0" w:line="270" w:lineRule="auto"/>
        <w:tabs>
          <w:tab w:leader="none" w:pos="1722" w:val="left"/>
        </w:tabs>
        <w:numPr>
          <w:ilvl w:val="2"/>
          <w:numId w:val="187"/>
        </w:numPr>
        <w:rPr>
          <w:rFonts w:ascii="Arial" w:cs="Arial" w:eastAsia="Arial" w:hAnsi="Arial"/>
          <w:sz w:val="17"/>
          <w:szCs w:val="17"/>
          <w:color w:val="auto"/>
        </w:rPr>
      </w:pPr>
      <w:r>
        <w:rPr>
          <w:rFonts w:ascii="Arial" w:cs="Arial" w:eastAsia="Arial" w:hAnsi="Arial"/>
          <w:sz w:val="17"/>
          <w:szCs w:val="17"/>
          <w:color w:val="auto"/>
        </w:rPr>
        <w:t xml:space="preserve">100% of the aggregate amount received in cash and the Fair Market Value of marketable securities or other property received by means of (A) the sale or other disposition (other than to Holdings or a Restricted Subsidiary) of Restricted Investments made by Holdings and the Restricted Subsidiaries and repurchases and redemptions of such Restricted Investments from Holdings and the Restricted Subsidiaries and repayments of loans or advances, and releases of guarantees, which constitute Restricted Investments made by Holdings or the Restricted Subsidiaries, in each case, after the Restatement Effective Date; or (B) the sale (other than to Holdings or a Restricted Subsidiary) of the stock of an Unrestricted Subsidiary or a distribution from an Unrestricted Subsidiary (other than in each case to the extent the Investment in such Unrestricted Subsidiary was made by Holdings or a Restricted Subsidiary pursuant to </w:t>
      </w:r>
      <w:r>
        <w:rPr>
          <w:rFonts w:ascii="Arial" w:cs="Arial" w:eastAsia="Arial" w:hAnsi="Arial"/>
          <w:sz w:val="17"/>
          <w:szCs w:val="17"/>
          <w:u w:val="single" w:color="auto"/>
          <w:color w:val="auto"/>
        </w:rPr>
        <w:t>clause (7)</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10.5(b)</w:t>
      </w:r>
      <w:r>
        <w:rPr>
          <w:rFonts w:ascii="Arial" w:cs="Arial" w:eastAsia="Arial" w:hAnsi="Arial"/>
          <w:sz w:val="17"/>
          <w:szCs w:val="17"/>
          <w:color w:val="auto"/>
        </w:rPr>
        <w:t xml:space="preserve"> below or to the extent such Investment constituted a Permitted Investment) or a dividend from an Unrestricted Subsidiary after the Restatement Effective Date, </w:t>
      </w:r>
      <w:r>
        <w:rPr>
          <w:rFonts w:ascii="Arial" w:cs="Arial" w:eastAsia="Arial" w:hAnsi="Arial"/>
          <w:sz w:val="17"/>
          <w:szCs w:val="17"/>
          <w:i w:val="1"/>
          <w:iCs w:val="1"/>
          <w:color w:val="auto"/>
        </w:rPr>
        <w:t>plus</w:t>
      </w:r>
    </w:p>
    <w:p>
      <w:pPr>
        <w:spacing w:after="0" w:line="72" w:lineRule="exact"/>
        <w:rPr>
          <w:rFonts w:ascii="Arial" w:cs="Arial" w:eastAsia="Arial" w:hAnsi="Arial"/>
          <w:sz w:val="17"/>
          <w:szCs w:val="17"/>
          <w:color w:val="auto"/>
        </w:rPr>
      </w:pPr>
    </w:p>
    <w:p>
      <w:pPr>
        <w:ind w:left="644" w:right="20" w:firstLine="652"/>
        <w:spacing w:after="0" w:line="257" w:lineRule="auto"/>
        <w:tabs>
          <w:tab w:leader="none" w:pos="1702" w:val="left"/>
        </w:tabs>
        <w:numPr>
          <w:ilvl w:val="2"/>
          <w:numId w:val="187"/>
        </w:numPr>
        <w:rPr>
          <w:rFonts w:ascii="Arial" w:cs="Arial" w:eastAsia="Arial" w:hAnsi="Arial"/>
          <w:sz w:val="18"/>
          <w:szCs w:val="18"/>
          <w:color w:val="auto"/>
        </w:rPr>
      </w:pPr>
      <w:r>
        <w:rPr>
          <w:rFonts w:ascii="Arial" w:cs="Arial" w:eastAsia="Arial" w:hAnsi="Arial"/>
          <w:sz w:val="18"/>
          <w:szCs w:val="18"/>
          <w:color w:val="auto"/>
        </w:rPr>
        <w:t xml:space="preserve">in the case of the redesignation of an Unrestricted Subsidiary as a Restricted Subsidiary after the Restatement Effective Date, the Fair Market Value of the Investment in such Unrestricted Subsidiary at the time of the redesignation of such Unrestricted Subsidiary as a Restricted Subsidiary, other than to the extent the Investment in such Unrestricted Subsidiary was made by Holdings or a Restricted Subsidiary pursuant to </w:t>
      </w:r>
      <w:r>
        <w:rPr>
          <w:rFonts w:ascii="Arial" w:cs="Arial" w:eastAsia="Arial" w:hAnsi="Arial"/>
          <w:sz w:val="18"/>
          <w:szCs w:val="18"/>
          <w:u w:val="single" w:color="auto"/>
          <w:color w:val="auto"/>
        </w:rPr>
        <w:t>clause (7)</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10.5(b)</w:t>
      </w:r>
      <w:r>
        <w:rPr>
          <w:rFonts w:ascii="Arial" w:cs="Arial" w:eastAsia="Arial" w:hAnsi="Arial"/>
          <w:sz w:val="18"/>
          <w:szCs w:val="18"/>
          <w:color w:val="auto"/>
        </w:rPr>
        <w:t xml:space="preserve"> below or to the extent such Investment constituted a Permitted Investment, </w:t>
      </w:r>
      <w:r>
        <w:rPr>
          <w:rFonts w:ascii="Arial" w:cs="Arial" w:eastAsia="Arial" w:hAnsi="Arial"/>
          <w:sz w:val="18"/>
          <w:szCs w:val="18"/>
          <w:i w:val="1"/>
          <w:iCs w:val="1"/>
          <w:color w:val="auto"/>
        </w:rPr>
        <w:t>plus</w:t>
      </w:r>
    </w:p>
    <w:p>
      <w:pPr>
        <w:spacing w:after="0" w:line="79" w:lineRule="exact"/>
        <w:rPr>
          <w:rFonts w:ascii="Arial" w:cs="Arial" w:eastAsia="Arial" w:hAnsi="Arial"/>
          <w:sz w:val="18"/>
          <w:szCs w:val="18"/>
          <w:color w:val="auto"/>
        </w:rPr>
      </w:pPr>
    </w:p>
    <w:p>
      <w:pPr>
        <w:ind w:left="1704" w:hanging="408"/>
        <w:spacing w:after="0"/>
        <w:tabs>
          <w:tab w:leader="none" w:pos="1704" w:val="left"/>
        </w:tabs>
        <w:numPr>
          <w:ilvl w:val="2"/>
          <w:numId w:val="187"/>
        </w:numPr>
        <w:rPr>
          <w:rFonts w:ascii="Arial" w:cs="Arial" w:eastAsia="Arial" w:hAnsi="Arial"/>
          <w:sz w:val="18"/>
          <w:szCs w:val="18"/>
          <w:color w:val="auto"/>
        </w:rPr>
      </w:pPr>
      <w:r>
        <w:rPr>
          <w:rFonts w:ascii="Arial" w:cs="Arial" w:eastAsia="Arial" w:hAnsi="Arial"/>
          <w:sz w:val="18"/>
          <w:szCs w:val="18"/>
          <w:color w:val="auto"/>
        </w:rPr>
        <w:t>$50,000,000.</w:t>
      </w:r>
    </w:p>
    <w:p>
      <w:pPr>
        <w:spacing w:after="0" w:line="171" w:lineRule="exact"/>
        <w:rPr>
          <w:rFonts w:ascii="Arial" w:cs="Arial" w:eastAsia="Arial" w:hAnsi="Arial"/>
          <w:sz w:val="18"/>
          <w:szCs w:val="18"/>
          <w:color w:val="auto"/>
        </w:rPr>
      </w:pPr>
    </w:p>
    <w:p>
      <w:pPr>
        <w:ind w:left="384" w:hanging="384"/>
        <w:spacing w:after="0"/>
        <w:tabs>
          <w:tab w:leader="none" w:pos="38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The foregoing provisions of </w:t>
      </w:r>
      <w:r>
        <w:rPr>
          <w:rFonts w:ascii="Arial" w:cs="Arial" w:eastAsia="Arial" w:hAnsi="Arial"/>
          <w:sz w:val="18"/>
          <w:szCs w:val="18"/>
          <w:u w:val="single" w:color="auto"/>
          <w:color w:val="auto"/>
        </w:rPr>
        <w:t>Section 10.5(a)</w:t>
      </w:r>
      <w:r>
        <w:rPr>
          <w:rFonts w:ascii="Arial" w:cs="Arial" w:eastAsia="Arial" w:hAnsi="Arial"/>
          <w:sz w:val="18"/>
          <w:szCs w:val="18"/>
          <w:color w:val="auto"/>
        </w:rPr>
        <w:t xml:space="preserve"> will not prohibit:</w:t>
      </w:r>
    </w:p>
    <w:p>
      <w:pPr>
        <w:spacing w:after="0" w:line="171" w:lineRule="exact"/>
        <w:rPr>
          <w:rFonts w:ascii="Arial" w:cs="Arial" w:eastAsia="Arial" w:hAnsi="Arial"/>
          <w:sz w:val="18"/>
          <w:szCs w:val="18"/>
          <w:color w:val="auto"/>
        </w:rPr>
      </w:pPr>
    </w:p>
    <w:p>
      <w:pPr>
        <w:ind w:left="4" w:right="260" w:firstLine="644"/>
        <w:spacing w:after="0" w:line="263" w:lineRule="auto"/>
        <w:tabs>
          <w:tab w:leader="none" w:pos="1042" w:val="left"/>
        </w:tabs>
        <w:numPr>
          <w:ilvl w:val="1"/>
          <w:numId w:val="188"/>
        </w:numPr>
        <w:rPr>
          <w:rFonts w:ascii="Arial" w:cs="Arial" w:eastAsia="Arial" w:hAnsi="Arial"/>
          <w:sz w:val="18"/>
          <w:szCs w:val="18"/>
          <w:color w:val="010000"/>
        </w:rPr>
      </w:pPr>
      <w:r>
        <w:rPr>
          <w:rFonts w:ascii="Arial" w:cs="Arial" w:eastAsia="Arial" w:hAnsi="Arial"/>
          <w:sz w:val="18"/>
          <w:szCs w:val="18"/>
          <w:color w:val="auto"/>
        </w:rPr>
        <w:t>the payment of any dividend or distribution or the consummation of any irrevocable redemption within 60 days after the date of declaration thereof or the giving of such irrevocable notice, as applicable, if at the date of declaration or the giving of such notice such payment would have complied with the provisions of this Agreement;</w:t>
      </w:r>
    </w:p>
    <w:p>
      <w:pPr>
        <w:spacing w:after="0" w:line="200" w:lineRule="exact"/>
        <w:rPr>
          <w:sz w:val="20"/>
          <w:szCs w:val="20"/>
          <w:color w:val="auto"/>
        </w:rPr>
      </w:pPr>
    </w:p>
    <w:p>
      <w:pPr>
        <w:spacing w:after="0" w:line="362" w:lineRule="exact"/>
        <w:rPr>
          <w:sz w:val="20"/>
          <w:szCs w:val="20"/>
          <w:color w:val="auto"/>
        </w:rPr>
      </w:pPr>
    </w:p>
    <w:p>
      <w:pPr>
        <w:ind w:left="4764"/>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584"/>
          </w:cols>
          <w:pgMar w:left="976" w:top="341" w:right="339" w:bottom="1440" w:gutter="0" w:footer="0" w:header="0"/>
        </w:sectPr>
      </w:pPr>
    </w:p>
    <w:bookmarkStart w:id="202" w:name="page203"/>
    <w:bookmarkEnd w:id="202"/>
    <w:p>
      <w:pPr>
        <w:ind w:left="-460" w:firstLine="644"/>
        <w:spacing w:after="0" w:line="289" w:lineRule="auto"/>
        <w:tabs>
          <w:tab w:leader="none" w:pos="578" w:val="left"/>
        </w:tabs>
        <w:numPr>
          <w:ilvl w:val="0"/>
          <w:numId w:val="189"/>
        </w:numPr>
        <w:rPr>
          <w:rFonts w:ascii="Arial" w:cs="Arial" w:eastAsia="Arial" w:hAnsi="Arial"/>
          <w:sz w:val="16"/>
          <w:szCs w:val="16"/>
          <w:color w:val="010000"/>
        </w:rPr>
      </w:pPr>
      <w:r>
        <w:rPr>
          <w:rFonts w:ascii="Arial" w:cs="Arial" w:eastAsia="Arial" w:hAnsi="Arial"/>
          <w:sz w:val="16"/>
          <w:szCs w:val="16"/>
          <w:color w:val="auto"/>
        </w:rPr>
        <w:t>(a) the redemption, repurchase, retirement or other acquisition of any Equity Interests (“</w:t>
      </w:r>
      <w:r>
        <w:rPr>
          <w:rFonts w:ascii="Arial" w:cs="Arial" w:eastAsia="Arial" w:hAnsi="Arial"/>
          <w:sz w:val="16"/>
          <w:szCs w:val="16"/>
          <w:b w:val="1"/>
          <w:bCs w:val="1"/>
          <w:color w:val="auto"/>
        </w:rPr>
        <w:t>Retired Capital Stock</w:t>
      </w:r>
      <w:r>
        <w:rPr>
          <w:rFonts w:ascii="Arial" w:cs="Arial" w:eastAsia="Arial" w:hAnsi="Arial"/>
          <w:sz w:val="16"/>
          <w:szCs w:val="16"/>
          <w:color w:val="auto"/>
        </w:rPr>
        <w:t xml:space="preserve">”) or Junior Debt of Holdings or any Restricted Subsidiary, or any Equity Interests </w:t>
      </w:r>
      <w:r>
        <w:rPr>
          <w:rFonts w:ascii="Arial" w:cs="Arial" w:eastAsia="Arial" w:hAnsi="Arial"/>
          <w:sz w:val="16"/>
          <w:szCs w:val="16"/>
          <w:u w:val="single" w:color="auto"/>
          <w:color w:val="0000FF"/>
        </w:rPr>
        <w:t>or Permitted Convertible Indebtedness</w:t>
      </w:r>
      <w:r>
        <w:rPr>
          <w:rFonts w:ascii="Arial" w:cs="Arial" w:eastAsia="Arial" w:hAnsi="Arial"/>
          <w:sz w:val="16"/>
          <w:szCs w:val="16"/>
          <w:color w:val="auto"/>
        </w:rPr>
        <w:t xml:space="preserve"> of any direct or indirect parent company of Holdings, in exchange for, or out of the proceeds of the substantially concurrent sale (other than to a Restricted Subsidiary) of, Equity Interests of Holdings or any direct or indirect parent company of Holdings to the extent contributed to Holdings (in each case, other than any Disqualified Stock) (“</w:t>
      </w:r>
      <w:r>
        <w:rPr>
          <w:rFonts w:ascii="Arial" w:cs="Arial" w:eastAsia="Arial" w:hAnsi="Arial"/>
          <w:sz w:val="16"/>
          <w:szCs w:val="16"/>
          <w:b w:val="1"/>
          <w:bCs w:val="1"/>
          <w:color w:val="auto"/>
        </w:rPr>
        <w:t>Refunding Capital Stock</w:t>
      </w:r>
      <w:r>
        <w:rPr>
          <w:rFonts w:ascii="Arial" w:cs="Arial" w:eastAsia="Arial" w:hAnsi="Arial"/>
          <w:sz w:val="16"/>
          <w:szCs w:val="16"/>
          <w:color w:val="auto"/>
        </w:rPr>
        <w:t xml:space="preserve">”) and (b) if immediately prior to the retirement of Retired Capital Stock, the declaration and payment of dividends thereon was permitted under </w:t>
      </w:r>
      <w:r>
        <w:rPr>
          <w:rFonts w:ascii="Arial" w:cs="Arial" w:eastAsia="Arial" w:hAnsi="Arial"/>
          <w:sz w:val="16"/>
          <w:szCs w:val="16"/>
          <w:u w:val="single" w:color="auto"/>
          <w:color w:val="auto"/>
        </w:rPr>
        <w:t>clause (6)</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10.5(b)</w:t>
      </w:r>
      <w:r>
        <w:rPr>
          <w:rFonts w:ascii="Arial" w:cs="Arial" w:eastAsia="Arial" w:hAnsi="Arial"/>
          <w:sz w:val="16"/>
          <w:szCs w:val="16"/>
          <w:color w:val="auto"/>
        </w:rPr>
        <w:t>, the declaration and payment of dividends on the Refunding Capital Stock (other than Refunding Capital Stock the proceeds of which were used to redeem, repurchase, retire or otherwise acquire any Equity Interests of any direct or indirect parent company of Holdings) in an aggregate amount per year no greater than the aggregate amount of dividends per annum that was declarable and payable on such Retired Capital Stock immediately prior to such retirement;</w:t>
      </w:r>
    </w:p>
    <w:p>
      <w:pPr>
        <w:spacing w:after="0" w:line="62" w:lineRule="exact"/>
        <w:rPr>
          <w:rFonts w:ascii="Arial" w:cs="Arial" w:eastAsia="Arial" w:hAnsi="Arial"/>
          <w:sz w:val="16"/>
          <w:szCs w:val="16"/>
          <w:color w:val="010000"/>
        </w:rPr>
      </w:pPr>
    </w:p>
    <w:p>
      <w:pPr>
        <w:ind w:left="-460" w:right="20" w:firstLine="644"/>
        <w:spacing w:after="0" w:line="286" w:lineRule="auto"/>
        <w:tabs>
          <w:tab w:leader="none" w:pos="578" w:val="left"/>
        </w:tabs>
        <w:numPr>
          <w:ilvl w:val="0"/>
          <w:numId w:val="189"/>
        </w:numPr>
        <w:rPr>
          <w:rFonts w:ascii="Arial" w:cs="Arial" w:eastAsia="Arial" w:hAnsi="Arial"/>
          <w:sz w:val="16"/>
          <w:szCs w:val="16"/>
          <w:color w:val="010000"/>
        </w:rPr>
      </w:pPr>
      <w:r>
        <w:rPr>
          <w:rFonts w:ascii="Arial" w:cs="Arial" w:eastAsia="Arial" w:hAnsi="Arial"/>
          <w:sz w:val="16"/>
          <w:szCs w:val="16"/>
          <w:color w:val="auto"/>
        </w:rPr>
        <w:t xml:space="preserve">the prepayment, redemption, defeasance, repurchase or other acquisition or retirement for value of Junior Debt of Holdings or a Restricted Subsidiary (i) made by exchange for, or out of the proceeds of the substantially concurrent sale of, new Indebtedness of Holdings, or a Restricted Subsidiary, as the case may be, which is incurred in compliance with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so long as: (A) the principal amount (or accreted value, if applicable) of such new Indebtedness does not exceed the principal amount of (or accreted value, if applicable), plus any accrued and unpaid interest on the Junior Debt being so redeemed, defeased, repurchased, exchanged, acquired or retired for value, plus the amount of any premium (including reasonable tender premiums), defeasance costs and any reasonable fees and expenses incurred in connection with the issuance of such new Indebtedness, (B) if such Junior Debt is subordinated to the Obligations, such new Indebtedness is subordinated to the Obligations or the applicable Guarantee at least to the same extent as such Junior Debt so purchased, exchanged, redeemed, defeased, repurchased, acquired or retired for value, (C) such new Indebtedness has a final scheduled maturity date equal to or later than the final scheduled maturity date of the Junior Debt being so redeemed, defeased, repurchased, exchanged, acquired or retired, (D) if such Junior Debt so purchased, exchanged, redeemed, repurchased, acquired or retired for value is unsecured then such new Indebtedness shall be unsecured and (E) such new Indebtedness has a weighted average life to maturity equal to or greater than the remaining weighted average life to maturity of the Junior Debt being so redeemed, defeased, repurchased, exchanged, acquired or retired;</w:t>
      </w:r>
    </w:p>
    <w:p>
      <w:pPr>
        <w:spacing w:after="0" w:line="65" w:lineRule="exact"/>
        <w:rPr>
          <w:rFonts w:ascii="Arial" w:cs="Arial" w:eastAsia="Arial" w:hAnsi="Arial"/>
          <w:sz w:val="16"/>
          <w:szCs w:val="16"/>
          <w:color w:val="010000"/>
        </w:rPr>
      </w:pPr>
    </w:p>
    <w:p>
      <w:pPr>
        <w:ind w:left="-460" w:right="40" w:firstLine="644"/>
        <w:spacing w:after="0" w:line="285" w:lineRule="auto"/>
        <w:tabs>
          <w:tab w:leader="none" w:pos="578" w:val="left"/>
        </w:tabs>
        <w:numPr>
          <w:ilvl w:val="0"/>
          <w:numId w:val="189"/>
        </w:numPr>
        <w:rPr>
          <w:rFonts w:ascii="Arial" w:cs="Arial" w:eastAsia="Arial" w:hAnsi="Arial"/>
          <w:sz w:val="16"/>
          <w:szCs w:val="16"/>
          <w:color w:val="010000"/>
        </w:rPr>
      </w:pPr>
      <w:r>
        <w:rPr>
          <w:rFonts w:ascii="Arial" w:cs="Arial" w:eastAsia="Arial" w:hAnsi="Arial"/>
          <w:sz w:val="16"/>
          <w:szCs w:val="16"/>
          <w:color w:val="auto"/>
        </w:rPr>
        <w:t xml:space="preserve">a Restricted Payment to pay for the repurchase, retirement or other acquisition or retirement for value of Equity Interests (other than Disqualified Stock) of Holdings or any direct or indirect parent company of Holdings held by any future, present or former employee, director, manager or consultant of Holdings, any of its Subsidiaries or any direct or indirect parent company of Holdings, or their estates, descendants, family, spouse or former spouse pursuant to any management equity plan or stock option plan or any other management or employee benefit plan or agreement, or any stock subscription or shareholder agreement (including, for the avoidance of doubt, any principal and interest payable on any notes issued by Holdings or any direct or indirect parent company of Holdings in connection with such repurchase, retirement or other acquisition), including any Equity Interests rolled over by management of Holdings or any direct or indirect parent company of Holdings in connection with the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with respect to non-discretionary purchases, the aggregate Restricted Payments made under this </w:t>
      </w:r>
      <w:r>
        <w:rPr>
          <w:rFonts w:ascii="Arial" w:cs="Arial" w:eastAsia="Arial" w:hAnsi="Arial"/>
          <w:sz w:val="16"/>
          <w:szCs w:val="16"/>
          <w:u w:val="single" w:color="auto"/>
          <w:color w:val="auto"/>
        </w:rPr>
        <w:t>clause (4)</w:t>
      </w:r>
      <w:r>
        <w:rPr>
          <w:rFonts w:ascii="Arial" w:cs="Arial" w:eastAsia="Arial" w:hAnsi="Arial"/>
          <w:sz w:val="16"/>
          <w:szCs w:val="16"/>
          <w:color w:val="auto"/>
        </w:rPr>
        <w:t xml:space="preserve"> subsequent to the Restatement Effective Date do not exceed in any calendar year $40,000,000 (with unused amounts in any calendar year being carried over to succeeding calendar years subject to maximum aggregate Restricted Payments under this clause (without giving effect to the following proviso) of $60,000,000 in any calendar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such amount in any calendar year may be increased by an amount not to exceed: (A) the cash proceeds from the sale of Equity Interests (other than Disqualified Stock) of Holdings and, to the extent contributed to Holdings, the cash proceeds from the sale of Equity Interests of any direct or indirect parent company of Holdings, in each case to any future, present or former employees, directors, managers or consultants of Holdings, any of its Subsidiaries or any direct or indirect parent company of Holdings that occurs after the Restatement Effective Date, to the extent the cash proceeds from the sale of such Equity Interests have not otherwise been applied to the payment of Restricted Payments by virtue of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10.5(a)</w:t>
      </w:r>
      <w:r>
        <w:rPr>
          <w:rFonts w:ascii="Arial" w:cs="Arial" w:eastAsia="Arial" w:hAnsi="Arial"/>
          <w:sz w:val="16"/>
          <w:szCs w:val="16"/>
          <w:color w:val="auto"/>
        </w:rPr>
        <w:t>, plus (B) the</w:t>
      </w:r>
    </w:p>
    <w:p>
      <w:pPr>
        <w:spacing w:after="0" w:line="200" w:lineRule="exact"/>
        <w:rPr>
          <w:sz w:val="20"/>
          <w:szCs w:val="20"/>
          <w:color w:val="auto"/>
        </w:rPr>
      </w:pPr>
    </w:p>
    <w:p>
      <w:pPr>
        <w:spacing w:after="0" w:line="327"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120"/>
          </w:cols>
          <w:pgMar w:left="1440" w:top="337" w:right="339" w:bottom="1440" w:gutter="0" w:footer="0" w:header="0"/>
        </w:sectPr>
      </w:pPr>
    </w:p>
    <w:bookmarkStart w:id="203" w:name="page204"/>
    <w:bookmarkEnd w:id="203"/>
    <w:p>
      <w:pPr>
        <w:ind w:left="4"/>
        <w:spacing w:after="0"/>
        <w:rPr>
          <w:sz w:val="20"/>
          <w:szCs w:val="20"/>
          <w:color w:val="auto"/>
        </w:rPr>
      </w:pPr>
      <w:r>
        <w:rPr>
          <w:rFonts w:ascii="Arial" w:cs="Arial" w:eastAsia="Arial" w:hAnsi="Arial"/>
          <w:sz w:val="16"/>
          <w:szCs w:val="16"/>
          <w:color w:val="auto"/>
        </w:rPr>
        <w:t>cash proceeds of key man life insurance policies received by Holdings and the Restricted Subsidiaries after the Restatement Effective Date, less</w:t>
      </w:r>
    </w:p>
    <w:p>
      <w:pPr>
        <w:spacing w:after="0" w:line="46" w:lineRule="exact"/>
        <w:rPr>
          <w:sz w:val="20"/>
          <w:szCs w:val="20"/>
          <w:color w:val="auto"/>
        </w:rPr>
      </w:pPr>
    </w:p>
    <w:p>
      <w:pPr>
        <w:ind w:left="4" w:right="20" w:hanging="4"/>
        <w:spacing w:after="0" w:line="252" w:lineRule="auto"/>
        <w:tabs>
          <w:tab w:leader="none" w:pos="289"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the amount of any Restricted Payments previously made pursuant to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clause (4)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cancellation of Indebtedness owing to Holdings or any Restricted Subsidiary from any future, present or former employees, directors, managers or consultants of Holdings, any direct or indirect parent company of Holdings or any Restricted Subsidiary, or their estates, descendants, family, spouse or former spouse pursuant in connection with a repurchase of Equity Interests of Holdings or any direct or indirect parent company of Holdings will not be deemed to constitute a Restricted Payment for purposes of this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or any other provision of this Agreement; </w:t>
      </w:r>
      <w:r>
        <w:rPr>
          <w:rFonts w:ascii="Arial" w:cs="Arial" w:eastAsia="Arial" w:hAnsi="Arial"/>
          <w:sz w:val="18"/>
          <w:szCs w:val="18"/>
          <w:u w:val="single" w:color="auto"/>
          <w:color w:val="0000FF"/>
        </w:rPr>
        <w:t>provided that the aggregate amount of Restricted Payments pursuant to this clause (4) during any 12 month period prior to the termination of the Additional Restrictions Period shall not exceed $10,000,000;</w:t>
      </w:r>
    </w:p>
    <w:p>
      <w:pPr>
        <w:spacing w:after="0" w:line="111" w:lineRule="exact"/>
        <w:rPr>
          <w:rFonts w:ascii="Arial" w:cs="Arial" w:eastAsia="Arial" w:hAnsi="Arial"/>
          <w:sz w:val="18"/>
          <w:szCs w:val="18"/>
          <w:color w:val="auto"/>
        </w:rPr>
      </w:pPr>
    </w:p>
    <w:p>
      <w:pPr>
        <w:ind w:left="4" w:right="60" w:firstLine="644"/>
        <w:spacing w:after="0" w:line="263" w:lineRule="auto"/>
        <w:tabs>
          <w:tab w:leader="none" w:pos="1042" w:val="left"/>
        </w:tabs>
        <w:numPr>
          <w:ilvl w:val="1"/>
          <w:numId w:val="190"/>
        </w:numPr>
        <w:rPr>
          <w:rFonts w:ascii="Arial" w:cs="Arial" w:eastAsia="Arial" w:hAnsi="Arial"/>
          <w:sz w:val="18"/>
          <w:szCs w:val="18"/>
          <w:color w:val="010000"/>
        </w:rPr>
      </w:pPr>
      <w:r>
        <w:rPr>
          <w:rFonts w:ascii="Arial" w:cs="Arial" w:eastAsia="Arial" w:hAnsi="Arial"/>
          <w:sz w:val="18"/>
          <w:szCs w:val="18"/>
          <w:color w:val="FF0000"/>
          <w:strike w:val="1"/>
        </w:rPr>
        <w:t xml:space="preserve">the declaration and payment of dividends to holders of any class or series of Disqualified Stock of Holdings or any Restricted Subsidiary or any class or series of preferred stock of any Restricted Subsidiary, in each case, issued in accordance with </w:t>
      </w:r>
      <w:r>
        <w:rPr>
          <w:rFonts w:ascii="Arial" w:cs="Arial" w:eastAsia="Arial" w:hAnsi="Arial"/>
          <w:sz w:val="18"/>
          <w:szCs w:val="18"/>
          <w:u w:val="single" w:color="auto"/>
          <w:color w:val="FF0000"/>
          <w:strike w:val="1"/>
        </w:rPr>
        <w:t>Section 10.1</w:t>
      </w:r>
      <w:r>
        <w:rPr>
          <w:rFonts w:ascii="Arial" w:cs="Arial" w:eastAsia="Arial" w:hAnsi="Arial"/>
          <w:sz w:val="18"/>
          <w:szCs w:val="18"/>
          <w:color w:val="FF0000"/>
          <w:strike w:val="1"/>
        </w:rPr>
        <w:t xml:space="preserve"> to the extent such dividends are included in the definition of “Fixed Charges”;</w:t>
      </w:r>
      <w:r>
        <w:rPr>
          <w:rFonts w:ascii="Arial" w:cs="Arial" w:eastAsia="Arial" w:hAnsi="Arial"/>
          <w:sz w:val="18"/>
          <w:szCs w:val="18"/>
          <w:u w:val="single" w:color="auto"/>
          <w:color w:val="0000FF"/>
          <w:strike w:val="1"/>
        </w:rPr>
        <w:t>[reserved];</w:t>
      </w:r>
    </w:p>
    <w:p>
      <w:pPr>
        <w:spacing w:after="0" w:line="102" w:lineRule="exact"/>
        <w:rPr>
          <w:rFonts w:ascii="Arial" w:cs="Arial" w:eastAsia="Arial" w:hAnsi="Arial"/>
          <w:sz w:val="18"/>
          <w:szCs w:val="18"/>
          <w:color w:val="010000"/>
        </w:rPr>
      </w:pPr>
    </w:p>
    <w:p>
      <w:pPr>
        <w:ind w:left="4" w:firstLine="644"/>
        <w:spacing w:after="0" w:line="287" w:lineRule="auto"/>
        <w:tabs>
          <w:tab w:leader="none" w:pos="1042" w:val="left"/>
        </w:tabs>
        <w:numPr>
          <w:ilvl w:val="1"/>
          <w:numId w:val="190"/>
        </w:numPr>
        <w:rPr>
          <w:rFonts w:ascii="Arial" w:cs="Arial" w:eastAsia="Arial" w:hAnsi="Arial"/>
          <w:sz w:val="16"/>
          <w:szCs w:val="16"/>
          <w:color w:val="010000"/>
        </w:rPr>
      </w:pPr>
      <w:r>
        <w:rPr>
          <w:rFonts w:ascii="Arial" w:cs="Arial" w:eastAsia="Arial" w:hAnsi="Arial"/>
          <w:sz w:val="16"/>
          <w:szCs w:val="16"/>
          <w:u w:val="single" w:color="auto"/>
          <w:color w:val="0000FF"/>
        </w:rPr>
        <w:t>following the Additional Restrictions Period,</w:t>
      </w:r>
      <w:r>
        <w:rPr>
          <w:rFonts w:ascii="Arial" w:cs="Arial" w:eastAsia="Arial" w:hAnsi="Arial"/>
          <w:sz w:val="16"/>
          <w:szCs w:val="16"/>
          <w:color w:val="0000FF"/>
        </w:rPr>
        <w:t xml:space="preserve"> </w:t>
      </w:r>
      <w:r>
        <w:rPr>
          <w:rFonts w:ascii="Arial" w:cs="Arial" w:eastAsia="Arial" w:hAnsi="Arial"/>
          <w:sz w:val="16"/>
          <w:szCs w:val="16"/>
          <w:color w:val="000000"/>
        </w:rPr>
        <w:t>(A) the declaration and payment of dividends to holders of any class or series of</w:t>
      </w:r>
      <w:r>
        <w:rPr>
          <w:rFonts w:ascii="Arial" w:cs="Arial" w:eastAsia="Arial" w:hAnsi="Arial"/>
          <w:sz w:val="16"/>
          <w:szCs w:val="16"/>
          <w:color w:val="0000FF"/>
        </w:rPr>
        <w:t xml:space="preserve"> </w:t>
      </w:r>
      <w:r>
        <w:rPr>
          <w:rFonts w:ascii="Arial" w:cs="Arial" w:eastAsia="Arial" w:hAnsi="Arial"/>
          <w:sz w:val="16"/>
          <w:szCs w:val="16"/>
          <w:color w:val="000000"/>
        </w:rPr>
        <w:t xml:space="preserve">Designated Preferred Stock (other than Disqualified Stock) issued by Holdings after the Restatement Effective Date; (B) the declaration and payment of dividends to any direct or indirect parent company of Holdings, the proceeds of which will be used to fund the payment of dividends to holders of any class or series of Designated Preferred Stock (other than Disqualified Stock) of such parent company issued after the Restatement Effective Date;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the amount of dividends paid pursuant to this </w:t>
      </w:r>
      <w:r>
        <w:rPr>
          <w:rFonts w:ascii="Arial" w:cs="Arial" w:eastAsia="Arial" w:hAnsi="Arial"/>
          <w:sz w:val="16"/>
          <w:szCs w:val="16"/>
          <w:u w:val="single" w:color="auto"/>
          <w:color w:val="000000"/>
        </w:rPr>
        <w:t>clause (B)</w:t>
      </w:r>
      <w:r>
        <w:rPr>
          <w:rFonts w:ascii="Arial" w:cs="Arial" w:eastAsia="Arial" w:hAnsi="Arial"/>
          <w:sz w:val="16"/>
          <w:szCs w:val="16"/>
          <w:color w:val="000000"/>
        </w:rPr>
        <w:t xml:space="preserve"> shall not exceed the aggregate amount of cash actually contributed to Holdings from the sale of such Designated Preferred Stock; or (C) the declaration and payment of dividends on Refunding Capital Stock in excess of the dividends declarable and payable thereon pursuant to </w:t>
      </w:r>
      <w:r>
        <w:rPr>
          <w:rFonts w:ascii="Arial" w:cs="Arial" w:eastAsia="Arial" w:hAnsi="Arial"/>
          <w:sz w:val="16"/>
          <w:szCs w:val="16"/>
          <w:u w:val="single" w:color="auto"/>
          <w:color w:val="000000"/>
        </w:rPr>
        <w:t>clause (2)</w:t>
      </w:r>
      <w:r>
        <w:rPr>
          <w:rFonts w:ascii="Arial" w:cs="Arial" w:eastAsia="Arial" w:hAnsi="Arial"/>
          <w:sz w:val="16"/>
          <w:szCs w:val="16"/>
          <w:color w:val="000000"/>
        </w:rPr>
        <w:t xml:space="preserve"> of this </w:t>
      </w:r>
      <w:r>
        <w:rPr>
          <w:rFonts w:ascii="Arial" w:cs="Arial" w:eastAsia="Arial" w:hAnsi="Arial"/>
          <w:sz w:val="16"/>
          <w:szCs w:val="16"/>
          <w:u w:val="single" w:color="auto"/>
          <w:color w:val="000000"/>
        </w:rPr>
        <w:t>Section 10.5(b)</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in the case of each of (A), (B), and (C) of this </w:t>
      </w:r>
      <w:r>
        <w:rPr>
          <w:rFonts w:ascii="Arial" w:cs="Arial" w:eastAsia="Arial" w:hAnsi="Arial"/>
          <w:sz w:val="16"/>
          <w:szCs w:val="16"/>
          <w:u w:val="single" w:color="auto"/>
          <w:color w:val="000000"/>
        </w:rPr>
        <w:t>clause (6)</w:t>
      </w:r>
      <w:r>
        <w:rPr>
          <w:rFonts w:ascii="Arial" w:cs="Arial" w:eastAsia="Arial" w:hAnsi="Arial"/>
          <w:sz w:val="16"/>
          <w:szCs w:val="16"/>
          <w:color w:val="000000"/>
        </w:rPr>
        <w:t xml:space="preserve">, for the most recently ended four full fiscal quarters for which internal financial statements are available immediately preceding the date of issuance of such Designated Preferred Stock or the declaration of such dividends on Refunding Capital Stock, after giving effect to such issuance or declaration on a pro forma basis, Holdings and the Restricted Subsidiaries on a consolidated basis would have had a </w:t>
      </w:r>
      <w:r>
        <w:rPr>
          <w:rFonts w:ascii="Arial" w:cs="Arial" w:eastAsia="Arial" w:hAnsi="Arial"/>
          <w:sz w:val="16"/>
          <w:szCs w:val="16"/>
          <w:color w:val="FF0000"/>
          <w:strike w:val="1"/>
        </w:rPr>
        <w:t>Fixed Charge Coverage Ratio of at least 2.00</w:t>
      </w:r>
      <w:r>
        <w:rPr>
          <w:rFonts w:ascii="Arial" w:cs="Arial" w:eastAsia="Arial" w:hAnsi="Arial"/>
          <w:sz w:val="16"/>
          <w:szCs w:val="16"/>
          <w:u w:val="single" w:color="auto"/>
          <w:color w:val="0000FF"/>
        </w:rPr>
        <w:t>Consolidated Total Debt to Consolidated EBITDA Ratio equal to or less than 3.75</w:t>
      </w:r>
      <w:r>
        <w:rPr>
          <w:rFonts w:ascii="Arial" w:cs="Arial" w:eastAsia="Arial" w:hAnsi="Arial"/>
          <w:sz w:val="16"/>
          <w:szCs w:val="16"/>
          <w:color w:val="000000"/>
        </w:rPr>
        <w:t xml:space="preserve"> to 1.00;</w:t>
      </w:r>
    </w:p>
    <w:p>
      <w:pPr>
        <w:spacing w:after="0" w:line="90" w:lineRule="exact"/>
        <w:rPr>
          <w:rFonts w:ascii="Arial" w:cs="Arial" w:eastAsia="Arial" w:hAnsi="Arial"/>
          <w:sz w:val="16"/>
          <w:szCs w:val="16"/>
          <w:color w:val="010000"/>
        </w:rPr>
      </w:pPr>
    </w:p>
    <w:p>
      <w:pPr>
        <w:ind w:left="4" w:right="20" w:firstLine="644"/>
        <w:spacing w:after="0" w:line="296" w:lineRule="auto"/>
        <w:tabs>
          <w:tab w:leader="none" w:pos="1042" w:val="left"/>
        </w:tabs>
        <w:numPr>
          <w:ilvl w:val="1"/>
          <w:numId w:val="190"/>
        </w:numPr>
        <w:rPr>
          <w:rFonts w:ascii="Arial" w:cs="Arial" w:eastAsia="Arial" w:hAnsi="Arial"/>
          <w:sz w:val="16"/>
          <w:szCs w:val="16"/>
          <w:color w:val="010000"/>
        </w:rPr>
      </w:pPr>
      <w:r>
        <w:rPr>
          <w:rFonts w:ascii="Arial" w:cs="Arial" w:eastAsia="Arial" w:hAnsi="Arial"/>
          <w:sz w:val="16"/>
          <w:szCs w:val="16"/>
          <w:color w:val="FF0000"/>
          <w:strike w:val="1"/>
        </w:rPr>
        <w:t xml:space="preserve">Investments in Unrestricted Subsidiaries having an aggregate Fair Market Value, taken together with all other Investments made pursuant to this </w:t>
      </w:r>
      <w:r>
        <w:rPr>
          <w:rFonts w:ascii="Arial" w:cs="Arial" w:eastAsia="Arial" w:hAnsi="Arial"/>
          <w:sz w:val="16"/>
          <w:szCs w:val="16"/>
          <w:u w:val="single" w:color="auto"/>
          <w:color w:val="FF0000"/>
          <w:strike w:val="1"/>
        </w:rPr>
        <w:t>clause (7)</w:t>
      </w:r>
      <w:r>
        <w:rPr>
          <w:rFonts w:ascii="Arial" w:cs="Arial" w:eastAsia="Arial" w:hAnsi="Arial"/>
          <w:sz w:val="16"/>
          <w:szCs w:val="16"/>
          <w:color w:val="FF0000"/>
          <w:strike w:val="1"/>
        </w:rPr>
        <w:t xml:space="preserve"> that are at the time outstanding, without giving effect to the sale of an Unrestricted Subsidiary to the extent the proceeds of such sale do not consist of cash, Cash Equivalents or marketable securities, not to exceed the greater of (x) $25,000,000 and (y) 25.0% of Consolidated EBITDA for the most recently ended Test Period (calculated on a Pro Forma Basis) at the time of such Investment (with the Fair Market Value of each Investment being measured at the time made and without giving effect to subsequent changes in value);</w:t>
      </w:r>
      <w:r>
        <w:rPr>
          <w:rFonts w:ascii="Arial" w:cs="Arial" w:eastAsia="Arial" w:hAnsi="Arial"/>
          <w:sz w:val="16"/>
          <w:szCs w:val="16"/>
          <w:u w:val="single" w:color="auto"/>
          <w:color w:val="0000FF"/>
          <w:strike w:val="1"/>
        </w:rPr>
        <w:t>[reserved];</w:t>
      </w:r>
    </w:p>
    <w:p>
      <w:pPr>
        <w:spacing w:after="0" w:line="80" w:lineRule="exact"/>
        <w:rPr>
          <w:rFonts w:ascii="Arial" w:cs="Arial" w:eastAsia="Arial" w:hAnsi="Arial"/>
          <w:sz w:val="16"/>
          <w:szCs w:val="16"/>
          <w:color w:val="010000"/>
        </w:rPr>
      </w:pPr>
    </w:p>
    <w:p>
      <w:pPr>
        <w:ind w:left="4" w:right="120" w:firstLine="644"/>
        <w:spacing w:after="0" w:line="296" w:lineRule="auto"/>
        <w:tabs>
          <w:tab w:leader="none" w:pos="1042" w:val="left"/>
        </w:tabs>
        <w:numPr>
          <w:ilvl w:val="1"/>
          <w:numId w:val="190"/>
        </w:numPr>
        <w:rPr>
          <w:rFonts w:ascii="Arial" w:cs="Arial" w:eastAsia="Arial" w:hAnsi="Arial"/>
          <w:sz w:val="16"/>
          <w:szCs w:val="16"/>
          <w:color w:val="010000"/>
        </w:rPr>
      </w:pPr>
      <w:r>
        <w:rPr>
          <w:rFonts w:ascii="Arial" w:cs="Arial" w:eastAsia="Arial" w:hAnsi="Arial"/>
          <w:sz w:val="16"/>
          <w:szCs w:val="16"/>
          <w:color w:val="auto"/>
        </w:rPr>
        <w:t>(i) payments made or expected to be made by Holdings or any Restricted Subsidiary in respect of withholding or similar taxes payable upon exercise of Equity Interests by any future, present or former employee, director, manager, or consultant and repurchases of Equity Interests deemed to occur upon exercise of stock options or warrants if such Equity Interests represent a portion of the exercise price of such options or warrants and (ii) payments or other adjustments to outstanding Equity Interests in accordance with any management equity plan, stock option plan or any other similar employee benefit plan, agreement or arrangement in connection with any Restricted Payment;</w:t>
      </w:r>
    </w:p>
    <w:p>
      <w:pPr>
        <w:spacing w:after="0" w:line="80" w:lineRule="exact"/>
        <w:rPr>
          <w:rFonts w:ascii="Arial" w:cs="Arial" w:eastAsia="Arial" w:hAnsi="Arial"/>
          <w:sz w:val="16"/>
          <w:szCs w:val="16"/>
          <w:color w:val="010000"/>
        </w:rPr>
      </w:pPr>
    </w:p>
    <w:p>
      <w:pPr>
        <w:ind w:left="4" w:firstLine="644"/>
        <w:spacing w:after="0" w:line="291" w:lineRule="auto"/>
        <w:tabs>
          <w:tab w:leader="none" w:pos="1042" w:val="left"/>
        </w:tabs>
        <w:numPr>
          <w:ilvl w:val="1"/>
          <w:numId w:val="190"/>
        </w:numPr>
        <w:rPr>
          <w:rFonts w:ascii="Arial" w:cs="Arial" w:eastAsia="Arial" w:hAnsi="Arial"/>
          <w:sz w:val="16"/>
          <w:szCs w:val="16"/>
          <w:color w:val="010000"/>
        </w:rPr>
      </w:pPr>
      <w:r>
        <w:rPr>
          <w:rFonts w:ascii="Arial" w:cs="Arial" w:eastAsia="Arial" w:hAnsi="Arial"/>
          <w:sz w:val="16"/>
          <w:szCs w:val="16"/>
          <w:u w:val="single" w:color="auto"/>
          <w:color w:val="0000FF"/>
        </w:rPr>
        <w:t>following the Additional Restrictions Period,</w:t>
      </w:r>
      <w:r>
        <w:rPr>
          <w:rFonts w:ascii="Arial" w:cs="Arial" w:eastAsia="Arial" w:hAnsi="Arial"/>
          <w:sz w:val="16"/>
          <w:szCs w:val="16"/>
          <w:color w:val="0000FF"/>
        </w:rPr>
        <w:t xml:space="preserve"> </w:t>
      </w:r>
      <w:r>
        <w:rPr>
          <w:rFonts w:ascii="Arial" w:cs="Arial" w:eastAsia="Arial" w:hAnsi="Arial"/>
          <w:sz w:val="16"/>
          <w:szCs w:val="16"/>
          <w:color w:val="000000"/>
        </w:rPr>
        <w:t>the declaration and payment of dividends on Holdings’ common stock (or the payment</w:t>
      </w:r>
      <w:r>
        <w:rPr>
          <w:rFonts w:ascii="Arial" w:cs="Arial" w:eastAsia="Arial" w:hAnsi="Arial"/>
          <w:sz w:val="16"/>
          <w:szCs w:val="16"/>
          <w:color w:val="0000FF"/>
        </w:rPr>
        <w:t xml:space="preserve"> </w:t>
      </w:r>
      <w:r>
        <w:rPr>
          <w:rFonts w:ascii="Arial" w:cs="Arial" w:eastAsia="Arial" w:hAnsi="Arial"/>
          <w:sz w:val="16"/>
          <w:szCs w:val="16"/>
          <w:color w:val="000000"/>
        </w:rPr>
        <w:t>of dividends to any direct or indirect parent company of Holdings to fund a payment of dividends on such company’s common stock) of up to</w:t>
      </w:r>
    </w:p>
    <w:p>
      <w:pPr>
        <w:ind w:left="4" w:right="120"/>
        <w:spacing w:after="0" w:line="290" w:lineRule="auto"/>
        <w:rPr>
          <w:rFonts w:ascii="Arial" w:cs="Arial" w:eastAsia="Arial" w:hAnsi="Arial"/>
          <w:sz w:val="16"/>
          <w:szCs w:val="16"/>
          <w:color w:val="010000"/>
        </w:rPr>
      </w:pPr>
      <w:r>
        <w:rPr>
          <w:rFonts w:ascii="Arial" w:cs="Arial" w:eastAsia="Arial" w:hAnsi="Arial"/>
          <w:sz w:val="17"/>
          <w:szCs w:val="17"/>
          <w:color w:val="auto"/>
        </w:rPr>
        <w:t>6.00% per annum of the net cash proceeds received by or contributed to Holdings in or from any public offering, other than public offerings with respect to Holdings’ common stock registered on Form S-8 and other than any public sale constituting an Excluded Contribution;</w:t>
      </w:r>
    </w:p>
    <w:p>
      <w:pPr>
        <w:spacing w:after="0" w:line="200" w:lineRule="exact"/>
        <w:rPr>
          <w:sz w:val="20"/>
          <w:szCs w:val="20"/>
          <w:color w:val="auto"/>
        </w:rPr>
      </w:pPr>
    </w:p>
    <w:p>
      <w:pPr>
        <w:spacing w:after="0" w:line="312" w:lineRule="exact"/>
        <w:rPr>
          <w:sz w:val="20"/>
          <w:szCs w:val="20"/>
          <w:color w:val="auto"/>
        </w:rPr>
      </w:pPr>
    </w:p>
    <w:p>
      <w:pPr>
        <w:ind w:left="4764"/>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0564"/>
          </w:cols>
          <w:pgMar w:left="976" w:top="341" w:right="359" w:bottom="1440" w:gutter="0" w:footer="0" w:header="0"/>
        </w:sectPr>
      </w:pPr>
    </w:p>
    <w:bookmarkStart w:id="204" w:name="page205"/>
    <w:bookmarkEnd w:id="204"/>
    <w:p>
      <w:pPr>
        <w:ind w:left="4" w:right="640" w:firstLine="644"/>
        <w:spacing w:after="0" w:line="277" w:lineRule="auto"/>
        <w:tabs>
          <w:tab w:leader="none" w:pos="1132" w:val="left"/>
        </w:tabs>
        <w:numPr>
          <w:ilvl w:val="1"/>
          <w:numId w:val="191"/>
        </w:numPr>
        <w:rPr>
          <w:rFonts w:ascii="Arial" w:cs="Arial" w:eastAsia="Arial" w:hAnsi="Arial"/>
          <w:sz w:val="18"/>
          <w:szCs w:val="18"/>
          <w:color w:val="010000"/>
        </w:rPr>
      </w:pPr>
      <w:r>
        <w:rPr>
          <w:rFonts w:ascii="Arial" w:cs="Arial" w:eastAsia="Arial" w:hAnsi="Arial"/>
          <w:sz w:val="18"/>
          <w:szCs w:val="18"/>
          <w:color w:val="auto"/>
        </w:rPr>
        <w:t xml:space="preserve">Restricted Payments in an amount that does not exceed the amount of Excluded Contributions made since the </w:t>
      </w:r>
      <w:r>
        <w:rPr>
          <w:rFonts w:ascii="Arial" w:cs="Arial" w:eastAsia="Arial" w:hAnsi="Arial"/>
          <w:sz w:val="18"/>
          <w:szCs w:val="18"/>
          <w:color w:val="FF0000"/>
          <w:strike w:val="1"/>
        </w:rPr>
        <w:t>Restatement</w:t>
      </w:r>
      <w:r>
        <w:rPr>
          <w:rFonts w:ascii="Arial" w:cs="Arial" w:eastAsia="Arial" w:hAnsi="Arial"/>
          <w:sz w:val="18"/>
          <w:szCs w:val="18"/>
          <w:color w:val="auto"/>
        </w:rPr>
        <w:t xml:space="preserve"> </w:t>
      </w:r>
      <w:r>
        <w:rPr>
          <w:rFonts w:ascii="Arial" w:cs="Arial" w:eastAsia="Arial" w:hAnsi="Arial"/>
          <w:sz w:val="18"/>
          <w:szCs w:val="18"/>
          <w:color w:val="FF0000"/>
          <w:strike w:val="1"/>
        </w:rPr>
        <w:t>Effective Date</w:t>
      </w:r>
      <w:r>
        <w:rPr>
          <w:rFonts w:ascii="Arial" w:cs="Arial" w:eastAsia="Arial" w:hAnsi="Arial"/>
          <w:sz w:val="18"/>
          <w:szCs w:val="18"/>
          <w:u w:val="single" w:color="auto"/>
          <w:color w:val="0000FF"/>
        </w:rPr>
        <w:t>end of the Additional Restrictions Period</w:t>
      </w:r>
      <w:r>
        <w:rPr>
          <w:rFonts w:ascii="Arial" w:cs="Arial" w:eastAsia="Arial" w:hAnsi="Arial"/>
          <w:sz w:val="18"/>
          <w:szCs w:val="18"/>
          <w:color w:val="000000"/>
        </w:rPr>
        <w:t>;</w:t>
      </w:r>
    </w:p>
    <w:p>
      <w:pPr>
        <w:spacing w:after="0" w:line="170" w:lineRule="exact"/>
        <w:rPr>
          <w:rFonts w:ascii="Arial" w:cs="Arial" w:eastAsia="Arial" w:hAnsi="Arial"/>
          <w:sz w:val="18"/>
          <w:szCs w:val="18"/>
          <w:color w:val="010000"/>
        </w:rPr>
      </w:pPr>
    </w:p>
    <w:p>
      <w:pPr>
        <w:ind w:left="4" w:right="240" w:firstLine="644"/>
        <w:spacing w:after="0" w:line="263" w:lineRule="auto"/>
        <w:tabs>
          <w:tab w:leader="none" w:pos="1125" w:val="left"/>
        </w:tabs>
        <w:numPr>
          <w:ilvl w:val="1"/>
          <w:numId w:val="191"/>
        </w:numPr>
        <w:rPr>
          <w:rFonts w:ascii="Arial" w:cs="Arial" w:eastAsia="Arial" w:hAnsi="Arial"/>
          <w:sz w:val="18"/>
          <w:szCs w:val="18"/>
          <w:color w:val="010000"/>
        </w:rPr>
      </w:pPr>
      <w:r>
        <w:rPr>
          <w:rFonts w:ascii="Arial" w:cs="Arial" w:eastAsia="Arial" w:hAnsi="Arial"/>
          <w:sz w:val="18"/>
          <w:szCs w:val="18"/>
          <w:u w:val="single" w:color="auto"/>
          <w:color w:val="0000FF"/>
        </w:rPr>
        <w:t>following the Additional Restrictions Period,</w:t>
      </w:r>
      <w:r>
        <w:rPr>
          <w:rFonts w:ascii="Arial" w:cs="Arial" w:eastAsia="Arial" w:hAnsi="Arial"/>
          <w:sz w:val="18"/>
          <w:szCs w:val="18"/>
          <w:color w:val="0000FF"/>
        </w:rPr>
        <w:t xml:space="preserve"> </w:t>
      </w:r>
      <w:r>
        <w:rPr>
          <w:rFonts w:ascii="Arial" w:cs="Arial" w:eastAsia="Arial" w:hAnsi="Arial"/>
          <w:sz w:val="18"/>
          <w:szCs w:val="18"/>
          <w:color w:val="000000"/>
        </w:rPr>
        <w:t>other Restricted Payments in an aggregate amount taken together with all other</w:t>
      </w:r>
      <w:r>
        <w:rPr>
          <w:rFonts w:ascii="Arial" w:cs="Arial" w:eastAsia="Arial" w:hAnsi="Arial"/>
          <w:sz w:val="18"/>
          <w:szCs w:val="18"/>
          <w:color w:val="0000FF"/>
        </w:rPr>
        <w:t xml:space="preserve"> </w:t>
      </w:r>
      <w:r>
        <w:rPr>
          <w:rFonts w:ascii="Arial" w:cs="Arial" w:eastAsia="Arial" w:hAnsi="Arial"/>
          <w:sz w:val="18"/>
          <w:szCs w:val="18"/>
          <w:color w:val="000000"/>
        </w:rPr>
        <w:t>Restricted Payments made pursuant to this clause not to exceed the greater of (x) $105,000,000 and (y) 50.0% of Consolidated EBITDA for the most recently ended Test Period (calculated on a Pro Forma Basis) at the time made;</w:t>
      </w:r>
    </w:p>
    <w:p>
      <w:pPr>
        <w:spacing w:after="0" w:line="183" w:lineRule="exact"/>
        <w:rPr>
          <w:rFonts w:ascii="Arial" w:cs="Arial" w:eastAsia="Arial" w:hAnsi="Arial"/>
          <w:sz w:val="18"/>
          <w:szCs w:val="18"/>
          <w:color w:val="010000"/>
        </w:rPr>
      </w:pPr>
    </w:p>
    <w:p>
      <w:pPr>
        <w:ind w:left="1124" w:hanging="476"/>
        <w:spacing w:after="0"/>
        <w:tabs>
          <w:tab w:leader="none" w:pos="1124" w:val="left"/>
        </w:tabs>
        <w:numPr>
          <w:ilvl w:val="1"/>
          <w:numId w:val="191"/>
        </w:numPr>
        <w:rPr>
          <w:rFonts w:ascii="Arial" w:cs="Arial" w:eastAsia="Arial" w:hAnsi="Arial"/>
          <w:sz w:val="18"/>
          <w:szCs w:val="18"/>
          <w:color w:val="010000"/>
        </w:rPr>
      </w:pPr>
      <w:r>
        <w:rPr>
          <w:rFonts w:ascii="Arial" w:cs="Arial" w:eastAsia="Arial" w:hAnsi="Arial"/>
          <w:sz w:val="18"/>
          <w:szCs w:val="18"/>
          <w:color w:val="auto"/>
        </w:rPr>
        <w:t>distributions or payments of Receivables Fees;</w:t>
      </w:r>
    </w:p>
    <w:p>
      <w:pPr>
        <w:spacing w:after="0" w:line="225" w:lineRule="exact"/>
        <w:rPr>
          <w:rFonts w:ascii="Arial" w:cs="Arial" w:eastAsia="Arial" w:hAnsi="Arial"/>
          <w:sz w:val="18"/>
          <w:szCs w:val="18"/>
          <w:color w:val="010000"/>
        </w:rPr>
      </w:pPr>
    </w:p>
    <w:p>
      <w:pPr>
        <w:ind w:left="4" w:right="120" w:firstLine="644"/>
        <w:spacing w:after="0" w:line="257" w:lineRule="auto"/>
        <w:tabs>
          <w:tab w:leader="none" w:pos="1132" w:val="left"/>
        </w:tabs>
        <w:numPr>
          <w:ilvl w:val="1"/>
          <w:numId w:val="191"/>
        </w:numPr>
        <w:rPr>
          <w:rFonts w:ascii="Arial" w:cs="Arial" w:eastAsia="Arial" w:hAnsi="Arial"/>
          <w:sz w:val="18"/>
          <w:szCs w:val="18"/>
          <w:color w:val="010000"/>
        </w:rPr>
      </w:pPr>
      <w:r>
        <w:rPr>
          <w:rFonts w:ascii="Arial" w:cs="Arial" w:eastAsia="Arial" w:hAnsi="Arial"/>
          <w:sz w:val="18"/>
          <w:szCs w:val="18"/>
          <w:color w:val="auto"/>
        </w:rPr>
        <w:t xml:space="preserve">any Restricted Payment made in connection with the Transactions and the fees and expenses related thereto or used to fund amounts owed to Affiliates (including dividends to any direct or indirect parent company of Holdings to permit payment by such parent of such amount), to the extent permitted by </w:t>
      </w:r>
      <w:r>
        <w:rPr>
          <w:rFonts w:ascii="Arial" w:cs="Arial" w:eastAsia="Arial" w:hAnsi="Arial"/>
          <w:sz w:val="18"/>
          <w:szCs w:val="18"/>
          <w:u w:val="single" w:color="auto"/>
          <w:color w:val="auto"/>
        </w:rPr>
        <w:t>Section 9.9</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thereof), and Restricted Payments in respect of working capital adjustments or purchase price adjustments pursuant to any Permitted Acquisition or other Permitted Investment and to satisfy indemnity and other similar obligations under any Permitted Acquisitions or other Permitted Investments;</w:t>
      </w:r>
    </w:p>
    <w:p>
      <w:pPr>
        <w:spacing w:after="0" w:line="187" w:lineRule="exact"/>
        <w:rPr>
          <w:rFonts w:ascii="Arial" w:cs="Arial" w:eastAsia="Arial" w:hAnsi="Arial"/>
          <w:sz w:val="18"/>
          <w:szCs w:val="18"/>
          <w:color w:val="010000"/>
        </w:rPr>
      </w:pPr>
    </w:p>
    <w:p>
      <w:pPr>
        <w:ind w:left="4" w:right="20" w:firstLine="644"/>
        <w:spacing w:after="0" w:line="263" w:lineRule="auto"/>
        <w:tabs>
          <w:tab w:leader="none" w:pos="1132" w:val="left"/>
        </w:tabs>
        <w:numPr>
          <w:ilvl w:val="1"/>
          <w:numId w:val="191"/>
        </w:numPr>
        <w:rPr>
          <w:rFonts w:ascii="Arial" w:cs="Arial" w:eastAsia="Arial" w:hAnsi="Arial"/>
          <w:sz w:val="18"/>
          <w:szCs w:val="18"/>
          <w:color w:val="010000"/>
        </w:rPr>
      </w:pPr>
      <w:r>
        <w:rPr>
          <w:rFonts w:ascii="Arial" w:cs="Arial" w:eastAsia="Arial" w:hAnsi="Arial"/>
          <w:sz w:val="18"/>
          <w:szCs w:val="18"/>
          <w:u w:val="single" w:color="auto"/>
          <w:color w:val="0000FF"/>
        </w:rPr>
        <w:t>following the Additional Restrictions Period,</w:t>
      </w:r>
      <w:r>
        <w:rPr>
          <w:rFonts w:ascii="Arial" w:cs="Arial" w:eastAsia="Arial" w:hAnsi="Arial"/>
          <w:sz w:val="18"/>
          <w:szCs w:val="18"/>
          <w:color w:val="0000FF"/>
        </w:rPr>
        <w:t xml:space="preserve"> </w:t>
      </w:r>
      <w:r>
        <w:rPr>
          <w:rFonts w:ascii="Arial" w:cs="Arial" w:eastAsia="Arial" w:hAnsi="Arial"/>
          <w:sz w:val="18"/>
          <w:szCs w:val="18"/>
          <w:color w:val="000000"/>
        </w:rPr>
        <w:t>other Restricted Payments;</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0000FF"/>
        </w:rPr>
        <w:t xml:space="preserve"> </w:t>
      </w:r>
      <w:r>
        <w:rPr>
          <w:rFonts w:ascii="Arial" w:cs="Arial" w:eastAsia="Arial" w:hAnsi="Arial"/>
          <w:sz w:val="18"/>
          <w:szCs w:val="18"/>
          <w:color w:val="000000"/>
        </w:rPr>
        <w:t>that (A) no Event of Default shall have occurred</w:t>
      </w:r>
      <w:r>
        <w:rPr>
          <w:rFonts w:ascii="Arial" w:cs="Arial" w:eastAsia="Arial" w:hAnsi="Arial"/>
          <w:sz w:val="18"/>
          <w:szCs w:val="18"/>
          <w:color w:val="0000FF"/>
        </w:rPr>
        <w:t xml:space="preserve"> </w:t>
      </w:r>
      <w:r>
        <w:rPr>
          <w:rFonts w:ascii="Arial" w:cs="Arial" w:eastAsia="Arial" w:hAnsi="Arial"/>
          <w:sz w:val="18"/>
          <w:szCs w:val="18"/>
          <w:color w:val="000000"/>
        </w:rPr>
        <w:t xml:space="preserve">and be continuing or would occur as a consequence thereof and (B) after giving Pro Forma Effect to such Restricted Payments the Consolidated Total Debt to Consolidated EBITDA Ratio is equal to or less than </w:t>
      </w:r>
      <w:r>
        <w:rPr>
          <w:rFonts w:ascii="Arial" w:cs="Arial" w:eastAsia="Arial" w:hAnsi="Arial"/>
          <w:sz w:val="18"/>
          <w:szCs w:val="18"/>
          <w:color w:val="00C000"/>
          <w:strike w:val="1"/>
        </w:rPr>
        <w:t>3.00</w:t>
      </w:r>
      <w:r>
        <w:rPr>
          <w:rFonts w:ascii="Arial" w:cs="Arial" w:eastAsia="Arial" w:hAnsi="Arial"/>
          <w:sz w:val="18"/>
          <w:szCs w:val="18"/>
          <w:u w:val="single" w:color="auto"/>
          <w:color w:val="0000FF"/>
        </w:rPr>
        <w:t>2.75</w:t>
      </w:r>
      <w:r>
        <w:rPr>
          <w:rFonts w:ascii="Arial" w:cs="Arial" w:eastAsia="Arial" w:hAnsi="Arial"/>
          <w:sz w:val="18"/>
          <w:szCs w:val="18"/>
          <w:color w:val="000000"/>
        </w:rPr>
        <w:t>:1.00;</w:t>
      </w:r>
    </w:p>
    <w:p>
      <w:pPr>
        <w:spacing w:after="0" w:line="183" w:lineRule="exact"/>
        <w:rPr>
          <w:rFonts w:ascii="Arial" w:cs="Arial" w:eastAsia="Arial" w:hAnsi="Arial"/>
          <w:sz w:val="18"/>
          <w:szCs w:val="18"/>
          <w:color w:val="010000"/>
        </w:rPr>
      </w:pPr>
    </w:p>
    <w:p>
      <w:pPr>
        <w:ind w:left="4" w:firstLine="644"/>
        <w:spacing w:after="0" w:line="282" w:lineRule="auto"/>
        <w:tabs>
          <w:tab w:leader="none" w:pos="1132" w:val="left"/>
        </w:tabs>
        <w:numPr>
          <w:ilvl w:val="1"/>
          <w:numId w:val="191"/>
        </w:numPr>
        <w:rPr>
          <w:rFonts w:ascii="Arial" w:cs="Arial" w:eastAsia="Arial" w:hAnsi="Arial"/>
          <w:sz w:val="16"/>
          <w:szCs w:val="16"/>
          <w:color w:val="010000"/>
        </w:rPr>
      </w:pPr>
      <w:r>
        <w:rPr>
          <w:rFonts w:ascii="Arial" w:cs="Arial" w:eastAsia="Arial" w:hAnsi="Arial"/>
          <w:sz w:val="16"/>
          <w:szCs w:val="16"/>
          <w:color w:val="auto"/>
        </w:rPr>
        <w:t xml:space="preserve">the declaration and payment of dividends by Holdings to, or the making of loans to, any direct or indirect parent company of Holdings in amounts required for any direct or indirect parent company to pay: (A) franchise and excise taxes, and other fees and expenses, required to maintain its organizational existence, (B) consolidated, combined or similar foreign, federal, state and local income or similar taxes, to the extent that such income taxes are attributable to the income of Holdings and the Restricted Subsidiaries and, to the extent of the amount actually received from its Unrestricted Subsidiaries, in amounts required to pay such taxes to the extent attributable to the income of such Unrestricted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the amount of such payments with respect to any fiscal year does not exceed the amount that Holdings, the Restricted Subsidiaries and the Unrestricted Subsidiaries (to the extent described above) would have been required to pay in respect of such foreign, federal, state and local income or similar taxes for such fiscal year had Holdings, the Restricted Subsidiaries and the Unrestricted Subsidiaries (to the extent described above) been a stand-alone taxpayer or stand-alone group (separate from any such direct or indirect parent company of Holdings) for all fiscal years ending after the Restatement Effective Date, (C) customary salary, bonus, and other benefits payable to officers, employees, directors, and managers of any direct or indirect parent company of Holdings to the extent such salaries, bonuses, and other benefits are attributable to the ownership or operation of Holdings and the Restricted Subsidiaries, including Holdings’ proportionate share of such amount relating to such parent company being a public company, (D) general corporate or other operating (including, without limitation, expenses related to auditing or other accounting matters) and overhead costs and expenses of any direct or indirect parent company of Holdings to the extent such costs and expenses are attributable to the ownership or operation of Holdings and the Restricted Subsidiaries, including Holdings’ proportionate share of such amount relating to such parent company being a public company, (E) amounts required for any direct or indirect parent company of Holdings to pay fees and expenses incurred by any direct or indirect parent company of Holdings related to (i) the maintenance by such parent entity of its corporate or other entity existence and (ii) transactions of such parent company of Holdings of the type described in </w:t>
      </w:r>
      <w:r>
        <w:rPr>
          <w:rFonts w:ascii="Arial" w:cs="Arial" w:eastAsia="Arial" w:hAnsi="Arial"/>
          <w:sz w:val="16"/>
          <w:szCs w:val="16"/>
          <w:u w:val="single" w:color="auto"/>
          <w:color w:val="auto"/>
        </w:rPr>
        <w:t>clause</w:t>
      </w:r>
    </w:p>
    <w:p>
      <w:pPr>
        <w:spacing w:after="0" w:line="11" w:lineRule="exact"/>
        <w:rPr>
          <w:rFonts w:ascii="Arial" w:cs="Arial" w:eastAsia="Arial" w:hAnsi="Arial"/>
          <w:sz w:val="16"/>
          <w:szCs w:val="16"/>
          <w:color w:val="010000"/>
        </w:rPr>
      </w:pPr>
    </w:p>
    <w:p>
      <w:pPr>
        <w:ind w:left="4" w:right="120" w:hanging="4"/>
        <w:spacing w:after="0" w:line="253" w:lineRule="auto"/>
        <w:tabs>
          <w:tab w:leader="none" w:pos="309" w:val="left"/>
        </w:tabs>
        <w:numPr>
          <w:ilvl w:val="0"/>
          <w:numId w:val="192"/>
        </w:numPr>
        <w:rPr>
          <w:rFonts w:ascii="Arial" w:cs="Arial" w:eastAsia="Arial" w:hAnsi="Arial"/>
          <w:sz w:val="18"/>
          <w:szCs w:val="18"/>
          <w:u w:val="single" w:color="auto"/>
          <w:color w:val="auto"/>
        </w:rPr>
      </w:pPr>
      <w:r>
        <w:rPr>
          <w:rFonts w:ascii="Arial" w:cs="Arial" w:eastAsia="Arial" w:hAnsi="Arial"/>
          <w:sz w:val="18"/>
          <w:szCs w:val="18"/>
          <w:color w:val="auto"/>
        </w:rPr>
        <w:t>of the definition of “Consolidated Net Income”, (F) cash payments in lieu of issuing fractional shares in connection with the exercise of warrants, options</w:t>
      </w:r>
      <w:r>
        <w:rPr>
          <w:rFonts w:ascii="Arial" w:cs="Arial" w:eastAsia="Arial" w:hAnsi="Arial"/>
          <w:sz w:val="18"/>
          <w:szCs w:val="18"/>
          <w:u w:val="single" w:color="auto"/>
          <w:color w:val="0000FF"/>
        </w:rPr>
        <w:t>, Permitted Convertible Indebtedness</w:t>
      </w:r>
      <w:r>
        <w:rPr>
          <w:rFonts w:ascii="Arial" w:cs="Arial" w:eastAsia="Arial" w:hAnsi="Arial"/>
          <w:sz w:val="18"/>
          <w:szCs w:val="18"/>
          <w:color w:val="auto"/>
        </w:rPr>
        <w:t xml:space="preserve"> or other securities convertible into or exchangeable for Equity Interests of Holdings or any such direct or indirect parent company of Holdings, </w:t>
      </w:r>
      <w:r>
        <w:rPr>
          <w:rFonts w:ascii="Arial" w:cs="Arial" w:eastAsia="Arial" w:hAnsi="Arial"/>
          <w:sz w:val="18"/>
          <w:szCs w:val="18"/>
          <w:color w:val="FF0000"/>
          <w:strike w:val="1"/>
        </w:rPr>
        <w:t>and</w:t>
      </w:r>
      <w:r>
        <w:rPr>
          <w:rFonts w:ascii="Arial" w:cs="Arial" w:eastAsia="Arial" w:hAnsi="Arial"/>
          <w:sz w:val="18"/>
          <w:szCs w:val="18"/>
          <w:color w:val="auto"/>
        </w:rPr>
        <w:t xml:space="preserve"> (G) repurchases deemed to occur upon the cashless exercise of stock options </w:t>
      </w:r>
      <w:r>
        <w:rPr>
          <w:rFonts w:ascii="Arial" w:cs="Arial" w:eastAsia="Arial" w:hAnsi="Arial"/>
          <w:sz w:val="18"/>
          <w:szCs w:val="18"/>
          <w:u w:val="single" w:color="auto"/>
          <w:color w:val="0000FF"/>
        </w:rPr>
        <w:t>and (H)</w:t>
      </w:r>
      <w:r>
        <w:rPr>
          <w:rFonts w:ascii="Arial" w:cs="Arial" w:eastAsia="Arial" w:hAnsi="Arial"/>
          <w:sz w:val="18"/>
          <w:szCs w:val="18"/>
          <w:color w:val="auto"/>
        </w:rPr>
        <w:t xml:space="preserve"> </w:t>
      </w:r>
      <w:r>
        <w:rPr>
          <w:rFonts w:ascii="Arial" w:cs="Arial" w:eastAsia="Arial" w:hAnsi="Arial"/>
          <w:sz w:val="18"/>
          <w:szCs w:val="18"/>
          <w:u w:val="single" w:color="auto"/>
          <w:color w:val="0000FF"/>
        </w:rPr>
        <w:t>regularly scheduled payments of cash interest on Permitted Convertible Indebtedness</w:t>
      </w:r>
      <w:r>
        <w:rPr>
          <w:rFonts w:ascii="Arial" w:cs="Arial" w:eastAsia="Arial" w:hAnsi="Arial"/>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764"/>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584"/>
          </w:cols>
          <w:pgMar w:left="976" w:top="341" w:right="339" w:bottom="1440" w:gutter="0" w:footer="0" w:header="0"/>
        </w:sectPr>
      </w:pPr>
    </w:p>
    <w:bookmarkStart w:id="205" w:name="page206"/>
    <w:bookmarkEnd w:id="205"/>
    <w:p>
      <w:pPr>
        <w:ind w:left="660" w:right="280" w:firstLine="644"/>
        <w:spacing w:after="0" w:line="311" w:lineRule="auto"/>
        <w:tabs>
          <w:tab w:leader="none" w:pos="1788" w:val="left"/>
        </w:tabs>
        <w:numPr>
          <w:ilvl w:val="0"/>
          <w:numId w:val="193"/>
        </w:numPr>
        <w:rPr>
          <w:rFonts w:ascii="Arial" w:cs="Arial" w:eastAsia="Arial" w:hAnsi="Arial"/>
          <w:sz w:val="16"/>
          <w:szCs w:val="16"/>
          <w:color w:val="010000"/>
        </w:rPr>
      </w:pPr>
      <w:r>
        <w:rPr>
          <w:rFonts w:ascii="Arial" w:cs="Arial" w:eastAsia="Arial" w:hAnsi="Arial"/>
          <w:sz w:val="16"/>
          <w:szCs w:val="16"/>
          <w:color w:val="auto"/>
        </w:rPr>
        <w:t>the repurchase, redemption or other acquisition for value of Equity Interests of Holdings deemed to occur in connection with paying cash in lieu of fractional shares of such Equity Interests in connection with a share dividend, distribution, share split, reverse share split, merger, consolidation, amalgamation or other business combination of Holdings, in each case, permitted under this Agreement;</w:t>
      </w:r>
    </w:p>
    <w:p>
      <w:pPr>
        <w:spacing w:after="0" w:line="148" w:lineRule="exact"/>
        <w:rPr>
          <w:rFonts w:ascii="Arial" w:cs="Arial" w:eastAsia="Arial" w:hAnsi="Arial"/>
          <w:sz w:val="16"/>
          <w:szCs w:val="16"/>
          <w:color w:val="010000"/>
        </w:rPr>
      </w:pPr>
    </w:p>
    <w:p>
      <w:pPr>
        <w:ind w:left="660" w:right="20" w:firstLine="644"/>
        <w:spacing w:after="0" w:line="263" w:lineRule="auto"/>
        <w:tabs>
          <w:tab w:leader="none" w:pos="1788" w:val="left"/>
        </w:tabs>
        <w:numPr>
          <w:ilvl w:val="0"/>
          <w:numId w:val="193"/>
        </w:numPr>
        <w:rPr>
          <w:rFonts w:ascii="Arial" w:cs="Arial" w:eastAsia="Arial" w:hAnsi="Arial"/>
          <w:sz w:val="18"/>
          <w:szCs w:val="18"/>
          <w:color w:val="010000"/>
        </w:rPr>
      </w:pPr>
      <w:r>
        <w:rPr>
          <w:rFonts w:ascii="Arial" w:cs="Arial" w:eastAsia="Arial" w:hAnsi="Arial"/>
          <w:sz w:val="18"/>
          <w:szCs w:val="18"/>
          <w:u w:val="single" w:color="auto"/>
          <w:color w:val="0000FF"/>
        </w:rPr>
        <w:t>following the Additional Restrictions Period,</w:t>
      </w:r>
      <w:r>
        <w:rPr>
          <w:rFonts w:ascii="Arial" w:cs="Arial" w:eastAsia="Arial" w:hAnsi="Arial"/>
          <w:sz w:val="18"/>
          <w:szCs w:val="18"/>
          <w:color w:val="0000FF"/>
        </w:rPr>
        <w:t xml:space="preserve"> </w:t>
      </w:r>
      <w:r>
        <w:rPr>
          <w:rFonts w:ascii="Arial" w:cs="Arial" w:eastAsia="Arial" w:hAnsi="Arial"/>
          <w:sz w:val="18"/>
          <w:szCs w:val="18"/>
          <w:color w:val="000000"/>
        </w:rPr>
        <w:t>the distribution, by dividend or otherwise, of shares of Capital Stock of, or</w:t>
      </w:r>
      <w:r>
        <w:rPr>
          <w:rFonts w:ascii="Arial" w:cs="Arial" w:eastAsia="Arial" w:hAnsi="Arial"/>
          <w:sz w:val="18"/>
          <w:szCs w:val="18"/>
          <w:color w:val="0000FF"/>
        </w:rPr>
        <w:t xml:space="preserve"> </w:t>
      </w:r>
      <w:r>
        <w:rPr>
          <w:rFonts w:ascii="Arial" w:cs="Arial" w:eastAsia="Arial" w:hAnsi="Arial"/>
          <w:sz w:val="18"/>
          <w:szCs w:val="18"/>
          <w:color w:val="000000"/>
        </w:rPr>
        <w:t>Indebtedness owed to Holdings or a Restricted Subsidiary by, Unrestricted Subsidiaries (other than Unrestricted Subsidiaries, the primary assets of which are cash and/or Cash Equivalents); and</w:t>
      </w:r>
    </w:p>
    <w:p>
      <w:pPr>
        <w:spacing w:after="0" w:line="183" w:lineRule="exact"/>
        <w:rPr>
          <w:rFonts w:ascii="Arial" w:cs="Arial" w:eastAsia="Arial" w:hAnsi="Arial"/>
          <w:sz w:val="18"/>
          <w:szCs w:val="18"/>
          <w:color w:val="010000"/>
        </w:rPr>
      </w:pPr>
    </w:p>
    <w:p>
      <w:pPr>
        <w:ind w:left="660" w:right="240" w:firstLine="644"/>
        <w:spacing w:after="0" w:line="259" w:lineRule="auto"/>
        <w:tabs>
          <w:tab w:leader="none" w:pos="1788" w:val="left"/>
        </w:tabs>
        <w:numPr>
          <w:ilvl w:val="0"/>
          <w:numId w:val="193"/>
        </w:numPr>
        <w:rPr>
          <w:rFonts w:ascii="Arial" w:cs="Arial" w:eastAsia="Arial" w:hAnsi="Arial"/>
          <w:sz w:val="18"/>
          <w:szCs w:val="18"/>
          <w:color w:val="010000"/>
        </w:rPr>
      </w:pPr>
      <w:r>
        <w:rPr>
          <w:rFonts w:ascii="Arial" w:cs="Arial" w:eastAsia="Arial" w:hAnsi="Arial"/>
          <w:sz w:val="18"/>
          <w:szCs w:val="18"/>
          <w:u w:val="single" w:color="auto"/>
          <w:color w:val="0000FF"/>
        </w:rPr>
        <w:t>following the Additional Restrictions Period.</w:t>
      </w:r>
      <w:r>
        <w:rPr>
          <w:rFonts w:ascii="Arial" w:cs="Arial" w:eastAsia="Arial" w:hAnsi="Arial"/>
          <w:sz w:val="18"/>
          <w:szCs w:val="18"/>
          <w:color w:val="0000FF"/>
        </w:rPr>
        <w:t xml:space="preserve"> </w:t>
      </w:r>
      <w:r>
        <w:rPr>
          <w:rFonts w:ascii="Arial" w:cs="Arial" w:eastAsia="Arial" w:hAnsi="Arial"/>
          <w:sz w:val="18"/>
          <w:szCs w:val="18"/>
          <w:color w:val="000000"/>
        </w:rPr>
        <w:t>the making of any principal payment on, or redeeming, repurchasing, defeasing or</w:t>
      </w:r>
      <w:r>
        <w:rPr>
          <w:rFonts w:ascii="Arial" w:cs="Arial" w:eastAsia="Arial" w:hAnsi="Arial"/>
          <w:sz w:val="18"/>
          <w:szCs w:val="18"/>
          <w:color w:val="0000FF"/>
        </w:rPr>
        <w:t xml:space="preserve"> </w:t>
      </w:r>
      <w:r>
        <w:rPr>
          <w:rFonts w:ascii="Arial" w:cs="Arial" w:eastAsia="Arial" w:hAnsi="Arial"/>
          <w:sz w:val="18"/>
          <w:szCs w:val="18"/>
          <w:color w:val="000000"/>
        </w:rPr>
        <w:t>otherwise acquiring or retiring for value in each case, prior to any scheduled repayment, sinking fund payment or maturity, any Junior Debt of Holdings or any Restricted Subsidiary in an amount not in excess of the greater of $30,000,000 and 25% of Consolidated EBITDA for the most recently ended Test Period (calculated on a Pro Forma Basis).</w:t>
      </w:r>
    </w:p>
    <w:p>
      <w:pPr>
        <w:spacing w:after="0" w:line="18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and after giving effect to, any Restricted Payment permitted under </w:t>
      </w:r>
      <w:r>
        <w:rPr>
          <w:rFonts w:ascii="Arial" w:cs="Arial" w:eastAsia="Arial" w:hAnsi="Arial"/>
          <w:sz w:val="18"/>
          <w:szCs w:val="18"/>
          <w:u w:val="single" w:color="auto"/>
          <w:color w:val="auto"/>
        </w:rPr>
        <w:t>clauses (10)</w:t>
      </w:r>
      <w:r>
        <w:rPr>
          <w:rFonts w:ascii="Arial" w:cs="Arial" w:eastAsia="Arial" w:hAnsi="Arial"/>
          <w:sz w:val="18"/>
          <w:szCs w:val="18"/>
          <w:color w:val="auto"/>
        </w:rPr>
        <w:t xml:space="preserve"> (but only if the Excluded Contribution was made more than six months prior to such time), </w:t>
      </w:r>
      <w:r>
        <w:rPr>
          <w:rFonts w:ascii="Arial" w:cs="Arial" w:eastAsia="Arial" w:hAnsi="Arial"/>
          <w:sz w:val="18"/>
          <w:szCs w:val="18"/>
          <w:u w:val="single" w:color="auto"/>
          <w:color w:val="auto"/>
        </w:rPr>
        <w:t>(11)</w:t>
      </w:r>
      <w:r>
        <w:rPr>
          <w:rFonts w:ascii="Arial" w:cs="Arial" w:eastAsia="Arial" w:hAnsi="Arial"/>
          <w:sz w:val="18"/>
          <w:szCs w:val="18"/>
          <w:color w:val="auto"/>
        </w:rPr>
        <w:t xml:space="preserve">, </w:t>
      </w:r>
      <w:r>
        <w:rPr>
          <w:rFonts w:ascii="Arial" w:cs="Arial" w:eastAsia="Arial" w:hAnsi="Arial"/>
          <w:sz w:val="18"/>
          <w:szCs w:val="18"/>
          <w:u w:val="single" w:color="auto"/>
          <w:color w:val="auto"/>
        </w:rPr>
        <w:t>(14)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(18)</w:t>
      </w:r>
      <w:r>
        <w:rPr>
          <w:rFonts w:ascii="Arial" w:cs="Arial" w:eastAsia="Arial" w:hAnsi="Arial"/>
          <w:sz w:val="18"/>
          <w:szCs w:val="18"/>
          <w:color w:val="auto"/>
        </w:rPr>
        <w:t xml:space="preserve">, no Event of Default shall have occurred and be continuing or would occur as a consequence thereof (or in the case of a Restricted Investment, no Event of Default under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11.5</w:t>
      </w:r>
      <w:r>
        <w:rPr>
          <w:rFonts w:ascii="Arial" w:cs="Arial" w:eastAsia="Arial" w:hAnsi="Arial"/>
          <w:sz w:val="18"/>
          <w:szCs w:val="18"/>
          <w:color w:val="auto"/>
        </w:rPr>
        <w:t xml:space="preserve"> shall have occurred and be continuing or would occur as a consequence thereof).</w:t>
      </w:r>
    </w:p>
    <w:p>
      <w:pPr>
        <w:spacing w:after="0" w:line="10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Holdings will not permit any Unrestricted Subsidiary to become a Restricted Subsidiary except pursuant to the last sentence of the definition of “Unrestricted Subsidiary”. For purposes of designating any Restricted Subsidiary as an Unrestricted Subsidiary, all outstanding Investments by Holdings and the Restricted Subsidiaries (except to the extent repaid) in the Subsidiary so designated will be deemed to be Restricted Payments in an amount determined as set forth in the last sentence of the definition of “Investment”. Such designation will be permitted only </w:t>
      </w:r>
      <w:r>
        <w:rPr>
          <w:rFonts w:ascii="Arial" w:cs="Arial" w:eastAsia="Arial" w:hAnsi="Arial"/>
          <w:sz w:val="16"/>
          <w:szCs w:val="16"/>
          <w:u w:val="single" w:color="auto"/>
          <w:color w:val="0000FF"/>
        </w:rPr>
        <w:t>if such designation occurs following</w:t>
      </w:r>
      <w:r>
        <w:rPr>
          <w:rFonts w:ascii="Arial" w:cs="Arial" w:eastAsia="Arial" w:hAnsi="Arial"/>
          <w:sz w:val="16"/>
          <w:szCs w:val="16"/>
          <w:color w:val="auto"/>
        </w:rPr>
        <w:t xml:space="preserve"> </w:t>
      </w:r>
      <w:r>
        <w:rPr>
          <w:rFonts w:ascii="Arial" w:cs="Arial" w:eastAsia="Arial" w:hAnsi="Arial"/>
          <w:sz w:val="16"/>
          <w:szCs w:val="16"/>
          <w:u w:val="single" w:color="auto"/>
          <w:color w:val="0000FF"/>
        </w:rPr>
        <w:t>the Additional Restrictions Period and only</w:t>
      </w:r>
      <w:r>
        <w:rPr>
          <w:rFonts w:ascii="Arial" w:cs="Arial" w:eastAsia="Arial" w:hAnsi="Arial"/>
          <w:sz w:val="16"/>
          <w:szCs w:val="16"/>
          <w:color w:val="0000FF"/>
        </w:rPr>
        <w:t xml:space="preserve"> </w:t>
      </w:r>
      <w:r>
        <w:rPr>
          <w:rFonts w:ascii="Arial" w:cs="Arial" w:eastAsia="Arial" w:hAnsi="Arial"/>
          <w:sz w:val="16"/>
          <w:szCs w:val="16"/>
          <w:color w:val="000000"/>
        </w:rPr>
        <w:t>if a Restricted Payment in such amount would be permitted at such time, whether pursuant to</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Section 10.5(a)</w:t>
      </w:r>
      <w:r>
        <w:rPr>
          <w:rFonts w:ascii="Arial" w:cs="Arial" w:eastAsia="Arial" w:hAnsi="Arial"/>
          <w:sz w:val="16"/>
          <w:szCs w:val="16"/>
          <w:color w:val="0000FF"/>
        </w:rPr>
        <w:t xml:space="preserve"> </w:t>
      </w:r>
      <w:r>
        <w:rPr>
          <w:rFonts w:ascii="Arial" w:cs="Arial" w:eastAsia="Arial" w:hAnsi="Arial"/>
          <w:sz w:val="16"/>
          <w:szCs w:val="16"/>
          <w:color w:val="000000"/>
        </w:rPr>
        <w:t>or</w:t>
      </w:r>
      <w:r>
        <w:rPr>
          <w:rFonts w:ascii="Arial" w:cs="Arial" w:eastAsia="Arial" w:hAnsi="Arial"/>
          <w:sz w:val="16"/>
          <w:szCs w:val="16"/>
          <w:color w:val="0000FF"/>
        </w:rPr>
        <w:t xml:space="preserve"> </w:t>
      </w:r>
      <w:r>
        <w:rPr>
          <w:rFonts w:ascii="Arial" w:cs="Arial" w:eastAsia="Arial" w:hAnsi="Arial"/>
          <w:sz w:val="16"/>
          <w:szCs w:val="16"/>
          <w:color w:val="000000"/>
        </w:rPr>
        <w:t xml:space="preserve">under </w:t>
      </w:r>
      <w:r>
        <w:rPr>
          <w:rFonts w:ascii="Arial" w:cs="Arial" w:eastAsia="Arial" w:hAnsi="Arial"/>
          <w:sz w:val="16"/>
          <w:szCs w:val="16"/>
          <w:u w:val="single" w:color="auto"/>
          <w:color w:val="000000"/>
        </w:rPr>
        <w:t>clauses (7)</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(10)</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(11)</w:t>
      </w:r>
      <w:r>
        <w:rPr>
          <w:rFonts w:ascii="Arial" w:cs="Arial" w:eastAsia="Arial" w:hAnsi="Arial"/>
          <w:sz w:val="16"/>
          <w:szCs w:val="16"/>
          <w:color w:val="000000"/>
        </w:rPr>
        <w:t xml:space="preserve"> of </w:t>
      </w:r>
      <w:r>
        <w:rPr>
          <w:rFonts w:ascii="Arial" w:cs="Arial" w:eastAsia="Arial" w:hAnsi="Arial"/>
          <w:sz w:val="16"/>
          <w:szCs w:val="16"/>
          <w:u w:val="single" w:color="auto"/>
          <w:color w:val="000000"/>
        </w:rPr>
        <w:t>Section 10.5(b)</w:t>
      </w:r>
      <w:r>
        <w:rPr>
          <w:rFonts w:ascii="Arial" w:cs="Arial" w:eastAsia="Arial" w:hAnsi="Arial"/>
          <w:sz w:val="16"/>
          <w:szCs w:val="16"/>
          <w:color w:val="000000"/>
        </w:rPr>
        <w:t>, or pursuant to the definition of “Permitted Investments”, and if such Subsidiary otherwise meets the definition of an Unrestricted Subsidiary. Unrestricted Subsidiaries will not be subject to any of the restrictive covenants set forth in this Agreement.</w:t>
      </w:r>
    </w:p>
    <w:p>
      <w:pPr>
        <w:spacing w:after="0" w:line="166"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 xml:space="preserve">For purposes of determining compliance with this covenant, in the event that a proposed Restricted Payment or Investment (or a portion thereof) meets the criteria of </w:t>
      </w:r>
      <w:r>
        <w:rPr>
          <w:rFonts w:ascii="Arial" w:cs="Arial" w:eastAsia="Arial" w:hAnsi="Arial"/>
          <w:sz w:val="17"/>
          <w:szCs w:val="17"/>
          <w:u w:val="single" w:color="auto"/>
          <w:color w:val="auto"/>
        </w:rPr>
        <w:t>clauses (1)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(18)</w:t>
      </w:r>
      <w:r>
        <w:rPr>
          <w:rFonts w:ascii="Arial" w:cs="Arial" w:eastAsia="Arial" w:hAnsi="Arial"/>
          <w:sz w:val="17"/>
          <w:szCs w:val="17"/>
          <w:color w:val="auto"/>
        </w:rPr>
        <w:t xml:space="preserve"> above or is entitled to be made pursuant to </w:t>
      </w:r>
      <w:r>
        <w:rPr>
          <w:rFonts w:ascii="Arial" w:cs="Arial" w:eastAsia="Arial" w:hAnsi="Arial"/>
          <w:sz w:val="17"/>
          <w:szCs w:val="17"/>
          <w:u w:val="single" w:color="auto"/>
          <w:color w:val="auto"/>
        </w:rPr>
        <w:t>Section 10.5(a)</w:t>
      </w:r>
      <w:r>
        <w:rPr>
          <w:rFonts w:ascii="Arial" w:cs="Arial" w:eastAsia="Arial" w:hAnsi="Arial"/>
          <w:sz w:val="17"/>
          <w:szCs w:val="17"/>
          <w:color w:val="auto"/>
        </w:rPr>
        <w:t xml:space="preserve"> and/or one or more of the exceptions contained in the definition of “Permitted Investments”, Holdings will be entitled to classify or later reclassify (based on circumstances existing on the date of such reclassification) such Restricted Payment (or portion thereof) among such </w:t>
      </w:r>
      <w:r>
        <w:rPr>
          <w:rFonts w:ascii="Arial" w:cs="Arial" w:eastAsia="Arial" w:hAnsi="Arial"/>
          <w:sz w:val="17"/>
          <w:szCs w:val="17"/>
          <w:u w:val="single" w:color="auto"/>
          <w:color w:val="auto"/>
        </w:rPr>
        <w:t>clauses (1)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(18)</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10.5(a)</w:t>
      </w:r>
      <w:r>
        <w:rPr>
          <w:rFonts w:ascii="Arial" w:cs="Arial" w:eastAsia="Arial" w:hAnsi="Arial"/>
          <w:sz w:val="17"/>
          <w:szCs w:val="17"/>
          <w:color w:val="auto"/>
        </w:rPr>
        <w:t xml:space="preserve"> and/or one or more of the exceptions contained in the definition of “Permitted Investments”, in a manner that otherwise complies with this covenant.</w:t>
      </w:r>
    </w:p>
    <w:p>
      <w:pPr>
        <w:spacing w:after="0" w:line="176"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Limitation on Subsidiary Distributions</w:t>
      </w:r>
      <w:r>
        <w:rPr>
          <w:rFonts w:ascii="Arial" w:cs="Arial" w:eastAsia="Arial" w:hAnsi="Arial"/>
          <w:sz w:val="18"/>
          <w:szCs w:val="18"/>
          <w:color w:val="auto"/>
        </w:rPr>
        <w:t>. Holdings will not permit any of the Restricted Subsidiaries that are not Guarantors to, directly or indirectly, create or otherwise cause or suffer to exist or become effective any consensual encumbrance or consensual restriction on the ability of any such Restricted Subsidiary to:</w:t>
      </w:r>
    </w:p>
    <w:p>
      <w:pPr>
        <w:spacing w:after="0" w:line="184" w:lineRule="exact"/>
        <w:rPr>
          <w:sz w:val="20"/>
          <w:szCs w:val="20"/>
          <w:color w:val="auto"/>
        </w:rPr>
      </w:pPr>
    </w:p>
    <w:p>
      <w:pPr>
        <w:ind w:left="660" w:firstLine="644"/>
        <w:spacing w:after="0" w:line="308" w:lineRule="auto"/>
        <w:tabs>
          <w:tab w:leader="none" w:pos="1688" w:val="left"/>
        </w:tabs>
        <w:numPr>
          <w:ilvl w:val="0"/>
          <w:numId w:val="194"/>
        </w:numPr>
        <w:rPr>
          <w:rFonts w:ascii="Arial" w:cs="Arial" w:eastAsia="Arial" w:hAnsi="Arial"/>
          <w:sz w:val="17"/>
          <w:szCs w:val="17"/>
          <w:color w:val="auto"/>
        </w:rPr>
      </w:pPr>
      <w:r>
        <w:rPr>
          <w:rFonts w:ascii="Arial" w:cs="Arial" w:eastAsia="Arial" w:hAnsi="Arial"/>
          <w:sz w:val="17"/>
          <w:szCs w:val="17"/>
          <w:color w:val="auto"/>
        </w:rPr>
        <w:t>(i) pay dividends or make any other distributions to Holdings or any Restricted Subsidiary on its Capital Stock or with respect to any other interest or participation in, or measured by, its profits or (ii) pay any Indebtedness owed to Holdings or any Restricted Subsidiary;</w:t>
      </w:r>
    </w:p>
    <w:p>
      <w:pPr>
        <w:spacing w:after="0" w:line="65" w:lineRule="exact"/>
        <w:rPr>
          <w:rFonts w:ascii="Arial" w:cs="Arial" w:eastAsia="Arial" w:hAnsi="Arial"/>
          <w:sz w:val="17"/>
          <w:szCs w:val="17"/>
          <w:color w:val="auto"/>
        </w:rPr>
      </w:pPr>
    </w:p>
    <w:p>
      <w:pPr>
        <w:ind w:left="1700" w:hanging="396"/>
        <w:spacing w:after="0"/>
        <w:tabs>
          <w:tab w:leader="none" w:pos="17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make loans or advances to Holdings or any Restricted Subsidiary; or</w:t>
      </w:r>
    </w:p>
    <w:p>
      <w:pPr>
        <w:spacing w:after="0" w:line="144" w:lineRule="exact"/>
        <w:rPr>
          <w:rFonts w:ascii="Arial" w:cs="Arial" w:eastAsia="Arial" w:hAnsi="Arial"/>
          <w:sz w:val="18"/>
          <w:szCs w:val="18"/>
          <w:color w:val="auto"/>
        </w:rPr>
      </w:pPr>
    </w:p>
    <w:p>
      <w:pPr>
        <w:ind w:left="1680" w:hanging="376"/>
        <w:spacing w:after="0"/>
        <w:tabs>
          <w:tab w:leader="none" w:pos="16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sell, lease or transfer any of its properties or assets to Holdings or any Restricted Subsidiary;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341" w:right="339" w:bottom="1440" w:gutter="0" w:footer="0" w:header="0"/>
        </w:sectPr>
      </w:pPr>
    </w:p>
    <w:bookmarkStart w:id="206" w:name="page207"/>
    <w:bookmarkEnd w:id="206"/>
    <w:p>
      <w:pPr>
        <w:spacing w:after="0"/>
        <w:rPr>
          <w:sz w:val="20"/>
          <w:szCs w:val="20"/>
          <w:color w:val="auto"/>
        </w:rPr>
      </w:pPr>
      <w:r>
        <w:rPr>
          <w:rFonts w:ascii="Arial" w:cs="Arial" w:eastAsia="Arial" w:hAnsi="Arial"/>
          <w:sz w:val="16"/>
          <w:szCs w:val="16"/>
          <w:color w:val="auto"/>
        </w:rPr>
        <w:t>except (in each case) for such encumbrances or restrictions (x) which the Borrower has reasonably determined in good faith will not materially impair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Borrower’s ability to make payments under this Agreement when due or (y) existing under or by reason of:</w:t>
      </w:r>
    </w:p>
    <w:p>
      <w:pPr>
        <w:spacing w:after="0" w:line="130" w:lineRule="exact"/>
        <w:rPr>
          <w:sz w:val="20"/>
          <w:szCs w:val="20"/>
          <w:color w:val="auto"/>
        </w:rPr>
      </w:pPr>
    </w:p>
    <w:p>
      <w:pPr>
        <w:ind w:left="660" w:right="140" w:firstLine="887"/>
        <w:spacing w:after="0" w:line="277" w:lineRule="auto"/>
        <w:tabs>
          <w:tab w:leader="none" w:pos="190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contractual encumbrances or restrictions in effect on the Restatement Effective Date, including pursuant to this Agreement and the related documentation and related Hedging Obligations;</w:t>
      </w:r>
    </w:p>
    <w:p>
      <w:pPr>
        <w:spacing w:after="0" w:line="170" w:lineRule="exact"/>
        <w:rPr>
          <w:rFonts w:ascii="Arial" w:cs="Arial" w:eastAsia="Arial" w:hAnsi="Arial"/>
          <w:sz w:val="18"/>
          <w:szCs w:val="18"/>
          <w:color w:val="auto"/>
        </w:rPr>
      </w:pPr>
    </w:p>
    <w:p>
      <w:pPr>
        <w:ind w:left="660" w:right="580" w:firstLine="887"/>
        <w:spacing w:after="0" w:line="342" w:lineRule="auto"/>
        <w:tabs>
          <w:tab w:leader="none" w:pos="1951" w:val="left"/>
        </w:tabs>
        <w:numPr>
          <w:ilvl w:val="0"/>
          <w:numId w:val="195"/>
        </w:numPr>
        <w:rPr>
          <w:rFonts w:ascii="Arial" w:cs="Arial" w:eastAsia="Arial" w:hAnsi="Arial"/>
          <w:sz w:val="16"/>
          <w:szCs w:val="16"/>
          <w:color w:val="auto"/>
        </w:rPr>
      </w:pPr>
      <w:r>
        <w:rPr>
          <w:rFonts w:ascii="Arial" w:cs="Arial" w:eastAsia="Arial" w:hAnsi="Arial"/>
          <w:sz w:val="16"/>
          <w:szCs w:val="16"/>
          <w:color w:val="auto"/>
        </w:rPr>
        <w:t xml:space="preserve">purchase money obligations for property acquired in the ordinary course of business or consistent with past practice and Capitalized Lease Obligations that impose restrictions of the nature discussed in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above on the property so acquired;</w:t>
      </w:r>
    </w:p>
    <w:p>
      <w:pPr>
        <w:spacing w:after="0" w:line="123" w:lineRule="exact"/>
        <w:rPr>
          <w:rFonts w:ascii="Arial" w:cs="Arial" w:eastAsia="Arial" w:hAnsi="Arial"/>
          <w:sz w:val="16"/>
          <w:szCs w:val="16"/>
          <w:color w:val="auto"/>
        </w:rPr>
      </w:pPr>
    </w:p>
    <w:p>
      <w:pPr>
        <w:ind w:left="2000" w:hanging="453"/>
        <w:spacing w:after="0"/>
        <w:tabs>
          <w:tab w:leader="none" w:pos="20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Requirement of Law or any applicable rule, regulation or order;</w:t>
      </w:r>
    </w:p>
    <w:p>
      <w:pPr>
        <w:spacing w:after="0" w:line="225" w:lineRule="exact"/>
        <w:rPr>
          <w:rFonts w:ascii="Arial" w:cs="Arial" w:eastAsia="Arial" w:hAnsi="Arial"/>
          <w:sz w:val="18"/>
          <w:szCs w:val="18"/>
          <w:color w:val="auto"/>
        </w:rPr>
      </w:pPr>
    </w:p>
    <w:p>
      <w:pPr>
        <w:ind w:left="660" w:right="60" w:firstLine="887"/>
        <w:spacing w:after="0" w:line="257" w:lineRule="auto"/>
        <w:tabs>
          <w:tab w:leader="none" w:pos="199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any agreement or other instrument of a Person acquired by or merged or consolidated with or into Holdings or any Restricted Subsidiary, or of an Unrestricted Subsidiary that is designated a Restricted Subsidiary, or that is assumed in connection with the acquisition of assets from such Person, in each case that is in existence at the time of such transaction (but not created in contemplation thereof), which encumbrance or restriction is not applicable to any Person, or the properties or assets of any Person, other than the Person and its Subsidiaries, or the property or assets of the Person and its Subsidiaries, so acquired or designated;</w:t>
      </w:r>
    </w:p>
    <w:p>
      <w:pPr>
        <w:spacing w:after="0" w:line="187" w:lineRule="exact"/>
        <w:rPr>
          <w:rFonts w:ascii="Arial" w:cs="Arial" w:eastAsia="Arial" w:hAnsi="Arial"/>
          <w:sz w:val="18"/>
          <w:szCs w:val="18"/>
          <w:color w:val="auto"/>
        </w:rPr>
      </w:pPr>
    </w:p>
    <w:p>
      <w:pPr>
        <w:ind w:left="660" w:right="380" w:firstLine="887"/>
        <w:spacing w:after="0" w:line="263" w:lineRule="auto"/>
        <w:tabs>
          <w:tab w:leader="none" w:pos="194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contracts for the sale of assets, including customary restrictions with respect to a Subsidiary of Holdings pursuant to an agreement that has been entered into for the sale or disposition of all or substantially all of the Capital Stock or assets of such Subsidiary and restrictions on transfer of assets subject to Permitted Liens;</w:t>
      </w:r>
    </w:p>
    <w:p>
      <w:pPr>
        <w:spacing w:after="0" w:line="183" w:lineRule="exact"/>
        <w:rPr>
          <w:rFonts w:ascii="Arial" w:cs="Arial" w:eastAsia="Arial" w:hAnsi="Arial"/>
          <w:sz w:val="18"/>
          <w:szCs w:val="18"/>
          <w:color w:val="auto"/>
        </w:rPr>
      </w:pPr>
    </w:p>
    <w:p>
      <w:pPr>
        <w:ind w:left="660" w:right="20" w:firstLine="887"/>
        <w:spacing w:after="0" w:line="311" w:lineRule="auto"/>
        <w:tabs>
          <w:tab w:leader="none" w:pos="1991" w:val="left"/>
        </w:tabs>
        <w:numPr>
          <w:ilvl w:val="0"/>
          <w:numId w:val="195"/>
        </w:numPr>
        <w:rPr>
          <w:rFonts w:ascii="Arial" w:cs="Arial" w:eastAsia="Arial" w:hAnsi="Arial"/>
          <w:sz w:val="16"/>
          <w:szCs w:val="16"/>
          <w:color w:val="auto"/>
        </w:rPr>
      </w:pPr>
      <w:r>
        <w:rPr>
          <w:rFonts w:ascii="Arial" w:cs="Arial" w:eastAsia="Arial" w:hAnsi="Arial"/>
          <w:sz w:val="16"/>
          <w:szCs w:val="16"/>
          <w:color w:val="auto"/>
        </w:rPr>
        <w:t xml:space="preserve">(x) secured Indebtedness otherwise permitted to be incurred pursuant to </w:t>
      </w:r>
      <w:r>
        <w:rPr>
          <w:rFonts w:ascii="Arial" w:cs="Arial" w:eastAsia="Arial" w:hAnsi="Arial"/>
          <w:sz w:val="16"/>
          <w:szCs w:val="16"/>
          <w:u w:val="single" w:color="auto"/>
          <w:color w:val="auto"/>
        </w:rPr>
        <w:t>Sections 10.1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10.2</w:t>
      </w:r>
      <w:r>
        <w:rPr>
          <w:rFonts w:ascii="Arial" w:cs="Arial" w:eastAsia="Arial" w:hAnsi="Arial"/>
          <w:sz w:val="16"/>
          <w:szCs w:val="16"/>
          <w:color w:val="auto"/>
        </w:rPr>
        <w:t xml:space="preserve"> that limit the right of the debtor to dispose of the assets securing such Indebtedness and (y) restrictions on transfers of assets subject to Permitted Liens (but, with respect to any such Permitted Lien, only to the extent that such transfer restrictions apply solely to the assets that are the subject of such Permitted Lien);</w:t>
      </w:r>
    </w:p>
    <w:p>
      <w:pPr>
        <w:spacing w:after="0" w:line="148" w:lineRule="exact"/>
        <w:rPr>
          <w:rFonts w:ascii="Arial" w:cs="Arial" w:eastAsia="Arial" w:hAnsi="Arial"/>
          <w:sz w:val="16"/>
          <w:szCs w:val="16"/>
          <w:color w:val="auto"/>
        </w:rPr>
      </w:pPr>
    </w:p>
    <w:p>
      <w:pPr>
        <w:ind w:left="2040" w:hanging="493"/>
        <w:spacing w:after="0"/>
        <w:tabs>
          <w:tab w:leader="none" w:pos="204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restrictions on cash or other deposits or net worth imposed by customers under contracts entered into in the ordinary course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0" w:lineRule="exact"/>
        <w:rPr>
          <w:rFonts w:ascii="Arial" w:cs="Arial" w:eastAsia="Arial" w:hAnsi="Arial"/>
          <w:sz w:val="16"/>
          <w:szCs w:val="16"/>
          <w:color w:val="auto"/>
        </w:rPr>
      </w:pPr>
    </w:p>
    <w:p>
      <w:pPr>
        <w:ind w:left="660" w:firstLine="887"/>
        <w:spacing w:after="0" w:line="277" w:lineRule="auto"/>
        <w:tabs>
          <w:tab w:leader="none" w:pos="209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other Indebtedness, Disqualified Stock or preferred stock of Restricted Subsidiaries permitted to be incurred subsequent to the Restatement Effective Date pursuant to the provisions of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firstLine="887"/>
        <w:spacing w:after="0" w:line="277" w:lineRule="auto"/>
        <w:tabs>
          <w:tab w:leader="none" w:pos="199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customary provisions in joint venture agreements or arrangements and other similar agreements or arrangements relating solely to such joint venture and the Equity Interests issued thereby;</w:t>
      </w:r>
    </w:p>
    <w:p>
      <w:pPr>
        <w:spacing w:after="0" w:line="170" w:lineRule="exact"/>
        <w:rPr>
          <w:rFonts w:ascii="Arial" w:cs="Arial" w:eastAsia="Arial" w:hAnsi="Arial"/>
          <w:sz w:val="18"/>
          <w:szCs w:val="18"/>
          <w:color w:val="auto"/>
        </w:rPr>
      </w:pPr>
    </w:p>
    <w:p>
      <w:pPr>
        <w:ind w:left="660" w:right="120" w:firstLine="887"/>
        <w:spacing w:after="0" w:line="277" w:lineRule="auto"/>
        <w:tabs>
          <w:tab w:leader="none" w:pos="194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customary provisions contained in leases, sub-leases, licenses, sub-licenses or similar agreements, in each case, entered into in the ordinary course of business;</w:t>
      </w:r>
    </w:p>
    <w:p>
      <w:pPr>
        <w:spacing w:after="0" w:line="170" w:lineRule="exact"/>
        <w:rPr>
          <w:rFonts w:ascii="Arial" w:cs="Arial" w:eastAsia="Arial" w:hAnsi="Arial"/>
          <w:sz w:val="18"/>
          <w:szCs w:val="18"/>
          <w:color w:val="auto"/>
        </w:rPr>
      </w:pPr>
    </w:p>
    <w:p>
      <w:pPr>
        <w:ind w:left="660" w:firstLine="887"/>
        <w:spacing w:after="0" w:line="277" w:lineRule="auto"/>
        <w:tabs>
          <w:tab w:leader="none" w:pos="199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restrictions created in connection with any Receivables Facility that, in the good faith determination of the board of directors of Holdings, are necessary or advisable to effect such Receivables Facility; and</w:t>
      </w:r>
    </w:p>
    <w:p>
      <w:pPr>
        <w:spacing w:after="0" w:line="170" w:lineRule="exact"/>
        <w:rPr>
          <w:rFonts w:ascii="Arial" w:cs="Arial" w:eastAsia="Arial" w:hAnsi="Arial"/>
          <w:sz w:val="18"/>
          <w:szCs w:val="18"/>
          <w:color w:val="auto"/>
        </w:rPr>
      </w:pPr>
    </w:p>
    <w:p>
      <w:pPr>
        <w:ind w:left="660" w:right="540" w:firstLine="887"/>
        <w:spacing w:after="0" w:line="301" w:lineRule="auto"/>
        <w:tabs>
          <w:tab w:leader="none" w:pos="2041" w:val="left"/>
        </w:tabs>
        <w:numPr>
          <w:ilvl w:val="0"/>
          <w:numId w:val="195"/>
        </w:numPr>
        <w:rPr>
          <w:rFonts w:ascii="Arial" w:cs="Arial" w:eastAsia="Arial" w:hAnsi="Arial"/>
          <w:sz w:val="16"/>
          <w:szCs w:val="16"/>
          <w:color w:val="auto"/>
        </w:rPr>
      </w:pPr>
      <w:r>
        <w:rPr>
          <w:rFonts w:ascii="Arial" w:cs="Arial" w:eastAsia="Arial" w:hAnsi="Arial"/>
          <w:sz w:val="16"/>
          <w:szCs w:val="16"/>
          <w:color w:val="auto"/>
        </w:rPr>
        <w:t xml:space="preserve">any encumbrances or restrictions of the type referred to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above imposed by any amendments, modifications, restatements, renewals, increases, supplements, refundings, replacements or refinancings of the contracts, instruments or obligations referred to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(xii)</w:t>
      </w:r>
      <w:r>
        <w:rPr>
          <w:rFonts w:ascii="Arial" w:cs="Arial" w:eastAsia="Arial" w:hAnsi="Arial"/>
          <w:sz w:val="16"/>
          <w:szCs w:val="16"/>
          <w:color w:val="auto"/>
        </w:rPr>
        <w:t xml:space="preserve">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amendments, modifications, restatements, renewals, increases, supplements, refundings, replacements, or refinancings (x) are, in the good faith judgment of Holdings’ board of</w:t>
      </w:r>
    </w:p>
    <w:p>
      <w:pPr>
        <w:spacing w:after="0" w:line="200" w:lineRule="exact"/>
        <w:rPr>
          <w:sz w:val="20"/>
          <w:szCs w:val="20"/>
          <w:color w:val="auto"/>
        </w:rPr>
      </w:pP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60"/>
          </w:cols>
          <w:pgMar w:left="320" w:top="341" w:right="419" w:bottom="1440" w:gutter="0" w:footer="0" w:header="0"/>
        </w:sectPr>
      </w:pPr>
    </w:p>
    <w:bookmarkStart w:id="207" w:name="page208"/>
    <w:bookmarkEnd w:id="207"/>
    <w:p>
      <w:pPr>
        <w:ind w:right="100"/>
        <w:spacing w:after="0" w:line="259" w:lineRule="auto"/>
        <w:rPr>
          <w:sz w:val="20"/>
          <w:szCs w:val="20"/>
          <w:color w:val="auto"/>
        </w:rPr>
      </w:pPr>
      <w:r>
        <w:rPr>
          <w:rFonts w:ascii="Arial" w:cs="Arial" w:eastAsia="Arial" w:hAnsi="Arial"/>
          <w:sz w:val="18"/>
          <w:szCs w:val="18"/>
          <w:color w:val="auto"/>
        </w:rPr>
        <w:t>directors, no more restrictive in any material respect with respect to such encumbrance and other restrictions taken as a whole than those prior to such amendment, modification, restatement, renewal, increase, supplement, refunding, replacement or refinancing or (y) do not materially impair the Borrower’s ability to pay their respective obligations under the Credit Documents as and when due (as determined in good faith by the Borrower).</w:t>
      </w:r>
    </w:p>
    <w:p>
      <w:pPr>
        <w:spacing w:after="0" w:line="187"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 Holdings will not permit:</w:t>
      </w:r>
    </w:p>
    <w:p>
      <w:pPr>
        <w:spacing w:after="0" w:line="225" w:lineRule="exact"/>
        <w:rPr>
          <w:sz w:val="20"/>
          <w:szCs w:val="20"/>
          <w:color w:val="auto"/>
        </w:rPr>
      </w:pPr>
    </w:p>
    <w:p>
      <w:pPr>
        <w:ind w:firstLine="887"/>
        <w:spacing w:after="0" w:line="288" w:lineRule="auto"/>
        <w:tabs>
          <w:tab w:leader="none" w:pos="1241"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Consolidated Total Debt to Consolidated EBITDA Ratio as of the last day of any fiscal quarter of Holdings</w:t>
      </w:r>
      <w:r>
        <w:rPr>
          <w:rFonts w:ascii="Arial" w:cs="Arial" w:eastAsia="Arial" w:hAnsi="Arial"/>
          <w:sz w:val="16"/>
          <w:szCs w:val="16"/>
          <w:color w:val="FF0000"/>
          <w:strike w:val="1"/>
        </w:rPr>
        <w:t>, commencing</w:t>
      </w:r>
      <w:r>
        <w:rPr>
          <w:rFonts w:ascii="Arial" w:cs="Arial" w:eastAsia="Arial" w:hAnsi="Arial"/>
          <w:sz w:val="16"/>
          <w:szCs w:val="16"/>
          <w:color w:val="auto"/>
        </w:rPr>
        <w:t xml:space="preserve"> </w:t>
      </w:r>
      <w:r>
        <w:rPr>
          <w:rFonts w:ascii="Arial" w:cs="Arial" w:eastAsia="Arial" w:hAnsi="Arial"/>
          <w:sz w:val="16"/>
          <w:szCs w:val="16"/>
          <w:color w:val="FF0000"/>
          <w:strike w:val="1"/>
        </w:rPr>
        <w:t>with the fiscal quarter ending December 27, 2019</w:t>
      </w:r>
      <w:r>
        <w:rPr>
          <w:rFonts w:ascii="Arial" w:cs="Arial" w:eastAsia="Arial" w:hAnsi="Arial"/>
          <w:sz w:val="16"/>
          <w:szCs w:val="16"/>
          <w:color w:val="FF0000"/>
        </w:rPr>
        <w:t xml:space="preserve"> </w:t>
      </w:r>
      <w:r>
        <w:rPr>
          <w:rFonts w:ascii="Arial" w:cs="Arial" w:eastAsia="Arial" w:hAnsi="Arial"/>
          <w:sz w:val="16"/>
          <w:szCs w:val="16"/>
          <w:color w:val="000000"/>
        </w:rPr>
        <w:t>to be</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negative or</w:t>
      </w:r>
      <w:r>
        <w:rPr>
          <w:rFonts w:ascii="Arial" w:cs="Arial" w:eastAsia="Arial" w:hAnsi="Arial"/>
          <w:sz w:val="16"/>
          <w:szCs w:val="16"/>
          <w:color w:val="FF0000"/>
        </w:rPr>
        <w:t xml:space="preserve"> </w:t>
      </w:r>
      <w:r>
        <w:rPr>
          <w:rFonts w:ascii="Arial" w:cs="Arial" w:eastAsia="Arial" w:hAnsi="Arial"/>
          <w:sz w:val="16"/>
          <w:szCs w:val="16"/>
          <w:color w:val="000000"/>
        </w:rPr>
        <w:t>greater than</w:t>
      </w:r>
      <w:r>
        <w:rPr>
          <w:rFonts w:ascii="Arial" w:cs="Arial" w:eastAsia="Arial" w:hAnsi="Arial"/>
          <w:sz w:val="16"/>
          <w:szCs w:val="16"/>
          <w:color w:val="FF0000"/>
        </w:rPr>
        <w:t xml:space="preserve"> </w:t>
      </w:r>
      <w:r>
        <w:rPr>
          <w:rFonts w:ascii="Arial" w:cs="Arial" w:eastAsia="Arial" w:hAnsi="Arial"/>
          <w:sz w:val="16"/>
          <w:szCs w:val="16"/>
          <w:color w:val="FF0000"/>
          <w:strike w:val="1"/>
        </w:rPr>
        <w:t>the ratio set forth below in respect of such day set forth below</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(x)</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unless the Additional Restrictions Period has terminated (in which case subclause (y) shall apply), with respect to the last day of Holdings’ second and third fiscal quarters of 2021, 4.50:1.00 and (y) from and after the earlier of the last day of Holdings’ fourth fiscal quarter of 2021 and the termination of the Additional Restrictions Period, 4.00:1.00;</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FF"/>
        </w:rPr>
        <w:t xml:space="preserve"> </w:t>
      </w:r>
      <w:r>
        <w:rPr>
          <w:rFonts w:ascii="Arial" w:cs="Arial" w:eastAsia="Arial" w:hAnsi="Arial"/>
          <w:sz w:val="16"/>
          <w:szCs w:val="16"/>
          <w:color w:val="000000"/>
        </w:rPr>
        <w:t>that, at the option of the Borrower</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w:t>
      </w:r>
      <w:r>
        <w:rPr>
          <w:rFonts w:ascii="Arial" w:cs="Arial" w:eastAsia="Arial" w:hAnsi="Arial"/>
          <w:sz w:val="16"/>
          <w:szCs w:val="16"/>
          <w:color w:val="000000"/>
        </w:rPr>
        <w:t>by notice to the Administrative Agent</w:t>
      </w:r>
      <w:r>
        <w:rPr>
          <w:rFonts w:ascii="Arial" w:cs="Arial" w:eastAsia="Arial" w:hAnsi="Arial"/>
          <w:sz w:val="16"/>
          <w:szCs w:val="16"/>
          <w:color w:val="FF0000"/>
          <w:strike w:val="1"/>
        </w:rPr>
        <w:t>,</w:t>
      </w:r>
      <w:r>
        <w:rPr>
          <w:rFonts w:ascii="Arial" w:cs="Arial" w:eastAsia="Arial" w:hAnsi="Arial"/>
          <w:sz w:val="16"/>
          <w:szCs w:val="16"/>
          <w:color w:val="0000FF"/>
        </w:rPr>
        <w:t xml:space="preserve"> </w:t>
      </w:r>
      <w:r>
        <w:rPr>
          <w:rFonts w:ascii="Arial" w:cs="Arial" w:eastAsia="Arial" w:hAnsi="Arial"/>
          <w:sz w:val="16"/>
          <w:szCs w:val="16"/>
          <w:color w:val="FF0000"/>
          <w:strike w:val="1"/>
        </w:rPr>
        <w:t>the applicable ratio shall be increased by 0.25:1.00 one time during the term of this Agreement upon completion of a Material Acquisition, which increase shall be effective for four fiscal quarters immediately following the consummation of such Material Acquisition:</w:t>
      </w:r>
      <w:r>
        <w:rPr>
          <w:rFonts w:ascii="Arial" w:cs="Arial" w:eastAsia="Arial" w:hAnsi="Arial"/>
          <w:sz w:val="16"/>
          <w:szCs w:val="16"/>
          <w:u w:val="single" w:color="auto"/>
          <w:color w:val="0000FF"/>
          <w:strike w:val="1"/>
        </w:rPr>
        <w:t>) with respect to</w:t>
      </w:r>
      <w:r>
        <w:rPr>
          <w:rFonts w:ascii="Arial" w:cs="Arial" w:eastAsia="Arial" w:hAnsi="Arial"/>
          <w:sz w:val="16"/>
          <w:szCs w:val="16"/>
          <w:color w:val="FF0000"/>
          <w:strike w:val="1"/>
        </w:rPr>
        <w:t xml:space="preserve"> </w:t>
      </w:r>
      <w:r>
        <w:rPr>
          <w:rFonts w:ascii="Arial" w:cs="Arial" w:eastAsia="Arial" w:hAnsi="Arial"/>
          <w:sz w:val="16"/>
          <w:szCs w:val="16"/>
          <w:u w:val="single" w:color="auto"/>
          <w:color w:val="0000FF"/>
          <w:strike w:val="1"/>
        </w:rPr>
        <w:t>Holdings’ second fiscal quarter of 2021, in lieu of calculating such ratio based on Consolidated EBITDA for the Test Period ending on the last day of such quarter, the Borrower may elect to substitute either (I) Consolidated EBITDA for the two fiscal quarter period ending on such date multiplied by two or (II) Consolidated EBITDA for the three fiscal quarter period ending on such date multiplied by four-thirds.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64770</wp:posOffset>
            </wp:positionV>
            <wp:extent cx="7132320" cy="1054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32320" cy="1054100"/>
                    </a:xfrm>
                    <a:prstGeom prst="rect">
                      <a:avLst/>
                    </a:prstGeom>
                    <a:noFill/>
                  </pic:spPr>
                </pic:pic>
              </a:graphicData>
            </a:graphic>
          </wp:anchor>
        </w:drawing>
      </w:r>
    </w:p>
    <w:p>
      <w:pPr>
        <w:spacing w:after="0" w:line="90"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500" w:type="dxa"/>
            <w:vAlign w:val="bottom"/>
          </w:tcPr>
          <w:p>
            <w:pPr>
              <w:jc w:val="center"/>
              <w:ind w:right="550"/>
              <w:spacing w:after="0"/>
              <w:rPr>
                <w:sz w:val="20"/>
                <w:szCs w:val="20"/>
                <w:color w:val="auto"/>
              </w:rPr>
            </w:pPr>
            <w:r>
              <w:rPr>
                <w:rFonts w:ascii="Arial" w:cs="Arial" w:eastAsia="Arial" w:hAnsi="Arial"/>
                <w:sz w:val="18"/>
                <w:szCs w:val="18"/>
                <w:b w:val="1"/>
                <w:bCs w:val="1"/>
                <w:color w:val="FF0000"/>
                <w:strike w:val="1"/>
                <w:w w:val="90"/>
              </w:rPr>
              <w:t>Fiscal Year</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FF0000"/>
                <w:strike w:val="1"/>
                <w:w w:val="92"/>
              </w:rPr>
              <w:t>1st quarter</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FF0000"/>
                <w:strike w:val="1"/>
                <w:w w:val="92"/>
              </w:rPr>
              <w:t>2nd quarter</w:t>
            </w:r>
          </w:p>
        </w:tc>
        <w:tc>
          <w:tcPr>
            <w:tcW w:w="2300" w:type="dxa"/>
            <w:vAlign w:val="bottom"/>
          </w:tcPr>
          <w:p>
            <w:pPr>
              <w:jc w:val="center"/>
              <w:ind w:right="50"/>
              <w:spacing w:after="0"/>
              <w:rPr>
                <w:sz w:val="20"/>
                <w:szCs w:val="20"/>
                <w:color w:val="auto"/>
              </w:rPr>
            </w:pPr>
            <w:r>
              <w:rPr>
                <w:rFonts w:ascii="Arial" w:cs="Arial" w:eastAsia="Arial" w:hAnsi="Arial"/>
                <w:sz w:val="18"/>
                <w:szCs w:val="18"/>
                <w:b w:val="1"/>
                <w:bCs w:val="1"/>
                <w:color w:val="FF0000"/>
                <w:strike w:val="1"/>
                <w:w w:val="96"/>
              </w:rPr>
              <w:t>3rd quarter</w:t>
            </w:r>
          </w:p>
        </w:tc>
        <w:tc>
          <w:tcPr>
            <w:tcW w:w="1640" w:type="dxa"/>
            <w:vAlign w:val="bottom"/>
          </w:tcPr>
          <w:p>
            <w:pPr>
              <w:jc w:val="center"/>
              <w:ind w:left="650"/>
              <w:spacing w:after="0"/>
              <w:rPr>
                <w:sz w:val="20"/>
                <w:szCs w:val="20"/>
                <w:color w:val="auto"/>
              </w:rPr>
            </w:pPr>
            <w:r>
              <w:rPr>
                <w:rFonts w:ascii="Arial" w:cs="Arial" w:eastAsia="Arial" w:hAnsi="Arial"/>
                <w:sz w:val="18"/>
                <w:szCs w:val="18"/>
                <w:b w:val="1"/>
                <w:bCs w:val="1"/>
                <w:color w:val="FF0000"/>
                <w:strike w:val="1"/>
                <w:w w:val="95"/>
              </w:rPr>
              <w:t>4th quarter</w:t>
            </w:r>
          </w:p>
        </w:tc>
      </w:tr>
      <w:tr>
        <w:trPr>
          <w:trHeight w:val="580"/>
        </w:trPr>
        <w:tc>
          <w:tcPr>
            <w:tcW w:w="1500" w:type="dxa"/>
            <w:vAlign w:val="bottom"/>
          </w:tcPr>
          <w:p>
            <w:pPr>
              <w:jc w:val="center"/>
              <w:ind w:right="570"/>
              <w:spacing w:after="0"/>
              <w:rPr>
                <w:sz w:val="20"/>
                <w:szCs w:val="20"/>
                <w:color w:val="auto"/>
              </w:rPr>
            </w:pPr>
            <w:r>
              <w:rPr>
                <w:rFonts w:ascii="Arial" w:cs="Arial" w:eastAsia="Arial" w:hAnsi="Arial"/>
                <w:sz w:val="18"/>
                <w:szCs w:val="18"/>
                <w:color w:val="FF0000"/>
                <w:strike w:val="1"/>
                <w:w w:val="89"/>
              </w:rPr>
              <w:t>2019</w:t>
            </w:r>
          </w:p>
        </w:tc>
        <w:tc>
          <w:tcPr>
            <w:tcW w:w="2060" w:type="dxa"/>
            <w:vAlign w:val="bottom"/>
          </w:tcPr>
          <w:p>
            <w:pPr>
              <w:jc w:val="center"/>
              <w:spacing w:after="0"/>
              <w:rPr>
                <w:sz w:val="20"/>
                <w:szCs w:val="20"/>
                <w:color w:val="auto"/>
              </w:rPr>
            </w:pPr>
            <w:r>
              <w:rPr>
                <w:rFonts w:ascii="Arial" w:cs="Arial" w:eastAsia="Arial" w:hAnsi="Arial"/>
                <w:sz w:val="18"/>
                <w:szCs w:val="18"/>
                <w:color w:val="FF0000"/>
                <w:strike w:val="1"/>
                <w:w w:val="99"/>
              </w:rPr>
              <w:t>N/A</w:t>
            </w:r>
          </w:p>
        </w:tc>
        <w:tc>
          <w:tcPr>
            <w:tcW w:w="2140" w:type="dxa"/>
            <w:vAlign w:val="bottom"/>
          </w:tcPr>
          <w:p>
            <w:pPr>
              <w:jc w:val="center"/>
              <w:spacing w:after="0"/>
              <w:rPr>
                <w:sz w:val="20"/>
                <w:szCs w:val="20"/>
                <w:color w:val="auto"/>
              </w:rPr>
            </w:pPr>
            <w:r>
              <w:rPr>
                <w:rFonts w:ascii="Arial" w:cs="Arial" w:eastAsia="Arial" w:hAnsi="Arial"/>
                <w:sz w:val="18"/>
                <w:szCs w:val="18"/>
                <w:color w:val="FF0000"/>
                <w:strike w:val="1"/>
                <w:w w:val="99"/>
              </w:rPr>
              <w:t>N/A</w:t>
            </w:r>
          </w:p>
        </w:tc>
        <w:tc>
          <w:tcPr>
            <w:tcW w:w="2300" w:type="dxa"/>
            <w:vAlign w:val="bottom"/>
          </w:tcPr>
          <w:p>
            <w:pPr>
              <w:jc w:val="center"/>
              <w:ind w:right="50"/>
              <w:spacing w:after="0"/>
              <w:rPr>
                <w:sz w:val="20"/>
                <w:szCs w:val="20"/>
                <w:color w:val="auto"/>
              </w:rPr>
            </w:pPr>
            <w:r>
              <w:rPr>
                <w:rFonts w:ascii="Arial" w:cs="Arial" w:eastAsia="Arial" w:hAnsi="Arial"/>
                <w:sz w:val="18"/>
                <w:szCs w:val="18"/>
                <w:color w:val="FF0000"/>
                <w:strike w:val="1"/>
                <w:w w:val="90"/>
              </w:rPr>
              <w:t>4.75:1.00</w:t>
            </w:r>
          </w:p>
        </w:tc>
        <w:tc>
          <w:tcPr>
            <w:tcW w:w="1640" w:type="dxa"/>
            <w:vAlign w:val="bottom"/>
          </w:tcPr>
          <w:p>
            <w:pPr>
              <w:jc w:val="center"/>
              <w:ind w:left="670"/>
              <w:spacing w:after="0"/>
              <w:rPr>
                <w:sz w:val="20"/>
                <w:szCs w:val="20"/>
                <w:color w:val="auto"/>
              </w:rPr>
            </w:pPr>
            <w:r>
              <w:rPr>
                <w:rFonts w:ascii="Arial" w:cs="Arial" w:eastAsia="Arial" w:hAnsi="Arial"/>
                <w:sz w:val="18"/>
                <w:szCs w:val="18"/>
                <w:color w:val="FF0000"/>
                <w:strike w:val="1"/>
                <w:w w:val="90"/>
              </w:rPr>
              <w:t>4.75:1.00</w:t>
            </w:r>
          </w:p>
        </w:tc>
      </w:tr>
      <w:tr>
        <w:trPr>
          <w:trHeight w:val="270"/>
        </w:trPr>
        <w:tc>
          <w:tcPr>
            <w:tcW w:w="1500" w:type="dxa"/>
            <w:vAlign w:val="bottom"/>
          </w:tcPr>
          <w:p>
            <w:pPr>
              <w:jc w:val="center"/>
              <w:ind w:right="570"/>
              <w:spacing w:after="0"/>
              <w:rPr>
                <w:sz w:val="20"/>
                <w:szCs w:val="20"/>
                <w:color w:val="auto"/>
              </w:rPr>
            </w:pPr>
            <w:r>
              <w:rPr>
                <w:rFonts w:ascii="Arial" w:cs="Arial" w:eastAsia="Arial" w:hAnsi="Arial"/>
                <w:sz w:val="18"/>
                <w:szCs w:val="18"/>
                <w:color w:val="FF0000"/>
                <w:strike w:val="1"/>
                <w:w w:val="89"/>
              </w:rPr>
              <w:t>2020</w:t>
            </w:r>
          </w:p>
        </w:tc>
        <w:tc>
          <w:tcPr>
            <w:tcW w:w="2060" w:type="dxa"/>
            <w:vAlign w:val="bottom"/>
          </w:tcPr>
          <w:p>
            <w:pPr>
              <w:jc w:val="center"/>
              <w:spacing w:after="0"/>
              <w:rPr>
                <w:sz w:val="20"/>
                <w:szCs w:val="20"/>
                <w:color w:val="auto"/>
              </w:rPr>
            </w:pPr>
            <w:r>
              <w:rPr>
                <w:rFonts w:ascii="Arial" w:cs="Arial" w:eastAsia="Arial" w:hAnsi="Arial"/>
                <w:sz w:val="18"/>
                <w:szCs w:val="18"/>
                <w:color w:val="FF0000"/>
                <w:strike w:val="1"/>
                <w:w w:val="90"/>
              </w:rPr>
              <w:t>4.75:1.00</w:t>
            </w:r>
          </w:p>
        </w:tc>
        <w:tc>
          <w:tcPr>
            <w:tcW w:w="2140" w:type="dxa"/>
            <w:vAlign w:val="bottom"/>
          </w:tcPr>
          <w:p>
            <w:pPr>
              <w:jc w:val="center"/>
              <w:spacing w:after="0"/>
              <w:rPr>
                <w:sz w:val="20"/>
                <w:szCs w:val="20"/>
                <w:color w:val="auto"/>
              </w:rPr>
            </w:pPr>
            <w:r>
              <w:rPr>
                <w:rFonts w:ascii="Arial" w:cs="Arial" w:eastAsia="Arial" w:hAnsi="Arial"/>
                <w:sz w:val="18"/>
                <w:szCs w:val="18"/>
                <w:color w:val="FF0000"/>
                <w:strike w:val="1"/>
                <w:w w:val="90"/>
              </w:rPr>
              <w:t>4.75:1.00</w:t>
            </w:r>
          </w:p>
        </w:tc>
        <w:tc>
          <w:tcPr>
            <w:tcW w:w="2300" w:type="dxa"/>
            <w:vAlign w:val="bottom"/>
          </w:tcPr>
          <w:p>
            <w:pPr>
              <w:jc w:val="center"/>
              <w:ind w:right="50"/>
              <w:spacing w:after="0"/>
              <w:rPr>
                <w:sz w:val="20"/>
                <w:szCs w:val="20"/>
                <w:color w:val="auto"/>
              </w:rPr>
            </w:pPr>
            <w:r>
              <w:rPr>
                <w:rFonts w:ascii="Arial" w:cs="Arial" w:eastAsia="Arial" w:hAnsi="Arial"/>
                <w:sz w:val="18"/>
                <w:szCs w:val="18"/>
                <w:color w:val="FF0000"/>
                <w:strike w:val="1"/>
                <w:w w:val="90"/>
              </w:rPr>
              <w:t>4.75:1.00</w:t>
            </w:r>
          </w:p>
        </w:tc>
        <w:tc>
          <w:tcPr>
            <w:tcW w:w="1640" w:type="dxa"/>
            <w:vAlign w:val="bottom"/>
          </w:tcPr>
          <w:p>
            <w:pPr>
              <w:jc w:val="center"/>
              <w:ind w:left="670"/>
              <w:spacing w:after="0"/>
              <w:rPr>
                <w:sz w:val="20"/>
                <w:szCs w:val="20"/>
                <w:color w:val="auto"/>
              </w:rPr>
            </w:pPr>
            <w:r>
              <w:rPr>
                <w:rFonts w:ascii="Arial" w:cs="Arial" w:eastAsia="Arial" w:hAnsi="Arial"/>
                <w:sz w:val="18"/>
                <w:szCs w:val="18"/>
                <w:color w:val="FF0000"/>
                <w:strike w:val="1"/>
                <w:w w:val="90"/>
              </w:rPr>
              <w:t>4.75:1.00</w:t>
            </w:r>
          </w:p>
        </w:tc>
      </w:tr>
      <w:tr>
        <w:trPr>
          <w:trHeight w:val="270"/>
        </w:trPr>
        <w:tc>
          <w:tcPr>
            <w:tcW w:w="1500" w:type="dxa"/>
            <w:vAlign w:val="bottom"/>
          </w:tcPr>
          <w:p>
            <w:pPr>
              <w:jc w:val="center"/>
              <w:ind w:right="570"/>
              <w:spacing w:after="0"/>
              <w:rPr>
                <w:sz w:val="20"/>
                <w:szCs w:val="20"/>
                <w:color w:val="auto"/>
              </w:rPr>
            </w:pPr>
            <w:r>
              <w:rPr>
                <w:rFonts w:ascii="Arial" w:cs="Arial" w:eastAsia="Arial" w:hAnsi="Arial"/>
                <w:sz w:val="18"/>
                <w:szCs w:val="18"/>
                <w:color w:val="FF0000"/>
                <w:strike w:val="1"/>
                <w:w w:val="89"/>
              </w:rPr>
              <w:t>2021</w:t>
            </w:r>
          </w:p>
        </w:tc>
        <w:tc>
          <w:tcPr>
            <w:tcW w:w="2060" w:type="dxa"/>
            <w:vAlign w:val="bottom"/>
          </w:tcPr>
          <w:p>
            <w:pPr>
              <w:jc w:val="center"/>
              <w:spacing w:after="0"/>
              <w:rPr>
                <w:sz w:val="20"/>
                <w:szCs w:val="20"/>
                <w:color w:val="auto"/>
              </w:rPr>
            </w:pPr>
            <w:r>
              <w:rPr>
                <w:rFonts w:ascii="Arial" w:cs="Arial" w:eastAsia="Arial" w:hAnsi="Arial"/>
                <w:sz w:val="18"/>
                <w:szCs w:val="18"/>
                <w:color w:val="FF0000"/>
                <w:strike w:val="1"/>
                <w:w w:val="90"/>
              </w:rPr>
              <w:t>4.75:1.00</w:t>
            </w:r>
          </w:p>
        </w:tc>
        <w:tc>
          <w:tcPr>
            <w:tcW w:w="2140" w:type="dxa"/>
            <w:vAlign w:val="bottom"/>
          </w:tcPr>
          <w:p>
            <w:pPr>
              <w:jc w:val="center"/>
              <w:spacing w:after="0"/>
              <w:rPr>
                <w:sz w:val="20"/>
                <w:szCs w:val="20"/>
                <w:color w:val="auto"/>
              </w:rPr>
            </w:pPr>
            <w:r>
              <w:rPr>
                <w:rFonts w:ascii="Arial" w:cs="Arial" w:eastAsia="Arial" w:hAnsi="Arial"/>
                <w:sz w:val="18"/>
                <w:szCs w:val="18"/>
                <w:color w:val="FF0000"/>
                <w:strike w:val="1"/>
                <w:w w:val="90"/>
              </w:rPr>
              <w:t>4.50:1.00</w:t>
            </w:r>
          </w:p>
        </w:tc>
        <w:tc>
          <w:tcPr>
            <w:tcW w:w="2300" w:type="dxa"/>
            <w:vAlign w:val="bottom"/>
          </w:tcPr>
          <w:p>
            <w:pPr>
              <w:jc w:val="center"/>
              <w:ind w:right="50"/>
              <w:spacing w:after="0"/>
              <w:rPr>
                <w:sz w:val="20"/>
                <w:szCs w:val="20"/>
                <w:color w:val="auto"/>
              </w:rPr>
            </w:pPr>
            <w:r>
              <w:rPr>
                <w:rFonts w:ascii="Arial" w:cs="Arial" w:eastAsia="Arial" w:hAnsi="Arial"/>
                <w:sz w:val="18"/>
                <w:szCs w:val="18"/>
                <w:color w:val="FF0000"/>
                <w:strike w:val="1"/>
                <w:w w:val="90"/>
              </w:rPr>
              <w:t>4.50:1.00</w:t>
            </w:r>
          </w:p>
        </w:tc>
        <w:tc>
          <w:tcPr>
            <w:tcW w:w="1640" w:type="dxa"/>
            <w:vAlign w:val="bottom"/>
          </w:tcPr>
          <w:p>
            <w:pPr>
              <w:jc w:val="center"/>
              <w:ind w:left="670"/>
              <w:spacing w:after="0"/>
              <w:rPr>
                <w:sz w:val="20"/>
                <w:szCs w:val="20"/>
                <w:color w:val="auto"/>
              </w:rPr>
            </w:pPr>
            <w:r>
              <w:rPr>
                <w:rFonts w:ascii="Arial" w:cs="Arial" w:eastAsia="Arial" w:hAnsi="Arial"/>
                <w:sz w:val="18"/>
                <w:szCs w:val="18"/>
                <w:color w:val="FF0000"/>
                <w:strike w:val="1"/>
                <w:w w:val="90"/>
              </w:rPr>
              <w:t>4.50:1.00</w:t>
            </w:r>
          </w:p>
        </w:tc>
      </w:tr>
      <w:tr>
        <w:trPr>
          <w:trHeight w:val="270"/>
        </w:trPr>
        <w:tc>
          <w:tcPr>
            <w:tcW w:w="1500" w:type="dxa"/>
            <w:vAlign w:val="bottom"/>
          </w:tcPr>
          <w:p>
            <w:pPr>
              <w:jc w:val="center"/>
              <w:ind w:right="550"/>
              <w:spacing w:after="0"/>
              <w:rPr>
                <w:sz w:val="20"/>
                <w:szCs w:val="20"/>
                <w:color w:val="auto"/>
              </w:rPr>
            </w:pPr>
            <w:r>
              <w:rPr>
                <w:rFonts w:ascii="Arial" w:cs="Arial" w:eastAsia="Arial" w:hAnsi="Arial"/>
                <w:sz w:val="18"/>
                <w:szCs w:val="18"/>
                <w:color w:val="FF0000"/>
                <w:strike w:val="1"/>
                <w:w w:val="89"/>
              </w:rPr>
              <w:t>Thereafter</w:t>
            </w:r>
          </w:p>
        </w:tc>
        <w:tc>
          <w:tcPr>
            <w:tcW w:w="2060" w:type="dxa"/>
            <w:vAlign w:val="bottom"/>
          </w:tcPr>
          <w:p>
            <w:pPr>
              <w:jc w:val="center"/>
              <w:spacing w:after="0"/>
              <w:rPr>
                <w:sz w:val="20"/>
                <w:szCs w:val="20"/>
                <w:color w:val="auto"/>
              </w:rPr>
            </w:pPr>
            <w:r>
              <w:rPr>
                <w:rFonts w:ascii="Arial" w:cs="Arial" w:eastAsia="Arial" w:hAnsi="Arial"/>
                <w:sz w:val="18"/>
                <w:szCs w:val="18"/>
                <w:color w:val="FF0000"/>
                <w:strike w:val="1"/>
                <w:w w:val="90"/>
              </w:rPr>
              <w:t>4.50:1.00</w:t>
            </w:r>
          </w:p>
        </w:tc>
        <w:tc>
          <w:tcPr>
            <w:tcW w:w="2140" w:type="dxa"/>
            <w:vAlign w:val="bottom"/>
          </w:tcPr>
          <w:p>
            <w:pPr>
              <w:jc w:val="center"/>
              <w:spacing w:after="0"/>
              <w:rPr>
                <w:sz w:val="20"/>
                <w:szCs w:val="20"/>
                <w:color w:val="auto"/>
              </w:rPr>
            </w:pPr>
            <w:r>
              <w:rPr>
                <w:rFonts w:ascii="Arial" w:cs="Arial" w:eastAsia="Arial" w:hAnsi="Arial"/>
                <w:sz w:val="18"/>
                <w:szCs w:val="18"/>
                <w:color w:val="FF0000"/>
                <w:strike w:val="1"/>
                <w:w w:val="90"/>
              </w:rPr>
              <w:t>4.50:1.00</w:t>
            </w:r>
          </w:p>
        </w:tc>
        <w:tc>
          <w:tcPr>
            <w:tcW w:w="2300" w:type="dxa"/>
            <w:vAlign w:val="bottom"/>
          </w:tcPr>
          <w:p>
            <w:pPr>
              <w:jc w:val="center"/>
              <w:ind w:right="50"/>
              <w:spacing w:after="0"/>
              <w:rPr>
                <w:sz w:val="20"/>
                <w:szCs w:val="20"/>
                <w:color w:val="auto"/>
              </w:rPr>
            </w:pPr>
            <w:r>
              <w:rPr>
                <w:rFonts w:ascii="Arial" w:cs="Arial" w:eastAsia="Arial" w:hAnsi="Arial"/>
                <w:sz w:val="18"/>
                <w:szCs w:val="18"/>
                <w:color w:val="FF0000"/>
                <w:strike w:val="1"/>
                <w:w w:val="90"/>
              </w:rPr>
              <w:t>4.50:1.00</w:t>
            </w:r>
          </w:p>
        </w:tc>
        <w:tc>
          <w:tcPr>
            <w:tcW w:w="1640" w:type="dxa"/>
            <w:vAlign w:val="bottom"/>
          </w:tcPr>
          <w:p>
            <w:pPr>
              <w:jc w:val="center"/>
              <w:ind w:left="670"/>
              <w:spacing w:after="0"/>
              <w:rPr>
                <w:sz w:val="20"/>
                <w:szCs w:val="20"/>
                <w:color w:val="auto"/>
              </w:rPr>
            </w:pPr>
            <w:r>
              <w:rPr>
                <w:rFonts w:ascii="Arial" w:cs="Arial" w:eastAsia="Arial" w:hAnsi="Arial"/>
                <w:sz w:val="18"/>
                <w:szCs w:val="18"/>
                <w:color w:val="FF0000"/>
                <w:strike w:val="1"/>
                <w:w w:val="90"/>
              </w:rPr>
              <w:t>4.25:1.00</w:t>
            </w:r>
          </w:p>
        </w:tc>
      </w:tr>
    </w:tbl>
    <w:p>
      <w:pPr>
        <w:spacing w:after="0" w:line="229" w:lineRule="exact"/>
        <w:rPr>
          <w:sz w:val="20"/>
          <w:szCs w:val="20"/>
          <w:color w:val="auto"/>
        </w:rPr>
      </w:pPr>
    </w:p>
    <w:p>
      <w:pPr>
        <w:ind w:right="80" w:firstLine="887"/>
        <w:spacing w:after="0" w:line="293" w:lineRule="auto"/>
        <w:tabs>
          <w:tab w:leader="none" w:pos="1291"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the Consolidated Interest Coverage Ratio of Holdings as of the last day of any fiscal quarter of Holdings, commencing with </w:t>
      </w:r>
      <w:r>
        <w:rPr>
          <w:rFonts w:ascii="Arial" w:cs="Arial" w:eastAsia="Arial" w:hAnsi="Arial"/>
          <w:sz w:val="16"/>
          <w:szCs w:val="16"/>
          <w:color w:val="FF0000"/>
          <w:strike w:val="1"/>
        </w:rPr>
        <w:t>the</w:t>
      </w:r>
      <w:r>
        <w:rPr>
          <w:rFonts w:ascii="Arial" w:cs="Arial" w:eastAsia="Arial" w:hAnsi="Arial"/>
          <w:sz w:val="16"/>
          <w:szCs w:val="16"/>
          <w:u w:val="single" w:color="auto"/>
          <w:color w:val="0000FF"/>
        </w:rPr>
        <w:t>Holdings’ second fiscal quarter of 2021 (or, if earlier, the first</w:t>
      </w:r>
      <w:r>
        <w:rPr>
          <w:rFonts w:ascii="Arial" w:cs="Arial" w:eastAsia="Arial" w:hAnsi="Arial"/>
          <w:sz w:val="16"/>
          <w:szCs w:val="16"/>
          <w:color w:val="FF0000"/>
        </w:rPr>
        <w:t xml:space="preserve"> </w:t>
      </w:r>
      <w:r>
        <w:rPr>
          <w:rFonts w:ascii="Arial" w:cs="Arial" w:eastAsia="Arial" w:hAnsi="Arial"/>
          <w:sz w:val="16"/>
          <w:szCs w:val="16"/>
          <w:color w:val="000000"/>
        </w:rPr>
        <w:t>fiscal quarter</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of Holdings</w:t>
      </w:r>
      <w:r>
        <w:rPr>
          <w:rFonts w:ascii="Arial" w:cs="Arial" w:eastAsia="Arial" w:hAnsi="Arial"/>
          <w:sz w:val="16"/>
          <w:szCs w:val="16"/>
          <w:color w:val="FF0000"/>
        </w:rPr>
        <w:t xml:space="preserve"> </w:t>
      </w:r>
      <w:r>
        <w:rPr>
          <w:rFonts w:ascii="Arial" w:cs="Arial" w:eastAsia="Arial" w:hAnsi="Arial"/>
          <w:sz w:val="16"/>
          <w:szCs w:val="16"/>
          <w:color w:val="000000"/>
        </w:rPr>
        <w:t>ending</w:t>
      </w:r>
      <w:r>
        <w:rPr>
          <w:rFonts w:ascii="Arial" w:cs="Arial" w:eastAsia="Arial" w:hAnsi="Arial"/>
          <w:sz w:val="16"/>
          <w:szCs w:val="16"/>
          <w:color w:val="FF0000"/>
        </w:rPr>
        <w:t xml:space="preserve"> </w:t>
      </w:r>
      <w:r>
        <w:rPr>
          <w:rFonts w:ascii="Arial" w:cs="Arial" w:eastAsia="Arial" w:hAnsi="Arial"/>
          <w:sz w:val="16"/>
          <w:szCs w:val="16"/>
          <w:color w:val="FF0000"/>
          <w:strike w:val="1"/>
        </w:rPr>
        <w:t>December 31, 2019,</w:t>
      </w:r>
      <w:r>
        <w:rPr>
          <w:rFonts w:ascii="Arial" w:cs="Arial" w:eastAsia="Arial" w:hAnsi="Arial"/>
          <w:sz w:val="16"/>
          <w:szCs w:val="16"/>
          <w:u w:val="single" w:color="auto"/>
          <w:color w:val="0000FF"/>
        </w:rPr>
        <w:t>after the Additional</w:t>
      </w:r>
      <w:r>
        <w:rPr>
          <w:rFonts w:ascii="Arial" w:cs="Arial" w:eastAsia="Arial" w:hAnsi="Arial"/>
          <w:sz w:val="16"/>
          <w:szCs w:val="16"/>
          <w:color w:val="FF0000"/>
        </w:rPr>
        <w:t xml:space="preserve"> </w:t>
      </w:r>
      <w:r>
        <w:rPr>
          <w:rFonts w:ascii="Arial" w:cs="Arial" w:eastAsia="Arial" w:hAnsi="Arial"/>
          <w:sz w:val="16"/>
          <w:szCs w:val="16"/>
          <w:u w:val="single" w:color="auto"/>
          <w:color w:val="0000FF"/>
        </w:rPr>
        <w:t>Restrictions Period),</w:t>
      </w:r>
      <w:r>
        <w:rPr>
          <w:rFonts w:ascii="Arial" w:cs="Arial" w:eastAsia="Arial" w:hAnsi="Arial"/>
          <w:sz w:val="16"/>
          <w:szCs w:val="16"/>
          <w:color w:val="0000FF"/>
        </w:rPr>
        <w:t xml:space="preserve"> </w:t>
      </w:r>
      <w:r>
        <w:rPr>
          <w:rFonts w:ascii="Arial" w:cs="Arial" w:eastAsia="Arial" w:hAnsi="Arial"/>
          <w:sz w:val="16"/>
          <w:szCs w:val="16"/>
          <w:color w:val="000000"/>
        </w:rPr>
        <w:t>to be less than 3.00 to</w:t>
      </w:r>
      <w:r>
        <w:rPr>
          <w:rFonts w:ascii="Arial" w:cs="Arial" w:eastAsia="Arial" w:hAnsi="Arial"/>
          <w:sz w:val="16"/>
          <w:szCs w:val="16"/>
          <w:color w:val="0000FF"/>
        </w:rPr>
        <w:t xml:space="preserve"> </w:t>
      </w:r>
      <w:r>
        <w:rPr>
          <w:rFonts w:ascii="Arial" w:cs="Arial" w:eastAsia="Arial" w:hAnsi="Arial"/>
          <w:sz w:val="16"/>
          <w:szCs w:val="16"/>
          <w:color w:val="FF0000"/>
          <w:strike w:val="1"/>
        </w:rPr>
        <w:t>1.00.</w:t>
      </w:r>
      <w:r>
        <w:rPr>
          <w:rFonts w:ascii="Arial" w:cs="Arial" w:eastAsia="Arial" w:hAnsi="Arial"/>
          <w:sz w:val="16"/>
          <w:szCs w:val="16"/>
          <w:u w:val="single" w:color="auto"/>
          <w:color w:val="0000FF"/>
        </w:rPr>
        <w:t>1.00; provided that, at the option of the Borrower (by notice to the Administrative Agent) with</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respect to Holdings’ second fiscal quarter of 2021, in lieu of calculating such ratio based on Consolidated EBITDA for the Test Period ending on the last day of such quarter, the Borrower may elect to substitute either (I) Consolidated EBITDA for the two fiscal quarter period ending on such date multiplied by two or (II) Consolidated EBITDA for the three fiscal quarter period ending on such date multiplied by four-thirds.</w:t>
      </w:r>
    </w:p>
    <w:p>
      <w:pPr>
        <w:spacing w:after="0" w:line="110" w:lineRule="exact"/>
        <w:rPr>
          <w:rFonts w:ascii="Arial" w:cs="Arial" w:eastAsia="Arial" w:hAnsi="Arial"/>
          <w:sz w:val="16"/>
          <w:szCs w:val="16"/>
          <w:color w:val="auto"/>
        </w:rPr>
      </w:pPr>
    </w:p>
    <w:p>
      <w:pPr>
        <w:jc w:val="both"/>
        <w:ind w:right="180" w:firstLine="887"/>
        <w:spacing w:after="0" w:line="257" w:lineRule="auto"/>
        <w:tabs>
          <w:tab w:leader="none" w:pos="1341" w:val="left"/>
        </w:tabs>
        <w:numPr>
          <w:ilvl w:val="0"/>
          <w:numId w:val="19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Consolidated EBITDA for the six fiscal quarter period ending on the last day of any fiscal quarter of Holdings, following the Amendment No. 1 Effective Date and ending on or prior to the last day of the first fiscal quarter of 2021, to be less than $0; provided that, at the option of the Borrower (by notice to the Administrative Agent) with respect to Holdings’ fourth fiscal quarter of 2020 and first fiscal quarter of 2021, the Borrower may elect to use Consolidated EBITDA for the six fiscal quarter period ending on the last day of such quarter but excluding Consolidated EBITDA for the second fiscal quarter of 2020.</w:t>
      </w:r>
    </w:p>
    <w:p>
      <w:pPr>
        <w:spacing w:after="0" w:line="187" w:lineRule="exact"/>
        <w:rPr>
          <w:rFonts w:ascii="Arial" w:cs="Arial" w:eastAsia="Arial" w:hAnsi="Arial"/>
          <w:sz w:val="18"/>
          <w:szCs w:val="18"/>
          <w:u w:val="single" w:color="auto"/>
          <w:color w:val="0000FF"/>
        </w:rPr>
      </w:pPr>
    </w:p>
    <w:p>
      <w:pPr>
        <w:ind w:right="60" w:firstLine="887"/>
        <w:spacing w:after="0" w:line="279" w:lineRule="auto"/>
        <w:tabs>
          <w:tab w:leader="none" w:pos="1331" w:val="left"/>
        </w:tabs>
        <w:numPr>
          <w:ilvl w:val="0"/>
          <w:numId w:val="197"/>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the amount of unrestricted cash and Cash Equivalents of Holdings and its Restricted Subsidiaries plus the unused portion of the Revolving Credit Commitments to be less than the lesser of (x) $100,000,000 and (y) the sum of (I) $40,000,000 plus (II) if positive, the amount by which the aggregate Net Cash Proceeds resulting from all Capital Markets Prepayment Events consummated following the Amendment No. 1 Effective Date exceeds $75,000,000, in each case, at any time prior to the end of the Additional Restrictions Period.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0560"/>
          </w:cols>
          <w:pgMar w:left="980" w:top="341" w:right="359" w:bottom="1440" w:gutter="0" w:footer="0" w:header="0"/>
        </w:sectPr>
      </w:pPr>
    </w:p>
    <w:bookmarkStart w:id="208" w:name="page209"/>
    <w:bookmarkEnd w:id="208"/>
    <w:p>
      <w:pPr>
        <w:spacing w:after="0"/>
        <w:tabs>
          <w:tab w:leader="none" w:pos="92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Events of Default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occurrence of any of the following specified events (each an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189" w:lineRule="exact"/>
        <w:rPr>
          <w:sz w:val="20"/>
          <w:szCs w:val="20"/>
          <w:color w:val="auto"/>
        </w:rPr>
      </w:pPr>
    </w:p>
    <w:p>
      <w:pPr>
        <w:jc w:val="both"/>
        <w:ind w:right="480" w:firstLine="648"/>
        <w:spacing w:after="0" w:line="263"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Payments</w:t>
      </w:r>
      <w:r>
        <w:rPr>
          <w:rFonts w:ascii="Arial" w:cs="Arial" w:eastAsia="Arial" w:hAnsi="Arial"/>
          <w:sz w:val="18"/>
          <w:szCs w:val="18"/>
          <w:color w:val="auto"/>
        </w:rPr>
        <w:t>. The Borrower shall (a) default in the payment when due of any principal of the Loans or (b) default, and such default shall continue for five or more Business Days, in the payment when due of any interest on the Loans or any Fees or any Unpaid Drawings or of any other amounts owing hereunder or under any other Credit Document; or</w:t>
      </w:r>
    </w:p>
    <w:p>
      <w:pPr>
        <w:spacing w:after="0" w:line="14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Representations, Etc.</w:t>
      </w:r>
      <w:r>
        <w:rPr>
          <w:rFonts w:ascii="Arial" w:cs="Arial" w:eastAsia="Arial" w:hAnsi="Arial"/>
          <w:sz w:val="18"/>
          <w:szCs w:val="18"/>
          <w:color w:val="auto"/>
        </w:rPr>
        <w:t xml:space="preserve"> Any representation, warranty or statement made or deemed made by any Credit Party herein or in any other Credit Document or any certificate delivered or required to be delivered pursuant hereto or thereto shall prove to be untrue in any material respect on the date as of which made or deemed made, and, to the extent capable of being cured, such incorrect representation or warranty shall remain incorrect for a period of 30 days after written notice thereof from the Administrative Agent to the Borrower; or</w:t>
      </w:r>
    </w:p>
    <w:p>
      <w:pPr>
        <w:spacing w:after="0" w:line="14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u w:val="single" w:color="auto"/>
          <w:color w:val="auto"/>
        </w:rPr>
        <w:t>Covenants</w:t>
      </w:r>
      <w:r>
        <w:rPr>
          <w:rFonts w:ascii="Arial" w:cs="Arial" w:eastAsia="Arial" w:hAnsi="Arial"/>
          <w:sz w:val="16"/>
          <w:szCs w:val="16"/>
          <w:color w:val="auto"/>
        </w:rPr>
        <w:t>. Any Credit Party shall:</w:t>
      </w:r>
    </w:p>
    <w:p>
      <w:pPr>
        <w:spacing w:after="0" w:line="185" w:lineRule="exact"/>
        <w:rPr>
          <w:sz w:val="20"/>
          <w:szCs w:val="20"/>
          <w:color w:val="auto"/>
        </w:rPr>
      </w:pPr>
    </w:p>
    <w:p>
      <w:pPr>
        <w:jc w:val="both"/>
        <w:ind w:right="20" w:firstLine="656"/>
        <w:spacing w:after="0" w:line="271" w:lineRule="auto"/>
        <w:tabs>
          <w:tab w:leader="none" w:pos="1028"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default in the due performance or observance by it of any term, covenant or agreement contained in </w:t>
      </w:r>
      <w:r>
        <w:rPr>
          <w:rFonts w:ascii="Arial" w:cs="Arial" w:eastAsia="Arial" w:hAnsi="Arial"/>
          <w:sz w:val="16"/>
          <w:szCs w:val="16"/>
          <w:u w:val="single" w:color="auto"/>
          <w:color w:val="auto"/>
        </w:rPr>
        <w:t>Section 9.1(e)(i)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9.5</w:t>
      </w:r>
      <w:r>
        <w:rPr>
          <w:rFonts w:ascii="Arial" w:cs="Arial" w:eastAsia="Arial" w:hAnsi="Arial"/>
          <w:sz w:val="16"/>
          <w:szCs w:val="16"/>
          <w:color w:val="auto"/>
        </w:rPr>
        <w:t xml:space="preserve"> (solely with respect to Holdings or the Borrower), </w:t>
      </w:r>
      <w:r>
        <w:rPr>
          <w:rFonts w:ascii="Arial" w:cs="Arial" w:eastAsia="Arial" w:hAnsi="Arial"/>
          <w:sz w:val="16"/>
          <w:szCs w:val="16"/>
          <w:u w:val="single" w:color="auto"/>
          <w:color w:val="auto"/>
        </w:rPr>
        <w:t>Section 9.14(d)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Event of Default under </w:t>
      </w:r>
      <w:r>
        <w:rPr>
          <w:rFonts w:ascii="Arial" w:cs="Arial" w:eastAsia="Arial" w:hAnsi="Arial"/>
          <w:sz w:val="16"/>
          <w:szCs w:val="16"/>
          <w:u w:val="single" w:color="auto"/>
          <w:color w:val="auto"/>
        </w:rPr>
        <w:t>Section 10.7</w:t>
      </w:r>
      <w:r>
        <w:rPr>
          <w:rFonts w:ascii="Arial" w:cs="Arial" w:eastAsia="Arial" w:hAnsi="Arial"/>
          <w:sz w:val="16"/>
          <w:szCs w:val="16"/>
          <w:color w:val="auto"/>
        </w:rPr>
        <w:t xml:space="preserve"> is subject to cure as provided in </w:t>
      </w:r>
      <w:r>
        <w:rPr>
          <w:rFonts w:ascii="Arial" w:cs="Arial" w:eastAsia="Arial" w:hAnsi="Arial"/>
          <w:sz w:val="16"/>
          <w:szCs w:val="16"/>
          <w:u w:val="single" w:color="auto"/>
          <w:color w:val="auto"/>
        </w:rPr>
        <w:t>Section 11.14</w:t>
      </w:r>
      <w:r>
        <w:rPr>
          <w:rFonts w:ascii="Arial" w:cs="Arial" w:eastAsia="Arial" w:hAnsi="Arial"/>
          <w:sz w:val="16"/>
          <w:szCs w:val="16"/>
          <w:color w:val="auto"/>
        </w:rPr>
        <w:t xml:space="preserve"> and an Event of Default with respect to either such Sections shall not occur until the expiration of the 10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Business Day subsequent to the date the relevant financial statements are required to be delivered for the applicable fiscal quarter pursuant to </w:t>
      </w:r>
      <w:r>
        <w:rPr>
          <w:rFonts w:ascii="Arial" w:cs="Arial" w:eastAsia="Arial" w:hAnsi="Arial"/>
          <w:sz w:val="16"/>
          <w:szCs w:val="16"/>
          <w:u w:val="single" w:color="auto"/>
          <w:color w:val="auto"/>
        </w:rPr>
        <w:t>Section 9.1(a)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or</w:t>
      </w:r>
    </w:p>
    <w:p>
      <w:pPr>
        <w:spacing w:after="0" w:line="130" w:lineRule="exact"/>
        <w:rPr>
          <w:rFonts w:ascii="Arial" w:cs="Arial" w:eastAsia="Arial" w:hAnsi="Arial"/>
          <w:sz w:val="16"/>
          <w:szCs w:val="16"/>
          <w:color w:val="auto"/>
        </w:rPr>
      </w:pPr>
    </w:p>
    <w:p>
      <w:pPr>
        <w:jc w:val="both"/>
        <w:ind w:firstLine="656"/>
        <w:spacing w:after="0" w:line="286" w:lineRule="auto"/>
        <w:tabs>
          <w:tab w:leader="none" w:pos="1038" w:val="left"/>
        </w:tabs>
        <w:numPr>
          <w:ilvl w:val="0"/>
          <w:numId w:val="198"/>
        </w:numPr>
        <w:rPr>
          <w:rFonts w:ascii="Arial" w:cs="Arial" w:eastAsia="Arial" w:hAnsi="Arial"/>
          <w:sz w:val="17"/>
          <w:szCs w:val="17"/>
          <w:color w:val="auto"/>
        </w:rPr>
      </w:pPr>
      <w:r>
        <w:rPr>
          <w:rFonts w:ascii="Arial" w:cs="Arial" w:eastAsia="Arial" w:hAnsi="Arial"/>
          <w:sz w:val="17"/>
          <w:szCs w:val="17"/>
          <w:color w:val="auto"/>
        </w:rPr>
        <w:t xml:space="preserve">default in the due performance or observance by it of any term, covenant or agreement (other than those referred to in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11.3</w:t>
      </w:r>
      <w:r>
        <w:rPr>
          <w:rFonts w:ascii="Arial" w:cs="Arial" w:eastAsia="Arial" w:hAnsi="Arial"/>
          <w:sz w:val="17"/>
          <w:szCs w:val="17"/>
          <w:color w:val="auto"/>
        </w:rPr>
        <w:t>) contained in this Agreement or any Security Document and such default shall continue unremedied for a period of at least 30 days after receipt of written notice by Holdings from the Administrative Agent or the Required Lenders; or</w:t>
      </w:r>
    </w:p>
    <w:p>
      <w:pPr>
        <w:spacing w:after="0" w:line="125" w:lineRule="exact"/>
        <w:rPr>
          <w:sz w:val="20"/>
          <w:szCs w:val="20"/>
          <w:color w:val="auto"/>
        </w:rPr>
      </w:pPr>
    </w:p>
    <w:p>
      <w:pPr>
        <w:ind w:right="80" w:firstLine="648"/>
        <w:spacing w:after="0" w:line="283"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u w:val="single" w:color="auto"/>
          <w:color w:val="auto"/>
        </w:rPr>
        <w:t>Default Under Other Agreements</w:t>
      </w:r>
      <w:r>
        <w:rPr>
          <w:rFonts w:ascii="Arial" w:cs="Arial" w:eastAsia="Arial" w:hAnsi="Arial"/>
          <w:sz w:val="16"/>
          <w:szCs w:val="16"/>
          <w:color w:val="auto"/>
        </w:rPr>
        <w:t xml:space="preserve">. (a) Holdings or any of the Restricted Subsidiaries shall (i) default in any payment with respect to any Indebtedness (other than the Obligations) in excess of $30,000,000 in the aggregate, for Holdings and such Restricted Subsidiaries, beyond the period of grace and following all required notices, if any, provided in the instrument or agreement under which such Indebtedness was created or (ii) default in the observance or performance of any agreement or condition relating to any such Indebtedness or contained in any instrument or agreement evidencing, securing or relating thereto, or any other event shall occur or condition exist (after giving effect to all applicable grace period and delivery of all required notices) (other than, with respect to Indebtedness consisting of any Hedge Agreements, termination events or equivalent events pursuant to the terms of such Hedge Agreements (it being understood that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shall apply to any failure to make any payment in excess of $30,000,000 that is required as a result of any such termination or similar event and that is not otherwise being contested in good faith)), the effect of which default or other event or condition is to cause, or to permit the holder or holders of such Indebtedness (or a trustee or agent on behalf of such holder or holders) to cause, any such Indebtedness to become due or to be repurchased, prepaid, defeased or redeemed (automatically or otherwise), or an offer to repurchase, prepay, defease or redeem such Indebtedness to be made, prior to its stated maturity;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shall not apply to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or (b) without limiting the provisions of </w:t>
      </w:r>
      <w:r>
        <w:rPr>
          <w:rFonts w:ascii="Arial" w:cs="Arial" w:eastAsia="Arial" w:hAnsi="Arial"/>
          <w:sz w:val="16"/>
          <w:szCs w:val="16"/>
          <w:u w:val="single" w:color="auto"/>
          <w:color w:val="auto"/>
        </w:rPr>
        <w:t>clause</w:t>
      </w:r>
    </w:p>
    <w:p>
      <w:pPr>
        <w:spacing w:after="0" w:line="2" w:lineRule="exact"/>
        <w:rPr>
          <w:sz w:val="20"/>
          <w:szCs w:val="20"/>
          <w:color w:val="auto"/>
        </w:rPr>
      </w:pPr>
    </w:p>
    <w:p>
      <w:pPr>
        <w:ind w:right="20" w:firstLine="8"/>
        <w:spacing w:after="0" w:line="269" w:lineRule="auto"/>
        <w:tabs>
          <w:tab w:leader="none" w:pos="245" w:val="left"/>
        </w:tabs>
        <w:numPr>
          <w:ilvl w:val="0"/>
          <w:numId w:val="199"/>
        </w:numPr>
        <w:rPr>
          <w:rFonts w:ascii="Arial" w:cs="Arial" w:eastAsia="Arial" w:hAnsi="Arial"/>
          <w:sz w:val="17"/>
          <w:szCs w:val="17"/>
          <w:u w:val="single" w:color="auto"/>
          <w:color w:val="auto"/>
        </w:rPr>
      </w:pPr>
      <w:r>
        <w:rPr>
          <w:rFonts w:ascii="Arial" w:cs="Arial" w:eastAsia="Arial" w:hAnsi="Arial"/>
          <w:sz w:val="17"/>
          <w:szCs w:val="17"/>
          <w:color w:val="auto"/>
        </w:rPr>
        <w:t xml:space="preserve">above, any such Indebtedness shall be declared to be due and payable, or required to be prepaid other than by a regularly scheduled required prepayment or as a mandatory prepayment (and, with respect to Indebtedness consisting of any Hedge Agreements, other than due to a termination event or equivalent event pursuant to the terms of such Hedge Agreements (it being understood that </w:t>
      </w:r>
      <w:r>
        <w:rPr>
          <w:rFonts w:ascii="Arial" w:cs="Arial" w:eastAsia="Arial" w:hAnsi="Arial"/>
          <w:sz w:val="17"/>
          <w:szCs w:val="17"/>
          <w:u w:val="single" w:color="auto"/>
          <w:color w:val="auto"/>
        </w:rPr>
        <w:t>clause (a)(i)</w:t>
      </w:r>
      <w:r>
        <w:rPr>
          <w:rFonts w:ascii="Arial" w:cs="Arial" w:eastAsia="Arial" w:hAnsi="Arial"/>
          <w:sz w:val="17"/>
          <w:szCs w:val="17"/>
          <w:color w:val="auto"/>
        </w:rPr>
        <w:t xml:space="preserve"> above shall apply to any failure to make any payment in excess of $30,000,000 that is required as a result of any such termination or equivalent event and that is not otherwise being contested in good faith)), prior to the stated maturity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shall not apply to (x) secured Indebtedness that becomes due as a result of the voluntary sale or transfer of the property or assets securing such Indebtedness, if such sale or transfer is permitted hereunder and under the documents providing for such Indebtedness, (y) Indebtedness which is convertible into</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341" w:right="339" w:bottom="1440" w:gutter="0" w:footer="0" w:header="0"/>
        </w:sectPr>
      </w:pPr>
    </w:p>
    <w:bookmarkStart w:id="209" w:name="page210"/>
    <w:bookmarkEnd w:id="209"/>
    <w:p>
      <w:pPr>
        <w:jc w:val="both"/>
        <w:ind w:right="120"/>
        <w:spacing w:after="0" w:line="286" w:lineRule="auto"/>
        <w:rPr>
          <w:sz w:val="20"/>
          <w:szCs w:val="20"/>
          <w:color w:val="auto"/>
        </w:rPr>
      </w:pPr>
      <w:r>
        <w:rPr>
          <w:rFonts w:ascii="Arial" w:cs="Arial" w:eastAsia="Arial" w:hAnsi="Arial"/>
          <w:sz w:val="17"/>
          <w:szCs w:val="17"/>
          <w:color w:val="auto"/>
        </w:rPr>
        <w:t>Qualified Stock and converts to Qualified Stock in accordance with its terms and such conversion is not prohibited hereunder, or (z) any breach or default that is (I) remedied by Holdings or the applicable Restricted Subsidiary or (II) waived (including in the form of amendment) by the required holders of the applicable item of Indebtedness, in either case, prior to the acceleration of Loans pursuant to this Section 11; or</w:t>
      </w:r>
    </w:p>
    <w:p>
      <w:pPr>
        <w:spacing w:after="0" w:line="1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Bankruptcy, Etc.</w:t>
      </w:r>
      <w:r>
        <w:rPr>
          <w:rFonts w:ascii="Arial" w:cs="Arial" w:eastAsia="Arial" w:hAnsi="Arial"/>
          <w:sz w:val="16"/>
          <w:szCs w:val="16"/>
          <w:color w:val="auto"/>
        </w:rPr>
        <w:t xml:space="preserve"> Except as otherwise permitted by </w:t>
      </w:r>
      <w:r>
        <w:rPr>
          <w:rFonts w:ascii="Arial" w:cs="Arial" w:eastAsia="Arial" w:hAnsi="Arial"/>
          <w:sz w:val="16"/>
          <w:szCs w:val="16"/>
          <w:u w:val="single" w:color="auto"/>
          <w:color w:val="auto"/>
        </w:rPr>
        <w:t>Section 10.3</w:t>
      </w:r>
      <w:r>
        <w:rPr>
          <w:rFonts w:ascii="Arial" w:cs="Arial" w:eastAsia="Arial" w:hAnsi="Arial"/>
          <w:sz w:val="16"/>
          <w:szCs w:val="16"/>
          <w:color w:val="auto"/>
        </w:rPr>
        <w:t>, Holdings, the Borrower or any Significant Subsidiary shall commence a voluntary case, proceeding or action concerning itself under Title 11 of the United States Code entitled “Bankruptcy” as now or hereafter in effect, or any successor thereto (collectively, the “</w:t>
      </w:r>
      <w:r>
        <w:rPr>
          <w:rFonts w:ascii="Arial" w:cs="Arial" w:eastAsia="Arial" w:hAnsi="Arial"/>
          <w:sz w:val="16"/>
          <w:szCs w:val="16"/>
          <w:b w:val="1"/>
          <w:bCs w:val="1"/>
          <w:color w:val="auto"/>
        </w:rPr>
        <w:t>Bankruptcy Code</w:t>
      </w:r>
      <w:r>
        <w:rPr>
          <w:rFonts w:ascii="Arial" w:cs="Arial" w:eastAsia="Arial" w:hAnsi="Arial"/>
          <w:sz w:val="16"/>
          <w:szCs w:val="16"/>
          <w:color w:val="auto"/>
        </w:rPr>
        <w:t>”); or an involuntary case, proceeding or action is commenced against Holdings, the Borrower or any Significant Subsidiary and the petition is not controverted within 30 days after commencement of the case, proceeding or action; or an involuntary case, proceeding or action is commenced against Holdings, the Borrower or any Significant Subsidiary and the petition is not dismissed within 60 days after commencement of the case, proceeding or action; or a custodian (as defined in the Bankruptcy Code), judicial manager, compulsory manager, receiver, receiver manager, trustee, liquidator, administrator, administrative receiver or similar Person is appointed for, or takes charge of, all or substantially all of the property of Holdings, the Borrower or any Significant Subsidiary; or Holdings, the Borrower or any Significant Subsidiary commences any other voluntary proceeding or action under any reorganization, arrangement, adjustment of debt, relief of debtors, dissolution, insolvency, winding-up, administration or liquidation or similar law of any jurisdiction whether now or hereafter in effect relating to Holdings, the Borrower or any Significant Subsidiary; or there is commenced against Holdings, the Borrower or any Significant Subsidiary any such proceeding or action that remains undismissed for a period of 60 days; or Holdings, the Borrower or any Significant Subsidiary is adjudicated bankrupt; or any order of relief or other order approving any such case or proceeding or action is entered; or Holdings, the Borrower or any Significant Subsidiary suffers any appointment of any custodian receiver, receiver manager, trustee, administrator or the like for it or any substantial part of its property to continue undischarged or unstayed for a period of 60 days; or Holdings, the Borrower or any Significant Subsidiary makes a general assignment for the benefit of creditors; or</w:t>
      </w:r>
    </w:p>
    <w:p>
      <w:pPr>
        <w:spacing w:after="0" w:line="127"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11.6 </w:t>
      </w:r>
      <w:r>
        <w:rPr>
          <w:rFonts w:ascii="Arial" w:cs="Arial" w:eastAsia="Arial" w:hAnsi="Arial"/>
          <w:sz w:val="17"/>
          <w:szCs w:val="17"/>
          <w:u w:val="single" w:color="auto"/>
          <w:color w:val="auto"/>
        </w:rPr>
        <w:t>ERISA</w:t>
      </w:r>
      <w:r>
        <w:rPr>
          <w:rFonts w:ascii="Arial" w:cs="Arial" w:eastAsia="Arial" w:hAnsi="Arial"/>
          <w:sz w:val="17"/>
          <w:szCs w:val="17"/>
          <w:color w:val="auto"/>
        </w:rPr>
        <w:t xml:space="preserve">. (a) An ERISA Event or a Foreign Plan Event shall have occurred, (b) a trustee shall be appointed by a United States district court to administer any Pension Plan(s), (c) the PBGC shall institute proceedings to terminate any Pension Plan(s), or (d) any Credit Party or any of their respective ERISA Affiliates shall have been notified by the sponsor of a Multiemployer Plan that it has incurred or will be assessed Withdrawal Liability to such Multiemployer Plan and such entity does not have reasonable grounds for contesting such Withdrawal Liability or is not contesting such Withdrawal Liability in a timely and appropriate manner; and in each case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above, such event or condition, together with all other such events or conditions, if any, would reasonably be expected to result in a Material Adverse Effect; or</w:t>
      </w:r>
    </w:p>
    <w:p>
      <w:pPr>
        <w:spacing w:after="0" w:line="137"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Guarantee</w:t>
      </w:r>
      <w:r>
        <w:rPr>
          <w:rFonts w:ascii="Arial" w:cs="Arial" w:eastAsia="Arial" w:hAnsi="Arial"/>
          <w:sz w:val="18"/>
          <w:szCs w:val="18"/>
          <w:color w:val="auto"/>
        </w:rPr>
        <w:t>. Any Guarantee provided by any Credit Party or any material provision thereof shall cease to be in full force or effect (other than pursuant to the terms hereof and thereof) or any such Guarantor thereunder or any other Credit Party shall deny or disaffirm in writing any such Guarantor’s obligations under the Guarantee; or</w:t>
      </w:r>
    </w:p>
    <w:p>
      <w:pPr>
        <w:spacing w:after="0" w:line="1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Pledge Agreement</w:t>
      </w:r>
      <w:r>
        <w:rPr>
          <w:rFonts w:ascii="Arial" w:cs="Arial" w:eastAsia="Arial" w:hAnsi="Arial"/>
          <w:sz w:val="18"/>
          <w:szCs w:val="18"/>
          <w:color w:val="auto"/>
        </w:rPr>
        <w:t>. The Pledge Agreement or any other Security Document pursuant to which the Capital Stock or Stock Equivalents of the Borrower or any Subsidiary is pledged or any material provision thereof shall cease to be in full force or effect (other than pursuant to the terms hereof or thereof, as a result of acts or omissions of the Collateral Agent or any Lender or as a result of the Collateral Agent’s failure to maintain possession of any Capital Stock or Stock Equivalents that have been previously delivered to it) or any pledgor thereunder or any Credit Party shall deny or disaffirm in writing any pledgor’s obligations under any Security Document; or</w:t>
      </w:r>
    </w:p>
    <w:p>
      <w:pPr>
        <w:spacing w:after="0" w:line="147"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 xml:space="preserve">11.9 </w:t>
      </w:r>
      <w:r>
        <w:rPr>
          <w:rFonts w:ascii="Arial" w:cs="Arial" w:eastAsia="Arial" w:hAnsi="Arial"/>
          <w:sz w:val="16"/>
          <w:szCs w:val="16"/>
          <w:u w:val="single" w:color="auto"/>
          <w:color w:val="auto"/>
        </w:rPr>
        <w:t>Security Agreement</w:t>
      </w:r>
      <w:r>
        <w:rPr>
          <w:rFonts w:ascii="Arial" w:cs="Arial" w:eastAsia="Arial" w:hAnsi="Arial"/>
          <w:sz w:val="16"/>
          <w:szCs w:val="16"/>
          <w:color w:val="auto"/>
        </w:rPr>
        <w:t>. The Security Agreement or any other Security Document pursuant to which the assets of Holdings, the Borrower or any Material Subsidiary are pledged as Collateral or any material provision thereof shall cease to be in full force or effect (other than pursuant to the terms hereof or thereof, as a result of acts or omissions of the Collateral Agent in respect of certificates, promissory notes or instruments actually delivered to it (including as a result of the Collateral Agent’s failure to file a Uniform Commercial Code continuation statement) or any grantor thereunder or any Credit Party shall deny or disaffirm in writing any grantor’s obligations under the Security Agreement or any other Security Document; or</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341" w:right="339" w:bottom="1440" w:gutter="0" w:footer="0" w:header="0"/>
        </w:sectPr>
      </w:pPr>
    </w:p>
    <w:bookmarkStart w:id="210" w:name="page211"/>
    <w:bookmarkEnd w:id="210"/>
    <w:p>
      <w:pPr>
        <w:ind w:right="60" w:firstLine="648"/>
        <w:spacing w:after="0" w:line="279" w:lineRule="auto"/>
        <w:rPr>
          <w:sz w:val="20"/>
          <w:szCs w:val="20"/>
          <w:color w:val="auto"/>
        </w:rPr>
      </w:pPr>
      <w:r>
        <w:rPr>
          <w:rFonts w:ascii="Arial" w:cs="Arial" w:eastAsia="Arial" w:hAnsi="Arial"/>
          <w:sz w:val="17"/>
          <w:szCs w:val="17"/>
          <w:color w:val="auto"/>
        </w:rPr>
        <w:t xml:space="preserve">11.10 </w:t>
      </w:r>
      <w:r>
        <w:rPr>
          <w:rFonts w:ascii="Arial" w:cs="Arial" w:eastAsia="Arial" w:hAnsi="Arial"/>
          <w:sz w:val="17"/>
          <w:szCs w:val="17"/>
          <w:u w:val="single" w:color="auto"/>
          <w:color w:val="auto"/>
        </w:rPr>
        <w:t>Judgments</w:t>
      </w:r>
      <w:r>
        <w:rPr>
          <w:rFonts w:ascii="Arial" w:cs="Arial" w:eastAsia="Arial" w:hAnsi="Arial"/>
          <w:sz w:val="17"/>
          <w:szCs w:val="17"/>
          <w:color w:val="auto"/>
        </w:rPr>
        <w:t>. One or more judgments or decrees shall be entered against Holdings or any of the Restricted Subsidiaries involving a liability in excess of $30,000,000 in the aggregate for all such judgments and decrees for Holdings and the Restricted Subsidiaries (to the extent not covered by insurance or indemnities as to which the applicable insurance company or third party has not denied coverage) and any such judgments or decrees shall not have been satisfied, vacated, discharged or stayed or bonded pending appeal within 60 days after the entry thereof; or</w:t>
      </w:r>
    </w:p>
    <w:p>
      <w:pPr>
        <w:spacing w:after="0" w:line="17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u w:val="single" w:color="auto"/>
          <w:color w:val="auto"/>
        </w:rPr>
        <w:t>Change of Control</w:t>
      </w:r>
      <w:r>
        <w:rPr>
          <w:rFonts w:ascii="Arial" w:cs="Arial" w:eastAsia="Arial" w:hAnsi="Arial"/>
          <w:sz w:val="16"/>
          <w:szCs w:val="16"/>
          <w:color w:val="auto"/>
        </w:rPr>
        <w:t>. A Change of Control shall occur.</w:t>
      </w:r>
    </w:p>
    <w:p>
      <w:pPr>
        <w:spacing w:after="0" w:line="225"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 xml:space="preserve">11.12 </w:t>
      </w:r>
      <w:r>
        <w:rPr>
          <w:rFonts w:ascii="Arial" w:cs="Arial" w:eastAsia="Arial" w:hAnsi="Arial"/>
          <w:sz w:val="16"/>
          <w:szCs w:val="16"/>
          <w:u w:val="single" w:color="auto"/>
          <w:color w:val="auto"/>
        </w:rPr>
        <w:t>Remedies Upon Event of Default</w:t>
      </w:r>
      <w:r>
        <w:rPr>
          <w:rFonts w:ascii="Arial" w:cs="Arial" w:eastAsia="Arial" w:hAnsi="Arial"/>
          <w:sz w:val="16"/>
          <w:szCs w:val="16"/>
          <w:color w:val="auto"/>
        </w:rPr>
        <w:t>. If an Event of Default occurs and is continuing, the Administrative Agent shall, upon the written request of the Required Lenders, by written notice to Holdings, take any or all of the following actions, without prejudice to the rights of the Administrative Agent or any Lender to enforce its claims against Holdings and the Borrower, except as otherwise specifically provided for in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 Event of Default specified in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shall occur with respect to the Borrower or Holdings, the result that would occur upon the giving of written notice by the Administrative Agent as specified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below shall occur automatically without the giving of any such notice): (i) declare the Total Revolving Credit Commitment and Swingline Commitment terminated, whereupon the Revolving Credit Commitment and Swingline Commitment, if any, of each Lender or the Swingline Lender, as the case may be, shall forthwith terminate immediately and any Fees theretofore accrued shall forthwith become due and payable without any other notice of any kind; (ii) declare the principal of and any accrued interest and fees in respect of all Loans and all Obligations to be, whereupon the same shall become, forthwith due and payable without presentment, demand, protest or other notice of any kind, all of which are hereby waived by the Borrower to the extent permitted by applicable law; (iii) terminate any Letter of Credit that may be terminated in accordance with its terms; and/or (iv) direct the Borrower to pay (and the Borrower agrees that upon receipt of such notice, or upon the occurrence of an Event of Default specified in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with respect to the Borrower, it will pay) to the Administrative Agent at the Administrative Agent’s Office such additional amounts of cash, to be held as security for the Borrower’s respective reimbursement obligations for Drawings that may subsequently occur thereunder, equal to the aggregate Stated Amount of all Letters of Credit issued and then outstanding. In the case of an Event of Default under </w:t>
      </w:r>
      <w:r>
        <w:rPr>
          <w:rFonts w:ascii="Arial" w:cs="Arial" w:eastAsia="Arial" w:hAnsi="Arial"/>
          <w:sz w:val="16"/>
          <w:szCs w:val="16"/>
          <w:u w:val="single" w:color="auto"/>
          <w:color w:val="auto"/>
        </w:rPr>
        <w:t>Section</w:t>
      </w:r>
    </w:p>
    <w:p>
      <w:pPr>
        <w:spacing w:after="0" w:line="1" w:lineRule="exact"/>
        <w:rPr>
          <w:sz w:val="20"/>
          <w:szCs w:val="20"/>
          <w:color w:val="auto"/>
        </w:rPr>
      </w:pPr>
    </w:p>
    <w:p>
      <w:pPr>
        <w:spacing w:after="0" w:line="295" w:lineRule="auto"/>
        <w:rPr>
          <w:sz w:val="20"/>
          <w:szCs w:val="20"/>
          <w:color w:val="auto"/>
        </w:rPr>
      </w:pPr>
      <w:r>
        <w:rPr>
          <w:rFonts w:ascii="Arial" w:cs="Arial" w:eastAsia="Arial" w:hAnsi="Arial"/>
          <w:sz w:val="16"/>
          <w:szCs w:val="16"/>
          <w:u w:val="single" w:color="auto"/>
          <w:color w:val="auto"/>
        </w:rPr>
        <w:t>11.3(a)</w:t>
      </w:r>
      <w:r>
        <w:rPr>
          <w:rFonts w:ascii="Arial" w:cs="Arial" w:eastAsia="Arial" w:hAnsi="Arial"/>
          <w:sz w:val="16"/>
          <w:szCs w:val="16"/>
          <w:color w:val="auto"/>
        </w:rPr>
        <w:t xml:space="preserve"> in respect of a failure to observe or perform the covenant under </w:t>
      </w:r>
      <w:r>
        <w:rPr>
          <w:rFonts w:ascii="Arial" w:cs="Arial" w:eastAsia="Arial" w:hAnsi="Arial"/>
          <w:sz w:val="16"/>
          <w:szCs w:val="16"/>
          <w:u w:val="single" w:color="auto"/>
          <w:color w:val="auto"/>
        </w:rPr>
        <w:t>Section 10.7</w:t>
      </w:r>
      <w:r>
        <w:rPr>
          <w:rFonts w:ascii="Arial" w:cs="Arial" w:eastAsia="Arial" w:hAnsi="Arial"/>
          <w:sz w:val="16"/>
          <w:szCs w:val="16"/>
          <w:color w:val="auto"/>
        </w:rPr>
        <w:t xml:space="preserve">, the actions described above will be permitted to occur only following the expiration of the ability to effectuate the Cure Right if such Cure Right has not been so exercised; and the Borrower shall not be permitted to borrow Revolving Credit Loans and Letters of Credit shall not be issued or renewed unless and until the Cure Right is made on or prior to the expiration of the 10th Business Day following the date financial statements referred to in </w:t>
      </w:r>
      <w:r>
        <w:rPr>
          <w:rFonts w:ascii="Arial" w:cs="Arial" w:eastAsia="Arial" w:hAnsi="Arial"/>
          <w:sz w:val="16"/>
          <w:szCs w:val="16"/>
          <w:u w:val="single" w:color="auto"/>
          <w:color w:val="auto"/>
        </w:rPr>
        <w:t>Sections 9.1(a)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are required to be delivered in respect of such fiscal period.</w:t>
      </w:r>
    </w:p>
    <w:p>
      <w:pPr>
        <w:spacing w:after="0" w:line="16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u w:val="single" w:color="auto"/>
          <w:color w:val="auto"/>
        </w:rPr>
        <w:t>Application of Proceeds</w:t>
      </w:r>
      <w:r>
        <w:rPr>
          <w:rFonts w:ascii="Arial" w:cs="Arial" w:eastAsia="Arial" w:hAnsi="Arial"/>
          <w:sz w:val="18"/>
          <w:szCs w:val="18"/>
          <w:color w:val="auto"/>
        </w:rPr>
        <w:t xml:space="preserve">. Subject to the terms of the First Lien Intercreditor Agreement and the Second Lien Intercreditor Agreement, in each case, if executed, any amount received by the Administrative Agent or the Collateral Agent from any Credit Party (or from proceeds of any Collateral) following any acceleration of the Obligations under this Agreement or any Event of Default with respect to the Borrower under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shall be applied:</w:t>
      </w:r>
    </w:p>
    <w:p>
      <w:pPr>
        <w:spacing w:after="0" w:line="187" w:lineRule="exact"/>
        <w:rPr>
          <w:sz w:val="20"/>
          <w:szCs w:val="20"/>
          <w:color w:val="auto"/>
        </w:rPr>
      </w:pPr>
    </w:p>
    <w:p>
      <w:pPr>
        <w:ind w:left="660" w:firstLine="887"/>
        <w:spacing w:after="0" w:line="255" w:lineRule="auto"/>
        <w:tabs>
          <w:tab w:leader="none" w:pos="1901" w:val="left"/>
        </w:tabs>
        <w:numPr>
          <w:ilvl w:val="0"/>
          <w:numId w:val="200"/>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payment of all reasonable and documented costs and expenses incurred by the Administrative Agent or the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Agent in connection with any collection or sale of the Collateral or otherwise in connection with any Credit Document, including all court costs and the reasonable fees and expenses of its agents and legal counsel, the repayment of all advances made by the Administrative Agent or the Collateral Agent hereunder or under any other Credit Document on behalf of any Credit Party and any other reasonable and documented costs or expenses incurred in connection with the exercise of any right or remedy hereunder or under any other Credit Document to the extent reimbursable hereunder or thereunder;</w:t>
      </w:r>
    </w:p>
    <w:p>
      <w:pPr>
        <w:spacing w:after="0" w:line="192" w:lineRule="exact"/>
        <w:rPr>
          <w:rFonts w:ascii="Arial" w:cs="Arial" w:eastAsia="Arial" w:hAnsi="Arial"/>
          <w:sz w:val="18"/>
          <w:szCs w:val="18"/>
          <w:color w:val="auto"/>
        </w:rPr>
      </w:pPr>
    </w:p>
    <w:p>
      <w:pPr>
        <w:ind w:left="660" w:right="280" w:firstLine="887"/>
        <w:spacing w:after="0" w:line="311" w:lineRule="auto"/>
        <w:tabs>
          <w:tab w:leader="none" w:pos="1951" w:val="left"/>
        </w:tabs>
        <w:numPr>
          <w:ilvl w:val="0"/>
          <w:numId w:val="200"/>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to the Secured Parties, an amount (x) equal to all Obligations owing to them on the date of any distribution and (y)</w:t>
      </w:r>
      <w:r>
        <w:rPr>
          <w:rFonts w:ascii="Arial" w:cs="Arial" w:eastAsia="Arial" w:hAnsi="Arial"/>
          <w:sz w:val="16"/>
          <w:szCs w:val="16"/>
          <w:i w:val="1"/>
          <w:iCs w:val="1"/>
          <w:color w:val="auto"/>
        </w:rPr>
        <w:t xml:space="preserve"> </w:t>
      </w:r>
      <w:r>
        <w:rPr>
          <w:rFonts w:ascii="Arial" w:cs="Arial" w:eastAsia="Arial" w:hAnsi="Arial"/>
          <w:sz w:val="16"/>
          <w:szCs w:val="16"/>
          <w:color w:val="auto"/>
        </w:rPr>
        <w:t>sufficient to Cash Collateralize all Letters of Credit Outstanding on the date of any distribution, and, if such moneys shall be insufficient to pay such amounts in full and Cash Collateralize all Letters of Credit Outstanding, then ratably (without priority of any one over any other) to</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341" w:right="339" w:bottom="1440" w:gutter="0" w:footer="0" w:header="0"/>
        </w:sectPr>
      </w:pPr>
    </w:p>
    <w:bookmarkStart w:id="211" w:name="page212"/>
    <w:bookmarkEnd w:id="211"/>
    <w:p>
      <w:pPr>
        <w:ind w:left="660"/>
        <w:spacing w:after="0"/>
        <w:rPr>
          <w:sz w:val="20"/>
          <w:szCs w:val="20"/>
          <w:color w:val="auto"/>
        </w:rPr>
      </w:pPr>
      <w:r>
        <w:rPr>
          <w:rFonts w:ascii="Arial" w:cs="Arial" w:eastAsia="Arial" w:hAnsi="Arial"/>
          <w:sz w:val="18"/>
          <w:szCs w:val="18"/>
          <w:color w:val="auto"/>
        </w:rPr>
        <w:t>such Secured Parties in proportion to the unpaid amounts thereof and to Cash Collateralize the Letters of Credit Outstanding; and</w:t>
      </w:r>
    </w:p>
    <w:p>
      <w:pPr>
        <w:spacing w:after="0" w:line="225" w:lineRule="exact"/>
        <w:rPr>
          <w:sz w:val="20"/>
          <w:szCs w:val="20"/>
          <w:color w:val="auto"/>
        </w:rPr>
      </w:pPr>
    </w:p>
    <w:p>
      <w:pPr>
        <w:ind w:left="660" w:right="120" w:firstLine="887"/>
        <w:spacing w:after="0" w:line="277" w:lineRule="auto"/>
        <w:tabs>
          <w:tab w:leader="none" w:pos="2001" w:val="left"/>
        </w:tabs>
        <w:numPr>
          <w:ilvl w:val="0"/>
          <w:numId w:val="201"/>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any surplus then remaining shall be paid to the applicable Credit Parties or their successors or assigns or to whomsoever</w:t>
      </w:r>
      <w:r>
        <w:rPr>
          <w:rFonts w:ascii="Arial" w:cs="Arial" w:eastAsia="Arial" w:hAnsi="Arial"/>
          <w:sz w:val="18"/>
          <w:szCs w:val="18"/>
          <w:i w:val="1"/>
          <w:iCs w:val="1"/>
          <w:color w:val="auto"/>
        </w:rPr>
        <w:t xml:space="preserve"> </w:t>
      </w:r>
      <w:r>
        <w:rPr>
          <w:rFonts w:ascii="Arial" w:cs="Arial" w:eastAsia="Arial" w:hAnsi="Arial"/>
          <w:sz w:val="18"/>
          <w:szCs w:val="18"/>
          <w:color w:val="auto"/>
        </w:rPr>
        <w:t>may be lawfully entitled to receive the same or as a court of competent jurisdiction may direct;</w:t>
      </w:r>
    </w:p>
    <w:p>
      <w:pPr>
        <w:spacing w:after="0" w:line="170"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amount applied to Cash Collateralize any Letters of Credit Outstanding that has not been applied to reimburse the Borrower for Unpaid Drawings under the applicable Letters of Credit at the time of expiration of all such Letters of Credit shall be applied by the Administrative Agent in the order specified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above. Notwithstanding the foregoing, amounts received from any Guarantor that is not an “Eligible Contract Participant” (as defined in the Commodity Exchange Act) shall not be applied to its Obligations that are Excluded Swap Obligations.</w:t>
      </w:r>
    </w:p>
    <w:p>
      <w:pPr>
        <w:spacing w:after="0" w:line="76" w:lineRule="exact"/>
        <w:rPr>
          <w:sz w:val="20"/>
          <w:szCs w:val="20"/>
          <w:color w:val="auto"/>
        </w:rPr>
      </w:pPr>
    </w:p>
    <w:p>
      <w:pPr>
        <w:ind w:right="40" w:firstLine="648"/>
        <w:spacing w:after="0" w:line="257" w:lineRule="auto"/>
        <w:rPr>
          <w:sz w:val="20"/>
          <w:szCs w:val="20"/>
          <w:color w:val="auto"/>
        </w:rPr>
      </w:pPr>
      <w:r>
        <w:rPr>
          <w:rFonts w:ascii="Arial" w:cs="Arial" w:eastAsia="Arial" w:hAnsi="Arial"/>
          <w:sz w:val="17"/>
          <w:szCs w:val="17"/>
          <w:color w:val="auto"/>
        </w:rPr>
        <w:t xml:space="preserve">11.14 </w:t>
      </w:r>
      <w:r>
        <w:rPr>
          <w:rFonts w:ascii="Arial" w:cs="Arial" w:eastAsia="Arial" w:hAnsi="Arial"/>
          <w:sz w:val="17"/>
          <w:szCs w:val="17"/>
          <w:u w:val="single" w:color="auto"/>
          <w:color w:val="auto"/>
        </w:rPr>
        <w:t>Equity Cure</w:t>
      </w:r>
      <w:r>
        <w:rPr>
          <w:rFonts w:ascii="Arial" w:cs="Arial" w:eastAsia="Arial" w:hAnsi="Arial"/>
          <w:sz w:val="17"/>
          <w:szCs w:val="17"/>
          <w:color w:val="auto"/>
        </w:rPr>
        <w:t xml:space="preserve">. Notwithstanding anything to the contrary contained in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in the event that Holdings fails to comply with the requirement of the financial covenant set forth in </w:t>
      </w:r>
      <w:r>
        <w:rPr>
          <w:rFonts w:ascii="Arial" w:cs="Arial" w:eastAsia="Arial" w:hAnsi="Arial"/>
          <w:sz w:val="17"/>
          <w:szCs w:val="17"/>
          <w:u w:val="single" w:color="auto"/>
          <w:color w:val="auto"/>
        </w:rPr>
        <w:t>Section 10.7</w:t>
      </w:r>
      <w:r>
        <w:rPr>
          <w:rFonts w:ascii="Arial" w:cs="Arial" w:eastAsia="Arial" w:hAnsi="Arial"/>
          <w:sz w:val="17"/>
          <w:szCs w:val="17"/>
          <w:color w:val="auto"/>
        </w:rPr>
        <w:t>, from the end of any fiscal period until the expiration of the 10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Business Day following the date financial statements referred to in </w:t>
      </w:r>
      <w:r>
        <w:rPr>
          <w:rFonts w:ascii="Arial" w:cs="Arial" w:eastAsia="Arial" w:hAnsi="Arial"/>
          <w:sz w:val="17"/>
          <w:szCs w:val="17"/>
          <w:u w:val="single" w:color="auto"/>
          <w:color w:val="auto"/>
        </w:rPr>
        <w:t>Sections 9.1(a)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are required to be delivered in respect of such fiscal period for which such financial covenant is being measured, any holder of Capital Stock or Stock Equivalents of Holdings or any direct or indirect parent of Holdings shall have the right to cure such failure (the “</w:t>
      </w:r>
      <w:r>
        <w:rPr>
          <w:rFonts w:ascii="Arial" w:cs="Arial" w:eastAsia="Arial" w:hAnsi="Arial"/>
          <w:sz w:val="17"/>
          <w:szCs w:val="17"/>
          <w:b w:val="1"/>
          <w:bCs w:val="1"/>
          <w:color w:val="auto"/>
        </w:rPr>
        <w:t>Cure Right</w:t>
      </w:r>
      <w:r>
        <w:rPr>
          <w:rFonts w:ascii="Arial" w:cs="Arial" w:eastAsia="Arial" w:hAnsi="Arial"/>
          <w:sz w:val="17"/>
          <w:szCs w:val="17"/>
          <w:color w:val="auto"/>
        </w:rPr>
        <w:t>”) by causing cash net equity proceeds derived from an issuance of Capital Stock or Stock Equivalents (other than Disqualified Stock, unless reasonably satisfactory to the Administrative Agent) by Holdings (or from a contribution to the common equity capital of Holdings) to be contributed, directly or indirectly, as cash common equity to the Borrower, and upon receipt by the Borrower of such cash contribution (such cash amount being referred to as the “</w:t>
      </w:r>
      <w:r>
        <w:rPr>
          <w:rFonts w:ascii="Arial" w:cs="Arial" w:eastAsia="Arial" w:hAnsi="Arial"/>
          <w:sz w:val="17"/>
          <w:szCs w:val="17"/>
          <w:b w:val="1"/>
          <w:bCs w:val="1"/>
          <w:color w:val="auto"/>
        </w:rPr>
        <w:t>Cure Amount</w:t>
      </w:r>
      <w:r>
        <w:rPr>
          <w:rFonts w:ascii="Arial" w:cs="Arial" w:eastAsia="Arial" w:hAnsi="Arial"/>
          <w:sz w:val="17"/>
          <w:szCs w:val="17"/>
          <w:color w:val="auto"/>
        </w:rPr>
        <w:t>”) pursuant to the exercise of such Cure Right, such applicable financial covenant shall be recalculated giving effect to the following pro forma adjustments:</w:t>
      </w:r>
    </w:p>
    <w:p>
      <w:pPr>
        <w:spacing w:after="0" w:line="190" w:lineRule="exact"/>
        <w:rPr>
          <w:sz w:val="20"/>
          <w:szCs w:val="20"/>
          <w:color w:val="auto"/>
        </w:rPr>
      </w:pPr>
    </w:p>
    <w:p>
      <w:pPr>
        <w:ind w:left="660" w:right="80" w:firstLine="644"/>
        <w:spacing w:after="0" w:line="259" w:lineRule="auto"/>
        <w:tabs>
          <w:tab w:leader="none" w:pos="168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Consolidated EBITDA shall be increased, solely for the purpose of determining the existence of an Event of Default resulting from a breach of the financial covenants set forth in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as applicable, with respect to any period of four consecutive fiscal quarters that includes the fiscal quarter for which the Cure Right was exercised and not for any other purpose under this Agreement, by an amount equal to the Cure Amount;</w:t>
      </w:r>
    </w:p>
    <w:p>
      <w:pPr>
        <w:spacing w:after="0" w:line="105" w:lineRule="exact"/>
        <w:rPr>
          <w:rFonts w:ascii="Arial" w:cs="Arial" w:eastAsia="Arial" w:hAnsi="Arial"/>
          <w:sz w:val="18"/>
          <w:szCs w:val="18"/>
          <w:color w:val="auto"/>
        </w:rPr>
      </w:pPr>
    </w:p>
    <w:p>
      <w:pPr>
        <w:ind w:left="660" w:right="140" w:firstLine="644"/>
        <w:spacing w:after="0" w:line="277" w:lineRule="auto"/>
        <w:tabs>
          <w:tab w:leader="none" w:pos="1698"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Consolidated Total Debt shall be decreased solely to the extent proceeds of the Cure Amount are actually applied to prepay any of the Credit Facilities; and</w:t>
      </w:r>
    </w:p>
    <w:p>
      <w:pPr>
        <w:spacing w:after="0" w:line="89" w:lineRule="exact"/>
        <w:rPr>
          <w:rFonts w:ascii="Arial" w:cs="Arial" w:eastAsia="Arial" w:hAnsi="Arial"/>
          <w:sz w:val="18"/>
          <w:szCs w:val="18"/>
          <w:color w:val="auto"/>
        </w:rPr>
      </w:pPr>
    </w:p>
    <w:p>
      <w:pPr>
        <w:ind w:left="660" w:firstLine="644"/>
        <w:spacing w:after="0" w:line="290" w:lineRule="auto"/>
        <w:tabs>
          <w:tab w:leader="none" w:pos="1688" w:val="left"/>
        </w:tabs>
        <w:numPr>
          <w:ilvl w:val="0"/>
          <w:numId w:val="202"/>
        </w:numPr>
        <w:rPr>
          <w:rFonts w:ascii="Arial" w:cs="Arial" w:eastAsia="Arial" w:hAnsi="Arial"/>
          <w:sz w:val="16"/>
          <w:szCs w:val="16"/>
          <w:color w:val="auto"/>
        </w:rPr>
      </w:pPr>
      <w:r>
        <w:rPr>
          <w:rFonts w:ascii="Arial" w:cs="Arial" w:eastAsia="Arial" w:hAnsi="Arial"/>
          <w:sz w:val="16"/>
          <w:szCs w:val="16"/>
          <w:color w:val="auto"/>
        </w:rPr>
        <w:t xml:space="preserve">if, after giving effect to the foregoing recalculations, Holdings shall then be in compliance with the requirements of the financial covenants set forth in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Holdings shall be deemed to have satisfied the requirements of such applicable financial covenant as of the relevant date of determination with the same effect as though there had been no failure to comply therewith at such date, and the applicable breach or default of such financial covenants that had occurred shall be deemed cured for the purposes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each period of four consecutive fiscal quarters there shall be at least two fiscal quarters in which no Cure Right is made, (ii) there shall be a maximum of five Cure Rights made during the term of this Agreement, (iii) each Cure Amount shall be no greater than the amount required to cause the Borrower to be in compliance with the applicable financial covenant; and (iv) all Cure Amounts shall be disregarded for the purposes of any financial ratio determination under the Credit Documents other than for determining compliance with </w:t>
      </w:r>
      <w:r>
        <w:rPr>
          <w:rFonts w:ascii="Arial" w:cs="Arial" w:eastAsia="Arial" w:hAnsi="Arial"/>
          <w:sz w:val="16"/>
          <w:szCs w:val="16"/>
          <w:u w:val="single" w:color="auto"/>
          <w:color w:val="auto"/>
        </w:rPr>
        <w:t>Section 10.7</w:t>
      </w:r>
      <w:r>
        <w:rPr>
          <w:rFonts w:ascii="Arial" w:cs="Arial" w:eastAsia="Arial" w:hAnsi="Arial"/>
          <w:sz w:val="16"/>
          <w:szCs w:val="16"/>
          <w:color w:val="auto"/>
        </w:rPr>
        <w:t xml:space="preserve"> as applicable.</w:t>
      </w:r>
    </w:p>
    <w:p>
      <w:pPr>
        <w:spacing w:after="0" w:line="8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The Agents</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u w:val="single" w:color="auto"/>
          <w:color w:val="auto"/>
        </w:rPr>
        <w:t>Appointment</w:t>
      </w:r>
      <w:r>
        <w:rPr>
          <w:rFonts w:ascii="Arial" w:cs="Arial" w:eastAsia="Arial" w:hAnsi="Arial"/>
          <w:sz w:val="16"/>
          <w:szCs w:val="16"/>
          <w:color w:val="auto"/>
        </w:rPr>
        <w:t>.</w:t>
      </w:r>
    </w:p>
    <w:p>
      <w:pPr>
        <w:spacing w:after="0" w:line="225" w:lineRule="exact"/>
        <w:rPr>
          <w:sz w:val="20"/>
          <w:szCs w:val="20"/>
          <w:color w:val="auto"/>
        </w:rPr>
      </w:pPr>
    </w:p>
    <w:p>
      <w:pPr>
        <w:ind w:right="40" w:firstLine="656"/>
        <w:spacing w:after="0" w:line="277" w:lineRule="auto"/>
        <w:tabs>
          <w:tab w:leader="none" w:pos="1028"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Each Lender hereby irrevocably designates and appoints the Administrative Agent as the agent of such Lender under this Agreement and the other Credit Documents and irrevocably authorizes the Administrative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00"/>
          </w:cols>
          <w:pgMar w:left="320" w:top="341" w:right="379" w:bottom="1440" w:gutter="0" w:footer="0" w:header="0"/>
        </w:sectPr>
      </w:pPr>
    </w:p>
    <w:bookmarkStart w:id="212" w:name="page213"/>
    <w:bookmarkEnd w:id="212"/>
    <w:p>
      <w:pPr>
        <w:ind w:right="20"/>
        <w:spacing w:after="0" w:line="253" w:lineRule="auto"/>
        <w:rPr>
          <w:sz w:val="20"/>
          <w:szCs w:val="20"/>
          <w:color w:val="auto"/>
        </w:rPr>
      </w:pPr>
      <w:r>
        <w:rPr>
          <w:rFonts w:ascii="Arial" w:cs="Arial" w:eastAsia="Arial" w:hAnsi="Arial"/>
          <w:sz w:val="18"/>
          <w:szCs w:val="18"/>
          <w:color w:val="auto"/>
        </w:rPr>
        <w:t xml:space="preserve">Agent, in such capacity, to take such action on its behalf under the provisions of this Agreement and the other Credit Documents and to exercise such powers and perform such duties as are expressly delegated to the Administrative Agent by the terms of this Agreement and the other Credit Documents, together with such other powers as are reasonably incidental thereto. The provisions of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12.1(c)</w:t>
      </w:r>
      <w:r>
        <w:rPr>
          <w:rFonts w:ascii="Arial" w:cs="Arial" w:eastAsia="Arial" w:hAnsi="Arial"/>
          <w:sz w:val="18"/>
          <w:szCs w:val="18"/>
          <w:color w:val="auto"/>
        </w:rPr>
        <w:t xml:space="preserve"> with respect to the Syndication Agents, the Documentation Agents, the Joint Lead Arrangers and Bookrunners and </w:t>
      </w:r>
      <w:r>
        <w:rPr>
          <w:rFonts w:ascii="Arial" w:cs="Arial" w:eastAsia="Arial" w:hAnsi="Arial"/>
          <w:sz w:val="18"/>
          <w:szCs w:val="18"/>
          <w:u w:val="single" w:color="auto"/>
          <w:color w:val="auto"/>
        </w:rPr>
        <w:t>Sections 12.1</w:t>
      </w:r>
      <w:r>
        <w:rPr>
          <w:rFonts w:ascii="Arial" w:cs="Arial" w:eastAsia="Arial" w:hAnsi="Arial"/>
          <w:sz w:val="18"/>
          <w:szCs w:val="18"/>
          <w:color w:val="auto"/>
        </w:rPr>
        <w:t xml:space="preserve">, </w:t>
      </w:r>
      <w:r>
        <w:rPr>
          <w:rFonts w:ascii="Arial" w:cs="Arial" w:eastAsia="Arial" w:hAnsi="Arial"/>
          <w:sz w:val="18"/>
          <w:szCs w:val="18"/>
          <w:u w:val="single" w:color="auto"/>
          <w:color w:val="auto"/>
        </w:rPr>
        <w:t>12.9</w:t>
      </w:r>
      <w:r>
        <w:rPr>
          <w:rFonts w:ascii="Arial" w:cs="Arial" w:eastAsia="Arial" w:hAnsi="Arial"/>
          <w:sz w:val="18"/>
          <w:szCs w:val="18"/>
          <w:color w:val="auto"/>
        </w:rPr>
        <w:t xml:space="preserve">, </w:t>
      </w:r>
      <w:r>
        <w:rPr>
          <w:rFonts w:ascii="Arial" w:cs="Arial" w:eastAsia="Arial" w:hAnsi="Arial"/>
          <w:sz w:val="18"/>
          <w:szCs w:val="18"/>
          <w:u w:val="single" w:color="auto"/>
          <w:color w:val="auto"/>
        </w:rPr>
        <w:t>12.11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12.12</w:t>
      </w:r>
      <w:r>
        <w:rPr>
          <w:rFonts w:ascii="Arial" w:cs="Arial" w:eastAsia="Arial" w:hAnsi="Arial"/>
          <w:sz w:val="18"/>
          <w:szCs w:val="18"/>
          <w:color w:val="auto"/>
        </w:rPr>
        <w:t xml:space="preserve"> with respect to Holdings) are solely for the benefit of the Agents and the Lenders, none of Holdings, the Borrower or any other Credit Party shall have rights as third party beneficiary of any such provision. Notwithstanding any provision to the contrary elsewhere in this Agreement, the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Credit Document or otherwise exist against the Administrative Agent. In performing its functions and duties hereunder, each Agent shall act solely as an agent of Lenders and does not assume and shall not be deemed to have assumed any obligation towards or relationship of agency or trust with or for Holdings, the Borrower or any of their respective Subsidiaries.</w:t>
      </w:r>
    </w:p>
    <w:p>
      <w:pPr>
        <w:spacing w:after="0" w:line="138" w:lineRule="exact"/>
        <w:rPr>
          <w:sz w:val="20"/>
          <w:szCs w:val="20"/>
          <w:color w:val="auto"/>
        </w:rPr>
      </w:pPr>
    </w:p>
    <w:p>
      <w:pPr>
        <w:ind w:right="100" w:firstLine="656"/>
        <w:spacing w:after="0" w:line="253" w:lineRule="auto"/>
        <w:tabs>
          <w:tab w:leader="none" w:pos="1034"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Administrative Agent, each Lender, the Swingline Lender and the Letter of Credit Issuer hereby irrevocably designate and appoint the Collateral Agent as the agent with respect to the Collateral, and each of the Administrative Agent, each Lender, the Swingline Lender and the Letter of Credit Issuer irrevocably authorizes the Collateral Agent, in such capacity, to take such action on its behalf under the provisions of this Agreement and the other Credit Documents and to exercise such powers and perform such duties as are expressly delegated to the Collateral Agent by the terms of this Agreement and the other Credit Documents, together with such other powers as are reasonably incidental thereto. Notwithstanding any provision to the contrary elsewhere in this Agreement, the Collateral Agent shall not have any duties or responsibilities except those expressly set forth herein, or any fiduciary relationship with any of the Administrative Agent, the Lenders, the Swingline Lender or the Letter of Credit Issuers, and no implied covenants, functions, responsibilities, duties, obligations or liabilities shall be read into this Agreement or any other Credit Document or otherwise exist against the Collateral Agent.</w:t>
      </w:r>
    </w:p>
    <w:p>
      <w:pPr>
        <w:spacing w:after="0" w:line="142" w:lineRule="exact"/>
        <w:rPr>
          <w:rFonts w:ascii="Arial" w:cs="Arial" w:eastAsia="Arial" w:hAnsi="Arial"/>
          <w:sz w:val="18"/>
          <w:szCs w:val="18"/>
          <w:color w:val="auto"/>
        </w:rPr>
      </w:pPr>
    </w:p>
    <w:p>
      <w:pPr>
        <w:ind w:right="20" w:firstLine="656"/>
        <w:spacing w:after="0" w:line="277" w:lineRule="auto"/>
        <w:tabs>
          <w:tab w:leader="none" w:pos="1028"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Each of the Syndication Agent, Documentation Agent, Joint Lead Arrangers and Bookrunners each in its capacity as such, shall not have any obligations, duties or responsibilities under this Agreement but shall be entitled to all benefits of this </w:t>
      </w:r>
      <w:r>
        <w:rPr>
          <w:rFonts w:ascii="Arial" w:cs="Arial" w:eastAsia="Arial" w:hAnsi="Arial"/>
          <w:sz w:val="18"/>
          <w:szCs w:val="18"/>
          <w:u w:val="single" w:color="auto"/>
          <w:color w:val="auto"/>
        </w:rPr>
        <w:t>Section 12</w:t>
      </w:r>
      <w:r>
        <w:rPr>
          <w:rFonts w:ascii="Arial" w:cs="Arial" w:eastAsia="Arial" w:hAnsi="Arial"/>
          <w:sz w:val="18"/>
          <w:szCs w:val="18"/>
          <w:color w:val="auto"/>
        </w:rPr>
        <w:t>.</w:t>
      </w:r>
    </w:p>
    <w:p>
      <w:pPr>
        <w:spacing w:after="0" w:line="11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Administrative Agent and the Collateral Agent may each execute any of its duties under this Agreement and the other Credit Documents by or through agents, sub-agents, employees or attorneys-in-fact and shall be entitled to advice of counsel concerning all matters pertaining to such duties. Neither the Administrative Agent nor the Collateral Agent shall be responsible for the negligence or misconduct of any agents, subagents or attorneys-in-fact selected by it in the absence of its gross negligence or willful misconduct (as determined in the final non-appealable judgment of a court of competent jurisdiction).</w:t>
      </w:r>
    </w:p>
    <w:p>
      <w:pPr>
        <w:spacing w:after="0" w:line="13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Exculpatory Provisions</w:t>
      </w:r>
      <w:r>
        <w:rPr>
          <w:rFonts w:ascii="Arial" w:cs="Arial" w:eastAsia="Arial" w:hAnsi="Arial"/>
          <w:sz w:val="16"/>
          <w:szCs w:val="16"/>
          <w:color w:val="auto"/>
        </w:rPr>
        <w:t>. No Agent nor any of its officers, directors, employees, agents, attorneys-in-fact or Affiliates shall be (a) liable for any action lawfully taken or omitted to be taken by any of them under or in connection with this Agreement or any other Credit Document (except for its or such Person’s own gross negligence or willful misconduct, as determined in the final non-appealable judgment of a court of competent jurisdiction, in connection with its duties expressly set forth herein) or (b) responsible in any manner to any of the Lenders or any participant for any recitals, statements, representations or warranties made by any Credit Party or any officer thereof contained in this Agreement or any other Credit Document or in any certificate, report, statement or other document referred to or provided for in, or received by such Agent under or in connection with, this Agreement or any other Credit Document or for the value, validity, effectiveness, genuineness, enforceability or sufficiency of this Agreement or any other Credit Document, or the creation, perfection or priority of any Lien or security interest created or purported to be created under the Security Documents, the value or sufficiency of the Collateral, or for any failure of any Credit Party to perform its obligations hereunder or thereunder. No Agent shall be under any obligation to any Lender to ascertain or to inquire as to the observance or performance of any of the agreements contained in, or conditions of, this Agreement or any other Credit Document, or to inspect the properties, books or records of any Credit Party or any Affiliate thereof. The Collateral Agent shall not be under any obligation to the Administrative Agent or any Lender to ascertain or to inquire as to the observance or performance of any of the agreements contained in, or conditions of, this Agreement or any other Credit Document, or to inspect the</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320" w:top="341" w:right="359" w:bottom="1440" w:gutter="0" w:footer="0" w:header="0"/>
        </w:sectPr>
      </w:pPr>
    </w:p>
    <w:bookmarkStart w:id="213" w:name="page214"/>
    <w:bookmarkEnd w:id="213"/>
    <w:p>
      <w:pPr>
        <w:ind w:right="20"/>
        <w:spacing w:after="0" w:line="286" w:lineRule="auto"/>
        <w:rPr>
          <w:sz w:val="20"/>
          <w:szCs w:val="20"/>
          <w:color w:val="auto"/>
        </w:rPr>
      </w:pPr>
      <w:r>
        <w:rPr>
          <w:rFonts w:ascii="Arial" w:cs="Arial" w:eastAsia="Arial" w:hAnsi="Arial"/>
          <w:sz w:val="16"/>
          <w:szCs w:val="16"/>
          <w:color w:val="auto"/>
        </w:rPr>
        <w:t xml:space="preserve">properties, books or records of any Credit Party. Without limiting the generality of the foregoing, (a) no Agent shall have any duty to take any discretionary action or exercise any discretionary powers, except discretionary rights and powers expressly contemplated hereby that such Agent is instructed in writing to exercise by the Required Lenders (or such other number or percentage of the Lenders as shall be necessary under the circumstances as provided in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Agent shall be required to take any action that, in its opinion or the opinion of its counsel, may expose such Agent to liability or that is contrary to any Credit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 (b) except as expressly set forth in the Credit Documents, no Agent shall have any duty to disclose, nor shall it be liable for the failure to disclose, any information relating to Holdings, the Borrower or any of the other Subsidiaries that is communicated to or obtained by the bank serving as Administrative Agent and/or Collateral Agent or any of its Affiliates in any capacity. The Administrative Agent shall not be responsible or have any liability for, or have any duty to ascertain, inquire into, monitor or enforce, compliance with the provisions of this Agreement relating to Disqualified Lenders. Without limiting the generality of the foregoing, the Administrative Agent shall not (x) be obligated to ascertain, monitor or inquire as to whether any Lender or Participant or prospective Lender or Participant is a Disqualified Lender or (y) have any liability with respect to or arising out of any assignment or participation of Loans, or disclosure of confidential information, to any Disqualified Lender.</w:t>
      </w:r>
    </w:p>
    <w:p>
      <w:pPr>
        <w:spacing w:after="0" w:line="120"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 xml:space="preserve">12.4 </w:t>
      </w:r>
      <w:r>
        <w:rPr>
          <w:rFonts w:ascii="Arial" w:cs="Arial" w:eastAsia="Arial" w:hAnsi="Arial"/>
          <w:sz w:val="16"/>
          <w:szCs w:val="16"/>
          <w:u w:val="single" w:color="auto"/>
          <w:color w:val="auto"/>
        </w:rPr>
        <w:t>Reliance by Agents</w:t>
      </w:r>
      <w:r>
        <w:rPr>
          <w:rFonts w:ascii="Arial" w:cs="Arial" w:eastAsia="Arial" w:hAnsi="Arial"/>
          <w:sz w:val="16"/>
          <w:szCs w:val="16"/>
          <w:color w:val="auto"/>
        </w:rPr>
        <w:t xml:space="preserve">. The Administrative Agent and the Collateral Agent shall be entitled to rely, and shall be fully protected in relying, upon any writing, resolution, notice, consent, certificate, affidavit, letter, telecopy, telex or teletype message, statement, order or other document or instruction believed by it to be genuine and correct and to have been signed, sent or made by the proper Person or Persons and upon advice and statements of legal counsel (including counsel to Holdings and the Borrower), independent accountants and other experts selected by the Administrative Agent or the Collateral Agent. The Administrative Agent may deem and treat the Lender specified in the Register with respect to any amount owing hereunder as the owner thereof for all purposes unless a written notice of assignment, negotiation or transfer thereof shall have been filed with the Administrative Agent. The Administrative Agent and the Collateral Agent shall be fully justified in failing or refusing to take any action under this Agreement or any other Credit Document unless it shall first receive such advice or concurrence of the Required Lenders as it deems appropriate or it shall first be indemnified to its satisfaction by the Lenders against any and all liability and expense that may be incurred by it by reason of taking or continuing to take any such action. In determining compliance with any condition hereunder to the making of a Loan, or the issuance, extension, renewal or increase of a Letter of Credit, that by its terms must be fulfilled to the satisfaction of a Lender or a Letter of Credit Issuer, the Administrative Agent may presume that such condition is satisfactory to such Lender or such Letter of Credit Issuer unless the Administrative Agent shall have received notice to the contrary from such Lender or such Letter of Credit Issuer prior to the making of such Loan or the issuance of such Letter of Credit. The Administrative Agent and the Collateral Agent shall in all cases be fully protected in acting, or in refraining from acting, under this Agreement and the other Credit Documents in accordance with a request of the Required Lenders, and such request and any action taken or failure to act pursuant thereto shall be binding upon all the Lenders and all future holders of the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and the Collateral Agent shall not be required to take any action that, in its opinion or in the opinion of its counsel, may expose it to liability or that is contrary to any Credit Document or applicable law.</w:t>
      </w:r>
    </w:p>
    <w:p>
      <w:pPr>
        <w:spacing w:after="0" w:line="17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Notice of Default</w:t>
      </w:r>
      <w:r>
        <w:rPr>
          <w:rFonts w:ascii="Arial" w:cs="Arial" w:eastAsia="Arial" w:hAnsi="Arial"/>
          <w:sz w:val="16"/>
          <w:szCs w:val="16"/>
          <w:color w:val="auto"/>
        </w:rPr>
        <w:t xml:space="preserve">. Neither the Administrative Agent nor the Collateral Agent shall be deemed to have knowledge or notice of the occurrence of any Default or Event of Default hereunder unless the Administrative Agent or the Collateral Agent has received written notice from a Lender or Holdings or the Borrower referring to this Agreement, describing such Default or Event of Default and stating that such notice is a “notice of default.” In the event that the Administrative Agent receives such a notice, it shall give notice thereof to the Lenders and the Collateral Agent. The Administrative Agent shall take such action with respect to such Default or Event of Default as shall be reasonably directed by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 except to the extent that this Agreement requires that such action be taken only with the approval of the Required Lenders or each of the Lenders, as applicable.</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20"/>
          </w:cols>
          <w:pgMar w:left="320" w:top="341" w:right="359" w:bottom="1440" w:gutter="0" w:footer="0" w:header="0"/>
        </w:sectPr>
      </w:pPr>
    </w:p>
    <w:bookmarkStart w:id="214" w:name="page215"/>
    <w:bookmarkEnd w:id="214"/>
    <w:p>
      <w:pPr>
        <w:ind w:firstLine="648"/>
        <w:spacing w:after="0" w:line="285"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Non-Reliance on Administrative Agent, Collateral Agent, and Other Lenders</w:t>
      </w:r>
      <w:r>
        <w:rPr>
          <w:rFonts w:ascii="Arial" w:cs="Arial" w:eastAsia="Arial" w:hAnsi="Arial"/>
          <w:sz w:val="16"/>
          <w:szCs w:val="16"/>
          <w:color w:val="auto"/>
        </w:rPr>
        <w:t>. Each Lender expressly acknowledges that neither the Administrative Agent nor the Collateral Agent nor any of their respective officers, directors, employees, agents, attorneys-in-fact or Affiliates has made any representations or warranties to it and that no act by the Administrative Agent or the Collateral Agent hereinafter taken, including any review of the affairs of any Credit Party, shall be deemed to constitute any representation or warranty by the Administrative Agent or the Collateral Agent to any Lender, the Swingline Lender or any Letter of Credit Issuer. Each Lender, the Swingline Lender and the Letter of Credit Issuer represents to the Administrative Agent and the Collateral Agent that it has, independently and without reliance upon the Administrative Agent, the Collateral Agent or any other Lender, and based on such documents and information as it has deemed appropriate, made its own appraisal of and investigation into the business, operations, property, financial and other condition and creditworthiness of the Borrower and each other Credit Party and made its own decision to make its Loans hereunder and enter into this Agreement. Each Lender also represents that it will, independently and without reliance upon the Administrative Agent, the Collateral Agent or any other Lender, and based on such documents and information as it shall deem appropriate at the time, continue to make its own credit analysis, appraisals and decisions in taking or not taking action under this Agreement and the other Credit Documents, and to make such investigation as it deems necessary to inform itself as to the business, operations, property, financial and other condition and creditworthiness of any of the Credit Parties. Except for notices, reports, and other documents expressly required to be furnished to the Lenders by the Administrative Agent hereunder, neither the Administrative Agent nor the Collateral Agent shall have any duty or responsibility to provide any Lender with any credit or other information concerning the business, assets, operations, properties, financial condition, prospects or creditworthiness of any Credit Party that may come into the possession of the Administrative Agent or the Collateral Agent any of their respective officers, directors, employees, agents, attorneys-in-fact or Affiliates.</w:t>
      </w:r>
    </w:p>
    <w:p>
      <w:pPr>
        <w:spacing w:after="0" w:line="14"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 xml:space="preserve">12.7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The Lenders agree to severally indemnify each Agent in its capacity as such (to the extent not reimbursed by the Credit Parties and without limiting the obligation of the Credit Parties to do so), ratably according to their respective portions of the Total Credit Exposure in effect on the date on which indemnification is sought (or, if indemnification is sought after the date upon which the Commitments shall have terminated and the Loans shall have been paid in full, ratably in accordance with their respective portions of the Total Credit Exposure in effect immediately prior to such date), from and against any and all liabilities, obligations, losses, damages, penalties, actions, judgments, suits, costs, expenses, or disbursements of any kind whatsoever that may at any time (including at any time following the payment of the Loans) be imposed on, incurred by or asserted against an Agent in any way relating to or arising out of the Commitments, this Agreement, any of the other Credit Documents or any documents contemplated by or referred to herein or therein or the transactions contemplated hereby or thereby or any action taken or omitted by the Administrative Agent or the Collateral Agent under or in connection with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liable to an Agent for the payment of any portion of such liabilities, obligations, losses, damages, penalties, actions, judgments, suits, costs, expenses or disbursements resulting from such Agent’s gross negligence or willful misconduct as determined by a final non-appealable judgment of a court of competent jurisdiction; provided, further, that no action taken by the Administrative Agent in accordance with the directions of the Required Lenders (or such other number or percentage of the Lenders as shall be required by the Credit Documents) shall be deemed to constitute gross negligence or willful misconduct for purposes of this </w:t>
      </w:r>
      <w:r>
        <w:rPr>
          <w:rFonts w:ascii="Arial" w:cs="Arial" w:eastAsia="Arial" w:hAnsi="Arial"/>
          <w:sz w:val="16"/>
          <w:szCs w:val="16"/>
          <w:u w:val="single" w:color="auto"/>
          <w:color w:val="auto"/>
        </w:rPr>
        <w:t>Section 12.7</w:t>
      </w:r>
      <w:r>
        <w:rPr>
          <w:rFonts w:ascii="Arial" w:cs="Arial" w:eastAsia="Arial" w:hAnsi="Arial"/>
          <w:sz w:val="16"/>
          <w:szCs w:val="16"/>
          <w:color w:val="auto"/>
        </w:rPr>
        <w:t xml:space="preserve">. In the case of any investigation, litigation or proceeding giving rise to any liabilities, obligations, losses, damages, penalties, actions, judgments, suits, costs, expenses or disbursements of any kind whatsoever that may at any time occur (including at any time following the payment of the Loans), this </w:t>
      </w:r>
      <w:r>
        <w:rPr>
          <w:rFonts w:ascii="Arial" w:cs="Arial" w:eastAsia="Arial" w:hAnsi="Arial"/>
          <w:sz w:val="16"/>
          <w:szCs w:val="16"/>
          <w:u w:val="single" w:color="auto"/>
          <w:color w:val="auto"/>
        </w:rPr>
        <w:t>Section 12.7</w:t>
      </w:r>
      <w:r>
        <w:rPr>
          <w:rFonts w:ascii="Arial" w:cs="Arial" w:eastAsia="Arial" w:hAnsi="Arial"/>
          <w:sz w:val="16"/>
          <w:szCs w:val="16"/>
          <w:color w:val="auto"/>
        </w:rPr>
        <w:t xml:space="preserve"> applies whether any such investigation, litigation or proceeding is brought by any Lender or any other Person. Without limitation of the foregoing, each Lender shall reimburse each Agent upon demand for its ratable share of any costs or out-of-pocket expenses (including attorneys’ fees) incurred by such Agent in connection with the preparation, execution, delivery, administration, modification, amendment or enforcement (whether through negotiations, legal proceedings or otherwise) of, or legal advice rendered in respect of rights or responsibilities under, this Agreement, any other Credit Document, or any document contemplated by or referred to herein, to the extent that such Agent is not reimbursed for such expenses by or on behalf of Holdings or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reimbursement by the Lenders shall not affect Holdings’ or the Borrower’s continuing reimbursement obligations with respect thereto. If any indemnity furnished to any Agent for any purpose shall, in the opinion of such Agent, be insufficient or become impaired, such Agent may call for additional indemnity and cease, or not commence, to do the acts indemnified against until such additional indemnity is furnished; provided, in no event shall this sentence require any Lender to indemnify any Agent against any liability,</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341" w:right="339" w:bottom="1440" w:gutter="0" w:footer="0" w:header="0"/>
        </w:sectPr>
      </w:pPr>
    </w:p>
    <w:bookmarkStart w:id="215" w:name="page216"/>
    <w:bookmarkEnd w:id="215"/>
    <w:p>
      <w:pPr>
        <w:ind w:right="140"/>
        <w:spacing w:after="0" w:line="273" w:lineRule="auto"/>
        <w:rPr>
          <w:sz w:val="20"/>
          <w:szCs w:val="20"/>
          <w:color w:val="auto"/>
        </w:rPr>
      </w:pPr>
      <w:r>
        <w:rPr>
          <w:rFonts w:ascii="Arial" w:cs="Arial" w:eastAsia="Arial" w:hAnsi="Arial"/>
          <w:sz w:val="17"/>
          <w:szCs w:val="17"/>
          <w:color w:val="auto"/>
        </w:rPr>
        <w:t xml:space="preserve">obligation, loss, damage, penalty, action, judgment, suit, cost, expense or disbursement in excess of such Lender’s pro rata portion thereof;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this sentence shall not be deemed to require any Lender to indemnify any Agent against any liability, obligation, loss, damage, penalty, action, judgment, suit, cost, expense or disbursement resulting from such Agent’s gross negligence or willful misconduct as determined by a final non-appealable judgment of a court of competent jurisdiction. The agreements in this </w:t>
      </w:r>
      <w:r>
        <w:rPr>
          <w:rFonts w:ascii="Arial" w:cs="Arial" w:eastAsia="Arial" w:hAnsi="Arial"/>
          <w:sz w:val="17"/>
          <w:szCs w:val="17"/>
          <w:u w:val="single" w:color="auto"/>
          <w:color w:val="auto"/>
        </w:rPr>
        <w:t>Section 12.7</w:t>
      </w:r>
      <w:r>
        <w:rPr>
          <w:rFonts w:ascii="Arial" w:cs="Arial" w:eastAsia="Arial" w:hAnsi="Arial"/>
          <w:sz w:val="17"/>
          <w:szCs w:val="17"/>
          <w:color w:val="auto"/>
        </w:rPr>
        <w:t xml:space="preserve"> shall survive the payment of the Loans and all other amounts payable hereunder. The indemnity provided to each Agent under this </w:t>
      </w:r>
      <w:r>
        <w:rPr>
          <w:rFonts w:ascii="Arial" w:cs="Arial" w:eastAsia="Arial" w:hAnsi="Arial"/>
          <w:sz w:val="17"/>
          <w:szCs w:val="17"/>
          <w:u w:val="single" w:color="auto"/>
          <w:color w:val="auto"/>
        </w:rPr>
        <w:t>Section 12.7</w:t>
      </w:r>
      <w:r>
        <w:rPr>
          <w:rFonts w:ascii="Arial" w:cs="Arial" w:eastAsia="Arial" w:hAnsi="Arial"/>
          <w:sz w:val="17"/>
          <w:szCs w:val="17"/>
          <w:color w:val="auto"/>
        </w:rPr>
        <w:t xml:space="preserve"> shall also apply to such Agent’s respective Affiliates, directors, officers, members, controlling persons, employees, trustees, investment advisors and agents and successors.</w:t>
      </w:r>
    </w:p>
    <w:p>
      <w:pPr>
        <w:spacing w:after="0" w:line="12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Agents in Their Individual Capacities</w:t>
      </w:r>
      <w:r>
        <w:rPr>
          <w:rFonts w:ascii="Arial" w:cs="Arial" w:eastAsia="Arial" w:hAnsi="Arial"/>
          <w:sz w:val="18"/>
          <w:szCs w:val="18"/>
          <w:color w:val="auto"/>
        </w:rPr>
        <w:t>. The agency hereby created shall in no way impair or affect any of the rights and powers of, or impose any duties or obligations upon, any Agent in its individual capacity as a Lender hereunder. Each Agent and its Affiliates may make loans to, accept deposits from and generally engage in any kind of business with any Credit Party as though such Agent were not an Agent hereunder and under the other Credit Documents. With respect to the Loans made by it, each Agent shall have the same rights and powers under this Agreement and the other Credit Documents as any Lender and may exercise the same as though it were not an Agent, and the terms Lender and Lenders shall include each Agent in its individual capacity.</w:t>
      </w:r>
    </w:p>
    <w:p>
      <w:pPr>
        <w:spacing w:after="0" w:line="13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5"/>
          <w:szCs w:val="15"/>
          <w:u w:val="single" w:color="auto"/>
          <w:color w:val="auto"/>
        </w:rPr>
        <w:t>Successor Agents</w:t>
      </w:r>
      <w:r>
        <w:rPr>
          <w:rFonts w:ascii="Arial" w:cs="Arial" w:eastAsia="Arial" w:hAnsi="Arial"/>
          <w:sz w:val="15"/>
          <w:szCs w:val="15"/>
          <w:color w:val="auto"/>
        </w:rPr>
        <w:t>.</w:t>
      </w:r>
    </w:p>
    <w:p>
      <w:pPr>
        <w:spacing w:after="0" w:line="171" w:lineRule="exact"/>
        <w:rPr>
          <w:sz w:val="20"/>
          <w:szCs w:val="20"/>
          <w:color w:val="auto"/>
        </w:rPr>
      </w:pPr>
    </w:p>
    <w:p>
      <w:pPr>
        <w:ind w:right="60" w:firstLine="656"/>
        <w:spacing w:after="0" w:line="269" w:lineRule="auto"/>
        <w:tabs>
          <w:tab w:leader="none" w:pos="1028" w:val="left"/>
        </w:tabs>
        <w:numPr>
          <w:ilvl w:val="0"/>
          <w:numId w:val="205"/>
        </w:numPr>
        <w:rPr>
          <w:rFonts w:ascii="Arial" w:cs="Arial" w:eastAsia="Arial" w:hAnsi="Arial"/>
          <w:sz w:val="17"/>
          <w:szCs w:val="17"/>
          <w:color w:val="auto"/>
        </w:rPr>
      </w:pPr>
      <w:r>
        <w:rPr>
          <w:rFonts w:ascii="Arial" w:cs="Arial" w:eastAsia="Arial" w:hAnsi="Arial"/>
          <w:sz w:val="17"/>
          <w:szCs w:val="17"/>
          <w:color w:val="auto"/>
        </w:rPr>
        <w:t xml:space="preserve">Each of the Administrative Agent and the Collateral Agent may at any time give notice of its resignation to the Lenders, the Letter of Credit Issuer and Holdings. Upon receipt of any such notice of resignation, the Required Lenders shall have the right, subject to the consent of the Borrower (not to be unreasonably withheld or delayed) so long as no Event of Default under </w:t>
      </w:r>
      <w:r>
        <w:rPr>
          <w:rFonts w:ascii="Arial" w:cs="Arial" w:eastAsia="Arial" w:hAnsi="Arial"/>
          <w:sz w:val="17"/>
          <w:szCs w:val="17"/>
          <w:u w:val="single" w:color="auto"/>
          <w:color w:val="auto"/>
        </w:rPr>
        <w:t>Sections 11.1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11.5</w:t>
      </w:r>
      <w:r>
        <w:rPr>
          <w:rFonts w:ascii="Arial" w:cs="Arial" w:eastAsia="Arial" w:hAnsi="Arial"/>
          <w:sz w:val="17"/>
          <w:szCs w:val="17"/>
          <w:color w:val="auto"/>
        </w:rPr>
        <w:t xml:space="preserve"> is continuing, to appoint a successor, which shall be a bank or trust company with an office in the United States, or an Affiliate of any such bank or trust company with an office in the United States (other than any Disqualified Lender). If no such successor shall have been so appointed by the Required Lenders and shall have accepted such appointment within 30 days after the retiring Agent gives notice of its resignation (the “</w:t>
      </w:r>
      <w:r>
        <w:rPr>
          <w:rFonts w:ascii="Arial" w:cs="Arial" w:eastAsia="Arial" w:hAnsi="Arial"/>
          <w:sz w:val="17"/>
          <w:szCs w:val="17"/>
          <w:b w:val="1"/>
          <w:bCs w:val="1"/>
          <w:color w:val="auto"/>
        </w:rPr>
        <w:t>Resignation Effective Date</w:t>
      </w:r>
      <w:r>
        <w:rPr>
          <w:rFonts w:ascii="Arial" w:cs="Arial" w:eastAsia="Arial" w:hAnsi="Arial"/>
          <w:sz w:val="17"/>
          <w:szCs w:val="17"/>
          <w:color w:val="auto"/>
        </w:rPr>
        <w:t xml:space="preserve">”), then the retiring Agent may on behalf of the Lenders, appoint a successor Agent meeting the qualifications set forth above (including receipt of the Borrower’s consent);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any such successor Administrative Agent be a Defaulting Lender or Disqualified Lender, and further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Administrative Agent or the Collateral Agent shall notify the Borrower and the Lenders that no qualifying Person has accepted such appointment, then such resignation shall nonetheless become effective in accordance with such notice.</w:t>
      </w:r>
    </w:p>
    <w:p>
      <w:pPr>
        <w:spacing w:after="0" w:line="131" w:lineRule="exact"/>
        <w:rPr>
          <w:rFonts w:ascii="Arial" w:cs="Arial" w:eastAsia="Arial" w:hAnsi="Arial"/>
          <w:sz w:val="17"/>
          <w:szCs w:val="17"/>
          <w:color w:val="auto"/>
        </w:rPr>
      </w:pPr>
    </w:p>
    <w:p>
      <w:pPr>
        <w:ind w:right="240" w:firstLine="656"/>
        <w:spacing w:after="0" w:line="273" w:lineRule="auto"/>
        <w:tabs>
          <w:tab w:leader="none" w:pos="1038" w:val="left"/>
        </w:tabs>
        <w:numPr>
          <w:ilvl w:val="0"/>
          <w:numId w:val="205"/>
        </w:numPr>
        <w:rPr>
          <w:rFonts w:ascii="Arial" w:cs="Arial" w:eastAsia="Arial" w:hAnsi="Arial"/>
          <w:sz w:val="17"/>
          <w:szCs w:val="17"/>
          <w:color w:val="auto"/>
        </w:rPr>
      </w:pPr>
      <w:r>
        <w:rPr>
          <w:rFonts w:ascii="Arial" w:cs="Arial" w:eastAsia="Arial" w:hAnsi="Arial"/>
          <w:sz w:val="17"/>
          <w:szCs w:val="17"/>
          <w:color w:val="auto"/>
        </w:rPr>
        <w:t xml:space="preserve">If the Person serving as the Administrative Agent is a Defaulting Lender pursuant to </w:t>
      </w:r>
      <w:r>
        <w:rPr>
          <w:rFonts w:ascii="Arial" w:cs="Arial" w:eastAsia="Arial" w:hAnsi="Arial"/>
          <w:sz w:val="17"/>
          <w:szCs w:val="17"/>
          <w:u w:val="single" w:color="auto"/>
          <w:color w:val="auto"/>
        </w:rPr>
        <w:t>clause (v)</w:t>
      </w:r>
      <w:r>
        <w:rPr>
          <w:rFonts w:ascii="Arial" w:cs="Arial" w:eastAsia="Arial" w:hAnsi="Arial"/>
          <w:sz w:val="17"/>
          <w:szCs w:val="17"/>
          <w:color w:val="auto"/>
        </w:rPr>
        <w:t xml:space="preserve"> of the definition of “Lender Default”, the Required Lenders may to the extent permitted by applicable law, subject to the consent of the Borrower (not to be unreasonably withheld or delayed), by notice in writing to the Borrower and such Person remove such Person as the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7"/>
          <w:szCs w:val="17"/>
          <w:b w:val="1"/>
          <w:bCs w:val="1"/>
          <w:color w:val="auto"/>
        </w:rPr>
        <w:t>Removal Effective Date</w:t>
      </w:r>
      <w:r>
        <w:rPr>
          <w:rFonts w:ascii="Arial" w:cs="Arial" w:eastAsia="Arial" w:hAnsi="Arial"/>
          <w:sz w:val="17"/>
          <w:szCs w:val="17"/>
          <w:color w:val="auto"/>
        </w:rPr>
        <w:t>”), then such removal shall nonetheless become effective in accordance with such notice on the Removal Effective Date.</w:t>
      </w:r>
    </w:p>
    <w:p>
      <w:pPr>
        <w:spacing w:after="0" w:line="123" w:lineRule="exact"/>
        <w:rPr>
          <w:rFonts w:ascii="Arial" w:cs="Arial" w:eastAsia="Arial" w:hAnsi="Arial"/>
          <w:sz w:val="17"/>
          <w:szCs w:val="17"/>
          <w:color w:val="auto"/>
        </w:rPr>
      </w:pPr>
    </w:p>
    <w:p>
      <w:pPr>
        <w:ind w:firstLine="656"/>
        <w:spacing w:after="0" w:line="288" w:lineRule="auto"/>
        <w:tabs>
          <w:tab w:leader="none" w:pos="1024" w:val="left"/>
        </w:tabs>
        <w:numPr>
          <w:ilvl w:val="0"/>
          <w:numId w:val="205"/>
        </w:numPr>
        <w:rPr>
          <w:rFonts w:ascii="Arial" w:cs="Arial" w:eastAsia="Arial" w:hAnsi="Arial"/>
          <w:sz w:val="16"/>
          <w:szCs w:val="16"/>
          <w:color w:val="auto"/>
        </w:rPr>
      </w:pPr>
      <w:r>
        <w:rPr>
          <w:rFonts w:ascii="Arial" w:cs="Arial" w:eastAsia="Arial" w:hAnsi="Arial"/>
          <w:sz w:val="16"/>
          <w:szCs w:val="16"/>
          <w:color w:val="auto"/>
        </w:rPr>
        <w:t>With effect from the Resignation Effective Date or the Removal Effective Date (as applicable), (1) the retiring or removed agent shall be discharged from its duties and obligations hereunder and under the other Credit Documents (except that in the case of any collateral security held by the Collateral Agent on behalf of the Lenders or the Letter of Credit Issuer under any of the Credit Documents, the retiring or removed Collateral Agent shall continue to hold such collateral security as nominee until such time as a successor Collateral Agent is appointed) and (2) all payments, communications and determinations provided to be made by, to or through the retiring or removed Administrative Agent shall instead be made by or to each Lender and the Letter of Credit Issuer directly, until such time as the Required Lenders appoint a successor Agent as provided for above in this paragraph (and otherwise subject to the terms above). Upon the acceptance of a successor’s appointment as the Administrative Agent or the Collateral Agent, as the case may be, hereunder, and upon the execution and filing or recording of such financing statements, or amendments thereto, and such amendments or supplements to the Mortgages, and such other instruments or notices, as may be necessary or desirable, or as the Required Lenders may request, in order to continue the perfection of the Liens granted or purported to be granted by the Security Documents, such successor</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341" w:right="339" w:bottom="1440" w:gutter="0" w:footer="0" w:header="0"/>
        </w:sectPr>
      </w:pPr>
    </w:p>
    <w:bookmarkStart w:id="216" w:name="page217"/>
    <w:bookmarkEnd w:id="216"/>
    <w:p>
      <w:pPr>
        <w:spacing w:after="0" w:line="270" w:lineRule="auto"/>
        <w:rPr>
          <w:sz w:val="20"/>
          <w:szCs w:val="20"/>
          <w:color w:val="auto"/>
        </w:rPr>
      </w:pPr>
      <w:r>
        <w:rPr>
          <w:rFonts w:ascii="Arial" w:cs="Arial" w:eastAsia="Arial" w:hAnsi="Arial"/>
          <w:sz w:val="17"/>
          <w:szCs w:val="17"/>
          <w:color w:val="auto"/>
        </w:rPr>
        <w:t xml:space="preserve">shall succeed to and become vested with all of the rights, powers, privileges and duties of the retiring (or retired) or removed Agent, and the retiring or removed Agent shall be discharged from all of its duties and obligations hereunder or under the other Credit Documents (if not already discharged therefrom as provided above in this </w:t>
      </w:r>
      <w:r>
        <w:rPr>
          <w:rFonts w:ascii="Arial" w:cs="Arial" w:eastAsia="Arial" w:hAnsi="Arial"/>
          <w:sz w:val="17"/>
          <w:szCs w:val="17"/>
          <w:u w:val="single" w:color="auto"/>
          <w:color w:val="auto"/>
        </w:rPr>
        <w:t>Section 12.9</w:t>
      </w:r>
      <w:r>
        <w:rPr>
          <w:rFonts w:ascii="Arial" w:cs="Arial" w:eastAsia="Arial" w:hAnsi="Arial"/>
          <w:sz w:val="17"/>
          <w:szCs w:val="17"/>
          <w:color w:val="auto"/>
        </w:rPr>
        <w:t xml:space="preserve">). Except as provided above, any resignation or removal of Bank of America, N.A. as the Administrative Agent pursuant to this </w:t>
      </w:r>
      <w:r>
        <w:rPr>
          <w:rFonts w:ascii="Arial" w:cs="Arial" w:eastAsia="Arial" w:hAnsi="Arial"/>
          <w:sz w:val="17"/>
          <w:szCs w:val="17"/>
          <w:u w:val="single" w:color="auto"/>
          <w:color w:val="auto"/>
        </w:rPr>
        <w:t>Section 12.9</w:t>
      </w:r>
      <w:r>
        <w:rPr>
          <w:rFonts w:ascii="Arial" w:cs="Arial" w:eastAsia="Arial" w:hAnsi="Arial"/>
          <w:sz w:val="17"/>
          <w:szCs w:val="17"/>
          <w:color w:val="auto"/>
        </w:rPr>
        <w:t xml:space="preserve"> shall also constitute the resignation or removal of Bank of America, N.A. as the Collateral Agent. The fees payable by Holdings or the Borrower (following the effectiveness of such appointment) to such Agent shall be the same as those payable to its predecessor unless otherwise agreed between Holdings or Borrower and such successor. After the retiring or removed Agent’s resignation or removal hereunder and under the other Credit Documents, the provisions of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(including </w:t>
      </w:r>
      <w:r>
        <w:rPr>
          <w:rFonts w:ascii="Arial" w:cs="Arial" w:eastAsia="Arial" w:hAnsi="Arial"/>
          <w:sz w:val="17"/>
          <w:szCs w:val="17"/>
          <w:u w:val="single" w:color="auto"/>
          <w:color w:val="auto"/>
        </w:rPr>
        <w:t>Section 12.7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13.5</w:t>
      </w:r>
      <w:r>
        <w:rPr>
          <w:rFonts w:ascii="Arial" w:cs="Arial" w:eastAsia="Arial" w:hAnsi="Arial"/>
          <w:sz w:val="17"/>
          <w:szCs w:val="17"/>
          <w:color w:val="auto"/>
        </w:rPr>
        <w:t xml:space="preserve"> shall continue in effect for the benefit of such retiring or removed Agent, its sub-agents and their respective Related Parties in respect of any actions taken or omitted to be taken by any of them while the retiring or removed Agent was acting as an Agent.</w:t>
      </w:r>
    </w:p>
    <w:p>
      <w:pPr>
        <w:spacing w:after="0" w:line="127" w:lineRule="exact"/>
        <w:rPr>
          <w:sz w:val="20"/>
          <w:szCs w:val="20"/>
          <w:color w:val="auto"/>
        </w:rPr>
      </w:pPr>
    </w:p>
    <w:p>
      <w:pPr>
        <w:ind w:right="40" w:firstLine="656"/>
        <w:spacing w:after="0" w:line="269" w:lineRule="auto"/>
        <w:tabs>
          <w:tab w:leader="none" w:pos="1028" w:val="left"/>
        </w:tabs>
        <w:numPr>
          <w:ilvl w:val="0"/>
          <w:numId w:val="206"/>
        </w:numPr>
        <w:rPr>
          <w:rFonts w:ascii="Arial" w:cs="Arial" w:eastAsia="Arial" w:hAnsi="Arial"/>
          <w:sz w:val="17"/>
          <w:szCs w:val="17"/>
          <w:color w:val="auto"/>
        </w:rPr>
      </w:pPr>
      <w:r>
        <w:rPr>
          <w:rFonts w:ascii="Arial" w:cs="Arial" w:eastAsia="Arial" w:hAnsi="Arial"/>
          <w:sz w:val="17"/>
          <w:szCs w:val="17"/>
          <w:color w:val="auto"/>
        </w:rPr>
        <w:t xml:space="preserve">Any resignation by or removal of Bank of America, N.A. as the Administrative Agent pursuant to this </w:t>
      </w:r>
      <w:r>
        <w:rPr>
          <w:rFonts w:ascii="Arial" w:cs="Arial" w:eastAsia="Arial" w:hAnsi="Arial"/>
          <w:sz w:val="17"/>
          <w:szCs w:val="17"/>
          <w:u w:val="single" w:color="auto"/>
          <w:color w:val="auto"/>
        </w:rPr>
        <w:t>Section 12.9</w:t>
      </w:r>
      <w:r>
        <w:rPr>
          <w:rFonts w:ascii="Arial" w:cs="Arial" w:eastAsia="Arial" w:hAnsi="Arial"/>
          <w:sz w:val="17"/>
          <w:szCs w:val="17"/>
          <w:color w:val="auto"/>
        </w:rPr>
        <w:t xml:space="preserve"> shall also constitute its resignation or removal as Swingline Lender and its Affiliate’s or its resignation or removal, as applicable, as a Letter of Credit Issuer (if such Affiliate or Bank of America, N.A. is a Letter of Credit Issuer). Upon the acceptance of a successor’s appointment as the Administrative Agent hereunder, (a) such successor shall succeed to and become vested with all of the rights, powers, privileges and duties of the retiring Letter of Credit Issuer and Swingline Lender, (b) the retiring Letter of Credit Issuer (if an Affiliate of Bank of America, N.A. is a Letter of Credit Issuer or if Bank of America, N.A. is a Letter of Credit Issuer) and Swingline Lender shall be discharged from all of their respective duties and obligations hereunder or under the other Credit Documents, and (c) the successor Letter of Credit Issuer shall issue letters of credit in substitution for the Letters of Credit issued by such Affiliate of the Administrative Agent or the Administrative Agent, if any, outstanding at the time of such succession or make other arrangements satisfactory to the retiring Letter of Credit Issuer (if an Affiliate of Bank of America, N.A. or Bank of America, N.A. is a Letter of Credit Issuer) to effectively assume the obligations of the retiring Letter of Credit Issuer (if an Affiliate or Bank of America, N.A. or Bank of America, N.A. is a Letter of Credit Issuer) with respect to such Letters of Credit.</w:t>
      </w:r>
    </w:p>
    <w:p>
      <w:pPr>
        <w:spacing w:after="0" w:line="18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12.10 </w:t>
      </w:r>
      <w:r>
        <w:rPr>
          <w:rFonts w:ascii="Arial" w:cs="Arial" w:eastAsia="Arial" w:hAnsi="Arial"/>
          <w:sz w:val="17"/>
          <w:szCs w:val="17"/>
          <w:u w:val="single" w:color="auto"/>
          <w:color w:val="auto"/>
        </w:rPr>
        <w:t>Withholding Tax</w:t>
      </w:r>
      <w:r>
        <w:rPr>
          <w:rFonts w:ascii="Arial" w:cs="Arial" w:eastAsia="Arial" w:hAnsi="Arial"/>
          <w:sz w:val="17"/>
          <w:szCs w:val="17"/>
          <w:color w:val="auto"/>
        </w:rPr>
        <w:t xml:space="preserve">. To the extent required by any applicable law, the Administrative Agent may withhold from any payment to any Lender under any Credit Document an amount equivalent to any applicable withholding Tax. If the Internal Revenue Service or any Governmental Authority of the United States or other jurisdiction asserts a claim that the Administrative Agent did not properly withhold Tax from amounts paid to or for the account of any Lender for any reason (including because the appropriate form was not delivered, was not properly executed, or because such Lender failed to notify the Administrative Agent of a change in circumstances that rendered the exemption from, or reduction of, withholding Tax ineffective) whether or not such claim is correctly or legally asserted, or if the Administrative Agent reasonably determines that a payment was made to a Lender pursuant to this Agreement without deduction of applicable withholding Tax from such payment, such Lender shall indemnify the Administrative Agent (to the extent that the Administrative Agent has not already been reimbursed by any applicable Credit Party and without limiting the obligation of any applicable Credit Party to do so) fully for all amounts paid, directly or indirectly, by the Administrative Agent as Tax or otherwise, including penalties, additions to Tax and interest, together with all expenses incurred, including legal expenses, allocated staff costs and any out of pocket expenses.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Credit Document against any amount due to the Administrative Agent under this </w:t>
      </w:r>
      <w:r>
        <w:rPr>
          <w:rFonts w:ascii="Arial" w:cs="Arial" w:eastAsia="Arial" w:hAnsi="Arial"/>
          <w:sz w:val="17"/>
          <w:szCs w:val="17"/>
          <w:u w:val="single" w:color="auto"/>
          <w:color w:val="auto"/>
        </w:rPr>
        <w:t>Section 12.10</w:t>
      </w:r>
      <w:r>
        <w:rPr>
          <w:rFonts w:ascii="Arial" w:cs="Arial" w:eastAsia="Arial" w:hAnsi="Arial"/>
          <w:sz w:val="17"/>
          <w:szCs w:val="17"/>
          <w:color w:val="auto"/>
        </w:rPr>
        <w:t xml:space="preserve">. The agreements in </w:t>
      </w:r>
      <w:r>
        <w:rPr>
          <w:rFonts w:ascii="Arial" w:cs="Arial" w:eastAsia="Arial" w:hAnsi="Arial"/>
          <w:sz w:val="17"/>
          <w:szCs w:val="17"/>
          <w:u w:val="single" w:color="auto"/>
          <w:color w:val="auto"/>
        </w:rPr>
        <w:t>Section 12.10</w:t>
      </w:r>
      <w:r>
        <w:rPr>
          <w:rFonts w:ascii="Arial" w:cs="Arial" w:eastAsia="Arial" w:hAnsi="Arial"/>
          <w:sz w:val="17"/>
          <w:szCs w:val="17"/>
          <w:color w:val="auto"/>
        </w:rPr>
        <w:t xml:space="preserve"> shall survive the resignation and/or replacement of the Administrative Agent, any assignment of rights by, or the replacement of, a Lender, the termination of the Commitments and the repayment, satisfaction or discharge of all other Obligations. For the avoidance of doubt, for purposes of this </w:t>
      </w:r>
      <w:r>
        <w:rPr>
          <w:rFonts w:ascii="Arial" w:cs="Arial" w:eastAsia="Arial" w:hAnsi="Arial"/>
          <w:sz w:val="17"/>
          <w:szCs w:val="17"/>
          <w:u w:val="single" w:color="auto"/>
          <w:color w:val="auto"/>
        </w:rPr>
        <w:t>Section 12.10</w:t>
      </w:r>
      <w:r>
        <w:rPr>
          <w:rFonts w:ascii="Arial" w:cs="Arial" w:eastAsia="Arial" w:hAnsi="Arial"/>
          <w:sz w:val="17"/>
          <w:szCs w:val="17"/>
          <w:color w:val="auto"/>
        </w:rPr>
        <w:t>, the term Lender includes the Letter of Credit Issuer and the Swingline Lender.</w:t>
      </w:r>
    </w:p>
    <w:p>
      <w:pPr>
        <w:spacing w:after="0" w:line="18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12.11 </w:t>
      </w:r>
      <w:r>
        <w:rPr>
          <w:rFonts w:ascii="Arial" w:cs="Arial" w:eastAsia="Arial" w:hAnsi="Arial"/>
          <w:sz w:val="17"/>
          <w:szCs w:val="17"/>
          <w:u w:val="single" w:color="auto"/>
          <w:color w:val="auto"/>
        </w:rPr>
        <w:t>Agents Under Security Documents and Guarantee</w:t>
      </w:r>
      <w:r>
        <w:rPr>
          <w:rFonts w:ascii="Arial" w:cs="Arial" w:eastAsia="Arial" w:hAnsi="Arial"/>
          <w:sz w:val="17"/>
          <w:szCs w:val="17"/>
          <w:color w:val="auto"/>
        </w:rPr>
        <w:t xml:space="preserve">. Each Secured Party hereby further authorizes the Administrative Agent or the Collateral Agent, as applicable, on behalf of and for the benefit of the Secured Parties, to be the agent for and representative of the Secured Parties with respect to the Collateral and the Security Documents. Subject to </w:t>
      </w:r>
      <w:r>
        <w:rPr>
          <w:rFonts w:ascii="Arial" w:cs="Arial" w:eastAsia="Arial" w:hAnsi="Arial"/>
          <w:sz w:val="17"/>
          <w:szCs w:val="17"/>
          <w:u w:val="single" w:color="auto"/>
          <w:color w:val="auto"/>
        </w:rPr>
        <w:t>Section 13.1</w:t>
      </w:r>
      <w:r>
        <w:rPr>
          <w:rFonts w:ascii="Arial" w:cs="Arial" w:eastAsia="Arial" w:hAnsi="Arial"/>
          <w:sz w:val="17"/>
          <w:szCs w:val="17"/>
          <w:color w:val="auto"/>
        </w:rPr>
        <w:t>, without further written consent or authorization from any Secured Party, the Administrative Agent or the Collateral Agent, as applicable, may execute any documents or instruments necessary to (a) release any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341" w:right="339" w:bottom="1440" w:gutter="0" w:footer="0" w:header="0"/>
        </w:sectPr>
      </w:pPr>
    </w:p>
    <w:bookmarkStart w:id="217" w:name="page218"/>
    <w:bookmarkEnd w:id="217"/>
    <w:p>
      <w:pPr>
        <w:jc w:val="both"/>
        <w:spacing w:after="0" w:line="286" w:lineRule="auto"/>
        <w:rPr>
          <w:sz w:val="20"/>
          <w:szCs w:val="20"/>
          <w:color w:val="auto"/>
        </w:rPr>
      </w:pPr>
      <w:r>
        <w:rPr>
          <w:rFonts w:ascii="Arial" w:cs="Arial" w:eastAsia="Arial" w:hAnsi="Arial"/>
          <w:sz w:val="16"/>
          <w:szCs w:val="16"/>
          <w:color w:val="auto"/>
        </w:rPr>
        <w:t xml:space="preserve">Lien on any property granted to or held by the Administrative Agent or the Collateral Agent (or any sub-agent thereof) under any Credit Document (i) upon the final maturity date and the payment in full (or Cash Collateralization) of all Obligations (except for contingent indemnification obligations in respect of which a claim has not yet been made and Secured Hedge Obligations and Secured Cash Management Obligations), (ii) that is sold or to be sold or transferred as part of or in connection with any sale or other transfer permitted hereunder or under any other Credit Document to a Person that is not a Credit Party or in connection with the designation of any Restricted Subsidiary as an Unrestricted Subsidiary, (iii) if the property subject to such Lien is owned by a Credit Party, upon the release of such Credit Party from its Guarantee otherwise in accordance with the Credit Documents, (iv) as to the extent provided in the Security Documents, (v) that constitutes Excluded Property or Excluded Stock and Stock Equivalents or (vi) if approved, authorized or ratified in writing in accordance with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(b) release any Guarantor from its obligations under the Guarantee if such Person ceases to be a Restricted Subsidiary (or becomes an Excluded Subsidiary) as a result of a transaction or designation permitted hereunder; (c) subordinate any Lien on any property granted to or held by the Administrative Agent or the Collateral Agent under any Credit Document to the holder of any Lien permitted under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(solely with respect to </w:t>
      </w:r>
      <w:r>
        <w:rPr>
          <w:rFonts w:ascii="Arial" w:cs="Arial" w:eastAsia="Arial" w:hAnsi="Arial"/>
          <w:sz w:val="16"/>
          <w:szCs w:val="16"/>
          <w:u w:val="single" w:color="auto"/>
          <w:color w:val="auto"/>
        </w:rPr>
        <w:t>Section 10.1(d))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(ix)</w:t>
      </w:r>
      <w:r>
        <w:rPr>
          <w:rFonts w:ascii="Arial" w:cs="Arial" w:eastAsia="Arial" w:hAnsi="Arial"/>
          <w:sz w:val="16"/>
          <w:szCs w:val="16"/>
          <w:color w:val="auto"/>
        </w:rPr>
        <w:t xml:space="preserve"> of the definition of “Permitted Lien”; or (d) enter into subordination or intercreditor agreements with respect to Indebtedness to the extent the Administrative Agent or the Collateral Agent is otherwise contemplated herein as being a party to such intercreditor or subordination agreement, including any First Lien Interceditor Agreement and the Second Lien Intercreditor Agreement.</w:t>
      </w:r>
    </w:p>
    <w:p>
      <w:pPr>
        <w:spacing w:after="0" w:line="66"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 xml:space="preserve">The Collateral Agent shall have its own independent right to demand payment of the amounts payable by the Borrower under this </w:t>
      </w:r>
      <w:r>
        <w:rPr>
          <w:rFonts w:ascii="Arial" w:cs="Arial" w:eastAsia="Arial" w:hAnsi="Arial"/>
          <w:sz w:val="18"/>
          <w:szCs w:val="18"/>
          <w:u w:val="single" w:color="auto"/>
          <w:color w:val="auto"/>
        </w:rPr>
        <w:t>Section 12.11</w:t>
      </w:r>
      <w:r>
        <w:rPr>
          <w:rFonts w:ascii="Arial" w:cs="Arial" w:eastAsia="Arial" w:hAnsi="Arial"/>
          <w:sz w:val="18"/>
          <w:szCs w:val="18"/>
          <w:color w:val="auto"/>
        </w:rPr>
        <w:t>, irrespective of any discharge of the Borrower’s obligations to pay those amounts to the other Lenders resulting from failure by them to take appropriate steps in insolvency proceedings affecting the Borrower to preserve their entitlement to be paid those amounts.</w:t>
      </w:r>
    </w:p>
    <w:p>
      <w:pPr>
        <w:spacing w:after="0" w:line="76"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 xml:space="preserve">Any amount due and payable by the Borrower to the Collateral Agent under this </w:t>
      </w:r>
      <w:r>
        <w:rPr>
          <w:rFonts w:ascii="Arial" w:cs="Arial" w:eastAsia="Arial" w:hAnsi="Arial"/>
          <w:sz w:val="17"/>
          <w:szCs w:val="17"/>
          <w:u w:val="single" w:color="auto"/>
          <w:color w:val="auto"/>
        </w:rPr>
        <w:t>Section 12.11</w:t>
      </w:r>
      <w:r>
        <w:rPr>
          <w:rFonts w:ascii="Arial" w:cs="Arial" w:eastAsia="Arial" w:hAnsi="Arial"/>
          <w:sz w:val="17"/>
          <w:szCs w:val="17"/>
          <w:color w:val="auto"/>
        </w:rPr>
        <w:t xml:space="preserve"> shall be decreased to the extent that the other Lenders have received (and are able to retain) payment in full of the corresponding amount under the other provisions of the Credit Documents and any amount due and payable by the Borrower to the Collateral Agent under those provisions shall be decreased to the extent that the Collateral Agent has received (and is able to retain) payment in full of the corresponding amount under this </w:t>
      </w:r>
      <w:r>
        <w:rPr>
          <w:rFonts w:ascii="Arial" w:cs="Arial" w:eastAsia="Arial" w:hAnsi="Arial"/>
          <w:sz w:val="17"/>
          <w:szCs w:val="17"/>
          <w:u w:val="single" w:color="auto"/>
          <w:color w:val="auto"/>
        </w:rPr>
        <w:t>Section 12.11</w:t>
      </w:r>
      <w:r>
        <w:rPr>
          <w:rFonts w:ascii="Arial" w:cs="Arial" w:eastAsia="Arial" w:hAnsi="Arial"/>
          <w:sz w:val="17"/>
          <w:szCs w:val="17"/>
          <w:color w:val="auto"/>
        </w:rPr>
        <w:t>.</w:t>
      </w:r>
    </w:p>
    <w:p>
      <w:pPr>
        <w:spacing w:after="0" w:line="63"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 xml:space="preserve">12.12 </w:t>
      </w:r>
      <w:r>
        <w:rPr>
          <w:rFonts w:ascii="Arial" w:cs="Arial" w:eastAsia="Arial" w:hAnsi="Arial"/>
          <w:sz w:val="16"/>
          <w:szCs w:val="16"/>
          <w:u w:val="single" w:color="auto"/>
          <w:color w:val="auto"/>
        </w:rPr>
        <w:t>Right to Realize on Collateral and Enforce Guarantee</w:t>
      </w:r>
      <w:r>
        <w:rPr>
          <w:rFonts w:ascii="Arial" w:cs="Arial" w:eastAsia="Arial" w:hAnsi="Arial"/>
          <w:sz w:val="16"/>
          <w:szCs w:val="16"/>
          <w:color w:val="auto"/>
        </w:rPr>
        <w:t>. Anything contained in any of the Credit Documents to the contrary notwithstanding, Holdings, the Agents, and each Secured Party hereby agree that (i) no Secured Party shall have any right individually to realize upon any of the Collateral or to enforce the Guarantee, it being understood and agreed that all powers, rights, and remedies hereunder may be exercised solely by the Administrative Agent, on behalf of the Secured Parties in accordance with the terms hereof and all powers, rights, and remedies under the Security Documents may be exercised solely by the Collateral Agent, and (ii) in the event of a foreclosure by the Collateral Agent on any of the Collateral pursuant to a public or private sale or other disposition, the Collateral Agent or any Lender may be the purchaser or licensor of any or all of such Collateral at any such sale or other disposition and the Collateral Agent, as agent for and representative of the Secured Parties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Collateral Agent at such sale or other disposition. No holder of Secured Hedge Obligations or Secured Cash Management Obligations shall have any rights in connection with the management or release of any Collateral or of the obligations of any Credit Party under this Agreement. No holder of Secured Hedge Obligations or Secured Cash Management Obligations that obtains the benefits of any Guarantee or any Collateral by virtue of the provisions hereof or of any other Credit Document shall have any right to notice of any action or to consent to, direct or object to any action hereunder or under any other Credit Document or otherwise in respect of the Collateral (including the release or impairment of any Collateral) other than in its capacity as a Lender or Agent and, in such case, only to the extent expressly provided in the Credit Documents. Notwithstanding any other provision of this Agreement to the contrary, the Administrative Agent shall not be required to verify the payment of, or that other satisfactory arrangements have been made with respect to, Obligations arising under Secured Hedge Agreements and Secured Cash Management Agreements, unless the Administrative Agent has received written notice of such Obligations, together with such supporting documentation as the Administrative Agent may request, from the applicable Cash Management Bank or Hedge Bank, as the case may be.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341" w:right="339" w:bottom="1440" w:gutter="0" w:footer="0" w:header="0"/>
        </w:sectPr>
      </w:pPr>
    </w:p>
    <w:bookmarkStart w:id="218" w:name="page219"/>
    <w:bookmarkEnd w:id="218"/>
    <w:p>
      <w:pPr>
        <w:ind w:firstLine="648"/>
        <w:spacing w:after="0" w:line="290" w:lineRule="auto"/>
        <w:rPr>
          <w:sz w:val="20"/>
          <w:szCs w:val="20"/>
          <w:color w:val="auto"/>
        </w:rPr>
      </w:pPr>
      <w:r>
        <w:rPr>
          <w:rFonts w:ascii="Arial" w:cs="Arial" w:eastAsia="Arial" w:hAnsi="Arial"/>
          <w:sz w:val="16"/>
          <w:szCs w:val="16"/>
          <w:color w:val="auto"/>
        </w:rPr>
        <w:t xml:space="preserve">12.13 </w:t>
      </w:r>
      <w:r>
        <w:rPr>
          <w:rFonts w:ascii="Arial" w:cs="Arial" w:eastAsia="Arial" w:hAnsi="Arial"/>
          <w:sz w:val="16"/>
          <w:szCs w:val="16"/>
          <w:u w:val="single" w:color="auto"/>
          <w:color w:val="auto"/>
        </w:rPr>
        <w:t>Intercreditor Agreements Govern</w:t>
      </w:r>
      <w:r>
        <w:rPr>
          <w:rFonts w:ascii="Arial" w:cs="Arial" w:eastAsia="Arial" w:hAnsi="Arial"/>
          <w:sz w:val="16"/>
          <w:szCs w:val="16"/>
          <w:color w:val="auto"/>
        </w:rPr>
        <w:t>. The Administrative Agent, the Collateral Agent, and each Lender (a) hereby agrees that it will be bound by and will take no actions contrary to the provisions of any intercreditor agreement entered into pursuant to the terms hereof, (b) hereby authorizes and instructs the Administrative Agent and the Collateral Agent to enter into each intercreditor agreement (including any First Lien Intercreditor Agreement and the Second Lien Intercreditor Agreement) entered into pursuant to the terms hereof and to subject the Liens securing the Obligations to the provisions thereof, and (c) hereby authorizes and instructs the Administrative Agent and the Collateral Agent to enter into any intercreditor agreement that includes, or to amend any then existing intercreditor agreement to provide for, the terms described in the definition of “Permitted Other Indebtedness”. In the event of any conflict or inconsistency between the provisions of each such intercreditor agreement (including any First Lien Intercreditor Agreement and the Second Lien Intercreditor Agreement) and this Agreement, the provisions of such intercreditor agreement shall control.</w:t>
      </w:r>
    </w:p>
    <w:p>
      <w:pPr>
        <w:spacing w:after="0" w:line="111"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12.14</w:t>
      </w:r>
      <w:r>
        <w:rPr>
          <w:sz w:val="20"/>
          <w:szCs w:val="20"/>
          <w:color w:val="auto"/>
        </w:rPr>
        <w:tab/>
      </w:r>
      <w:r>
        <w:rPr>
          <w:rFonts w:ascii="Arial" w:cs="Arial" w:eastAsia="Arial" w:hAnsi="Arial"/>
          <w:sz w:val="16"/>
          <w:szCs w:val="16"/>
          <w:u w:val="single" w:color="auto"/>
          <w:color w:val="auto"/>
        </w:rPr>
        <w:t>Certain ERISA Matters</w:t>
      </w:r>
      <w:r>
        <w:rPr>
          <w:rFonts w:ascii="Arial" w:cs="Arial" w:eastAsia="Arial" w:hAnsi="Arial"/>
          <w:sz w:val="16"/>
          <w:szCs w:val="16"/>
          <w:color w:val="auto"/>
        </w:rPr>
        <w:t>.</w:t>
      </w:r>
    </w:p>
    <w:p>
      <w:pPr>
        <w:spacing w:after="0" w:line="171" w:lineRule="exact"/>
        <w:rPr>
          <w:sz w:val="20"/>
          <w:szCs w:val="20"/>
          <w:color w:val="auto"/>
        </w:rPr>
      </w:pPr>
    </w:p>
    <w:p>
      <w:pPr>
        <w:ind w:right="120" w:firstLine="656"/>
        <w:spacing w:after="0" w:line="311" w:lineRule="auto"/>
        <w:tabs>
          <w:tab w:leader="none" w:pos="1028" w:val="left"/>
        </w:tabs>
        <w:numPr>
          <w:ilvl w:val="0"/>
          <w:numId w:val="207"/>
        </w:numPr>
        <w:rPr>
          <w:rFonts w:ascii="Arial" w:cs="Arial" w:eastAsia="Arial" w:hAnsi="Arial"/>
          <w:sz w:val="16"/>
          <w:szCs w:val="16"/>
          <w:color w:val="auto"/>
        </w:rPr>
      </w:pPr>
      <w:r>
        <w:rPr>
          <w:rFonts w:ascii="Arial" w:cs="Arial" w:eastAsia="Arial" w:hAnsi="Arial"/>
          <w:sz w:val="16"/>
          <w:szCs w:val="16"/>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Credit Party, that at least one of the following is and will be true:</w:t>
      </w:r>
    </w:p>
    <w:p>
      <w:pPr>
        <w:spacing w:after="0" w:line="94" w:lineRule="exact"/>
        <w:rPr>
          <w:rFonts w:ascii="Arial" w:cs="Arial" w:eastAsia="Arial" w:hAnsi="Arial"/>
          <w:sz w:val="16"/>
          <w:szCs w:val="16"/>
          <w:color w:val="auto"/>
        </w:rPr>
      </w:pPr>
    </w:p>
    <w:p>
      <w:pPr>
        <w:ind w:left="660" w:firstLine="887"/>
        <w:spacing w:after="0" w:line="263" w:lineRule="auto"/>
        <w:tabs>
          <w:tab w:leader="none" w:pos="1901" w:val="left"/>
        </w:tabs>
        <w:numPr>
          <w:ilvl w:val="1"/>
          <w:numId w:val="207"/>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29" w:lineRule="exact"/>
        <w:rPr>
          <w:rFonts w:ascii="Arial" w:cs="Arial" w:eastAsia="Arial" w:hAnsi="Arial"/>
          <w:sz w:val="18"/>
          <w:szCs w:val="18"/>
          <w:color w:val="auto"/>
        </w:rPr>
      </w:pPr>
    </w:p>
    <w:p>
      <w:pPr>
        <w:ind w:left="660" w:right="120" w:firstLine="887"/>
        <w:spacing w:after="0" w:line="273" w:lineRule="auto"/>
        <w:tabs>
          <w:tab w:leader="none" w:pos="1951" w:val="left"/>
        </w:tabs>
        <w:numPr>
          <w:ilvl w:val="1"/>
          <w:numId w:val="207"/>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23" w:lineRule="exact"/>
        <w:rPr>
          <w:rFonts w:ascii="Arial" w:cs="Arial" w:eastAsia="Arial" w:hAnsi="Arial"/>
          <w:sz w:val="17"/>
          <w:szCs w:val="17"/>
          <w:color w:val="auto"/>
        </w:rPr>
      </w:pPr>
    </w:p>
    <w:p>
      <w:pPr>
        <w:ind w:left="660" w:firstLine="887"/>
        <w:spacing w:after="0" w:line="254" w:lineRule="auto"/>
        <w:tabs>
          <w:tab w:leader="none" w:pos="2001"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40" w:lineRule="exact"/>
        <w:rPr>
          <w:rFonts w:ascii="Arial" w:cs="Arial" w:eastAsia="Arial" w:hAnsi="Arial"/>
          <w:sz w:val="18"/>
          <w:szCs w:val="18"/>
          <w:color w:val="auto"/>
        </w:rPr>
      </w:pPr>
    </w:p>
    <w:p>
      <w:pPr>
        <w:ind w:left="660" w:right="460" w:firstLine="887"/>
        <w:spacing w:after="0" w:line="277" w:lineRule="auto"/>
        <w:tabs>
          <w:tab w:leader="none" w:pos="1991" w:val="left"/>
        </w:tabs>
        <w:numPr>
          <w:ilvl w:val="1"/>
          <w:numId w:val="207"/>
        </w:numPr>
        <w:rPr>
          <w:rFonts w:ascii="Arial" w:cs="Arial" w:eastAsia="Arial" w:hAnsi="Arial"/>
          <w:sz w:val="18"/>
          <w:szCs w:val="18"/>
          <w:color w:val="auto"/>
        </w:rPr>
      </w:pPr>
      <w:r>
        <w:rPr>
          <w:rFonts w:ascii="Arial" w:cs="Arial" w:eastAsia="Arial" w:hAnsi="Arial"/>
          <w:sz w:val="18"/>
          <w:szCs w:val="18"/>
          <w:color w:val="auto"/>
        </w:rPr>
        <w:t>such other representation, warranty or covenant as may be agreed in writing between the Administrative Agent, in its sole discretion, and such Lender.</w:t>
      </w:r>
    </w:p>
    <w:p>
      <w:pPr>
        <w:spacing w:after="0" w:line="116" w:lineRule="exact"/>
        <w:rPr>
          <w:rFonts w:ascii="Arial" w:cs="Arial" w:eastAsia="Arial" w:hAnsi="Arial"/>
          <w:sz w:val="18"/>
          <w:szCs w:val="18"/>
          <w:color w:val="auto"/>
        </w:rPr>
      </w:pPr>
    </w:p>
    <w:p>
      <w:pPr>
        <w:ind w:right="60" w:firstLine="656"/>
        <w:spacing w:after="0" w:line="271" w:lineRule="auto"/>
        <w:tabs>
          <w:tab w:leader="none" w:pos="1038" w:val="left"/>
        </w:tabs>
        <w:numPr>
          <w:ilvl w:val="0"/>
          <w:numId w:val="207"/>
        </w:numPr>
        <w:rPr>
          <w:rFonts w:ascii="Arial" w:cs="Arial" w:eastAsia="Arial" w:hAnsi="Arial"/>
          <w:sz w:val="17"/>
          <w:szCs w:val="17"/>
          <w:color w:val="auto"/>
        </w:rPr>
      </w:pPr>
      <w:r>
        <w:rPr>
          <w:rFonts w:ascii="Arial" w:cs="Arial" w:eastAsia="Arial" w:hAnsi="Arial"/>
          <w:sz w:val="17"/>
          <w:szCs w:val="17"/>
          <w:color w:val="auto"/>
        </w:rPr>
        <w:t>In addition, unless either (1) sub-clause (i) in the immediately preceding clause (a) is true with respect to a Lender or (2) a Lender has provided another representation, warranty or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Credit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Credit Document or any documents related hereto or thereto).</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320" w:top="341" w:right="359" w:bottom="1440" w:gutter="0" w:footer="0" w:header="0"/>
        </w:sectPr>
      </w:pPr>
    </w:p>
    <w:bookmarkStart w:id="219" w:name="page220"/>
    <w:bookmarkEnd w:id="219"/>
    <w:p>
      <w:pPr>
        <w:spacing w:after="0"/>
        <w:tabs>
          <w:tab w:leader="none" w:pos="94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6"/>
          <w:szCs w:val="16"/>
          <w:u w:val="single" w:color="auto"/>
          <w:color w:val="auto"/>
        </w:rPr>
        <w:t>Miscellaneous</w:t>
      </w:r>
    </w:p>
    <w:p>
      <w:pPr>
        <w:spacing w:after="0" w:line="63"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Amendments, Waivers, and Releases</w:t>
      </w:r>
      <w:r>
        <w:rPr>
          <w:rFonts w:ascii="Arial" w:cs="Arial" w:eastAsia="Arial" w:hAnsi="Arial"/>
          <w:sz w:val="16"/>
          <w:szCs w:val="16"/>
          <w:color w:val="auto"/>
        </w:rPr>
        <w:t xml:space="preserve">. Except as otherwise expressly set forth in this Agreement or, with respect to the other Credit Documents, this Agreement and the other Credit Documents, neither this Agreement nor any other Credit Document, nor any terms hereof or thereof, may be amended, supplemented or modified except in accordance with the provisions of this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Except as provided to the contrary under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or below in respect of Replacement Term Loans, and other than with respect to any amendment, modification or waiver contemplated in the proviso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below, which shall only require the consent of the Lenders expressly set forth therein and not the Required Lenders, the Required Lenders may (with prior or contemporaneous notice to the Administrative Agent of the effectiveness thereof), or, with the written consent of the Required Lenders, the Administrative Agent and/or the Collateral Agent may, from time to time, (a) enter into with the relevant Credit Party or Credit Parties written amendments, supplements or modifications hereto and to the other Credit Documents for the purpose of adding any provisions to this Agreement or the other Credit Documents or changing in any manner the rights of the Lenders or of the Credit Parties hereunder or thereunder or (b) waive in writing, on such terms and conditions as the Required Lenders or the Administrative Agent and/or the Collateral Agent, as the case may be, may specify in such instrument, any of the requirements of this Agreement or the other Credit Documents or any Default or Event of Default and its consequences;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such waiver and each such amendment, supplement or modification shall be effective only in the specific instance and for the specific purpose for which given;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such waiver and no such amendment, supplement or modification shall (x) (i) forgive or reduce any portion of any Loan or extend the final scheduled maturity date of any Loan or reduce the stated rate (it being understood that only the consent of the Required Lenders shall be necessary to waive any obligation of the Borrower to pay interest at the “default rate” or amend </w:t>
      </w:r>
      <w:r>
        <w:rPr>
          <w:rFonts w:ascii="Arial" w:cs="Arial" w:eastAsia="Arial" w:hAnsi="Arial"/>
          <w:sz w:val="16"/>
          <w:szCs w:val="16"/>
          <w:u w:val="single" w:color="auto"/>
          <w:color w:val="auto"/>
        </w:rPr>
        <w:t>Section 2.8(c)</w:t>
      </w:r>
      <w:r>
        <w:rPr>
          <w:rFonts w:ascii="Arial" w:cs="Arial" w:eastAsia="Arial" w:hAnsi="Arial"/>
          <w:sz w:val="16"/>
          <w:szCs w:val="16"/>
          <w:color w:val="auto"/>
        </w:rPr>
        <w:t xml:space="preserve">), or forgive any portion thereof, or extend the date for the payment, of any interest or fee payable hereunder (other than as a result of waiving the applicability of any post-default increase in interest rates), or extend the final expiration date of any Letter of Credit beyond the L/C Facility Maturity Date, or amend or modify any provisions of </w:t>
      </w:r>
      <w:r>
        <w:rPr>
          <w:rFonts w:ascii="Arial" w:cs="Arial" w:eastAsia="Arial" w:hAnsi="Arial"/>
          <w:sz w:val="16"/>
          <w:szCs w:val="16"/>
          <w:u w:val="single" w:color="auto"/>
          <w:color w:val="auto"/>
        </w:rPr>
        <w:t>Sections 5.3(a)</w:t>
      </w:r>
      <w:r>
        <w:rPr>
          <w:rFonts w:ascii="Arial" w:cs="Arial" w:eastAsia="Arial" w:hAnsi="Arial"/>
          <w:sz w:val="16"/>
          <w:szCs w:val="16"/>
          <w:color w:val="auto"/>
        </w:rPr>
        <w:t xml:space="preserve"> (with respect to the ratable allocation of any payments only), </w:t>
      </w:r>
      <w:r>
        <w:rPr>
          <w:rFonts w:ascii="Arial" w:cs="Arial" w:eastAsia="Arial" w:hAnsi="Arial"/>
          <w:sz w:val="16"/>
          <w:szCs w:val="16"/>
          <w:u w:val="single" w:color="auto"/>
          <w:color w:val="auto"/>
        </w:rPr>
        <w:t>11.13 13.8(a)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13.20</w:t>
      </w:r>
      <w:r>
        <w:rPr>
          <w:rFonts w:ascii="Arial" w:cs="Arial" w:eastAsia="Arial" w:hAnsi="Arial"/>
          <w:sz w:val="16"/>
          <w:szCs w:val="16"/>
          <w:color w:val="auto"/>
        </w:rPr>
        <w:t xml:space="preserve">, or make any Loan, interest, Fee or other amount payable in any currency other than expressly provided herein, in each case without the written consent of each Lender directly and adversely affected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waiver of any condition precedent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w:t>
      </w:r>
      <w:r>
        <w:rPr>
          <w:rFonts w:ascii="Arial" w:cs="Arial" w:eastAsia="Arial" w:hAnsi="Arial"/>
          <w:sz w:val="16"/>
          <w:szCs w:val="16"/>
          <w:color w:val="auto"/>
        </w:rPr>
        <w:t xml:space="preserve"> of this Agreement, the waiver of any Default, Event of Default, default interest, mandatory prepayment or reductions, any modification, waiver or amendment to the financial covenant definitions or financial ratios or any component thereof or the waiver of any other covenant shall not constitute an increase of any Commitment of a Lender, a reduction or forgiveness in the interest rates or the fees or premiums or a postponement of any date scheduled for the payment of principal, premium or interest or an extension of the final maturity of any Loan or the scheduled termination date of any Commitment, in each case for purposes of this clause (i), or (ii) consent to the assignment or transfer by Holdings or the Borrower of its rights and obligations under any Credit Document to which it is a party (except as permitted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10.3</w:t>
      </w:r>
      <w:r>
        <w:rPr>
          <w:rFonts w:ascii="Arial" w:cs="Arial" w:eastAsia="Arial" w:hAnsi="Arial"/>
          <w:sz w:val="16"/>
          <w:szCs w:val="16"/>
          <w:color w:val="auto"/>
        </w:rPr>
        <w:t xml:space="preserve">), in each case without the written consent of each Lender directly and adversely affected thereby, or (iii) directly and adversely affect the rights or duties of the Administrative Agent or Collateral Agent, in its capacity as such, under this Agreement or any other Credit Document without the written consent of the Administrative Agent or Collateral Agent, as applicable, or (iv) directly and adversely affect the rights or duties of any Letter of Credit Issuer, in its capacity as such, under this Agreement or any other Credit Document without the consent of such Letter of Credit Issuer, or (v) amend, modify or waive any provisions hereof relating to Swingline Loans without the written consent of the Swingline Lender in a manner that directly and adversely affects such Person, or (vi) change any Revolving Credit Commitment to a Term Loan Commitment, or change any Term Loan Commitment to a Revolving Credit Commitment, in each case without the prior written consent of each Lender directly and adversely affected thereby, or (vii) release all or substantially all of the Guarantors under the Guarantees (except as expressly permitted by the Guarantees, the First Lien Intercreditor Agreement (if any), the Second Lien Intercreditor Agreement or this Agreement) or release all or substantially all of the Collateral under the Security Documents (except as expressly permitted by the Security Documents, the First Lien Intercreditor Agreement (if any), the Second Lien Intercreditor Agreement or this Agreement) without the prior written consent of each Lender, or (viii) decrease the Term A Loan Repayment Amount applicable to Term A Loans or extend any scheduled Term A Loan Repayment Date applicable to Term A Loans, in each case without the written consent of each Lender directly and adversely affected thereby, or (ix) reduce the percentages specified in the definitions of the terms Required Lenders, Required Revolving Credit Lenders or Required Term A Loan Lenders or amend, modify or waive any provision of this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that has the effect of decreasing the number of Lenders that must approve any amendment, modification or waiver, without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341" w:right="339" w:bottom="1440" w:gutter="0" w:footer="0" w:header="0"/>
        </w:sectPr>
      </w:pPr>
    </w:p>
    <w:bookmarkStart w:id="220" w:name="page221"/>
    <w:bookmarkEnd w:id="220"/>
    <w:p>
      <w:pPr>
        <w:ind w:right="200"/>
        <w:spacing w:after="0" w:line="255" w:lineRule="auto"/>
        <w:rPr>
          <w:sz w:val="20"/>
          <w:szCs w:val="20"/>
          <w:color w:val="auto"/>
        </w:rPr>
      </w:pPr>
      <w:r>
        <w:rPr>
          <w:rFonts w:ascii="Arial" w:cs="Arial" w:eastAsia="Arial" w:hAnsi="Arial"/>
          <w:sz w:val="18"/>
          <w:szCs w:val="18"/>
          <w:color w:val="auto"/>
        </w:rPr>
        <w:t>the written consent of each Lender, (y) notwithstanding anything to the contrary in clause (x), (i) extend the final expiration date of any Lender’s Commitment or (ii) increase the aggregate amount of the Commitments of any Lender, in each case, without the written consent of such Lender, or (z) in connection with an amendment that addresses solely a repricing transaction in which any Class of Term Loans is refinanced with a replacement Class of Term Loans bearing (or is modified in such a manner such that the resulting Term Loans bear) a lower effective yield, only the consent of the Lenders holding Term Loans subject to such permitted repricing transaction that will continue as a Lender in respect of the repriced tranche of Term Loans or modified Term Loans.</w:t>
      </w:r>
    </w:p>
    <w:p>
      <w:pPr>
        <w:spacing w:after="0" w:line="11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Notwithstanding anything in this Agreement or any other Credit Document to the contrary, this Agreement may be amended, supplemented or otherwise modified to effect the provisions of </w:t>
      </w:r>
      <w:r>
        <w:rPr>
          <w:rFonts w:ascii="Arial" w:cs="Arial" w:eastAsia="Arial" w:hAnsi="Arial"/>
          <w:sz w:val="18"/>
          <w:szCs w:val="18"/>
          <w:u w:val="single" w:color="auto"/>
          <w:color w:val="auto"/>
        </w:rPr>
        <w:t>Section 2.10(d)</w:t>
      </w:r>
      <w:r>
        <w:rPr>
          <w:rFonts w:ascii="Arial" w:cs="Arial" w:eastAsia="Arial" w:hAnsi="Arial"/>
          <w:sz w:val="18"/>
          <w:szCs w:val="18"/>
          <w:color w:val="auto"/>
        </w:rPr>
        <w:t xml:space="preserve"> in accordance with the terms of such </w:t>
      </w:r>
      <w:r>
        <w:rPr>
          <w:rFonts w:ascii="Arial" w:cs="Arial" w:eastAsia="Arial" w:hAnsi="Arial"/>
          <w:sz w:val="18"/>
          <w:szCs w:val="18"/>
          <w:u w:val="single" w:color="auto"/>
          <w:color w:val="auto"/>
        </w:rPr>
        <w:t>Section 2.10(d)</w:t>
      </w:r>
      <w:r>
        <w:rPr>
          <w:rFonts w:ascii="Arial" w:cs="Arial" w:eastAsia="Arial" w:hAnsi="Arial"/>
          <w:sz w:val="18"/>
          <w:szCs w:val="18"/>
          <w:color w:val="auto"/>
        </w:rPr>
        <w:t xml:space="preserve">, with only the consent of the Persons set forth in </w:t>
      </w:r>
      <w:r>
        <w:rPr>
          <w:rFonts w:ascii="Arial" w:cs="Arial" w:eastAsia="Arial" w:hAnsi="Arial"/>
          <w:sz w:val="18"/>
          <w:szCs w:val="18"/>
          <w:u w:val="single" w:color="auto"/>
          <w:color w:val="auto"/>
        </w:rPr>
        <w:t>Section 2.10(d)</w:t>
      </w:r>
      <w:r>
        <w:rPr>
          <w:rFonts w:ascii="Arial" w:cs="Arial" w:eastAsia="Arial" w:hAnsi="Arial"/>
          <w:sz w:val="18"/>
          <w:szCs w:val="18"/>
          <w:color w:val="auto"/>
        </w:rPr>
        <w:t xml:space="preserve"> hereof.</w:t>
      </w:r>
    </w:p>
    <w:p>
      <w:pPr>
        <w:spacing w:after="0" w:line="10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Notwithstanding anything to the contrary herein, no Defaulting Lender shall have any right to approve or disapprove any amendment, waiver or consent hereunder, except (x) that the Commitment of such Lender may not be increased or extended without the consent of such Lender and (y) for any such amendment, waiver or consent that treats such Defaulting Lender disproportionately and adversely from the other Lender of the same Class (other than because of its status as a Defaulting Lender).</w:t>
      </w:r>
    </w:p>
    <w:p>
      <w:pPr>
        <w:spacing w:after="0" w:line="106"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Any such waiver and any such amendment, supplement or modification shall apply equally to each of the affected Lenders and shall be binding upon Holdings, the Borrower, such Lenders, the Administrative Agent and all future holders of the affected Loans. In the case of any waiver, Holdings, the Borrower, the Lenders and the Administrative Agent shall be restored to their former positions and rights hereunder and under the other Credit Documents, and any Default or Event of Default waived shall be deemed to be cured and not continuing, it being understood that no such waiver shall extend to any subsequent or other Default or Event of Default or impair any right consequent thereon. In connection with the foregoing provisions, the Administrative Agent may, but shall have no obligations to, with the concurrence of any Lender, execute amendments, modifications, waivers or consents on behalf of such Lender.</w:t>
      </w:r>
    </w:p>
    <w:p>
      <w:pPr>
        <w:spacing w:after="0" w:line="11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Notwithstanding the foregoing, in addition to any credit extensions and related Joinder Agreement(s) effectuated without the consent of Lenders in accordance with </w:t>
      </w:r>
      <w:r>
        <w:rPr>
          <w:rFonts w:ascii="Arial" w:cs="Arial" w:eastAsia="Arial" w:hAnsi="Arial"/>
          <w:sz w:val="18"/>
          <w:szCs w:val="18"/>
          <w:u w:val="single" w:color="auto"/>
          <w:color w:val="auto"/>
        </w:rPr>
        <w:t>Section 2.14</w:t>
      </w:r>
      <w:r>
        <w:rPr>
          <w:rFonts w:ascii="Arial" w:cs="Arial" w:eastAsia="Arial" w:hAnsi="Arial"/>
          <w:sz w:val="18"/>
          <w:szCs w:val="18"/>
          <w:color w:val="auto"/>
        </w:rPr>
        <w:t>, this Agreement may be amended (or amended and restated) with the written consent of the Required Lenders, the Administrative Agent, Holdings and the Borrower (a) to add one or more additional credit facilities to this Agreement and to permit the extensions of credit from time to time outstanding thereunder and the accrued interest and fees in respect thereof to share ratably in the benefits of this Agreement and the other Credit Documents with the Term Loans and the Revolving Credit Loans and the accrued interest and fees in respect thereof and (b) to include appropriately the Lenders holding such credit facilities in any determination of the Required Lenders and other definitions related to such new Term Loans and Revolving Credit Loans.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notwithstanding the foregoing, this Agreement may be amended with the written consent of the Administrative Agent, Holdings,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Borrower and the Lenders providing the relevant Replacement Term Loans to permit the refinancing of all outstanding Term Loans of any Class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Refinanced Term Loans</w:t>
      </w:r>
      <w:r>
        <w:rPr>
          <w:rFonts w:ascii="Arial" w:cs="Arial" w:eastAsia="Arial" w:hAnsi="Arial"/>
          <w:sz w:val="16"/>
          <w:szCs w:val="16"/>
          <w:color w:val="auto"/>
        </w:rPr>
        <w:t>”) with a replacement term loan tranche (“</w:t>
      </w:r>
      <w:r>
        <w:rPr>
          <w:rFonts w:ascii="Arial" w:cs="Arial" w:eastAsia="Arial" w:hAnsi="Arial"/>
          <w:sz w:val="16"/>
          <w:szCs w:val="16"/>
          <w:b w:val="1"/>
          <w:bCs w:val="1"/>
          <w:color w:val="auto"/>
        </w:rPr>
        <w:t>Replacement Term Loans</w:t>
      </w:r>
      <w:r>
        <w:rPr>
          <w:rFonts w:ascii="Arial" w:cs="Arial" w:eastAsia="Arial" w:hAnsi="Arial"/>
          <w:sz w:val="16"/>
          <w:szCs w:val="16"/>
          <w:color w:val="auto"/>
        </w:rPr>
        <w:t xml:space="preserve">”)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aggregate principal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 of such Replacement Term Loans shall not exceed the aggregate principal amount of such Refinanced Term Loans (</w:t>
      </w:r>
      <w:r>
        <w:rPr>
          <w:rFonts w:ascii="Arial" w:cs="Arial" w:eastAsia="Arial" w:hAnsi="Arial"/>
          <w:sz w:val="16"/>
          <w:szCs w:val="16"/>
          <w:i w:val="1"/>
          <w:iCs w:val="1"/>
          <w:color w:val="auto"/>
        </w:rPr>
        <w:t>plus</w:t>
      </w:r>
      <w:r>
        <w:rPr>
          <w:rFonts w:ascii="Arial" w:cs="Arial" w:eastAsia="Arial" w:hAnsi="Arial"/>
          <w:sz w:val="16"/>
          <w:szCs w:val="16"/>
          <w:color w:val="auto"/>
        </w:rPr>
        <w:t xml:space="preserve"> an amount equal to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accrued but unpaid interest, fees, premiums, and expenses incurred in connection therewith), (b) the Applicable Margin for such Replacement Term Loans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shall not be higher than the Applicable Margin for such Refinanced Term Loans, unless any such Applicable Margin applies after the Term A Loan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Maturity Date, with respect to Replacement Term Loans that are Term A Loans, (c) the weighted average life to maturity of such Replacement Term Loans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shall not be shorter than the weighted average life to maturity of such Refinanced Term Loans at the time of such refinancing (except to the extent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nominal amortization for periods where amortization has been eliminated as a result of prepayment of the applicable Term Loans), and (d) the covenants,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events of default and guarantees shall be not materially more restrictive (taken as a whole) (as determined in good faith by the Borrower) to the Lenders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providing such Replacement Term Loans than the covenants, events of default and guarantees applicable to such Refinanced Term Loans, except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extent necessary to provide for covenants, events of default and guarantees applicable to any period after the maturity date in respect of the Refinanced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 Loans in effect immediately prior to such refinancing.</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320" w:top="341" w:right="359" w:bottom="1440" w:gutter="0" w:footer="0" w:header="0"/>
        </w:sectPr>
      </w:pPr>
    </w:p>
    <w:bookmarkStart w:id="221" w:name="page222"/>
    <w:bookmarkEnd w:id="221"/>
    <w:p>
      <w:pPr>
        <w:ind w:right="40" w:firstLine="648"/>
        <w:spacing w:after="0" w:line="284" w:lineRule="auto"/>
        <w:rPr>
          <w:sz w:val="20"/>
          <w:szCs w:val="20"/>
          <w:color w:val="auto"/>
        </w:rPr>
      </w:pPr>
      <w:r>
        <w:rPr>
          <w:rFonts w:ascii="Arial" w:cs="Arial" w:eastAsia="Arial" w:hAnsi="Arial"/>
          <w:sz w:val="16"/>
          <w:szCs w:val="16"/>
          <w:color w:val="auto"/>
        </w:rPr>
        <w:t xml:space="preserve">The Lenders hereby irrevocably agree that the Liens granted to the Collateral Agent by the Credit Parties on any Collateral shall be automatically released (i) in full, upon the termination of this Agreement and the payment of all Obligations hereunder (except for (w) contingent indemnification obligations in respect of which a claim has not yet been made, (x) Secured Hedge Obligations, (y) cash collateralized Letters of Credit pursuant to arrangements reasonably acceptable to the applicable Letter of Credit Issuer, and (z) Secured Cash Management Obligations), (ii) upon the sale or other disposition of such Collateral (including as part of or in connection with any other sale or other disposition permitted hereunder) to any Person other than another Credit Party, to the extent such sale or other disposition is made in compliance with the terms of this Agreement (and the Collateral Agent may rely conclusively on a certificate to that effect provided to it by any Credit Party upon its reasonable request without further inquiry), (iii) to the extent such Collateral is comprised of property leased to a Credit Party, upon termination or expiration of such lease, (iv) if the release of such Lien is approved, authorized or ratified in writing by the Required Lenders (or such other percentage of the Lenders whose consent may be required in accordance with this </w:t>
      </w:r>
      <w:r>
        <w:rPr>
          <w:rFonts w:ascii="Arial" w:cs="Arial" w:eastAsia="Arial" w:hAnsi="Arial"/>
          <w:sz w:val="16"/>
          <w:szCs w:val="16"/>
          <w:u w:val="single" w:color="auto"/>
          <w:color w:val="auto"/>
        </w:rPr>
        <w:t>Section 13.1</w:t>
      </w:r>
      <w:r>
        <w:rPr>
          <w:rFonts w:ascii="Arial" w:cs="Arial" w:eastAsia="Arial" w:hAnsi="Arial"/>
          <w:sz w:val="16"/>
          <w:szCs w:val="16"/>
          <w:color w:val="auto"/>
        </w:rPr>
        <w:t>), (v) to the extent the property constituting such Collateral is owned by any Guarantor, upon the release of such Guarantor from its obligations under the applicable Guarantee (in accordance with the second following sentence), (vi) as required to effect any sale or other disposition of Collateral in connection with any exercise of remedies of the Collateral Agent pursuant to the Security Documents, and (vii) if such assets constitute Excluded Property or Excluded Stock or Stock Equivalents. Any such release shall not in any manner discharge, affect, or impair the Obligations or any Liens (other than those being released) upon (or obligations (other than those being released) of the Credit Parties in respect of) all interests retained by the Credit Parties, including the proceeds of any sale, all of which shall continue to constitute part of the Collateral except to the extent otherwise released in accordance with the provisions of the Credit Documents. Additionally, the Lenders hereby irrevocably agree that any Restricted Subsidiary that is a Guarantor shall be released from the Guarantees upon consummation of any transaction not prohibited hereunder resulting in such Subsidiary ceasing to constitute a Restricted Subsidiary. The Lenders hereby authorize the Administrative Agent and the Collateral Agent, as applicable, to execute and deliver any instruments, documents, and agreements necessary or desirable to evidence and confirm the release of any Guarantor or Collateral pursuant to the foregoing provisions of this paragraph, all without the further consent or joinder of any Lender.</w:t>
      </w:r>
    </w:p>
    <w:p>
      <w:pPr>
        <w:spacing w:after="0" w:line="7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Notwithstanding anything herein to the contrary, the Credit Documents may be amended to add syndication or documentation agents and make customary changes and references related thereto with the consent of only the Borrower and the Administrative Agent.</w:t>
      </w:r>
    </w:p>
    <w:p>
      <w:pPr>
        <w:spacing w:after="0" w:line="89"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 xml:space="preserve">Notwithstanding anything in this Agreement (including, without limitation, this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or any other Credit Document to the contrary, (i) this Agreement and the other Credit Documents may be amended to effect an incremental facility or extension facility pursuant to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(and the Administrative Agent and the Borrower may effect such amendments to this Agreement and the other Credit Documents without the consent of any other party as may be necessary or appropriate, in the reasonable opinion of the Administrative Agent and the Borrower, to effect the terms of any such incremental facility or extension facility); (ii) no Lender consent is required to effect any amendment or supplement to the First Lien Intercreditor Agreement (if any), any intercreditor agreement or arrangement permitted under this Agreement that is for the purpose of adding the holders of any Indebtedness as expressly contemplated by the terms of the First Lien Intercreditor Agreement (if any) or such other intercreditor agreement or arrangement permitted under this Agreement, as applicable (it being understood that any such amendment or supplement may make such other changes to the applicable intercreditor agreement as, in the good faith determination of the Administrative Agent, are required to effectuate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other changes are not adverse, in any material respect, to the interests of the Lenders taken as a whole);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 such agreement shall amend, modify or otherwise directly and adversely affect the rights or duties of the Administrative Agent hereunder or under any other Credit Document without the prior written consent of the Administrative Agent; (iii) any provision of this Agreement or any other Credit Document may be amended by an agreement in writing entered into by the Borrower and the Administrative Agent to (x) cure any ambiguity, omission, mistake, defect or inconsistency (as reasonably determined by the Administrative Agent and the Borrower) and (y) effect administrative changes of a technical or immaterial nature (including to effect changes to the terms and conditions applicable solely to the Letter of Credit Issuer in respect of Issuances of Letters of Credit and such amendment shall be deemed approved by the Lenders if the Lenders shall have received at least five Business Days’ prior written notice of such change and the Administrative Agent shall not have received, within five Business Days of the date of such notice to the Lenders, a written notice from the Required Lenders stating that</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341" w:right="339" w:bottom="1440" w:gutter="0" w:footer="0" w:header="0"/>
        </w:sectPr>
      </w:pPr>
    </w:p>
    <w:bookmarkStart w:id="222" w:name="page223"/>
    <w:bookmarkEnd w:id="222"/>
    <w:p>
      <w:pPr>
        <w:spacing w:after="0" w:line="270" w:lineRule="auto"/>
        <w:rPr>
          <w:sz w:val="20"/>
          <w:szCs w:val="20"/>
          <w:color w:val="auto"/>
        </w:rPr>
      </w:pPr>
      <w:r>
        <w:rPr>
          <w:rFonts w:ascii="Arial" w:cs="Arial" w:eastAsia="Arial" w:hAnsi="Arial"/>
          <w:sz w:val="17"/>
          <w:szCs w:val="17"/>
          <w:color w:val="auto"/>
        </w:rPr>
        <w:t>the Required Lenders object to such amendment; and (iv) guarantees, collateral documents and related documents executed by Credit Parties in connection with this Agreement may be in a form reasonably determined by the Administrative Agent and may be, together with any other Credit Document, entered into, amended, supplemented or waived, without the consent of any other Person, by the applicable Credit Party or Credit Parties and the Administrative Agent or the Collateral Agent in its or their respective sole discretion, to (A) effect the granting, perfection, protection, expansion or enhancement of any security interest in any Collateral or additional property to become Collateral for the benefit of the Secured Parties, (B) as required by local law or advice of counsel to give effect to, or protect any security interest for the benefit of the Secured Parties, in any property or so that the security interests therein comply with applicable requirements of law, or (C) to cure ambiguities, omissions, mistakes or defects (as reasonably determined by the Administrative Agent and the Borrower) or to cause such guarantee, collateral security document or other document to be consistent with this Agreement and the other Credit Documents.</w:t>
      </w:r>
    </w:p>
    <w:p>
      <w:pPr>
        <w:spacing w:after="0" w:line="19"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 xml:space="preserve">Notwithstanding anything in this Agreement or any Security Document to the contrary, the Administrative Agent may, in its sole discretion, grant extensions of time for the satisfaction of any of the requirements under </w:t>
      </w:r>
      <w:r>
        <w:rPr>
          <w:rFonts w:ascii="Arial" w:cs="Arial" w:eastAsia="Arial" w:hAnsi="Arial"/>
          <w:sz w:val="17"/>
          <w:szCs w:val="17"/>
          <w:u w:val="single" w:color="auto"/>
          <w:color w:val="auto"/>
        </w:rPr>
        <w:t>Sections 9.12</w:t>
      </w:r>
      <w:r>
        <w:rPr>
          <w:rFonts w:ascii="Arial" w:cs="Arial" w:eastAsia="Arial" w:hAnsi="Arial"/>
          <w:sz w:val="17"/>
          <w:szCs w:val="17"/>
          <w:color w:val="auto"/>
        </w:rPr>
        <w:t xml:space="preserve">, </w:t>
      </w:r>
      <w:r>
        <w:rPr>
          <w:rFonts w:ascii="Arial" w:cs="Arial" w:eastAsia="Arial" w:hAnsi="Arial"/>
          <w:sz w:val="17"/>
          <w:szCs w:val="17"/>
          <w:u w:val="single" w:color="auto"/>
          <w:color w:val="auto"/>
        </w:rPr>
        <w:t>9.13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9.14</w:t>
      </w:r>
      <w:r>
        <w:rPr>
          <w:rFonts w:ascii="Arial" w:cs="Arial" w:eastAsia="Arial" w:hAnsi="Arial"/>
          <w:sz w:val="17"/>
          <w:szCs w:val="17"/>
          <w:color w:val="auto"/>
        </w:rPr>
        <w:t xml:space="preserve"> or any Security Documents in respect of any particular Collateral or any particular Subsidiary if it determines that the satisfaction thereof with respect to such Collateral or such Subsidiary cannot be accomplished without undue expense or unreasonable effort or due to factors beyond the control of Holdings and the Restricted Subsidiaries by the time or times at which it would otherwise be required to be satisfied under this Agreement or any Security Document.</w:t>
      </w:r>
    </w:p>
    <w:p>
      <w:pPr>
        <w:spacing w:after="0" w:line="176"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Notices</w:t>
      </w:r>
      <w:r>
        <w:rPr>
          <w:rFonts w:ascii="Arial" w:cs="Arial" w:eastAsia="Arial" w:hAnsi="Arial"/>
          <w:sz w:val="18"/>
          <w:szCs w:val="18"/>
          <w:color w:val="auto"/>
        </w:rPr>
        <w:t>. Unless otherwise expressly provided herein, all notices and other communications provided for hereunder or under any other Credit Document shall be in writing (including by facsimile transmission). All such written notices shall be mailed, faxed or delivered to the applicable address, facsimile number or electronic mail address, and all notices and other communications expressly permitted hereunder to be given by telephone shall be made to the applicable telephone number, as follows:</w:t>
      </w:r>
    </w:p>
    <w:p>
      <w:pPr>
        <w:spacing w:after="0" w:line="187" w:lineRule="exact"/>
        <w:rPr>
          <w:sz w:val="20"/>
          <w:szCs w:val="20"/>
          <w:color w:val="auto"/>
        </w:rPr>
      </w:pPr>
    </w:p>
    <w:p>
      <w:pPr>
        <w:ind w:left="660" w:right="100" w:firstLine="644"/>
        <w:spacing w:after="0" w:line="311" w:lineRule="auto"/>
        <w:tabs>
          <w:tab w:leader="none" w:pos="1688"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if to Holdings, the Borrower, the Administrative Agent, the Collateral Agent, the Letter of Credit Issuer or the Swingline Lender, to the address, facsimile number, electronic mail address or telephone number specified for such Person on </w:t>
      </w:r>
      <w:r>
        <w:rPr>
          <w:rFonts w:ascii="Arial" w:cs="Arial" w:eastAsia="Arial" w:hAnsi="Arial"/>
          <w:sz w:val="16"/>
          <w:szCs w:val="16"/>
          <w:u w:val="single" w:color="auto"/>
          <w:color w:val="auto"/>
        </w:rPr>
        <w:t>Schedule 13.2</w:t>
      </w:r>
      <w:r>
        <w:rPr>
          <w:rFonts w:ascii="Arial" w:cs="Arial" w:eastAsia="Arial" w:hAnsi="Arial"/>
          <w:sz w:val="16"/>
          <w:szCs w:val="16"/>
          <w:color w:val="auto"/>
        </w:rPr>
        <w:t xml:space="preserve"> or to such other address, facsimile number, electronic mail address or telephone number as shall be designated by such party in a notice to the other parties; and</w:t>
      </w:r>
    </w:p>
    <w:p>
      <w:pPr>
        <w:spacing w:after="0" w:line="67" w:lineRule="exact"/>
        <w:rPr>
          <w:rFonts w:ascii="Arial" w:cs="Arial" w:eastAsia="Arial" w:hAnsi="Arial"/>
          <w:sz w:val="16"/>
          <w:szCs w:val="16"/>
          <w:color w:val="auto"/>
        </w:rPr>
      </w:pPr>
    </w:p>
    <w:p>
      <w:pPr>
        <w:ind w:left="660" w:right="60" w:firstLine="644"/>
        <w:spacing w:after="0" w:line="311" w:lineRule="auto"/>
        <w:tabs>
          <w:tab w:leader="none" w:pos="1698" w:val="left"/>
        </w:tabs>
        <w:numPr>
          <w:ilvl w:val="0"/>
          <w:numId w:val="208"/>
        </w:numPr>
        <w:rPr>
          <w:rFonts w:ascii="Arial" w:cs="Arial" w:eastAsia="Arial" w:hAnsi="Arial"/>
          <w:sz w:val="16"/>
          <w:szCs w:val="16"/>
          <w:color w:val="auto"/>
        </w:rPr>
      </w:pPr>
      <w:r>
        <w:rPr>
          <w:rFonts w:ascii="Arial" w:cs="Arial" w:eastAsia="Arial" w:hAnsi="Arial"/>
          <w:sz w:val="16"/>
          <w:szCs w:val="16"/>
          <w:color w:val="auto"/>
        </w:rPr>
        <w:t>if to any other Lender, to the address, facsimile number, electronic mail address or telephone number specified in its Administrative Questionnaire or to such other address, facsimile number, electronic mail address or telephone number as shall be designated by such party in a notice to Holdings and the Borrower, the Administrative Agent, the Collateral Agent, the Letter of Credit Issuer and the Swingline Lender.</w:t>
      </w:r>
    </w:p>
    <w:p>
      <w:pPr>
        <w:spacing w:after="0" w:line="6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All such notices and other communications shall be deemed to be given or made upon the earlier to occur of (i) actual receipt by the relevant party hereto and (ii) (A) if delivered by hand or by courier, when signed for by or on behalf of the relevant party hereto; (B) if delivered by mail, three Business Days after deposit in the mails, postage prepaid; (C) if delivered by facsimile, when sent and receipt has been confirmed by telephone; and (D) if delivered by electronic mail, when delivered;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notices and other communications to the Administrative Agent or the Lenders pursuant to </w:t>
      </w:r>
      <w:r>
        <w:rPr>
          <w:rFonts w:ascii="Arial" w:cs="Arial" w:eastAsia="Arial" w:hAnsi="Arial"/>
          <w:sz w:val="18"/>
          <w:szCs w:val="18"/>
          <w:u w:val="single" w:color="auto"/>
          <w:color w:val="auto"/>
        </w:rPr>
        <w:t>Sections 2.3</w:t>
      </w:r>
      <w:r>
        <w:rPr>
          <w:rFonts w:ascii="Arial" w:cs="Arial" w:eastAsia="Arial" w:hAnsi="Arial"/>
          <w:sz w:val="18"/>
          <w:szCs w:val="18"/>
          <w:color w:val="auto"/>
        </w:rPr>
        <w:t xml:space="preserve">, </w:t>
      </w:r>
      <w:r>
        <w:rPr>
          <w:rFonts w:ascii="Arial" w:cs="Arial" w:eastAsia="Arial" w:hAnsi="Arial"/>
          <w:sz w:val="18"/>
          <w:szCs w:val="18"/>
          <w:u w:val="single" w:color="auto"/>
          <w:color w:val="auto"/>
        </w:rPr>
        <w:t>2.6</w:t>
      </w:r>
      <w:r>
        <w:rPr>
          <w:rFonts w:ascii="Arial" w:cs="Arial" w:eastAsia="Arial" w:hAnsi="Arial"/>
          <w:sz w:val="18"/>
          <w:szCs w:val="18"/>
          <w:color w:val="auto"/>
        </w:rPr>
        <w:t xml:space="preserve">, </w:t>
      </w:r>
      <w:r>
        <w:rPr>
          <w:rFonts w:ascii="Arial" w:cs="Arial" w:eastAsia="Arial" w:hAnsi="Arial"/>
          <w:sz w:val="18"/>
          <w:szCs w:val="18"/>
          <w:u w:val="single" w:color="auto"/>
          <w:color w:val="auto"/>
        </w:rPr>
        <w:t>2.9</w:t>
      </w:r>
      <w:r>
        <w:rPr>
          <w:rFonts w:ascii="Arial" w:cs="Arial" w:eastAsia="Arial" w:hAnsi="Arial"/>
          <w:sz w:val="18"/>
          <w:szCs w:val="18"/>
          <w:color w:val="auto"/>
        </w:rPr>
        <w:t xml:space="preserve">,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5.1</w:t>
      </w:r>
      <w:r>
        <w:rPr>
          <w:rFonts w:ascii="Arial" w:cs="Arial" w:eastAsia="Arial" w:hAnsi="Arial"/>
          <w:sz w:val="18"/>
          <w:szCs w:val="18"/>
          <w:color w:val="auto"/>
        </w:rPr>
        <w:t xml:space="preserve"> shall not be effective until received.</w:t>
      </w:r>
    </w:p>
    <w:p>
      <w:pPr>
        <w:spacing w:after="0" w:line="107" w:lineRule="exact"/>
        <w:rPr>
          <w:sz w:val="20"/>
          <w:szCs w:val="20"/>
          <w:color w:val="auto"/>
        </w:rPr>
      </w:pPr>
    </w:p>
    <w:p>
      <w:pPr>
        <w:jc w:val="both"/>
        <w:ind w:right="40" w:firstLine="648"/>
        <w:spacing w:after="0" w:line="257"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 part of the Administrative Agent, the Collateral Agent or any Lender, any right, remedy, power or privilege hereunder or under the other Credit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8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in the other Credit Documents and in any document, certificate or statement delivered pursuant hereto or in</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341" w:right="33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color w:val="auto"/>
        </w:rPr>
        <w:t>connection herewith shall survive the execution and delivery of this Agreement and the making of the Loans hereunder.</w:t>
      </w:r>
    </w:p>
    <w:p>
      <w:pPr>
        <w:spacing w:after="0" w:line="171"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u w:val="single" w:color="auto"/>
          <w:color w:val="auto"/>
        </w:rPr>
        <w:t>Payment of Expenses; Indemnification</w:t>
      </w:r>
      <w:r>
        <w:rPr>
          <w:rFonts w:ascii="Arial" w:cs="Arial" w:eastAsia="Arial" w:hAnsi="Arial"/>
          <w:sz w:val="16"/>
          <w:szCs w:val="16"/>
          <w:color w:val="auto"/>
        </w:rPr>
        <w:t>.</w:t>
      </w:r>
    </w:p>
    <w:p>
      <w:pPr>
        <w:spacing w:after="0" w:line="171" w:lineRule="exact"/>
        <w:rPr>
          <w:sz w:val="20"/>
          <w:szCs w:val="20"/>
          <w:color w:val="auto"/>
        </w:rPr>
      </w:pPr>
    </w:p>
    <w:p>
      <w:pPr>
        <w:ind w:firstLine="656"/>
        <w:spacing w:after="0" w:line="282" w:lineRule="auto"/>
        <w:tabs>
          <w:tab w:leader="none" w:pos="1028" w:val="left"/>
        </w:tabs>
        <w:numPr>
          <w:ilvl w:val="1"/>
          <w:numId w:val="209"/>
        </w:numPr>
        <w:rPr>
          <w:rFonts w:ascii="Arial" w:cs="Arial" w:eastAsia="Arial" w:hAnsi="Arial"/>
          <w:sz w:val="16"/>
          <w:szCs w:val="16"/>
          <w:color w:val="auto"/>
        </w:rPr>
      </w:pPr>
      <w:r>
        <w:rPr>
          <w:rFonts w:ascii="Arial" w:cs="Arial" w:eastAsia="Arial" w:hAnsi="Arial"/>
          <w:sz w:val="16"/>
          <w:szCs w:val="16"/>
          <w:color w:val="auto"/>
        </w:rPr>
        <w:t>Each of Holdings and the Borrower, jointly and severally, agree (i) to pay or reimburse each of the Agents for all their reasonable and documented out-of-pocket costs and expenses (without duplication) incurred in connection with the development, preparation, execution and delivery of, and any amendment, supplement, modification to, waiver and/or enforcement this Agreement and the other Credit Documents and any other documents prepared in connection herewith or therewith, and the consummation and administration of the transactions contemplated hereby and thereby, including the reasonable fees, disbursements and other charges of Cahill Gordon &amp; Reindel LLP (or such other counsel as may be agreed by the Administrative Agent and the Borrower), one counsel in each relevant local jurisdiction with the consent of the Borrower (such consent not to be unreasonably withheld or delayed), (ii) to pay or reimburse each Agent for all their reasonable and documented out-of-pocket costs and expenses incurred in connection with the enforcement or preservation of any rights under this Agreement, the other Credit Documents and any such other documents, including the reasonable fees, disbursements and other charges of one firm or counsel to the Administrative Agent and the Collateral Agent, and, to the extent required, one firm or local counsel in each relevant local jurisdiction with the Borrower’s consent (such consent not to be unreasonably withheld or delayed (which may include a single special counsel acting in multiple jurisdictions), and (iii) to pay, indemnify and hold harmless each Lender, each Agent, the Letter of Credit Issuer and their respective Related Parties (without duplication) (the “</w:t>
      </w:r>
      <w:r>
        <w:rPr>
          <w:rFonts w:ascii="Arial" w:cs="Arial" w:eastAsia="Arial" w:hAnsi="Arial"/>
          <w:sz w:val="16"/>
          <w:szCs w:val="16"/>
          <w:b w:val="1"/>
          <w:bCs w:val="1"/>
          <w:color w:val="auto"/>
        </w:rPr>
        <w:t>Indemnified Persons</w:t>
      </w:r>
      <w:r>
        <w:rPr>
          <w:rFonts w:ascii="Arial" w:cs="Arial" w:eastAsia="Arial" w:hAnsi="Arial"/>
          <w:sz w:val="16"/>
          <w:szCs w:val="16"/>
          <w:color w:val="auto"/>
        </w:rPr>
        <w:t>”) from and against any and all losses, claims, damages, liabilities, obligations, demands, actions, judgements, suits, costs, expenses, disbursements or penalties of any kind or nature whatsoever (and the reasonable and documented out-of-pocket fees, expenses, disbursements and other charges of one firm of counsel for all Indemnified Persons, taken as a whole (and, in the case of an actual or perceived conflict of interest where the Indemnified Person affected by such conflict notifies the Borrower of any existence of such conflict and in connection with the investigating or defending any of the foregoing (including the reasonable fees) has retained its own counsel, of another firm of counsel for such affected Indemnified Person), and to the extent required, one firm or local counsel in each relevant jurisdiction (which may include a single special counsel acting in multiple jurisdictions)) of any such Indemnified Person arising out of or relating to any action, claim, litigation, investigation or other proceeding (regardless of whether such Indemnified Person is a party thereto or whether or not such action, claim, litigation or proceeding (including any inquiry or investigation of the foregoing) was brought by Holdings, any of its subsidiaries or any other Person), arising out of, or with respect to the Transactions or to the execution, enforcement, delivery, performance and administration of this Agreement, the other Credit Documents and any such other documents, including any of the foregoing relating to the violation of, noncompliance with or liability under, any Environmental Law or any actual or alleged presence, Release or threatened Release of Hazardous Materials attributable to Holdings or any of its Subsidiaries (all the foregoing in this clause (iii), collectively, the “</w:t>
      </w:r>
      <w:r>
        <w:rPr>
          <w:rFonts w:ascii="Arial" w:cs="Arial" w:eastAsia="Arial" w:hAnsi="Arial"/>
          <w:sz w:val="16"/>
          <w:szCs w:val="16"/>
          <w:b w:val="1"/>
          <w:bCs w:val="1"/>
          <w:color w:val="auto"/>
        </w:rPr>
        <w:t>Indemnified Liabilities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Holdings and the Borrower shall have no obligation hereunder to any Indemnified Person with respect to indemnified liabilities to the extent arising from (i) the gross negligence, bad faith or willful misconduct of such Indemnified Person or any of its Related Parties as determined in a final and non-appealable judgment of a court of competent jurisdiction, (ii) a material breach of the obligations of such Indemnified Person or any of its Related Parties under the terms of this Agreement by such Indemnified Person or any of its Related Parties as determined in a final and non-appealable judgment of a court of competent jurisdiction, or (iii) any proceeding between and among Indemnified Persons that does not involve an act or omission by Holdings, the Borrower or its 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the Agents, to the extent acting in their capacity as such, shall remain indemnified in respect of such proceeding, to the extent that neither of the exceptions set forth in clause (i) or</w:t>
      </w:r>
    </w:p>
    <w:p>
      <w:pPr>
        <w:spacing w:after="0" w:line="8" w:lineRule="exact"/>
        <w:rPr>
          <w:rFonts w:ascii="Arial" w:cs="Arial" w:eastAsia="Arial" w:hAnsi="Arial"/>
          <w:sz w:val="16"/>
          <w:szCs w:val="16"/>
          <w:color w:val="auto"/>
        </w:rPr>
      </w:pPr>
    </w:p>
    <w:p>
      <w:pPr>
        <w:ind w:right="20" w:firstLine="8"/>
        <w:spacing w:after="0" w:line="277" w:lineRule="auto"/>
        <w:tabs>
          <w:tab w:leader="none" w:pos="265" w:val="left"/>
        </w:tabs>
        <w:numPr>
          <w:ilvl w:val="0"/>
          <w:numId w:val="210"/>
        </w:numPr>
        <w:rPr>
          <w:rFonts w:ascii="Arial" w:cs="Arial" w:eastAsia="Arial" w:hAnsi="Arial"/>
          <w:sz w:val="17"/>
          <w:szCs w:val="17"/>
          <w:color w:val="auto"/>
        </w:rPr>
      </w:pPr>
      <w:r>
        <w:rPr>
          <w:rFonts w:ascii="Arial" w:cs="Arial" w:eastAsia="Arial" w:hAnsi="Arial"/>
          <w:sz w:val="17"/>
          <w:szCs w:val="17"/>
          <w:color w:val="auto"/>
        </w:rPr>
        <w:t>of the immediately preceding proviso applies to such person at such time. The agreements in this Section 13.5 shall survive repayment of the Loans and all other amounts payable hereunder. This Section 13.5 shall not apply with respect to Taxes, other than any Taxes that represent losses, claims, damages, liabilities, obligations, penalties, actions, judgments, suits, costs, expenses or disbursements arising from any non-Tax claim.</w:t>
      </w:r>
    </w:p>
    <w:p>
      <w:pPr>
        <w:spacing w:after="0" w:line="118" w:lineRule="exact"/>
        <w:rPr>
          <w:rFonts w:ascii="Arial" w:cs="Arial" w:eastAsia="Arial" w:hAnsi="Arial"/>
          <w:sz w:val="17"/>
          <w:szCs w:val="17"/>
          <w:color w:val="auto"/>
        </w:rPr>
      </w:pPr>
    </w:p>
    <w:p>
      <w:pPr>
        <w:ind w:right="300" w:firstLine="656"/>
        <w:spacing w:after="0" w:line="259" w:lineRule="auto"/>
        <w:tabs>
          <w:tab w:leader="none" w:pos="1038" w:val="left"/>
        </w:tabs>
        <w:numPr>
          <w:ilvl w:val="1"/>
          <w:numId w:val="210"/>
        </w:numPr>
        <w:rPr>
          <w:rFonts w:ascii="Arial" w:cs="Arial" w:eastAsia="Arial" w:hAnsi="Arial"/>
          <w:sz w:val="18"/>
          <w:szCs w:val="18"/>
          <w:color w:val="auto"/>
        </w:rPr>
      </w:pPr>
      <w:r>
        <w:rPr>
          <w:rFonts w:ascii="Arial" w:cs="Arial" w:eastAsia="Arial" w:hAnsi="Arial"/>
          <w:sz w:val="18"/>
          <w:szCs w:val="18"/>
          <w:color w:val="auto"/>
        </w:rPr>
        <w:t xml:space="preserve">No Credit Party nor any Indemnified Person shall have any liability for any special, punitive, indirect or consequential damages resulting from this Agreement or any other Credit Document or arising out of its activities in connection herewith or therewith (whether before or after the Restatement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limit Holdings’ and the Borrower’s indemnification obligations to the Indemnified Persons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320" w:top="341" w:right="359" w:bottom="1440" w:gutter="0" w:footer="0" w:header="0"/>
        </w:sectPr>
      </w:pPr>
    </w:p>
    <w:bookmarkStart w:id="224" w:name="page225"/>
    <w:bookmarkEnd w:id="224"/>
    <w:p>
      <w:pPr>
        <w:ind w:right="120"/>
        <w:spacing w:after="0" w:line="275" w:lineRule="auto"/>
        <w:rPr>
          <w:sz w:val="20"/>
          <w:szCs w:val="20"/>
          <w:color w:val="auto"/>
        </w:rPr>
      </w:pPr>
      <w:r>
        <w:rPr>
          <w:rFonts w:ascii="Arial" w:cs="Arial" w:eastAsia="Arial" w:hAnsi="Arial"/>
          <w:sz w:val="17"/>
          <w:szCs w:val="17"/>
          <w:color w:val="auto"/>
        </w:rPr>
        <w:t xml:space="preserve">pursuant to </w:t>
      </w:r>
      <w:r>
        <w:rPr>
          <w:rFonts w:ascii="Arial" w:cs="Arial" w:eastAsia="Arial" w:hAnsi="Arial"/>
          <w:sz w:val="17"/>
          <w:szCs w:val="17"/>
          <w:u w:val="single" w:color="auto"/>
          <w:color w:val="auto"/>
        </w:rPr>
        <w:t>Section 13.5(a)</w:t>
      </w:r>
      <w:r>
        <w:rPr>
          <w:rFonts w:ascii="Arial" w:cs="Arial" w:eastAsia="Arial" w:hAnsi="Arial"/>
          <w:sz w:val="17"/>
          <w:szCs w:val="17"/>
          <w:color w:val="auto"/>
        </w:rPr>
        <w:t xml:space="preserve"> in respect of damages incurred or paid by an Indemnified Person to a third party. No Indemnified Person shall be liable for any damages arising from the use by unintended recipients of any information or other materials distributed by it through telecommunications, electronic or other information transmission systems in connection with this Agreement or the other Credit Documents or the transactions contemplated hereby or thereby, except to the extent that such damages have resulted from the willful misconduct, bad faith or gross negligence of any Indemnified Person or any of its Related Parties as determined by a final and non-appealable judgment of a court of competent jurisdiction.</w:t>
      </w:r>
    </w:p>
    <w:p>
      <w:pPr>
        <w:spacing w:after="0" w:line="122" w:lineRule="exact"/>
        <w:rPr>
          <w:sz w:val="20"/>
          <w:szCs w:val="20"/>
          <w:color w:val="auto"/>
        </w:rPr>
      </w:pPr>
    </w:p>
    <w:p>
      <w:pPr>
        <w:ind w:right="280" w:firstLine="656"/>
        <w:spacing w:after="0" w:line="263" w:lineRule="auto"/>
        <w:tabs>
          <w:tab w:leader="none" w:pos="102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Notwithstanding the foregoing, each Indemnified Person shall be obligated to refund or return any and all amounts paid by the Borrower under this </w:t>
      </w:r>
      <w:r>
        <w:rPr>
          <w:rFonts w:ascii="Arial" w:cs="Arial" w:eastAsia="Arial" w:hAnsi="Arial"/>
          <w:sz w:val="18"/>
          <w:szCs w:val="18"/>
          <w:u w:val="single" w:color="auto"/>
          <w:color w:val="auto"/>
        </w:rPr>
        <w:t>Section 13.5</w:t>
      </w:r>
      <w:r>
        <w:rPr>
          <w:rFonts w:ascii="Arial" w:cs="Arial" w:eastAsia="Arial" w:hAnsi="Arial"/>
          <w:sz w:val="18"/>
          <w:szCs w:val="18"/>
          <w:color w:val="auto"/>
        </w:rPr>
        <w:t xml:space="preserve"> to such Indemnified Person for any losses, claims, damages, liabilities and expenses to the extent such Indemnified Person is not entitled to payment of such amounts in accordance with the terms hereof.</w:t>
      </w:r>
    </w:p>
    <w:p>
      <w:pPr>
        <w:spacing w:after="0" w:line="184"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5"/>
          <w:szCs w:val="15"/>
          <w:u w:val="single" w:color="auto"/>
          <w:color w:val="auto"/>
        </w:rPr>
        <w:t>Successors and Assigns; Participations and Assignments</w:t>
      </w:r>
      <w:r>
        <w:rPr>
          <w:rFonts w:ascii="Arial" w:cs="Arial" w:eastAsia="Arial" w:hAnsi="Arial"/>
          <w:sz w:val="15"/>
          <w:szCs w:val="15"/>
          <w:color w:val="auto"/>
        </w:rPr>
        <w:t>.</w:t>
      </w:r>
    </w:p>
    <w:p>
      <w:pPr>
        <w:spacing w:after="0" w:line="225" w:lineRule="exact"/>
        <w:rPr>
          <w:sz w:val="20"/>
          <w:szCs w:val="20"/>
          <w:color w:val="auto"/>
        </w:rPr>
      </w:pPr>
    </w:p>
    <w:p>
      <w:pPr>
        <w:ind w:right="20" w:firstLine="656"/>
        <w:spacing w:after="0" w:line="290" w:lineRule="auto"/>
        <w:tabs>
          <w:tab w:leader="none" w:pos="1024"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The provisions of this Agreement shall be binding upon and inure to the benefit of the parties hereto and their respective successors and assigns permitted hereby, except that (i) except as expressly permitted by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the Borrower may not assign or otherwise transfer any of their rights or obligations hereunder without the prior written consent of the Administrative Agent and each Lender (and any attempted assignment or transfer by the Borrower without such consent shall be null and void) and (ii) no Lender may assign or otherwise transfer its rights or obligations hereunder except in accordance with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and, to the extent expressly contemplated hereby, the Related Parties of each of the Administrative Agent, the Collateral Agent, the Letter of Credit Issuer and the Lenders and each other Person entitled to indemnification under </w:t>
      </w:r>
      <w:r>
        <w:rPr>
          <w:rFonts w:ascii="Arial" w:cs="Arial" w:eastAsia="Arial" w:hAnsi="Arial"/>
          <w:sz w:val="16"/>
          <w:szCs w:val="16"/>
          <w:u w:val="single" w:color="auto"/>
          <w:color w:val="auto"/>
        </w:rPr>
        <w:t>Section 13.5</w:t>
      </w:r>
      <w:r>
        <w:rPr>
          <w:rFonts w:ascii="Arial" w:cs="Arial" w:eastAsia="Arial" w:hAnsi="Arial"/>
          <w:sz w:val="16"/>
          <w:szCs w:val="16"/>
          <w:color w:val="auto"/>
        </w:rPr>
        <w:t>) any legal or equitable right, remedy or claim under or by reason of this Agreement.</w:t>
      </w:r>
    </w:p>
    <w:p>
      <w:pPr>
        <w:spacing w:after="0" w:line="165" w:lineRule="exact"/>
        <w:rPr>
          <w:rFonts w:ascii="Arial" w:cs="Arial" w:eastAsia="Arial" w:hAnsi="Arial"/>
          <w:sz w:val="16"/>
          <w:szCs w:val="16"/>
          <w:color w:val="auto"/>
        </w:rPr>
      </w:pPr>
    </w:p>
    <w:p>
      <w:pPr>
        <w:ind w:right="40" w:firstLine="656"/>
        <w:spacing w:after="0" w:line="296" w:lineRule="auto"/>
        <w:tabs>
          <w:tab w:leader="none" w:pos="1083"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Subject to the conditions set forth in </w:t>
      </w:r>
      <w:r>
        <w:rPr>
          <w:rFonts w:ascii="Arial" w:cs="Arial" w:eastAsia="Arial" w:hAnsi="Arial"/>
          <w:sz w:val="16"/>
          <w:szCs w:val="16"/>
          <w:u w:val="single" w:color="auto"/>
          <w:color w:val="auto"/>
        </w:rPr>
        <w:t>clause (b)(ii)</w:t>
      </w:r>
      <w:r>
        <w:rPr>
          <w:rFonts w:ascii="Arial" w:cs="Arial" w:eastAsia="Arial" w:hAnsi="Arial"/>
          <w:sz w:val="16"/>
          <w:szCs w:val="16"/>
          <w:color w:val="auto"/>
        </w:rPr>
        <w:t xml:space="preserve"> below and </w:t>
      </w:r>
      <w:r>
        <w:rPr>
          <w:rFonts w:ascii="Arial" w:cs="Arial" w:eastAsia="Arial" w:hAnsi="Arial"/>
          <w:sz w:val="16"/>
          <w:szCs w:val="16"/>
          <w:u w:val="single" w:color="auto"/>
          <w:color w:val="auto"/>
        </w:rPr>
        <w:t>Section 13.7</w:t>
      </w:r>
      <w:r>
        <w:rPr>
          <w:rFonts w:ascii="Arial" w:cs="Arial" w:eastAsia="Arial" w:hAnsi="Arial"/>
          <w:sz w:val="16"/>
          <w:szCs w:val="16"/>
          <w:color w:val="auto"/>
        </w:rPr>
        <w:t>, any Lender may at any time assign to one or more assignees all or a portion of its rights and obligations under this Agreement (including all or a portion of its Commitments and the Loans (including participations in L/C Obligations or Swingline Loans) at the time owing to it) with the prior written consent (such consent not to be unreasonably withheld or delayed; it being understood that, without limitation, the Borrower shall have the right to withhold its consent to any assignment if, in order for such assignment to comply with applicable law, the Borrower would be required to obtain the consent of, or make any filing or registration with, any Governmental Authority) of:</w:t>
      </w:r>
    </w:p>
    <w:p>
      <w:pPr>
        <w:spacing w:after="0" w:line="161" w:lineRule="exact"/>
        <w:rPr>
          <w:rFonts w:ascii="Arial" w:cs="Arial" w:eastAsia="Arial" w:hAnsi="Arial"/>
          <w:sz w:val="16"/>
          <w:szCs w:val="16"/>
          <w:color w:val="auto"/>
        </w:rPr>
      </w:pPr>
    </w:p>
    <w:p>
      <w:pPr>
        <w:ind w:left="660" w:right="80" w:firstLine="644"/>
        <w:spacing w:after="0" w:line="263" w:lineRule="auto"/>
        <w:tabs>
          <w:tab w:leader="none" w:pos="1738" w:val="left"/>
        </w:tabs>
        <w:numPr>
          <w:ilvl w:val="1"/>
          <w:numId w:val="212"/>
        </w:numPr>
        <w:rPr>
          <w:rFonts w:ascii="Arial" w:cs="Arial" w:eastAsia="Arial" w:hAnsi="Arial"/>
          <w:sz w:val="18"/>
          <w:szCs w:val="18"/>
          <w:color w:val="auto"/>
        </w:rPr>
      </w:pPr>
      <w:r>
        <w:rPr>
          <w:rFonts w:ascii="Arial" w:cs="Arial" w:eastAsia="Arial" w:hAnsi="Arial"/>
          <w:sz w:val="18"/>
          <w:szCs w:val="18"/>
          <w:color w:val="auto"/>
        </w:rPr>
        <w:t xml:space="preserve">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Borrower shall be required for (1) an assignment of Term Loans to (X) a Lender, (Y) an Affiliate of a Lender, or (Z) an Approved Fund or (2) an assignment of Loans or Commitments to any assignee if an Event of Default under </w:t>
      </w:r>
      <w:r>
        <w:rPr>
          <w:rFonts w:ascii="Arial" w:cs="Arial" w:eastAsia="Arial" w:hAnsi="Arial"/>
          <w:sz w:val="18"/>
          <w:szCs w:val="18"/>
          <w:u w:val="single" w:color="auto"/>
          <w:color w:val="auto"/>
        </w:rPr>
        <w:t>Section 11.1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11.5</w:t>
      </w:r>
      <w:r>
        <w:rPr>
          <w:rFonts w:ascii="Arial" w:cs="Arial" w:eastAsia="Arial" w:hAnsi="Arial"/>
          <w:sz w:val="18"/>
          <w:szCs w:val="18"/>
          <w:color w:val="auto"/>
        </w:rPr>
        <w:t xml:space="preserve"> (with respect to Holdings or the Borrower) has occurred and is continuing; and</w:t>
      </w:r>
    </w:p>
    <w:p>
      <w:pPr>
        <w:spacing w:after="0" w:line="102" w:lineRule="exact"/>
        <w:rPr>
          <w:rFonts w:ascii="Arial" w:cs="Arial" w:eastAsia="Arial" w:hAnsi="Arial"/>
          <w:sz w:val="18"/>
          <w:szCs w:val="18"/>
          <w:color w:val="auto"/>
        </w:rPr>
      </w:pPr>
    </w:p>
    <w:p>
      <w:pPr>
        <w:ind w:left="660" w:right="120" w:firstLine="644"/>
        <w:spacing w:after="0" w:line="286" w:lineRule="auto"/>
        <w:tabs>
          <w:tab w:leader="none" w:pos="1728" w:val="left"/>
        </w:tabs>
        <w:numPr>
          <w:ilvl w:val="1"/>
          <w:numId w:val="212"/>
        </w:numPr>
        <w:rPr>
          <w:rFonts w:ascii="Arial" w:cs="Arial" w:eastAsia="Arial" w:hAnsi="Arial"/>
          <w:sz w:val="17"/>
          <w:szCs w:val="17"/>
          <w:color w:val="auto"/>
        </w:rPr>
      </w:pPr>
      <w:r>
        <w:rPr>
          <w:rFonts w:ascii="Arial" w:cs="Arial" w:eastAsia="Arial" w:hAnsi="Arial"/>
          <w:sz w:val="17"/>
          <w:szCs w:val="17"/>
          <w:color w:val="auto"/>
        </w:rPr>
        <w:t xml:space="preserve">the Administrative Agent (not to be unreasonably withheld or delayed) and, in the case of Revolving Credit Commitments or Revolving Credit Loans only, the Swingline Lender and the Letter of Credit Issuer;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consent of the Administrative Agent shall be required for an assignment of any Term Loan to a Lender, an Affiliate of a Lender or an Approved Fund.</w:t>
      </w:r>
    </w:p>
    <w:p>
      <w:pPr>
        <w:spacing w:after="0" w:line="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Notwithstanding the foregoing, (i) no such assignment shall be made to a natural Person, Disqualified Lender or Defaulting Lender and (ii) Holdings, the Borrower or Affiliates. For the avoidance of doubt, the Administrative Agent shall bear no responsibility or liability for monitoring and enforcing the list of Persons who are Disqualified Lenders at any time.</w:t>
      </w:r>
    </w:p>
    <w:p>
      <w:pPr>
        <w:spacing w:after="0" w:line="184" w:lineRule="exact"/>
        <w:rPr>
          <w:sz w:val="20"/>
          <w:szCs w:val="20"/>
          <w:color w:val="auto"/>
        </w:rPr>
      </w:pPr>
    </w:p>
    <w:p>
      <w:pPr>
        <w:ind w:left="1280" w:hanging="381"/>
        <w:spacing w:after="0"/>
        <w:tabs>
          <w:tab w:leader="none" w:pos="12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144" w:lineRule="exact"/>
        <w:rPr>
          <w:rFonts w:ascii="Arial" w:cs="Arial" w:eastAsia="Arial" w:hAnsi="Arial"/>
          <w:sz w:val="18"/>
          <w:szCs w:val="18"/>
          <w:color w:val="auto"/>
        </w:rPr>
      </w:pPr>
    </w:p>
    <w:p>
      <w:pPr>
        <w:ind w:left="660" w:right="560" w:firstLine="644"/>
        <w:spacing w:after="0" w:line="277" w:lineRule="auto"/>
        <w:tabs>
          <w:tab w:leader="none" w:pos="1738" w:val="left"/>
        </w:tabs>
        <w:numPr>
          <w:ilvl w:val="1"/>
          <w:numId w:val="213"/>
        </w:numPr>
        <w:rPr>
          <w:rFonts w:ascii="Arial" w:cs="Arial" w:eastAsia="Arial" w:hAnsi="Arial"/>
          <w:sz w:val="18"/>
          <w:szCs w:val="18"/>
          <w:color w:val="auto"/>
        </w:rPr>
      </w:pPr>
      <w:r>
        <w:rPr>
          <w:rFonts w:ascii="Arial" w:cs="Arial" w:eastAsia="Arial" w:hAnsi="Arial"/>
          <w:sz w:val="18"/>
          <w:szCs w:val="18"/>
          <w:color w:val="auto"/>
        </w:rPr>
        <w:t>except in the case of an assignment to a Lender, an Affiliate of a Lender or an Approved Fund or an assignment of the entire remaining amount of the assigning Lender’s Commitment or Loans of</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341" w:right="339" w:bottom="1440" w:gutter="0" w:footer="0" w:header="0"/>
        </w:sectPr>
      </w:pPr>
    </w:p>
    <w:bookmarkStart w:id="225" w:name="page226"/>
    <w:bookmarkEnd w:id="225"/>
    <w:p>
      <w:pPr>
        <w:ind w:left="660"/>
        <w:spacing w:after="0" w:line="291" w:lineRule="auto"/>
        <w:rPr>
          <w:sz w:val="20"/>
          <w:szCs w:val="20"/>
          <w:color w:val="auto"/>
        </w:rPr>
      </w:pPr>
      <w:r>
        <w:rPr>
          <w:rFonts w:ascii="Arial" w:cs="Arial" w:eastAsia="Arial" w:hAnsi="Arial"/>
          <w:sz w:val="16"/>
          <w:szCs w:val="16"/>
          <w:color w:val="auto"/>
        </w:rPr>
        <w:t xml:space="preserve">any Class, the amount of the Commitment or Loans of the assigning Lender subject to each such assignment (determined as of the date the Assignment and Acceptance with respect to such assignment is delivered to the Administrative Agent) shall not be less than $5,000,000 in the case of Revolving Credit Commitments and $1,000,000 in the case of Term Loans, unless each of the Borrower and the Administrative Agent otherwise consents (which consents shall not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consent of the Borrower shall be required if an Event of Default under </w:t>
      </w:r>
      <w:r>
        <w:rPr>
          <w:rFonts w:ascii="Arial" w:cs="Arial" w:eastAsia="Arial" w:hAnsi="Arial"/>
          <w:sz w:val="16"/>
          <w:szCs w:val="16"/>
          <w:u w:val="single" w:color="auto"/>
          <w:color w:val="auto"/>
        </w:rPr>
        <w:t>Section 11.1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has occurred and is continuing;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contemporaneous assignments by a Lender and its Affiliates or Approved Funds shall be aggregated for purposes of meeting the minimum assignment amount requirements stated above (and simultaneous assignments to or by two or more Related Funds shall be treated as one assignment), if any;</w:t>
      </w:r>
    </w:p>
    <w:p>
      <w:pPr>
        <w:spacing w:after="0" w:line="85" w:lineRule="exact"/>
        <w:rPr>
          <w:sz w:val="20"/>
          <w:szCs w:val="20"/>
          <w:color w:val="auto"/>
        </w:rPr>
      </w:pPr>
    </w:p>
    <w:p>
      <w:pPr>
        <w:ind w:left="660" w:right="180" w:firstLine="644"/>
        <w:spacing w:after="0" w:line="263" w:lineRule="auto"/>
        <w:tabs>
          <w:tab w:leader="none" w:pos="1728" w:val="left"/>
        </w:tabs>
        <w:numPr>
          <w:ilvl w:val="1"/>
          <w:numId w:val="214"/>
        </w:numPr>
        <w:rPr>
          <w:rFonts w:ascii="Arial" w:cs="Arial" w:eastAsia="Arial" w:hAnsi="Arial"/>
          <w:sz w:val="18"/>
          <w:szCs w:val="18"/>
          <w:color w:val="auto"/>
        </w:rPr>
      </w:pPr>
      <w:r>
        <w:rPr>
          <w:rFonts w:ascii="Arial" w:cs="Arial" w:eastAsia="Arial" w:hAnsi="Arial"/>
          <w:sz w:val="18"/>
          <w:szCs w:val="18"/>
          <w:color w:val="auto"/>
        </w:rPr>
        <w:t xml:space="preserve">each partial assignment shall be made as an assignment of a proportionate part of all the assigning Lender’s rights and obligations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shall not be construed to prohibit the assignment of a proportionate part of all the assigning Lender’s rights and obligations in respect of one Class of Commitments or Loans;</w:t>
      </w:r>
    </w:p>
    <w:p>
      <w:pPr>
        <w:spacing w:after="0" w:line="102" w:lineRule="exact"/>
        <w:rPr>
          <w:rFonts w:ascii="Arial" w:cs="Arial" w:eastAsia="Arial" w:hAnsi="Arial"/>
          <w:sz w:val="18"/>
          <w:szCs w:val="18"/>
          <w:color w:val="auto"/>
        </w:rPr>
      </w:pPr>
    </w:p>
    <w:p>
      <w:pPr>
        <w:ind w:left="660" w:right="60" w:firstLine="644"/>
        <w:spacing w:after="0" w:line="259" w:lineRule="auto"/>
        <w:tabs>
          <w:tab w:leader="none" w:pos="1728" w:val="left"/>
        </w:tabs>
        <w:numPr>
          <w:ilvl w:val="1"/>
          <w:numId w:val="214"/>
        </w:numPr>
        <w:rPr>
          <w:rFonts w:ascii="Arial" w:cs="Arial" w:eastAsia="Arial" w:hAnsi="Arial"/>
          <w:sz w:val="18"/>
          <w:szCs w:val="18"/>
          <w:color w:val="auto"/>
        </w:rPr>
      </w:pPr>
      <w:r>
        <w:rPr>
          <w:rFonts w:ascii="Arial" w:cs="Arial" w:eastAsia="Arial" w:hAnsi="Arial"/>
          <w:sz w:val="18"/>
          <w:szCs w:val="18"/>
          <w:color w:val="auto"/>
        </w:rPr>
        <w:t xml:space="preserve">the parties to each assignment shall execute and deliver to the Administrative Agent an Assignment and Acceptance via an electronic settlement system or other method reasonably acceptable to the Administrative Agent,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may, in its sole discretion, elect to waive such processing and recordation fee in the case of any assignment; and</w:t>
      </w:r>
    </w:p>
    <w:p>
      <w:pPr>
        <w:spacing w:after="0" w:line="105" w:lineRule="exact"/>
        <w:rPr>
          <w:rFonts w:ascii="Arial" w:cs="Arial" w:eastAsia="Arial" w:hAnsi="Arial"/>
          <w:sz w:val="18"/>
          <w:szCs w:val="18"/>
          <w:color w:val="auto"/>
        </w:rPr>
      </w:pPr>
    </w:p>
    <w:p>
      <w:pPr>
        <w:ind w:left="660" w:right="600" w:firstLine="644"/>
        <w:spacing w:after="0" w:line="342" w:lineRule="auto"/>
        <w:tabs>
          <w:tab w:leader="none" w:pos="1738" w:val="left"/>
        </w:tabs>
        <w:numPr>
          <w:ilvl w:val="1"/>
          <w:numId w:val="214"/>
        </w:numPr>
        <w:rPr>
          <w:rFonts w:ascii="Arial" w:cs="Arial" w:eastAsia="Arial" w:hAnsi="Arial"/>
          <w:sz w:val="16"/>
          <w:szCs w:val="16"/>
          <w:color w:val="auto"/>
        </w:rPr>
      </w:pPr>
      <w:r>
        <w:rPr>
          <w:rFonts w:ascii="Arial" w:cs="Arial" w:eastAsia="Arial" w:hAnsi="Arial"/>
          <w:sz w:val="16"/>
          <w:szCs w:val="16"/>
          <w:color w:val="auto"/>
        </w:rPr>
        <w:t>the assignee, if it shall not be a Lender, shall deliver to the Administrative Agent an administrative questionnaire in a form approved by the Administrative Agent (the “</w:t>
      </w:r>
      <w:r>
        <w:rPr>
          <w:rFonts w:ascii="Arial" w:cs="Arial" w:eastAsia="Arial" w:hAnsi="Arial"/>
          <w:sz w:val="16"/>
          <w:szCs w:val="16"/>
          <w:b w:val="1"/>
          <w:bCs w:val="1"/>
          <w:color w:val="auto"/>
        </w:rPr>
        <w:t>Administrative Questionnaire</w:t>
      </w:r>
      <w:r>
        <w:rPr>
          <w:rFonts w:ascii="Arial" w:cs="Arial" w:eastAsia="Arial" w:hAnsi="Arial"/>
          <w:sz w:val="16"/>
          <w:szCs w:val="16"/>
          <w:color w:val="auto"/>
        </w:rPr>
        <w:t xml:space="preserve">”) and applicable tax forms (as required under </w:t>
      </w:r>
      <w:r>
        <w:rPr>
          <w:rFonts w:ascii="Arial" w:cs="Arial" w:eastAsia="Arial" w:hAnsi="Arial"/>
          <w:sz w:val="16"/>
          <w:szCs w:val="16"/>
          <w:u w:val="single" w:color="auto"/>
          <w:color w:val="auto"/>
        </w:rPr>
        <w:t>Section 5.4(e))</w:t>
      </w:r>
      <w:r>
        <w:rPr>
          <w:rFonts w:ascii="Arial" w:cs="Arial" w:eastAsia="Arial" w:hAnsi="Arial"/>
          <w:sz w:val="16"/>
          <w:szCs w:val="16"/>
          <w:color w:val="auto"/>
        </w:rPr>
        <w:t>.</w:t>
      </w:r>
    </w:p>
    <w:p>
      <w:pPr>
        <w:spacing w:after="0" w:line="42" w:lineRule="exact"/>
        <w:rPr>
          <w:rFonts w:ascii="Arial" w:cs="Arial" w:eastAsia="Arial" w:hAnsi="Arial"/>
          <w:sz w:val="16"/>
          <w:szCs w:val="16"/>
          <w:color w:val="auto"/>
        </w:rPr>
      </w:pPr>
    </w:p>
    <w:p>
      <w:pPr>
        <w:ind w:right="20" w:firstLine="899"/>
        <w:spacing w:after="0" w:line="287" w:lineRule="auto"/>
        <w:tabs>
          <w:tab w:leader="none" w:pos="1341" w:val="left"/>
        </w:tabs>
        <w:numPr>
          <w:ilvl w:val="0"/>
          <w:numId w:val="215"/>
        </w:numPr>
        <w:rPr>
          <w:rFonts w:ascii="Arial" w:cs="Arial" w:eastAsia="Arial" w:hAnsi="Arial"/>
          <w:sz w:val="16"/>
          <w:szCs w:val="16"/>
          <w:color w:val="auto"/>
        </w:rPr>
      </w:pPr>
      <w:r>
        <w:rPr>
          <w:rFonts w:ascii="Arial" w:cs="Arial" w:eastAsia="Arial" w:hAnsi="Arial"/>
          <w:sz w:val="16"/>
          <w:szCs w:val="16"/>
          <w:color w:val="auto"/>
        </w:rPr>
        <w:t xml:space="preserve">Subject to acceptance and recording thereof pursuant to </w:t>
      </w:r>
      <w:r>
        <w:rPr>
          <w:rFonts w:ascii="Arial" w:cs="Arial" w:eastAsia="Arial" w:hAnsi="Arial"/>
          <w:sz w:val="16"/>
          <w:szCs w:val="16"/>
          <w:u w:val="single" w:color="auto"/>
          <w:color w:val="auto"/>
        </w:rPr>
        <w:t>clause (b)(v)</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w:t>
      </w:r>
      <w:r>
        <w:rPr>
          <w:rFonts w:ascii="Arial" w:cs="Arial" w:eastAsia="Arial" w:hAnsi="Arial"/>
          <w:sz w:val="16"/>
          <w:szCs w:val="16"/>
          <w:u w:val="single" w:color="auto"/>
          <w:color w:val="auto"/>
        </w:rPr>
        <w:t>Sections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13.5</w:t>
      </w:r>
      <w:r>
        <w:rPr>
          <w:rFonts w:ascii="Arial" w:cs="Arial" w:eastAsia="Arial" w:hAnsi="Arial"/>
          <w:sz w:val="16"/>
          <w:szCs w:val="16"/>
          <w:color w:val="auto"/>
        </w:rPr>
        <w:t xml:space="preserve">). Any assignment or transfer by a Lender of rights or obligations under this Agreement that does not comply with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shall be treated for purposes of this Agreement as a sale by such Lender of a participation in such rights and obligations in accordance with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For the avoidance of doubt, in case of an assignment to a new Lender pursuant to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13.6</w:t>
      </w:r>
      <w:r>
        <w:rPr>
          <w:rFonts w:ascii="Arial" w:cs="Arial" w:eastAsia="Arial" w:hAnsi="Arial"/>
          <w:sz w:val="16"/>
          <w:szCs w:val="16"/>
          <w:color w:val="auto"/>
        </w:rPr>
        <w:t>, (i) the Administrative Agent, the new Lender and other Lenders shall acquire the same rights and assume the same obligations between themselves as they would have acquired and assumed had the new Lender been an original Lender signatory to this Agreement with the rights and/or obligations acquired or assumed by it as a result of the assignment and to the extent of the assignment the assigning Lender shall each be released from further obligations under the Credit Documents and (ii) the benefit of each Security Document shall be maintained in favor of the new Lender.</w:t>
      </w:r>
    </w:p>
    <w:p>
      <w:pPr>
        <w:spacing w:after="0" w:line="86" w:lineRule="exact"/>
        <w:rPr>
          <w:rFonts w:ascii="Arial" w:cs="Arial" w:eastAsia="Arial" w:hAnsi="Arial"/>
          <w:sz w:val="16"/>
          <w:szCs w:val="16"/>
          <w:color w:val="auto"/>
        </w:rPr>
      </w:pPr>
    </w:p>
    <w:p>
      <w:pPr>
        <w:ind w:right="60" w:firstLine="899"/>
        <w:spacing w:after="0" w:line="290" w:lineRule="auto"/>
        <w:tabs>
          <w:tab w:leader="none" w:pos="1327"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Administrative Agent, acting for this purpose as a non-fiduciary agent of the Borrower, shall maintain at the Administrative Agent’s Office a copy of each Assignment and Acceptance delivered to it and a register for the recordation of the names and addresses of the Lenders, and the Commitments of, and principal amount of the Loans (and stated interest amounts) and any payment made by the Letter of Credit Issuer under any Letter of Credit owing to each Lender pursuant to the terms hereof from time to time (the “</w:t>
      </w:r>
      <w:r>
        <w:rPr>
          <w:rFonts w:ascii="Arial" w:cs="Arial" w:eastAsia="Arial" w:hAnsi="Arial"/>
          <w:sz w:val="16"/>
          <w:szCs w:val="16"/>
          <w:b w:val="1"/>
          <w:bCs w:val="1"/>
          <w:color w:val="auto"/>
        </w:rPr>
        <w:t>Register</w:t>
      </w:r>
      <w:r>
        <w:rPr>
          <w:rFonts w:ascii="Arial" w:cs="Arial" w:eastAsia="Arial" w:hAnsi="Arial"/>
          <w:sz w:val="16"/>
          <w:szCs w:val="16"/>
          <w:color w:val="auto"/>
        </w:rPr>
        <w:t>”). The entries in the Register shall be conclusive, absent manifest error, and the Borrower, the Administrative Agent, the Collateral Agent, the Letter of Credit Issuer and the Lenders shall treat each Person whose name is recorded in the Register pursuant to the terms hereof as a Lender hereunder for all purposes of this Agreement, notwithstanding notice to the contrary. The Register shall be available for inspection by the Borrower, the Collateral Agent, the Letter of Credit Issuer, the Administrative Agent and its Affiliates and, with respect to itself, any Lender, at any reasonable time and from time to time upon reasonable prior notice.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341" w:right="339" w:bottom="1440" w:gutter="0" w:footer="0" w:header="0"/>
        </w:sectPr>
      </w:pPr>
    </w:p>
    <w:bookmarkStart w:id="226" w:name="page227"/>
    <w:bookmarkEnd w:id="226"/>
    <w:p>
      <w:pPr>
        <w:ind w:right="40" w:firstLine="899"/>
        <w:spacing w:after="0" w:line="285" w:lineRule="auto"/>
        <w:tabs>
          <w:tab w:leader="none" w:pos="1281" w:val="left"/>
        </w:tabs>
        <w:numPr>
          <w:ilvl w:val="1"/>
          <w:numId w:val="216"/>
        </w:numPr>
        <w:rPr>
          <w:rFonts w:ascii="Arial" w:cs="Arial" w:eastAsia="Arial" w:hAnsi="Arial"/>
          <w:sz w:val="16"/>
          <w:szCs w:val="16"/>
          <w:color w:val="auto"/>
        </w:rPr>
      </w:pPr>
      <w:r>
        <w:rPr>
          <w:rFonts w:ascii="Arial" w:cs="Arial" w:eastAsia="Arial" w:hAnsi="Arial"/>
          <w:sz w:val="16"/>
          <w:szCs w:val="16"/>
          <w:color w:val="auto"/>
        </w:rPr>
        <w:t xml:space="preserve">Upon its receipt of a duly completed Assignment and Acceptance executed by an assigning Lender and an assignee, the assignee’s completed Administrative Questionnaire and applicable tax forms (unless the assignee shall already be a Lender hereunder), the processing and recordation fee referred to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and any written consent to such assignment required by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the Administrative Agent shall promptly accept such Assignment and Acceptance and record the information contained therein in the Register. No assignment, whether or not evidenced by a promissory note, shall be effective for purposes of this Agreement unless it has been recorded in the Register as provided in this clause (b)</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(v).</w:t>
      </w:r>
    </w:p>
    <w:p>
      <w:pPr>
        <w:spacing w:after="0" w:line="102" w:lineRule="exact"/>
        <w:rPr>
          <w:rFonts w:ascii="Arial" w:cs="Arial" w:eastAsia="Arial" w:hAnsi="Arial"/>
          <w:sz w:val="16"/>
          <w:szCs w:val="16"/>
          <w:color w:val="auto"/>
        </w:rPr>
      </w:pPr>
    </w:p>
    <w:p>
      <w:pPr>
        <w:ind w:firstLine="656"/>
        <w:spacing w:after="0" w:line="282" w:lineRule="auto"/>
        <w:tabs>
          <w:tab w:leader="none" w:pos="1028"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xml:space="preserve">(i) Any Lender may, without the consent of the Borrower or the Administrative Agent, the Letter of Credit Issuer or the Swingline Lender, sell participations to one or more banks or other entities (other than (x) a natural person (or a holding company, investment vehicle or trust for, or owned and operated by or for the primary benefit of a natural Person), (y) Holdings and its Subsidiaries or Affiliates and (z) any Disqualified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clause (y) hereof, participations may be sold to Disqualified Lenders unless a list of Disqualified Lenders has been made available to all Lenders) (each, a “</w:t>
      </w:r>
      <w:r>
        <w:rPr>
          <w:rFonts w:ascii="Arial" w:cs="Arial" w:eastAsia="Arial" w:hAnsi="Arial"/>
          <w:sz w:val="16"/>
          <w:szCs w:val="16"/>
          <w:b w:val="1"/>
          <w:bCs w:val="1"/>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Commitments and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Letter of Credit Issuer, and the other Lenders shall continue to deal solely and directly with such Lender in connection with such Lender’s rights and obligations under this Agreement. For the avoidance of doubt, the Administrative Agent shall bear no responsibility or liability for monitoring and enforcing the list of Disqualified Lenders or the sales of participations thereto at any time. Any agreement or instrument pursuant to which a Lender sells such a participation shall provide that such Lender shall retain the sole right to enforce this Agreement and to approve any amendment, modification or waiver of any provision of this Agreement or any other Credit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of the second proviso to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that affects such Participant. Subject to </w:t>
      </w:r>
      <w:r>
        <w:rPr>
          <w:rFonts w:ascii="Arial" w:cs="Arial" w:eastAsia="Arial" w:hAnsi="Arial"/>
          <w:sz w:val="16"/>
          <w:szCs w:val="16"/>
          <w:u w:val="single" w:color="auto"/>
          <w:color w:val="auto"/>
        </w:rPr>
        <w:t>clause (c)(ii)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the Borrower agrees that each Participant shall be entitled to the benefits of </w:t>
      </w:r>
      <w:r>
        <w:rPr>
          <w:rFonts w:ascii="Arial" w:cs="Arial" w:eastAsia="Arial" w:hAnsi="Arial"/>
          <w:sz w:val="16"/>
          <w:szCs w:val="16"/>
          <w:u w:val="single" w:color="auto"/>
          <w:color w:val="auto"/>
        </w:rPr>
        <w:t>Sections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to the same extent as if it were a Lender (subject to the limitations and requirements of those Sections as though it were a Lender and had acquired its interest by assignment pursuant to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including the requirements of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w:t>
      </w:r>
    </w:p>
    <w:p>
      <w:pPr>
        <w:spacing w:after="0" w:line="11" w:lineRule="exact"/>
        <w:rPr>
          <w:rFonts w:ascii="Arial" w:cs="Arial" w:eastAsia="Arial" w:hAnsi="Arial"/>
          <w:sz w:val="16"/>
          <w:szCs w:val="16"/>
          <w:color w:val="auto"/>
        </w:rPr>
      </w:pPr>
    </w:p>
    <w:p>
      <w:pPr>
        <w:ind w:right="6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5.4</w:t>
      </w:r>
      <w:r>
        <w:rPr>
          <w:rFonts w:ascii="Arial" w:cs="Arial" w:eastAsia="Arial" w:hAnsi="Arial"/>
          <w:sz w:val="18"/>
          <w:szCs w:val="18"/>
          <w:color w:val="auto"/>
        </w:rPr>
        <w:t xml:space="preserve">) (it being agreed that any documentation required under Section 5.4(e) shall be provided solely to the participating Lender)). To the extent permitted by law, each Participant also shall be entitled to the benefits of </w:t>
      </w:r>
      <w:r>
        <w:rPr>
          <w:rFonts w:ascii="Arial" w:cs="Arial" w:eastAsia="Arial" w:hAnsi="Arial"/>
          <w:sz w:val="18"/>
          <w:szCs w:val="18"/>
          <w:u w:val="single" w:color="auto"/>
          <w:color w:val="auto"/>
        </w:rPr>
        <w:t>Section 13.8(b)</w:t>
      </w:r>
      <w:r>
        <w:rPr>
          <w:rFonts w:ascii="Arial" w:cs="Arial" w:eastAsia="Arial" w:hAnsi="Arial"/>
          <w:sz w:val="18"/>
          <w:szCs w:val="18"/>
          <w:color w:val="auto"/>
        </w:rPr>
        <w:t xml:space="preserve">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Participant shall be subject to </w:t>
      </w:r>
      <w:r>
        <w:rPr>
          <w:rFonts w:ascii="Arial" w:cs="Arial" w:eastAsia="Arial" w:hAnsi="Arial"/>
          <w:sz w:val="18"/>
          <w:szCs w:val="18"/>
          <w:u w:val="single" w:color="auto"/>
          <w:color w:val="auto"/>
        </w:rPr>
        <w:t>Section 13.8(a)</w:t>
      </w:r>
      <w:r>
        <w:rPr>
          <w:rFonts w:ascii="Arial" w:cs="Arial" w:eastAsia="Arial" w:hAnsi="Arial"/>
          <w:sz w:val="18"/>
          <w:szCs w:val="18"/>
          <w:color w:val="auto"/>
        </w:rPr>
        <w:t xml:space="preserve"> as though it were a Lender.</w:t>
      </w:r>
    </w:p>
    <w:p>
      <w:pPr>
        <w:spacing w:after="0" w:line="81" w:lineRule="exact"/>
        <w:rPr>
          <w:rFonts w:ascii="Arial" w:cs="Arial" w:eastAsia="Arial" w:hAnsi="Arial"/>
          <w:sz w:val="16"/>
          <w:szCs w:val="16"/>
          <w:color w:val="auto"/>
        </w:rPr>
      </w:pPr>
    </w:p>
    <w:p>
      <w:pPr>
        <w:ind w:firstLine="899"/>
        <w:spacing w:after="0" w:line="269" w:lineRule="auto"/>
        <w:tabs>
          <w:tab w:leader="none" w:pos="1281" w:val="left"/>
        </w:tabs>
        <w:numPr>
          <w:ilvl w:val="1"/>
          <w:numId w:val="217"/>
        </w:numPr>
        <w:rPr>
          <w:rFonts w:ascii="Arial" w:cs="Arial" w:eastAsia="Arial" w:hAnsi="Arial"/>
          <w:sz w:val="17"/>
          <w:szCs w:val="17"/>
          <w:color w:val="auto"/>
        </w:rPr>
      </w:pPr>
      <w:r>
        <w:rPr>
          <w:rFonts w:ascii="Arial" w:cs="Arial" w:eastAsia="Arial" w:hAnsi="Arial"/>
          <w:sz w:val="17"/>
          <w:szCs w:val="17"/>
          <w:color w:val="auto"/>
        </w:rPr>
        <w:t xml:space="preserve">A Participant shall not be entitled to receive any greater payment under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w:t>
      </w:r>
      <w:r>
        <w:rPr>
          <w:rFonts w:ascii="Arial" w:cs="Arial" w:eastAsia="Arial" w:hAnsi="Arial"/>
          <w:sz w:val="17"/>
          <w:szCs w:val="17"/>
          <w:color w:val="auto"/>
        </w:rPr>
        <w:t xml:space="preserve">, </w:t>
      </w:r>
      <w:r>
        <w:rPr>
          <w:rFonts w:ascii="Arial" w:cs="Arial" w:eastAsia="Arial" w:hAnsi="Arial"/>
          <w:sz w:val="17"/>
          <w:szCs w:val="17"/>
          <w:u w:val="single" w:color="auto"/>
          <w:color w:val="auto"/>
        </w:rPr>
        <w:t>3.5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5.4</w:t>
      </w:r>
      <w:r>
        <w:rPr>
          <w:rFonts w:ascii="Arial" w:cs="Arial" w:eastAsia="Arial" w:hAnsi="Arial"/>
          <w:sz w:val="17"/>
          <w:szCs w:val="17"/>
          <w:color w:val="auto"/>
        </w:rPr>
        <w:t xml:space="preserve"> than the applicable Lender would have been entitled to receive absent the sale of such the participation sold to such Participant, unless the sale of the participation to such Participant is made with the Borrower’s prior written consent (which consent shall not be unreasonably withheld). Each Lender that sells a participation shall, acting solely for this purpose as a non-fiduciary agent of the Borrower, maintain a register on which it enters the name and address of each Participant and the principal amounts (and stated interest amounts) of each Participant’s interest in the Loans or other obligations under this Agreement (the “</w:t>
      </w:r>
      <w:r>
        <w:rPr>
          <w:rFonts w:ascii="Arial" w:cs="Arial" w:eastAsia="Arial" w:hAnsi="Arial"/>
          <w:sz w:val="17"/>
          <w:szCs w:val="17"/>
          <w:b w:val="1"/>
          <w:bCs w:val="1"/>
          <w:color w:val="auto"/>
        </w:rPr>
        <w:t>Participant Register</w:t>
      </w:r>
      <w:r>
        <w:rPr>
          <w:rFonts w:ascii="Arial" w:cs="Arial" w:eastAsia="Arial" w:hAnsi="Arial"/>
          <w:sz w:val="17"/>
          <w:szCs w:val="17"/>
          <w:color w:val="auto"/>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Credit Document) except to the extent that such disclosure is necessary to establish that such commitment, loan, letter of credit or other obligation is in registered form under Section 5f.103-1(c) of the United States Treasury Regulations.</w:t>
      </w:r>
    </w:p>
    <w:p>
      <w:pPr>
        <w:spacing w:after="0" w:line="73" w:lineRule="exact"/>
        <w:rPr>
          <w:rFonts w:ascii="Arial" w:cs="Arial" w:eastAsia="Arial" w:hAnsi="Arial"/>
          <w:sz w:val="17"/>
          <w:szCs w:val="17"/>
          <w:color w:val="auto"/>
        </w:rPr>
      </w:pPr>
    </w:p>
    <w:p>
      <w:pPr>
        <w:ind w:right="100" w:firstLine="656"/>
        <w:spacing w:after="0" w:line="257" w:lineRule="auto"/>
        <w:tabs>
          <w:tab w:leader="none" w:pos="1028"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Any Lender may, without the consent of the Borrower or the Administrative Agent, at any time pledge or assign a security interest in all or any portion of its rights under this Agreement to secure obligations of such Lender, including any pledge or assignment to secure obligations to a Federal Reserve Bank, or other central bank having jurisdiction over such Lender and this </w:t>
      </w:r>
      <w:r>
        <w:rPr>
          <w:rFonts w:ascii="Arial" w:cs="Arial" w:eastAsia="Arial" w:hAnsi="Arial"/>
          <w:sz w:val="18"/>
          <w:szCs w:val="18"/>
          <w:u w:val="single" w:color="auto"/>
          <w:color w:val="auto"/>
        </w:rPr>
        <w:t>Section 13.6</w:t>
      </w:r>
      <w:r>
        <w:rPr>
          <w:rFonts w:ascii="Arial" w:cs="Arial" w:eastAsia="Arial" w:hAnsi="Arial"/>
          <w:sz w:val="18"/>
          <w:szCs w:val="18"/>
          <w:color w:val="auto"/>
        </w:rPr>
        <w:t xml:space="preserve">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341" w:right="339" w:bottom="1440" w:gutter="0" w:footer="0" w:header="0"/>
        </w:sectPr>
      </w:pPr>
    </w:p>
    <w:bookmarkStart w:id="227" w:name="page228"/>
    <w:bookmarkEnd w:id="227"/>
    <w:p>
      <w:pPr>
        <w:jc w:val="both"/>
        <w:ind w:left="-20" w:right="100" w:firstLine="656"/>
        <w:spacing w:after="0" w:line="257" w:lineRule="auto"/>
        <w:tabs>
          <w:tab w:leader="none" w:pos="1008"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13.16</w:t>
      </w:r>
      <w:r>
        <w:rPr>
          <w:rFonts w:ascii="Arial" w:cs="Arial" w:eastAsia="Arial" w:hAnsi="Arial"/>
          <w:sz w:val="18"/>
          <w:szCs w:val="18"/>
          <w:color w:val="auto"/>
        </w:rPr>
        <w:t>, the Borrower authorizes each Lender to disclose to any Participant, secured creditor of such Lender or assignee (each, a “</w:t>
      </w:r>
      <w:r>
        <w:rPr>
          <w:rFonts w:ascii="Arial" w:cs="Arial" w:eastAsia="Arial" w:hAnsi="Arial"/>
          <w:sz w:val="18"/>
          <w:szCs w:val="18"/>
          <w:b w:val="1"/>
          <w:bCs w:val="1"/>
          <w:color w:val="auto"/>
        </w:rPr>
        <w:t>Transferee</w:t>
      </w:r>
      <w:r>
        <w:rPr>
          <w:rFonts w:ascii="Arial" w:cs="Arial" w:eastAsia="Arial" w:hAnsi="Arial"/>
          <w:sz w:val="18"/>
          <w:szCs w:val="18"/>
          <w:color w:val="auto"/>
        </w:rPr>
        <w:t>”) and any prospective Transferee any and all financial information in such Lender’s possession concerning the Borrower and their Affiliates that has been delivered to such Lender by or on behalf of the Borrower and their Affiliates pursuant to this Agreement or that has been delivered to such Lender by or on behalf of the Borrower and their Affiliates in connection with such Lender’s credit evaluation of the Borrower and their Affiliates prior to becoming a party to this Agreement.</w:t>
      </w:r>
    </w:p>
    <w:p>
      <w:pPr>
        <w:spacing w:after="0" w:line="187" w:lineRule="exact"/>
        <w:rPr>
          <w:rFonts w:ascii="Arial" w:cs="Arial" w:eastAsia="Arial" w:hAnsi="Arial"/>
          <w:sz w:val="18"/>
          <w:szCs w:val="18"/>
          <w:color w:val="auto"/>
        </w:rPr>
      </w:pPr>
    </w:p>
    <w:p>
      <w:pPr>
        <w:ind w:left="-20" w:right="60" w:firstLine="656"/>
        <w:spacing w:after="0" w:line="289" w:lineRule="auto"/>
        <w:tabs>
          <w:tab w:leader="none" w:pos="984" w:val="left"/>
        </w:tabs>
        <w:numPr>
          <w:ilvl w:val="0"/>
          <w:numId w:val="218"/>
        </w:numPr>
        <w:rPr>
          <w:rFonts w:ascii="Arial" w:cs="Arial" w:eastAsia="Arial" w:hAnsi="Arial"/>
          <w:sz w:val="16"/>
          <w:szCs w:val="16"/>
          <w:color w:val="auto"/>
        </w:rPr>
      </w:pPr>
      <w:r>
        <w:rPr>
          <w:rFonts w:ascii="Arial" w:cs="Arial" w:eastAsia="Arial" w:hAnsi="Arial"/>
          <w:sz w:val="16"/>
          <w:szCs w:val="16"/>
          <w:color w:val="auto"/>
        </w:rPr>
        <w:t xml:space="preserve">The words “execution,” “signed,” “signature,” and words of like import used in connection with this Agreement and the transactions contemplated hereby (including without limitation Assignment and Acceptances, amendments or other modifications, Notices of Borrowing,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contained herein to the contrary, the Administrative Agent nor any Letter of Credit Issuer or Lenders is under no obligation to agree to accept electronic signatures in any form or in any format unless expressly agreed to by the Administrative Agent pursuant to procedures approved by it.</w:t>
      </w:r>
    </w:p>
    <w:p>
      <w:pPr>
        <w:spacing w:after="0" w:line="162" w:lineRule="exact"/>
        <w:rPr>
          <w:rFonts w:ascii="Arial" w:cs="Arial" w:eastAsia="Arial" w:hAnsi="Arial"/>
          <w:sz w:val="16"/>
          <w:szCs w:val="16"/>
          <w:color w:val="auto"/>
        </w:rPr>
      </w:pPr>
    </w:p>
    <w:p>
      <w:pPr>
        <w:ind w:left="-20" w:firstLine="656"/>
        <w:spacing w:after="0" w:line="284" w:lineRule="auto"/>
        <w:tabs>
          <w:tab w:leader="none" w:pos="1018" w:val="left"/>
        </w:tabs>
        <w:numPr>
          <w:ilvl w:val="0"/>
          <w:numId w:val="218"/>
        </w:numPr>
        <w:rPr>
          <w:rFonts w:ascii="Arial" w:cs="Arial" w:eastAsia="Arial" w:hAnsi="Arial"/>
          <w:sz w:val="16"/>
          <w:szCs w:val="16"/>
          <w:color w:val="auto"/>
        </w:rPr>
      </w:pPr>
      <w:r>
        <w:rPr>
          <w:rFonts w:ascii="Arial" w:cs="Arial" w:eastAsia="Arial" w:hAnsi="Arial"/>
          <w:sz w:val="16"/>
          <w:szCs w:val="16"/>
          <w:u w:val="single" w:color="auto"/>
          <w:color w:val="auto"/>
        </w:rPr>
        <w:t>SPV Lender</w:t>
      </w:r>
      <w:r>
        <w:rPr>
          <w:rFonts w:ascii="Arial" w:cs="Arial" w:eastAsia="Arial" w:hAnsi="Arial"/>
          <w:sz w:val="16"/>
          <w:szCs w:val="16"/>
          <w:color w:val="auto"/>
        </w:rPr>
        <w:t>. Notwithstanding anything to the contrary contained herein, any Lender (a “</w:t>
      </w:r>
      <w:r>
        <w:rPr>
          <w:rFonts w:ascii="Arial" w:cs="Arial" w:eastAsia="Arial" w:hAnsi="Arial"/>
          <w:sz w:val="16"/>
          <w:szCs w:val="16"/>
          <w:b w:val="1"/>
          <w:bCs w:val="1"/>
          <w:color w:val="auto"/>
        </w:rPr>
        <w:t>Granting Lender</w:t>
      </w:r>
      <w:r>
        <w:rPr>
          <w:rFonts w:ascii="Arial" w:cs="Arial" w:eastAsia="Arial" w:hAnsi="Arial"/>
          <w:sz w:val="16"/>
          <w:szCs w:val="16"/>
          <w:color w:val="auto"/>
        </w:rPr>
        <w:t>”) may grant to a special purpose funding vehicle (an “</w:t>
      </w:r>
      <w:r>
        <w:rPr>
          <w:rFonts w:ascii="Arial" w:cs="Arial" w:eastAsia="Arial" w:hAnsi="Arial"/>
          <w:sz w:val="16"/>
          <w:szCs w:val="16"/>
          <w:b w:val="1"/>
          <w:bCs w:val="1"/>
          <w:color w:val="auto"/>
        </w:rPr>
        <w:t>SPV</w:t>
      </w:r>
      <w:r>
        <w:rPr>
          <w:rFonts w:ascii="Arial" w:cs="Arial" w:eastAsia="Arial" w:hAnsi="Arial"/>
          <w:sz w:val="16"/>
          <w:szCs w:val="16"/>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the Borrower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nothing herein shall constitute a commitment by any SPV to make any Loan and (ii) if an SPV elects not to exercise such option or otherwise fails to provide all or any part of such Loan, the Granting Lender shall be obligated to make such Loan pursuant to the terms hereof. The making of a Loan by an SPV hereunder shall utilize the Commitment of the Granting Lender to the same extent, and as if, such Loan were made by such Granting Lender. Each party hereto hereby agrees that no SPV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SPV, it shall not institute against, or join any other Person in instituting against, such SPV any bankruptcy, reorganization, arrangement, insolvency or liquidation proceedings under the laws of the United States or any State thereof. In addition, notwithstanding anything to the contrary contained in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any SPV may (i) with notice to, but without the prior written consent of, the Borrower and the Administrative Agent and without paying any processing fee therefor, assign all or a portion of its interests in any Loans to the Granting Lender or to any financial institutions (consented to by the Borrower and the Administrative Agent) other than a Disqualified Lender providing liquidity and/or credit support to or for the account of such SPV to support the funding or maintenance of Loans and (ii) subject to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disclose on a confidential basis any non-public information relating to its Loans to any rating agency, commercial paper dealer or provider of any surety, guarantee or credit or liquidity enhancement to such SPV. This </w:t>
      </w:r>
      <w:r>
        <w:rPr>
          <w:rFonts w:ascii="Arial" w:cs="Arial" w:eastAsia="Arial" w:hAnsi="Arial"/>
          <w:sz w:val="16"/>
          <w:szCs w:val="16"/>
          <w:u w:val="single" w:color="auto"/>
          <w:color w:val="auto"/>
        </w:rPr>
        <w:t>Section 13.6(g)</w:t>
      </w:r>
      <w:r>
        <w:rPr>
          <w:rFonts w:ascii="Arial" w:cs="Arial" w:eastAsia="Arial" w:hAnsi="Arial"/>
          <w:sz w:val="16"/>
          <w:szCs w:val="16"/>
          <w:color w:val="auto"/>
        </w:rPr>
        <w:t xml:space="preserve"> may not be amended without the written consent of the SPV. Notwithstanding anything to the contrary in this Agreement but subject to the following sentence, each SPV shall be entitled to the benefits of </w:t>
      </w:r>
      <w:r>
        <w:rPr>
          <w:rFonts w:ascii="Arial" w:cs="Arial" w:eastAsia="Arial" w:hAnsi="Arial"/>
          <w:sz w:val="16"/>
          <w:szCs w:val="16"/>
          <w:u w:val="single" w:color="auto"/>
          <w:color w:val="auto"/>
        </w:rPr>
        <w:t>Sections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to the same extent as if it were a Lender (subject to the limitations and requirements of those Sections as though it were a Lender and had acquired its interest by assignment pursuant to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including the requirements of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(it being agreed that any documentation required under </w:t>
      </w:r>
      <w:r>
        <w:rPr>
          <w:rFonts w:ascii="Arial" w:cs="Arial" w:eastAsia="Arial" w:hAnsi="Arial"/>
          <w:sz w:val="16"/>
          <w:szCs w:val="16"/>
          <w:u w:val="single" w:color="auto"/>
          <w:color w:val="auto"/>
        </w:rPr>
        <w:t>Section 5.4(e)</w:t>
      </w:r>
      <w:r>
        <w:rPr>
          <w:rFonts w:ascii="Arial" w:cs="Arial" w:eastAsia="Arial" w:hAnsi="Arial"/>
          <w:sz w:val="16"/>
          <w:szCs w:val="16"/>
          <w:color w:val="auto"/>
        </w:rPr>
        <w:t xml:space="preserve"> shall be provided solely to the Granting Lender)). Notwithstanding the prior sentence, an SPV shall not be entitled to receive any greater payment under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3.5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than its Granting Lender would have been entitled to receive absent the grant to such SPV, unless such grant to such SPV is made with the Borrower’s prior written consent (which consent shall not be unreasonably withheld).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00"/>
          </w:cols>
          <w:pgMar w:left="340" w:top="341" w:right="359" w:bottom="1440" w:gutter="0" w:footer="0" w:header="0"/>
        </w:sectPr>
      </w:pPr>
    </w:p>
    <w:bookmarkStart w:id="228" w:name="page229"/>
    <w:bookmarkEnd w:id="228"/>
    <w:p>
      <w:pPr>
        <w:ind w:left="640"/>
        <w:spacing w:after="0"/>
        <w:tabs>
          <w:tab w:leader="none" w:pos="112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u w:val="single" w:color="auto"/>
          <w:color w:val="auto"/>
        </w:rPr>
        <w:t>Replacements of Lenders Under Certain Circumstances</w:t>
      </w:r>
      <w:r>
        <w:rPr>
          <w:rFonts w:ascii="Arial" w:cs="Arial" w:eastAsia="Arial" w:hAnsi="Arial"/>
          <w:sz w:val="16"/>
          <w:szCs w:val="16"/>
          <w:color w:val="auto"/>
        </w:rPr>
        <w:t>.</w:t>
      </w:r>
    </w:p>
    <w:p>
      <w:pPr>
        <w:spacing w:after="0" w:line="225" w:lineRule="exact"/>
        <w:rPr>
          <w:sz w:val="20"/>
          <w:szCs w:val="20"/>
          <w:color w:val="auto"/>
        </w:rPr>
      </w:pPr>
    </w:p>
    <w:p>
      <w:pPr>
        <w:ind w:left="-20" w:right="20" w:firstLine="656"/>
        <w:spacing w:after="0" w:line="268" w:lineRule="auto"/>
        <w:tabs>
          <w:tab w:leader="none" w:pos="1004" w:val="left"/>
        </w:tabs>
        <w:numPr>
          <w:ilvl w:val="0"/>
          <w:numId w:val="219"/>
        </w:numPr>
        <w:rPr>
          <w:rFonts w:ascii="Arial" w:cs="Arial" w:eastAsia="Arial" w:hAnsi="Arial"/>
          <w:sz w:val="17"/>
          <w:szCs w:val="17"/>
          <w:color w:val="auto"/>
        </w:rPr>
      </w:pPr>
      <w:r>
        <w:rPr>
          <w:rFonts w:ascii="Arial" w:cs="Arial" w:eastAsia="Arial" w:hAnsi="Arial"/>
          <w:sz w:val="17"/>
          <w:szCs w:val="17"/>
          <w:color w:val="auto"/>
        </w:rPr>
        <w:t xml:space="preserve">The Borrower shall be permitted (x) to replace any Lender or (y) terminate the Commitment of such Lender or Letter of Credit Issuer, as the case may be, and (1) in the case of a Lender (other than the Letter of Credit Issuer), repay all Obligations of the Borrower due and owing to such Lender relating to the Loans and participations held by such Lender as of such termination date and (2) in the case of the Letter of Credit Issuer, repay all Obligations of the Borrower owing to such Letter of Credit Issuer relating to the Loans and participations held by the Letter of Credit Issuer as of such termination date and cancel or backstop on terms satisfactory to such Letter of Credit Issuer any Letters of Credit issued by it that (a) requests reimbursement for amounts owing pursuant to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5.4</w:t>
      </w:r>
      <w:r>
        <w:rPr>
          <w:rFonts w:ascii="Arial" w:cs="Arial" w:eastAsia="Arial" w:hAnsi="Arial"/>
          <w:sz w:val="17"/>
          <w:szCs w:val="17"/>
          <w:color w:val="auto"/>
        </w:rPr>
        <w:t xml:space="preserve">, (b) is affected in the manner described in </w:t>
      </w:r>
      <w:r>
        <w:rPr>
          <w:rFonts w:ascii="Arial" w:cs="Arial" w:eastAsia="Arial" w:hAnsi="Arial"/>
          <w:sz w:val="17"/>
          <w:szCs w:val="17"/>
          <w:u w:val="single" w:color="auto"/>
          <w:color w:val="auto"/>
        </w:rPr>
        <w:t>Section 2.10(a)(iii)</w:t>
      </w:r>
      <w:r>
        <w:rPr>
          <w:rFonts w:ascii="Arial" w:cs="Arial" w:eastAsia="Arial" w:hAnsi="Arial"/>
          <w:sz w:val="17"/>
          <w:szCs w:val="17"/>
          <w:color w:val="auto"/>
        </w:rPr>
        <w:t xml:space="preserve"> and as a result thereof any of the actions described in such Section is required to be taken, or (c) becomes a Defaulting Lender, with a replacement bank or other financial institution; provided that (i) such replacement does not conflict with any Requirement of Law, (ii) no Event of Default under </w:t>
      </w:r>
      <w:r>
        <w:rPr>
          <w:rFonts w:ascii="Arial" w:cs="Arial" w:eastAsia="Arial" w:hAnsi="Arial"/>
          <w:sz w:val="17"/>
          <w:szCs w:val="17"/>
          <w:u w:val="single" w:color="auto"/>
          <w:color w:val="auto"/>
        </w:rPr>
        <w:t>Sections 11.1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11.5</w:t>
      </w:r>
      <w:r>
        <w:rPr>
          <w:rFonts w:ascii="Arial" w:cs="Arial" w:eastAsia="Arial" w:hAnsi="Arial"/>
          <w:sz w:val="17"/>
          <w:szCs w:val="17"/>
          <w:color w:val="auto"/>
        </w:rPr>
        <w:t xml:space="preserve"> shall have occurred and be continuing at the time of such replacement, (iii) the Borrower shall repay (or the replacement bank or institution shall purchase, at par) all Loans and other amounts pursuant to </w:t>
      </w:r>
      <w:r>
        <w:rPr>
          <w:rFonts w:ascii="Arial" w:cs="Arial" w:eastAsia="Arial" w:hAnsi="Arial"/>
          <w:sz w:val="17"/>
          <w:szCs w:val="17"/>
          <w:u w:val="single" w:color="auto"/>
          <w:color w:val="auto"/>
        </w:rPr>
        <w:t>Sections 2.10</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5.4</w:t>
      </w:r>
      <w:r>
        <w:rPr>
          <w:rFonts w:ascii="Arial" w:cs="Arial" w:eastAsia="Arial" w:hAnsi="Arial"/>
          <w:sz w:val="17"/>
          <w:szCs w:val="17"/>
          <w:color w:val="auto"/>
        </w:rPr>
        <w:t xml:space="preserve">, as the case may be, owing to such replaced Lender prior to the date of replacement, (iv) the replacement bank or institution, if not already a Lender, an Affiliate of the Lender or Approved Fund, and the terms and conditions of such replacement, shall be reasonably satisfactory to the Administrative Agent, (v) the replacement bank or institution, if not already a Lender shall be subject to the provisions of </w:t>
      </w:r>
      <w:r>
        <w:rPr>
          <w:rFonts w:ascii="Arial" w:cs="Arial" w:eastAsia="Arial" w:hAnsi="Arial"/>
          <w:sz w:val="17"/>
          <w:szCs w:val="17"/>
          <w:u w:val="single" w:color="auto"/>
          <w:color w:val="auto"/>
        </w:rPr>
        <w:t>Section 13.6(b)</w:t>
      </w:r>
      <w:r>
        <w:rPr>
          <w:rFonts w:ascii="Arial" w:cs="Arial" w:eastAsia="Arial" w:hAnsi="Arial"/>
          <w:sz w:val="17"/>
          <w:szCs w:val="17"/>
          <w:color w:val="auto"/>
        </w:rPr>
        <w:t xml:space="preserve">, (vi) the replaced Lender shall be obligated to make such replacement in accordance with the provisions of </w:t>
      </w:r>
      <w:r>
        <w:rPr>
          <w:rFonts w:ascii="Arial" w:cs="Arial" w:eastAsia="Arial" w:hAnsi="Arial"/>
          <w:sz w:val="17"/>
          <w:szCs w:val="17"/>
          <w:u w:val="single" w:color="auto"/>
          <w:color w:val="auto"/>
        </w:rPr>
        <w:t>Section 13.6</w:t>
      </w:r>
      <w:r>
        <w:rPr>
          <w:rFonts w:ascii="Arial" w:cs="Arial" w:eastAsia="Arial" w:hAnsi="Arial"/>
          <w:sz w:val="17"/>
          <w:szCs w:val="17"/>
          <w:color w:val="auto"/>
        </w:rPr>
        <w:t xml:space="preserve"> (provided that unless otherwise agreed the Borrower shall be obligated to pay the registration and processing fee referred to therein), and (vii) any such replacement shall not be deemed to be a waiver of any rights that the Borrower, the Administrative Agent or any other Lender shall have against the replaced Lender.</w:t>
      </w:r>
    </w:p>
    <w:p>
      <w:pPr>
        <w:spacing w:after="0" w:line="175" w:lineRule="exact"/>
        <w:rPr>
          <w:rFonts w:ascii="Arial" w:cs="Arial" w:eastAsia="Arial" w:hAnsi="Arial"/>
          <w:sz w:val="17"/>
          <w:szCs w:val="17"/>
          <w:color w:val="auto"/>
        </w:rPr>
      </w:pPr>
    </w:p>
    <w:p>
      <w:pPr>
        <w:ind w:left="-20" w:firstLine="656"/>
        <w:spacing w:after="0" w:line="267" w:lineRule="auto"/>
        <w:tabs>
          <w:tab w:leader="none" w:pos="1018" w:val="left"/>
        </w:tabs>
        <w:numPr>
          <w:ilvl w:val="0"/>
          <w:numId w:val="219"/>
        </w:numPr>
        <w:rPr>
          <w:rFonts w:ascii="Arial" w:cs="Arial" w:eastAsia="Arial" w:hAnsi="Arial"/>
          <w:sz w:val="17"/>
          <w:szCs w:val="17"/>
          <w:color w:val="auto"/>
        </w:rPr>
      </w:pPr>
      <w:r>
        <w:rPr>
          <w:rFonts w:ascii="Arial" w:cs="Arial" w:eastAsia="Arial" w:hAnsi="Arial"/>
          <w:sz w:val="17"/>
          <w:szCs w:val="17"/>
          <w:color w:val="auto"/>
        </w:rPr>
        <w:t>If any Lender (such Lender, a “</w:t>
      </w:r>
      <w:r>
        <w:rPr>
          <w:rFonts w:ascii="Arial" w:cs="Arial" w:eastAsia="Arial" w:hAnsi="Arial"/>
          <w:sz w:val="17"/>
          <w:szCs w:val="17"/>
          <w:b w:val="1"/>
          <w:bCs w:val="1"/>
          <w:color w:val="auto"/>
        </w:rPr>
        <w:t>Non-Consenting Lender</w:t>
      </w:r>
      <w:r>
        <w:rPr>
          <w:rFonts w:ascii="Arial" w:cs="Arial" w:eastAsia="Arial" w:hAnsi="Arial"/>
          <w:sz w:val="17"/>
          <w:szCs w:val="17"/>
          <w:color w:val="auto"/>
        </w:rPr>
        <w:t xml:space="preserve">”) has failed to consent to a proposed amendment, waiver, discharge or termination that pursuant to the terms of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requires the consent of either (i) all of the Lenders directly and adversely affected or (ii) all of the Lenders, and, in each case, with respect to which the Required Lenders (or at least 50.1% of the directly and adversely affected Lenders) shall have granted their consent, then, the Borrower shall have the right (unless such Non-Consenting Lender grants such consent) to (x) replace such Non-Consenting Lender by requiring such Non-Consenting Lender to assign its Loans, and its Commitments hereunder to one or more assignees reasonably acceptable to the Administrative Agent (to the extent such consent would be required under </w:t>
      </w:r>
      <w:r>
        <w:rPr>
          <w:rFonts w:ascii="Arial" w:cs="Arial" w:eastAsia="Arial" w:hAnsi="Arial"/>
          <w:sz w:val="17"/>
          <w:szCs w:val="17"/>
          <w:u w:val="single" w:color="auto"/>
          <w:color w:val="auto"/>
        </w:rPr>
        <w:t>Section 13.6)</w:t>
      </w:r>
      <w:r>
        <w:rPr>
          <w:rFonts w:ascii="Arial" w:cs="Arial" w:eastAsia="Arial" w:hAnsi="Arial"/>
          <w:sz w:val="17"/>
          <w:szCs w:val="17"/>
          <w:color w:val="auto"/>
        </w:rPr>
        <w:t xml:space="preserve"> or to terminate the Commitment of such Lender or Letter of Credit Issuer, as the case may be, and (1) in the case of a Lender (other than the Letter of Credit Issuer), repay all Obligations of the Borrower due and owing to such Lender relating to the Loans and participations held by such Lender as of such termination date and (2) in the case of the Letter of Credit Issuer, repay all Obligations of the Borrower owing to such Letter of Credit Issuer relating to the Loans and participations held by the Letter of Credit Issuer as of such termination date and cancel or backstop on terms satisfactory to such Letter of Credit Issuer any Letters of Credit issued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all Obligations hereunder of the Borrower owing to such Non-Consenting Lender being replaced shall be paid in full to such Non-Consenting Lender concurrently with such assignment including any amounts that such Lender may be owed pursuant to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and (b) the replacement Lender shall purchase the foregoing by paying to such Non-Consenting Lender a price equal to the principal amount thereof plus accrued and unpaid interest thereon, and (c) the Borrower shall pay (or cause to be paid) to such Non-Consenting Lender the amount, if any, owing to such Lender pursuant to </w:t>
      </w:r>
      <w:r>
        <w:rPr>
          <w:rFonts w:ascii="Arial" w:cs="Arial" w:eastAsia="Arial" w:hAnsi="Arial"/>
          <w:sz w:val="17"/>
          <w:szCs w:val="17"/>
          <w:u w:val="single" w:color="auto"/>
          <w:color w:val="auto"/>
        </w:rPr>
        <w:t>Section 5.1(b)</w:t>
      </w:r>
      <w:r>
        <w:rPr>
          <w:rFonts w:ascii="Arial" w:cs="Arial" w:eastAsia="Arial" w:hAnsi="Arial"/>
          <w:sz w:val="17"/>
          <w:szCs w:val="17"/>
          <w:color w:val="auto"/>
        </w:rPr>
        <w:t xml:space="preserve">. In connection with any such assignment, the Borrower, the Administrative Agent, such Non-Consenting Lender and the replacement Lender shall otherwise comply with </w:t>
      </w:r>
      <w:r>
        <w:rPr>
          <w:rFonts w:ascii="Arial" w:cs="Arial" w:eastAsia="Arial" w:hAnsi="Arial"/>
          <w:sz w:val="17"/>
          <w:szCs w:val="17"/>
          <w:u w:val="single" w:color="auto"/>
          <w:color w:val="auto"/>
        </w:rPr>
        <w:t>Section 13.6</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Non-Consenting Lender does not execute and deliver an Assignment and Acceptance in respect of such assignment within one Business Day of the date on which the replacement Lender executes and delivers such Assignment and Acceptance to such Non-Consenting Lender (or such Assignment and Acceptance is delivered by the Administrative Agent on behalf of such replacement Lender), such Non-Consenting Lender shall be deemed to have executed and delivered such Assignment and Acceptance without any action on the part of such Non-Consenting Lender and the Assignment and Acceptance so executed by such replacement Lender shall be effective for the purpose of </w:t>
      </w:r>
      <w:r>
        <w:rPr>
          <w:rFonts w:ascii="Arial" w:cs="Arial" w:eastAsia="Arial" w:hAnsi="Arial"/>
          <w:sz w:val="17"/>
          <w:szCs w:val="17"/>
          <w:u w:val="single" w:color="auto"/>
          <w:color w:val="auto"/>
        </w:rPr>
        <w:t>Section 13.6</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13.7</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340" w:top="341" w:right="339" w:bottom="1440" w:gutter="0" w:footer="0" w:header="0"/>
        </w:sectPr>
      </w:pPr>
    </w:p>
    <w:bookmarkStart w:id="229" w:name="page230"/>
    <w:bookmarkEnd w:id="229"/>
    <w:p>
      <w:pPr>
        <w:ind w:left="660"/>
        <w:spacing w:after="0"/>
        <w:tabs>
          <w:tab w:leader="none" w:pos="114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u w:val="single" w:color="auto"/>
          <w:color w:val="auto"/>
        </w:rPr>
        <w:t>Adjustments; Set-off</w:t>
      </w:r>
      <w:r>
        <w:rPr>
          <w:rFonts w:ascii="Arial" w:cs="Arial" w:eastAsia="Arial" w:hAnsi="Arial"/>
          <w:sz w:val="16"/>
          <w:szCs w:val="16"/>
          <w:color w:val="auto"/>
        </w:rPr>
        <w:t>.</w:t>
      </w:r>
    </w:p>
    <w:p>
      <w:pPr>
        <w:spacing w:after="0" w:line="221" w:lineRule="exact"/>
        <w:rPr>
          <w:sz w:val="20"/>
          <w:szCs w:val="20"/>
          <w:color w:val="auto"/>
        </w:rPr>
      </w:pPr>
    </w:p>
    <w:p>
      <w:pPr>
        <w:ind w:right="20" w:firstLine="656"/>
        <w:spacing w:after="0" w:line="291" w:lineRule="auto"/>
        <w:tabs>
          <w:tab w:leader="none" w:pos="1028" w:val="left"/>
        </w:tabs>
        <w:numPr>
          <w:ilvl w:val="0"/>
          <w:numId w:val="220"/>
        </w:numPr>
        <w:rPr>
          <w:rFonts w:ascii="Arial" w:cs="Arial" w:eastAsia="Arial" w:hAnsi="Arial"/>
          <w:sz w:val="16"/>
          <w:szCs w:val="16"/>
          <w:color w:val="auto"/>
        </w:rPr>
      </w:pPr>
      <w:r>
        <w:rPr>
          <w:rFonts w:ascii="Arial" w:cs="Arial" w:eastAsia="Arial" w:hAnsi="Arial"/>
          <w:sz w:val="16"/>
          <w:szCs w:val="16"/>
          <w:color w:val="auto"/>
        </w:rPr>
        <w:t xml:space="preserve">Except as contemplated in </w:t>
      </w:r>
      <w:r>
        <w:rPr>
          <w:rFonts w:ascii="Arial" w:cs="Arial" w:eastAsia="Arial" w:hAnsi="Arial"/>
          <w:sz w:val="16"/>
          <w:szCs w:val="16"/>
          <w:u w:val="single" w:color="auto"/>
          <w:color w:val="auto"/>
        </w:rPr>
        <w:t>Section 13.6</w:t>
      </w:r>
      <w:r>
        <w:rPr>
          <w:rFonts w:ascii="Arial" w:cs="Arial" w:eastAsia="Arial" w:hAnsi="Arial"/>
          <w:sz w:val="16"/>
          <w:szCs w:val="16"/>
          <w:color w:val="auto"/>
        </w:rPr>
        <w:t xml:space="preserve"> or elsewhere herein, if any Lender (a “</w:t>
      </w:r>
      <w:r>
        <w:rPr>
          <w:rFonts w:ascii="Arial" w:cs="Arial" w:eastAsia="Arial" w:hAnsi="Arial"/>
          <w:sz w:val="16"/>
          <w:szCs w:val="16"/>
          <w:b w:val="1"/>
          <w:bCs w:val="1"/>
          <w:color w:val="auto"/>
        </w:rPr>
        <w:t>Benefited Lender</w:t>
      </w:r>
      <w:r>
        <w:rPr>
          <w:rFonts w:ascii="Arial" w:cs="Arial" w:eastAsia="Arial" w:hAnsi="Arial"/>
          <w:sz w:val="16"/>
          <w:szCs w:val="16"/>
          <w:color w:val="auto"/>
        </w:rPr>
        <w:t xml:space="preserve">”) shall at any time receive any payment of all or part of its Loans, or interest thereon, or receive any collateral in respect thereof (whether voluntarily or involuntarily, by set-off, pursuant to events or proceedings of the nature referred to in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or otherwise), in a greater proportion than any such payment to or collateral received by any other Lender, if any, in respect of such other Lender’s Loans, or interest thereon, such Benefited Lender shall purchase for cash from the other Lenders a participating interest in such portion of each such other Lender’s Loan, or shall provide such other Lenders with the benefits of any such collateral, or the proceeds thereof, as shall be necessary to cause such Benefited Lender to share the excess payment or benefits of such collateral or proceeds ratably with each of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all or any portion of such excess payment or benefits is thereafter recovered from such Benefited Lender, such purchase shall be rescinded, and the purchase price and benefits returned, to the extent of such recovery, but without interest.</w:t>
      </w:r>
    </w:p>
    <w:p>
      <w:pPr>
        <w:spacing w:after="0" w:line="163" w:lineRule="exact"/>
        <w:rPr>
          <w:rFonts w:ascii="Arial" w:cs="Arial" w:eastAsia="Arial" w:hAnsi="Arial"/>
          <w:sz w:val="16"/>
          <w:szCs w:val="16"/>
          <w:color w:val="auto"/>
        </w:rPr>
      </w:pPr>
    </w:p>
    <w:p>
      <w:pPr>
        <w:ind w:right="100" w:firstLine="656"/>
        <w:spacing w:after="0" w:line="270" w:lineRule="auto"/>
        <w:tabs>
          <w:tab w:leader="none" w:pos="1028" w:val="left"/>
        </w:tabs>
        <w:numPr>
          <w:ilvl w:val="0"/>
          <w:numId w:val="220"/>
        </w:numPr>
        <w:rPr>
          <w:rFonts w:ascii="Arial" w:cs="Arial" w:eastAsia="Arial" w:hAnsi="Arial"/>
          <w:sz w:val="17"/>
          <w:szCs w:val="17"/>
          <w:color w:val="auto"/>
        </w:rPr>
      </w:pPr>
      <w:r>
        <w:rPr>
          <w:rFonts w:ascii="Arial" w:cs="Arial" w:eastAsia="Arial" w:hAnsi="Arial"/>
          <w:sz w:val="17"/>
          <w:szCs w:val="17"/>
          <w:color w:val="auto"/>
        </w:rPr>
        <w:t xml:space="preserve">After the occurrence and during the continuance of an Event of Default, in addition to any rights and remedies of the Lenders provided by law, each Lender shall have the right, without prior notice to the Credit Parties but with the prior consent of the Administrative Agent, any such notice being expressly waived by the Credit Parties to the extent permitted by applicable law, upon any amount becoming due and payable by the Credit Parties hereunder (whether at the stated maturity, by acceleration or otherwise) to set-off and appropriate and apply against such amount any and all deposits (general or special, time or demand, provisional or final) (other than payroll, trust, tax, fiduciary, and petty cash accounts), in any currency, and any other credits, indebtedness or claims, in any currency, in each case whether direct or indirect, absolute or contingent, matured or unmatured, at any time held or owing by such Lender or any branch or agency thereof to or for the credit or the account of the Credit Parties. Each Lender agrees promptly to notify the Credit Parties and the Administrative Agent after any such set-off and application made by such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set-off and application.</w:t>
      </w:r>
    </w:p>
    <w:p>
      <w:pPr>
        <w:spacing w:after="0" w:line="181"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 xml:space="preserve">13.9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by one or more of the parties to this Agreement on any number of separate counterparts (including by facsimile or other electronic transmission), and all of said counterparts taken together shall be deemed to constitute one and the same instrument. A set of the copies of this Agreement signed by all the parties shall be lodged with the Borrower and the Administrative Agent.</w:t>
      </w:r>
    </w:p>
    <w:p>
      <w:pPr>
        <w:spacing w:after="0" w:line="149" w:lineRule="exact"/>
        <w:rPr>
          <w:sz w:val="20"/>
          <w:szCs w:val="20"/>
          <w:color w:val="auto"/>
        </w:rPr>
      </w:pPr>
    </w:p>
    <w:p>
      <w:pPr>
        <w:ind w:right="420" w:firstLine="648"/>
        <w:spacing w:after="0" w:line="286" w:lineRule="auto"/>
        <w:rPr>
          <w:sz w:val="20"/>
          <w:szCs w:val="20"/>
          <w:color w:val="auto"/>
        </w:rPr>
      </w:pPr>
      <w:r>
        <w:rPr>
          <w:rFonts w:ascii="Arial" w:cs="Arial" w:eastAsia="Arial" w:hAnsi="Arial"/>
          <w:sz w:val="17"/>
          <w:szCs w:val="17"/>
          <w:color w:val="auto"/>
        </w:rPr>
        <w:t xml:space="preserve">13.10 </w:t>
      </w: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1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and the other Credit Documents represent the agreement of Holdings, the Borrower, the Collateral Agent, the Administrative Agent and the Lenders with respect to the subject matter hereof, and there are no promises, undertakings, representations or warranties by Holdings, the Borrower, the Administrative Agent, the Collateral Agent nor any Lender relative to subject matter hereof not expressly set forth or referred to herein or in the other Credit Documents.</w:t>
      </w:r>
    </w:p>
    <w:p>
      <w:pPr>
        <w:spacing w:after="0" w:line="18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 xml:space="preserve">13.12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THE RIGHTS AND OBLIGATIONS OF THE PARTIES HEREUNDER SHALL BE GOVERNED BY, AND CONSTRUED AND INTERPRETED IN ACCORDANCE WITH, THE LAW OF THE STATE OF NEW YORK. EACH LETTER OF CREDIT SHALL BE GOVERNED BY, AND CONSTRUED IN ACCORDANCE WITH, THE LAWS OF THE STATE OF NEW YORK.</w:t>
      </w:r>
    </w:p>
    <w:p>
      <w:pPr>
        <w:spacing w:after="0" w:line="165"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13.13</w:t>
      </w:r>
      <w:r>
        <w:rPr>
          <w:sz w:val="20"/>
          <w:szCs w:val="20"/>
          <w:color w:val="auto"/>
        </w:rPr>
        <w:tab/>
      </w:r>
      <w:r>
        <w:rPr>
          <w:rFonts w:ascii="Arial" w:cs="Arial" w:eastAsia="Arial" w:hAnsi="Arial"/>
          <w:sz w:val="16"/>
          <w:szCs w:val="16"/>
          <w:u w:val="single" w:color="auto"/>
          <w:color w:val="auto"/>
        </w:rPr>
        <w:t>Submission to Jurisdiction; Waivers</w:t>
      </w:r>
      <w:r>
        <w:rPr>
          <w:rFonts w:ascii="Arial" w:cs="Arial" w:eastAsia="Arial" w:hAnsi="Arial"/>
          <w:sz w:val="16"/>
          <w:szCs w:val="16"/>
          <w:color w:val="auto"/>
        </w:rPr>
        <w:t>. Each party hereto irrevocably and unconditionally:</w:t>
      </w:r>
    </w:p>
    <w:p>
      <w:pPr>
        <w:spacing w:after="0" w:line="225" w:lineRule="exact"/>
        <w:rPr>
          <w:sz w:val="20"/>
          <w:szCs w:val="20"/>
          <w:color w:val="auto"/>
        </w:rPr>
      </w:pPr>
    </w:p>
    <w:p>
      <w:pPr>
        <w:jc w:val="both"/>
        <w:ind w:left="660" w:right="200" w:firstLine="644"/>
        <w:spacing w:after="0" w:line="311" w:lineRule="auto"/>
        <w:tabs>
          <w:tab w:leader="none" w:pos="1688" w:val="left"/>
        </w:tabs>
        <w:numPr>
          <w:ilvl w:val="0"/>
          <w:numId w:val="221"/>
        </w:numPr>
        <w:rPr>
          <w:rFonts w:ascii="Arial" w:cs="Arial" w:eastAsia="Arial" w:hAnsi="Arial"/>
          <w:sz w:val="16"/>
          <w:szCs w:val="16"/>
          <w:color w:val="auto"/>
        </w:rPr>
      </w:pPr>
      <w:r>
        <w:rPr>
          <w:rFonts w:ascii="Arial" w:cs="Arial" w:eastAsia="Arial" w:hAnsi="Arial"/>
          <w:sz w:val="16"/>
          <w:szCs w:val="16"/>
          <w:color w:val="auto"/>
        </w:rPr>
        <w:t>submits for itself and its property in any legal action or proceeding relating to this Agreement and the other Credit Documents to which it is a party to the exclusive general jurisdiction of the courts of the State of New York or the courts of the United States for the Southern District of New York, in each case sitting in New York City in the Borough of Manhattan, and appellate courts from any thereof;</w:t>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80"/>
          </w:cols>
          <w:pgMar w:left="320" w:top="341" w:right="399" w:bottom="1440" w:gutter="0" w:footer="0" w:header="0"/>
        </w:sectPr>
      </w:pPr>
    </w:p>
    <w:bookmarkStart w:id="230" w:name="page231"/>
    <w:bookmarkEnd w:id="230"/>
    <w:p>
      <w:pPr>
        <w:jc w:val="both"/>
        <w:ind w:right="160" w:firstLine="644"/>
        <w:spacing w:after="0" w:line="259" w:lineRule="auto"/>
        <w:tabs>
          <w:tab w:leader="none" w:pos="1038" w:val="left"/>
        </w:tabs>
        <w:numPr>
          <w:ilvl w:val="0"/>
          <w:numId w:val="222"/>
        </w:numPr>
        <w:rPr>
          <w:rFonts w:ascii="Arial" w:cs="Arial" w:eastAsia="Arial" w:hAnsi="Arial"/>
          <w:sz w:val="18"/>
          <w:szCs w:val="18"/>
          <w:color w:val="auto"/>
        </w:rPr>
      </w:pPr>
      <w:r>
        <w:rPr>
          <w:rFonts w:ascii="Arial" w:cs="Arial" w:eastAsia="Arial" w:hAnsi="Arial"/>
          <w:sz w:val="18"/>
          <w:szCs w:val="18"/>
          <w:color w:val="auto"/>
        </w:rPr>
        <w:t>consents that any such action or proceeding shall be brought in such courts and waives (to the extent permitted by applicable law) any objection that it may now or hereafter have to the venue of any such action or proceeding in any such court or that such action or proceeding was brought in an inconvenient court and agrees not to plead or claim the same or to commence or support any such action or proceeding in any other courts;</w:t>
      </w:r>
    </w:p>
    <w:p>
      <w:pPr>
        <w:spacing w:after="0" w:line="132" w:lineRule="exact"/>
        <w:rPr>
          <w:rFonts w:ascii="Arial" w:cs="Arial" w:eastAsia="Arial" w:hAnsi="Arial"/>
          <w:sz w:val="18"/>
          <w:szCs w:val="18"/>
          <w:color w:val="auto"/>
        </w:rPr>
      </w:pPr>
    </w:p>
    <w:p>
      <w:pPr>
        <w:jc w:val="both"/>
        <w:ind w:right="120" w:firstLine="644"/>
        <w:spacing w:after="0" w:line="263" w:lineRule="auto"/>
        <w:tabs>
          <w:tab w:leader="none" w:pos="1028"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agrees that service of process in any such action or proceeding shall be effected by mailing a copy thereof by registered or certified mail (or any substantially similar form of mail), postage prepaid, to such Person at its address set forth on </w:t>
      </w:r>
      <w:r>
        <w:rPr>
          <w:rFonts w:ascii="Arial" w:cs="Arial" w:eastAsia="Arial" w:hAnsi="Arial"/>
          <w:sz w:val="18"/>
          <w:szCs w:val="18"/>
          <w:u w:val="single" w:color="auto"/>
          <w:color w:val="auto"/>
        </w:rPr>
        <w:t>Schedule 13.2</w:t>
      </w:r>
      <w:r>
        <w:rPr>
          <w:rFonts w:ascii="Arial" w:cs="Arial" w:eastAsia="Arial" w:hAnsi="Arial"/>
          <w:sz w:val="18"/>
          <w:szCs w:val="18"/>
          <w:color w:val="auto"/>
        </w:rPr>
        <w:t xml:space="preserve"> at such other address of which the Administrative Agent shall have been notified pursuant to </w:t>
      </w:r>
      <w:r>
        <w:rPr>
          <w:rFonts w:ascii="Arial" w:cs="Arial" w:eastAsia="Arial" w:hAnsi="Arial"/>
          <w:sz w:val="18"/>
          <w:szCs w:val="18"/>
          <w:u w:val="single" w:color="auto"/>
          <w:color w:val="auto"/>
        </w:rPr>
        <w:t>Section 13.2</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firstLine="644"/>
        <w:spacing w:after="0" w:line="263" w:lineRule="auto"/>
        <w:tabs>
          <w:tab w:leader="none" w:pos="1038"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of the Administrative Agent, any Lender or another Secured Party to effect service of process in any other manner permitted by law or to commence legal proceedings or otherwise proceed against Holdings or the Borrower or any other Credit Party in any other jurisdiction; and</w:t>
      </w:r>
    </w:p>
    <w:p>
      <w:pPr>
        <w:spacing w:after="0" w:line="129" w:lineRule="exact"/>
        <w:rPr>
          <w:rFonts w:ascii="Arial" w:cs="Arial" w:eastAsia="Arial" w:hAnsi="Arial"/>
          <w:sz w:val="18"/>
          <w:szCs w:val="18"/>
          <w:color w:val="auto"/>
        </w:rPr>
      </w:pPr>
    </w:p>
    <w:p>
      <w:pPr>
        <w:ind w:right="120" w:firstLine="644"/>
        <w:spacing w:after="0" w:line="263" w:lineRule="auto"/>
        <w:tabs>
          <w:tab w:leader="none" w:pos="1028"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waives, to the maximum extent not prohibited by law, any right it may have to claim or recover in any legal action or proceeding referred to in this </w:t>
      </w:r>
      <w:r>
        <w:rPr>
          <w:rFonts w:ascii="Arial" w:cs="Arial" w:eastAsia="Arial" w:hAnsi="Arial"/>
          <w:sz w:val="18"/>
          <w:szCs w:val="18"/>
          <w:u w:val="single" w:color="auto"/>
          <w:color w:val="auto"/>
        </w:rPr>
        <w:t>Section 13.13</w:t>
      </w:r>
      <w:r>
        <w:rPr>
          <w:rFonts w:ascii="Arial" w:cs="Arial" w:eastAsia="Arial" w:hAnsi="Arial"/>
          <w:sz w:val="18"/>
          <w:szCs w:val="18"/>
          <w:color w:val="auto"/>
        </w:rPr>
        <w:t xml:space="preserve"> any special, exemplary, punitive or consequential damages;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clause (e) shall limit the Credit Parties’ indemnification obligations set forth in </w:t>
      </w:r>
      <w:r>
        <w:rPr>
          <w:rFonts w:ascii="Arial" w:cs="Arial" w:eastAsia="Arial" w:hAnsi="Arial"/>
          <w:sz w:val="18"/>
          <w:szCs w:val="18"/>
          <w:u w:val="single" w:color="auto"/>
          <w:color w:val="auto"/>
        </w:rPr>
        <w:t>Section 13.5</w:t>
      </w:r>
      <w:r>
        <w:rPr>
          <w:rFonts w:ascii="Arial" w:cs="Arial" w:eastAsia="Arial" w:hAnsi="Arial"/>
          <w:sz w:val="18"/>
          <w:szCs w:val="18"/>
          <w:color w:val="auto"/>
        </w:rPr>
        <w:t>.</w:t>
      </w:r>
    </w:p>
    <w:p>
      <w:pPr>
        <w:spacing w:after="0" w:line="13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13.14</w:t>
      </w:r>
      <w:r>
        <w:rPr>
          <w:sz w:val="20"/>
          <w:szCs w:val="20"/>
          <w:color w:val="auto"/>
        </w:rPr>
        <w:tab/>
      </w:r>
      <w:r>
        <w:rPr>
          <w:rFonts w:ascii="Arial" w:cs="Arial" w:eastAsia="Arial" w:hAnsi="Arial"/>
          <w:sz w:val="16"/>
          <w:szCs w:val="16"/>
          <w:u w:val="single" w:color="auto"/>
          <w:color w:val="auto"/>
        </w:rPr>
        <w:t>Acknowledgments</w:t>
      </w:r>
      <w:r>
        <w:rPr>
          <w:rFonts w:ascii="Arial" w:cs="Arial" w:eastAsia="Arial" w:hAnsi="Arial"/>
          <w:sz w:val="16"/>
          <w:szCs w:val="16"/>
          <w:color w:val="auto"/>
        </w:rPr>
        <w:t>. Each of Holdings and the Borrower hereby acknowledges that:</w:t>
      </w:r>
    </w:p>
    <w:p>
      <w:pPr>
        <w:spacing w:after="0" w:line="171" w:lineRule="exact"/>
        <w:rPr>
          <w:sz w:val="20"/>
          <w:szCs w:val="20"/>
          <w:color w:val="auto"/>
        </w:rPr>
      </w:pPr>
    </w:p>
    <w:p>
      <w:pPr>
        <w:ind w:left="1020" w:hanging="376"/>
        <w:spacing w:after="0"/>
        <w:tabs>
          <w:tab w:leader="none" w:pos="102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it has been advised by counsel in the negotiation, execution, and delivery of this Agreement and the other Credit Documents;</w:t>
      </w:r>
    </w:p>
    <w:p>
      <w:pPr>
        <w:spacing w:after="0" w:line="182" w:lineRule="exact"/>
        <w:rPr>
          <w:rFonts w:ascii="Arial" w:cs="Arial" w:eastAsia="Arial" w:hAnsi="Arial"/>
          <w:sz w:val="17"/>
          <w:szCs w:val="17"/>
          <w:color w:val="auto"/>
        </w:rPr>
      </w:pPr>
    </w:p>
    <w:p>
      <w:pPr>
        <w:ind w:right="40" w:firstLine="644"/>
        <w:spacing w:after="0" w:line="255" w:lineRule="auto"/>
        <w:tabs>
          <w:tab w:leader="none" w:pos="1038"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 the credit facilities provided for hereunder and any related arranging or other services in connection therewith (including in connection with any amendment, waiver or other modification hereof or of any other Credit Document) are an arm’s-length commercial transaction between the Borrower and the other Credit Parties, on the one hand, and the Administrative Agent, the Lenders and the other Agents on the other hand, and the Borrower and the other Credit Parties are capable of evaluating and understanding and understand and accept the terms, risks and conditions of the transactions contemplated hereby and by the other Credit Documents (including any amendment, waiver or other modification hereof or thereof);</w:t>
      </w:r>
    </w:p>
    <w:p>
      <w:pPr>
        <w:spacing w:after="0" w:line="138" w:lineRule="exact"/>
        <w:rPr>
          <w:rFonts w:ascii="Arial" w:cs="Arial" w:eastAsia="Arial" w:hAnsi="Arial"/>
          <w:sz w:val="18"/>
          <w:szCs w:val="18"/>
          <w:color w:val="auto"/>
        </w:rPr>
      </w:pPr>
    </w:p>
    <w:p>
      <w:pPr>
        <w:ind w:right="300" w:firstLine="887"/>
        <w:spacing w:after="0" w:line="263" w:lineRule="auto"/>
        <w:tabs>
          <w:tab w:leader="none" w:pos="1291" w:val="left"/>
        </w:tabs>
        <w:numPr>
          <w:ilvl w:val="1"/>
          <w:numId w:val="223"/>
        </w:numPr>
        <w:rPr>
          <w:rFonts w:ascii="Arial" w:cs="Arial" w:eastAsia="Arial" w:hAnsi="Arial"/>
          <w:sz w:val="18"/>
          <w:szCs w:val="18"/>
          <w:color w:val="auto"/>
        </w:rPr>
      </w:pPr>
      <w:r>
        <w:rPr>
          <w:rFonts w:ascii="Arial" w:cs="Arial" w:eastAsia="Arial" w:hAnsi="Arial"/>
          <w:sz w:val="18"/>
          <w:szCs w:val="18"/>
          <w:color w:val="auto"/>
        </w:rPr>
        <w:t>in connection with the process leading to such transaction, each of the Administrative Agent and the other Agents, is and has been acting solely as a principal and is not the financial advisor, agent or fiduciary for the Borrower, any other Credit Parties or any of their respective Affiliates, stockholders, creditors or employees, or any other Person;</w:t>
      </w:r>
    </w:p>
    <w:p>
      <w:pPr>
        <w:spacing w:after="0" w:line="129" w:lineRule="exact"/>
        <w:rPr>
          <w:rFonts w:ascii="Arial" w:cs="Arial" w:eastAsia="Arial" w:hAnsi="Arial"/>
          <w:sz w:val="18"/>
          <w:szCs w:val="18"/>
          <w:color w:val="auto"/>
        </w:rPr>
      </w:pPr>
    </w:p>
    <w:p>
      <w:pPr>
        <w:ind w:right="20" w:firstLine="887"/>
        <w:spacing w:after="0" w:line="254" w:lineRule="auto"/>
        <w:tabs>
          <w:tab w:leader="none" w:pos="1341" w:val="left"/>
        </w:tabs>
        <w:numPr>
          <w:ilvl w:val="1"/>
          <w:numId w:val="223"/>
        </w:numPr>
        <w:rPr>
          <w:rFonts w:ascii="Arial" w:cs="Arial" w:eastAsia="Arial" w:hAnsi="Arial"/>
          <w:sz w:val="18"/>
          <w:szCs w:val="18"/>
          <w:color w:val="auto"/>
        </w:rPr>
      </w:pPr>
      <w:r>
        <w:rPr>
          <w:rFonts w:ascii="Arial" w:cs="Arial" w:eastAsia="Arial" w:hAnsi="Arial"/>
          <w:sz w:val="18"/>
          <w:szCs w:val="18"/>
          <w:color w:val="auto"/>
        </w:rPr>
        <w:t>neither the Administrative Agent nor any other Agent has assumed or will assume an advisory, agency or fiduciary responsibility in favor of the Borrower or any other Credit Party with respect to any of the transactions contemplated hereby or the process leading thereto, including with respect to any amendment, waiver or other modification hereof or of any other Credit Document (irrespective of whether the Administrative Agent or other Agent has advised or is currently advising the Borrower, the other Credit Parties or their respective Affiliates on other matters) and neither the Administrative Agent or other Agent has any obligation to the Borrower, the other Credit Parties or their respective Affiliates with respect to the transactions contemplated hereby except those obligations expressly set forth herein and in the other Credit Documents;</w:t>
      </w:r>
    </w:p>
    <w:p>
      <w:pPr>
        <w:spacing w:after="0" w:line="140" w:lineRule="exact"/>
        <w:rPr>
          <w:rFonts w:ascii="Arial" w:cs="Arial" w:eastAsia="Arial" w:hAnsi="Arial"/>
          <w:sz w:val="18"/>
          <w:szCs w:val="18"/>
          <w:color w:val="auto"/>
        </w:rPr>
      </w:pPr>
    </w:p>
    <w:p>
      <w:pPr>
        <w:jc w:val="both"/>
        <w:ind w:right="40" w:firstLine="887"/>
        <w:spacing w:after="0" w:line="263" w:lineRule="auto"/>
        <w:tabs>
          <w:tab w:leader="none" w:pos="1331"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the Administrative Agent, each other Agent and each Affiliate of the foregoing may be engaged in a broad range of transactions that involve interests that differ from those of the Borrower and their Affiliates, and neither the Administrative Agent nor any other Agent has any obligation to disclose any of such interests by virtue of any advisory, agency or fiduciary relationship; and</w:t>
      </w:r>
    </w:p>
    <w:p>
      <w:pPr>
        <w:spacing w:after="0" w:line="200" w:lineRule="exact"/>
        <w:rPr>
          <w:sz w:val="20"/>
          <w:szCs w:val="20"/>
          <w:color w:val="auto"/>
        </w:rPr>
      </w:pPr>
    </w:p>
    <w:p>
      <w:pPr>
        <w:spacing w:after="0" w:line="36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0580"/>
          </w:cols>
          <w:pgMar w:left="980" w:top="341" w:right="339" w:bottom="1440" w:gutter="0" w:footer="0" w:header="0"/>
        </w:sectPr>
      </w:pPr>
    </w:p>
    <w:bookmarkStart w:id="231" w:name="page232"/>
    <w:bookmarkEnd w:id="231"/>
    <w:p>
      <w:pPr>
        <w:ind w:left="660" w:right="100" w:firstLine="887"/>
        <w:spacing w:after="0" w:line="293" w:lineRule="auto"/>
        <w:tabs>
          <w:tab w:leader="none" w:pos="1941" w:val="left"/>
        </w:tabs>
        <w:numPr>
          <w:ilvl w:val="1"/>
          <w:numId w:val="224"/>
        </w:numPr>
        <w:rPr>
          <w:rFonts w:ascii="Arial" w:cs="Arial" w:eastAsia="Arial" w:hAnsi="Arial"/>
          <w:sz w:val="16"/>
          <w:szCs w:val="16"/>
          <w:color w:val="auto"/>
        </w:rPr>
      </w:pPr>
      <w:r>
        <w:rPr>
          <w:rFonts w:ascii="Arial" w:cs="Arial" w:eastAsia="Arial" w:hAnsi="Arial"/>
          <w:sz w:val="16"/>
          <w:szCs w:val="16"/>
          <w:color w:val="auto"/>
        </w:rPr>
        <w:t>neither the Administrative Agent nor any other Agent has provided and none will provide any legal, accounting, regulatory or tax advice with respect to any of the transactions contemplated hereby (including any amendment, waiver or other modification hereof or of any other Credit Document) and the Borrower have consulted their own legal, accounting, regulatory and tax advisors to the extent it has deemed appropriate. Each of Holdings and the Borrower hereby agrees that it will not claim that any Agent owes a fiduciary or similar duty to the Credit Parties in connection with the Transactions contemplated hereby and waives and releases, to the fullest extent permitted by law, any claims that it may have against the Administrative Agent or any other Agent with respect to any breach or alleged breach of agency or fiduciary duty; and</w:t>
      </w:r>
    </w:p>
    <w:p>
      <w:pPr>
        <w:spacing w:after="0" w:line="110" w:lineRule="exact"/>
        <w:rPr>
          <w:rFonts w:ascii="Arial" w:cs="Arial" w:eastAsia="Arial" w:hAnsi="Arial"/>
          <w:sz w:val="16"/>
          <w:szCs w:val="16"/>
          <w:color w:val="auto"/>
        </w:rPr>
      </w:pPr>
    </w:p>
    <w:p>
      <w:pPr>
        <w:ind w:right="320" w:firstLine="656"/>
        <w:spacing w:after="0" w:line="277" w:lineRule="auto"/>
        <w:tabs>
          <w:tab w:leader="none" w:pos="102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no joint venture is created hereby or by the other Credit Documents or otherwise exists by virtue of the transactions contemplated hereby among the Lenders or among the Borrower, on the one hand, and any Lender, on the other hand.</w:t>
      </w:r>
    </w:p>
    <w:p>
      <w:pPr>
        <w:spacing w:after="0" w:line="11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 xml:space="preserve">13.15 </w:t>
      </w:r>
      <w:r>
        <w:rPr>
          <w:rFonts w:ascii="Arial" w:cs="Arial" w:eastAsia="Arial" w:hAnsi="Arial"/>
          <w:sz w:val="18"/>
          <w:szCs w:val="18"/>
          <w:u w:val="single" w:color="auto"/>
          <w:color w:val="auto"/>
        </w:rPr>
        <w:t>WAIVERS OF JURY TRIAL</w:t>
      </w:r>
      <w:r>
        <w:rPr>
          <w:rFonts w:ascii="Arial" w:cs="Arial" w:eastAsia="Arial" w:hAnsi="Arial"/>
          <w:sz w:val="18"/>
          <w:szCs w:val="18"/>
          <w:color w:val="auto"/>
        </w:rPr>
        <w:t>. EACH PARTY HERETO IRREVOCABLY AND UNCONDITIONALLY WAIVES (TO THE EXTENT PERMITTED BY APPLICABLE LAW) TRIAL BY JURY IN ANY LEGAL ACTION OR PROCEEDING RELATING TO THIS AGREEMENT OR ANY OTHER CREDIT DOCUMENT OR THE PERFORMANCE OF SERVICES HEREUNDER AND THEREUNDER AND FOR ANY COUNTERCLAIM THEREIN.</w:t>
      </w:r>
    </w:p>
    <w:p>
      <w:pPr>
        <w:spacing w:after="0" w:line="129"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13.16</w:t>
      </w:r>
      <w:r>
        <w:rPr>
          <w:sz w:val="20"/>
          <w:szCs w:val="20"/>
          <w:color w:val="auto"/>
        </w:rPr>
        <w:tab/>
      </w:r>
      <w:r>
        <w:rPr>
          <w:rFonts w:ascii="Arial" w:cs="Arial" w:eastAsia="Arial" w:hAnsi="Arial"/>
          <w:sz w:val="16"/>
          <w:szCs w:val="16"/>
          <w:u w:val="single" w:color="auto"/>
          <w:color w:val="auto"/>
        </w:rPr>
        <w:t>Confidentiality</w:t>
      </w:r>
      <w:r>
        <w:rPr>
          <w:rFonts w:ascii="Arial" w:cs="Arial" w:eastAsia="Arial" w:hAnsi="Arial"/>
          <w:sz w:val="16"/>
          <w:szCs w:val="16"/>
          <w:color w:val="auto"/>
        </w:rPr>
        <w:t>. The Administrative Agent, each other Agent and each Lender (collectively, the “</w:t>
      </w:r>
      <w:r>
        <w:rPr>
          <w:rFonts w:ascii="Arial" w:cs="Arial" w:eastAsia="Arial" w:hAnsi="Arial"/>
          <w:sz w:val="16"/>
          <w:szCs w:val="16"/>
          <w:b w:val="1"/>
          <w:bCs w:val="1"/>
          <w:color w:val="auto"/>
        </w:rPr>
        <w:t>Restricted Persons</w:t>
      </w:r>
      <w:r>
        <w:rPr>
          <w:rFonts w:ascii="Arial" w:cs="Arial" w:eastAsia="Arial" w:hAnsi="Arial"/>
          <w:sz w:val="16"/>
          <w:szCs w:val="16"/>
          <w:color w:val="auto"/>
        </w:rPr>
        <w:t>” and, each a</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Person</w:t>
      </w:r>
      <w:r>
        <w:rPr>
          <w:rFonts w:ascii="Arial" w:cs="Arial" w:eastAsia="Arial" w:hAnsi="Arial"/>
          <w:sz w:val="16"/>
          <w:szCs w:val="16"/>
          <w:color w:val="auto"/>
        </w:rPr>
        <w:t>”) shall treat confidentially all non-public information provided to any Restricted Person by or on behalf of any Credit Party hereunder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such Restricted Person’s evaluation of whether to become a Lender hereunder or obtained by such Restricted Person pursuant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requirements of this Agreement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and shall not publish, disclose or otherwise divulge such Confidential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prevent any Restricted Person from disclosing any such Confidential Information (a) pursuant to the order of any court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administrative agency or in any pending legal, judicial or administrative proceeding, or otherwise as required by applicable law, rule or regulation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compulsory legal process (in which case such Restricted Person agrees (except with respect to any routine or ordinary course audit or examination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conducted by bank accountants, any governmental, bank regulatory or self-regulatory authority exercising examination or regulatory authority), to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extent practicable and not prohibited by applicable law, rule or regulation, to inform the Borrower promptly thereof prior to disclosure), (b) upon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request or demand of any regulatory authority (including any self-regulatory authority) having jurisdiction over such Restricted Person or any of its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Affiliates (in which case such Restricted Person agrees (except with respect to any audit or examination conducted by bank accountants or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governmental, bank regulatory or self-regulatory authority exercising examination or regulatory authority) to the extent practicable and not prohibited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applicable law, rule or regulation, to inform the Borrower promptly thereof prior to disclosure), (c) to the extent that such Confidential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becomes publicly available other than by reason of improper disclosure by such Restricted Person or any of its affiliates or any related parties thereto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violation of any confidentiality obligations owing under this </w:t>
      </w:r>
      <w:r>
        <w:rPr>
          <w:rFonts w:ascii="Arial" w:cs="Arial" w:eastAsia="Arial" w:hAnsi="Arial"/>
          <w:sz w:val="17"/>
          <w:szCs w:val="17"/>
          <w:u w:val="single" w:color="auto"/>
          <w:color w:val="auto"/>
        </w:rPr>
        <w:t>Section 13.16</w:t>
      </w:r>
      <w:r>
        <w:rPr>
          <w:rFonts w:ascii="Arial" w:cs="Arial" w:eastAsia="Arial" w:hAnsi="Arial"/>
          <w:sz w:val="17"/>
          <w:szCs w:val="17"/>
          <w:color w:val="auto"/>
        </w:rPr>
        <w:t>, (d) to the extent that such Confidential Information is received by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Restricted Person from a third party that is not, to such Restricted Person’s knowledge, subject to confidentiality obligations owing to any Credit Party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of their respective subsidiaries or affiliates, (e) to the extent that such Confidential Information was already in the possession of the Restricted Persons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prior to any duty or other undertaking of confidentiality or is independently developed by the Restricted Persons without the use of such Confidential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Information, (f) to such Restricted Person’s affiliates and to its and their respective officers, directors, partners, employees, legal counsel, independent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auditors, and other experts or agents who need to know such Confidential Information in connection with providing the Loans or action as an Agent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hereunder and who are informed of the confidential nature of such Confidential Information and who are subject to customary confidentiality obligations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professional practice or who agree to be bound by the terms of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(or confidentiality provisions at least as restrictive as those set forth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Section 13.16</w:t>
      </w:r>
      <w:r>
        <w:rPr>
          <w:rFonts w:ascii="Arial" w:cs="Arial" w:eastAsia="Arial" w:hAnsi="Arial"/>
          <w:sz w:val="16"/>
          <w:szCs w:val="16"/>
          <w:color w:val="auto"/>
        </w:rPr>
        <w:t>) (with each such Restricted Person, to the extent within its control, responsible for such person’s compliance with this paragraph), (g)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potential or prospective Lenders, hedge providers, participants or assignees, in each case who agree (pursuant to customary syndication practice) to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bound by the terms of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(or confidentiality provisions at least as restrictive as those set forth in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disclosure of any such Confidential Information to any Lenders, hedge providers or prospective Lenders, hedge providers or participants or prospective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participants referred to above shall</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320" w:top="341" w:right="359" w:bottom="1440" w:gutter="0" w:footer="0" w:header="0"/>
        </w:sectPr>
      </w:pPr>
    </w:p>
    <w:bookmarkStart w:id="232" w:name="page233"/>
    <w:bookmarkEnd w:id="232"/>
    <w:p>
      <w:pPr>
        <w:spacing w:after="0" w:line="283" w:lineRule="auto"/>
        <w:rPr>
          <w:sz w:val="20"/>
          <w:szCs w:val="20"/>
          <w:color w:val="auto"/>
        </w:rPr>
      </w:pPr>
      <w:r>
        <w:rPr>
          <w:rFonts w:ascii="Arial" w:cs="Arial" w:eastAsia="Arial" w:hAnsi="Arial"/>
          <w:sz w:val="16"/>
          <w:szCs w:val="16"/>
          <w:color w:val="auto"/>
        </w:rPr>
        <w:t xml:space="preserve">be made subject to the acknowledgment and acceptance by such Lender, hedge provider or prospective Lender or participant or prospective participant that such Confidential Information is being disseminated on a confidential basis (on substantially the terms set forth in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or confidentiality provisions at least as restrictive as those set forth in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in accordance with the standard syndication processes of such Restricted Person or customary market standards for dissemination of such type of information, which shall in any event require “click through” or other affirmative actions on the part of recipient to access such Confidential Information and (ii) no such disclosure shall be made by such Restricted Person to any person that is at such time a Disqualified Lender, (h) for purposes of establishing a “due diligence” defense, or (i) to rating agencies in connection with obtaining ratings for the Borrower and the facilities described hereunder to the extent such rating agencies are subject to customary confidentiality obligations of professional practice or agree to be bound by the terms of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(or confidentiality provisions at least as restrictive as those set forth in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Notwithstanding the foregoing, (i) Confidential Information shall not include, with respect to any Person, information available to it or its Affiliates on a non-confidential basis from a source other than Holdings, its Subsidiaries or their respective Affiliates, (ii) the Administrative Agent shall not be responsible for compliance with this </w:t>
      </w:r>
      <w:r>
        <w:rPr>
          <w:rFonts w:ascii="Arial" w:cs="Arial" w:eastAsia="Arial" w:hAnsi="Arial"/>
          <w:sz w:val="16"/>
          <w:szCs w:val="16"/>
          <w:u w:val="single" w:color="auto"/>
          <w:color w:val="auto"/>
        </w:rPr>
        <w:t>Section 13.16</w:t>
      </w:r>
      <w:r>
        <w:rPr>
          <w:rFonts w:ascii="Arial" w:cs="Arial" w:eastAsia="Arial" w:hAnsi="Arial"/>
          <w:sz w:val="16"/>
          <w:szCs w:val="16"/>
          <w:color w:val="auto"/>
        </w:rPr>
        <w:t xml:space="preserve"> by any other Restricted Person (other than its officers, directors or employees), (iii) in no event shall any Lender, the Administrative Agent or any other Agent be obligated or required to return any materials furnished by Holdings or any of its Subsidiaries, and</w:t>
      </w:r>
    </w:p>
    <w:p>
      <w:pPr>
        <w:spacing w:after="0" w:line="3" w:lineRule="exact"/>
        <w:rPr>
          <w:sz w:val="20"/>
          <w:szCs w:val="20"/>
          <w:color w:val="auto"/>
        </w:rPr>
      </w:pPr>
    </w:p>
    <w:p>
      <w:pPr>
        <w:ind w:right="120" w:firstLine="8"/>
        <w:spacing w:after="0" w:line="255" w:lineRule="auto"/>
        <w:tabs>
          <w:tab w:leader="none" w:pos="30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each Agent and each Lender may disclose the existence of this Agreement and the information about this Agreement to market data collectors, similar services providers to the lending industry, and service providers to the Agents and the Lenders in connection with the administration, settlement and management of this Agreement and the other Credit Documents.</w:t>
      </w:r>
    </w:p>
    <w:p>
      <w:pPr>
        <w:spacing w:after="0" w:line="136"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 xml:space="preserve">13.17 </w:t>
      </w:r>
      <w:r>
        <w:rPr>
          <w:rFonts w:ascii="Arial" w:cs="Arial" w:eastAsia="Arial" w:hAnsi="Arial"/>
          <w:sz w:val="16"/>
          <w:szCs w:val="16"/>
          <w:u w:val="single" w:color="auto"/>
          <w:color w:val="auto"/>
        </w:rPr>
        <w:t>Direct Website Communications</w:t>
      </w:r>
      <w:r>
        <w:rPr>
          <w:rFonts w:ascii="Arial" w:cs="Arial" w:eastAsia="Arial" w:hAnsi="Arial"/>
          <w:sz w:val="16"/>
          <w:szCs w:val="16"/>
          <w:color w:val="auto"/>
        </w:rPr>
        <w:t>. Each of Holdings and the Borrower may, at its option, provide to the Administrative Agent any information, documents and other materials that it is obligated to furnish to the Administrative Agent pursuant to the Credit Documents, including, without limitation, all notices, requests, financial statements, financial, and other reports, certificates, and other information materials, but excluding any such communication that (A) relates to a request for a new, or a conversion of an existing, borrowing or other extension of credit (including any election of an interest rate or interest period relating thereto, (B) relates to the payment of any principal or other amount due under this Agreement prior to the scheduled date therefor, (C) provides notice of any default or event of default under this Agreement or (D) is required to be delivered to satisfy any condition precedent to the effectiveness of this Agreement and/or any borrowing or other extension of credit thereunder (all such non-excluded communications being referred to herein collectively as “</w:t>
      </w:r>
      <w:r>
        <w:rPr>
          <w:rFonts w:ascii="Arial" w:cs="Arial" w:eastAsia="Arial" w:hAnsi="Arial"/>
          <w:sz w:val="16"/>
          <w:szCs w:val="16"/>
          <w:b w:val="1"/>
          <w:bCs w:val="1"/>
          <w:color w:val="auto"/>
        </w:rPr>
        <w:t>Communications</w:t>
      </w:r>
      <w:r>
        <w:rPr>
          <w:rFonts w:ascii="Arial" w:cs="Arial" w:eastAsia="Arial" w:hAnsi="Arial"/>
          <w:sz w:val="16"/>
          <w:szCs w:val="16"/>
          <w:color w:val="auto"/>
        </w:rPr>
        <w:t xml:space="preserve">”), by transmitting the Communications in an electronic/soft medium in a format reasonably acceptable to the Administrative Agent to the Administrative Agent at an email address provided by the Administrative Agent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upon written request by the Administrative Agent, Holdings or the Borrower shall deliver paper copies of such documents to the Administrative Agent for further distribution to each Lender until a written request to cease delivering paper copies is given by the Administrative Agent and (ii) Holdings or the Borrower shall notify (which may be by facsimile or electronic mail) the Administrative Agent of the posting of any such documents and provide to the Administrative Agent by electronic mail electronic versions (i.e., soft copies) of such documents. Each Lender shall be solely responsible for timely accessing posted documents or requesting delivery of paper copies of such documents from the Administrative Agent and maintaining its copies of such documents. Nothing in this </w:t>
      </w:r>
      <w:r>
        <w:rPr>
          <w:rFonts w:ascii="Arial" w:cs="Arial" w:eastAsia="Arial" w:hAnsi="Arial"/>
          <w:sz w:val="16"/>
          <w:szCs w:val="16"/>
          <w:u w:val="single" w:color="auto"/>
          <w:color w:val="auto"/>
        </w:rPr>
        <w:t>Section 13.17</w:t>
      </w:r>
      <w:r>
        <w:rPr>
          <w:rFonts w:ascii="Arial" w:cs="Arial" w:eastAsia="Arial" w:hAnsi="Arial"/>
          <w:sz w:val="16"/>
          <w:szCs w:val="16"/>
          <w:color w:val="auto"/>
        </w:rPr>
        <w:t xml:space="preserve"> shall prejudice the right of Holdings, the Borrower, the Administrative Agent, any other Agent or any Lender to give any notice or other communication pursuant to any Credit Document in any other manner specified in such Credit Document.</w:t>
      </w:r>
    </w:p>
    <w:p>
      <w:pPr>
        <w:spacing w:after="0" w:line="12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Administrative Agent agrees that the receipt of the Communications by the Administrative Agent at its e-mail address set forth above shall constitute effective delivery of the Communications to the Administrative Agent for purposes of the Credit Documents. Each Lender agrees that notice to it (as provided in the next sentence) specifying that the Communications have been posted to the Platform shall constitute effective delivery of the Communications to such Lender for purposes of the Credit Documents. Each Lender agrees (A) to notify the Administrative Agent in writing (including by electronic communication) from time to time of such Lender’s e-mail address to which the foregoing notice may be sent by electronic transmission and (B) that the foregoing notice may be sent to such e-mail address.</w:t>
      </w:r>
    </w:p>
    <w:p>
      <w:pPr>
        <w:spacing w:after="0" w:line="138" w:lineRule="exact"/>
        <w:rPr>
          <w:sz w:val="20"/>
          <w:szCs w:val="20"/>
          <w:color w:val="auto"/>
        </w:rPr>
      </w:pPr>
    </w:p>
    <w:p>
      <w:pPr>
        <w:ind w:right="340" w:firstLine="656"/>
        <w:spacing w:after="0" w:line="277" w:lineRule="auto"/>
        <w:tabs>
          <w:tab w:leader="none" w:pos="1028" w:val="left"/>
        </w:tabs>
        <w:numPr>
          <w:ilvl w:val="0"/>
          <w:numId w:val="227"/>
        </w:numPr>
        <w:rPr>
          <w:rFonts w:ascii="Arial" w:cs="Arial" w:eastAsia="Arial" w:hAnsi="Arial"/>
          <w:sz w:val="18"/>
          <w:szCs w:val="18"/>
          <w:color w:val="auto"/>
        </w:rPr>
      </w:pPr>
      <w:r>
        <w:rPr>
          <w:rFonts w:ascii="Arial" w:cs="Arial" w:eastAsia="Arial" w:hAnsi="Arial"/>
          <w:sz w:val="18"/>
          <w:szCs w:val="18"/>
          <w:color w:val="auto"/>
        </w:rPr>
        <w:t>Each of Holdings and the Borrower further agrees that any Agent may make the Communications available to the Lenders by posting the Communications on Intralinks or a substantially similar electronic</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341" w:right="339" w:bottom="1440" w:gutter="0" w:footer="0" w:header="0"/>
        </w:sectPr>
      </w:pPr>
    </w:p>
    <w:bookmarkStart w:id="233" w:name="page234"/>
    <w:bookmarkEnd w:id="233"/>
    <w:p>
      <w:pPr>
        <w:ind w:right="560"/>
        <w:spacing w:after="0" w:line="282" w:lineRule="auto"/>
        <w:rPr>
          <w:sz w:val="20"/>
          <w:szCs w:val="20"/>
          <w:color w:val="auto"/>
        </w:rPr>
      </w:pPr>
      <w:r>
        <w:rPr>
          <w:rFonts w:ascii="Arial" w:cs="Arial" w:eastAsia="Arial" w:hAnsi="Arial"/>
          <w:sz w:val="18"/>
          <w:szCs w:val="18"/>
          <w:color w:val="auto"/>
        </w:rPr>
        <w:t>transmission system (the “</w:t>
      </w:r>
      <w:r>
        <w:rPr>
          <w:rFonts w:ascii="Arial" w:cs="Arial" w:eastAsia="Arial" w:hAnsi="Arial"/>
          <w:sz w:val="18"/>
          <w:szCs w:val="18"/>
          <w:b w:val="1"/>
          <w:bCs w:val="1"/>
          <w:color w:val="auto"/>
        </w:rPr>
        <w:t>Platform</w:t>
      </w:r>
      <w:r>
        <w:rPr>
          <w:rFonts w:ascii="Arial" w:cs="Arial" w:eastAsia="Arial" w:hAnsi="Arial"/>
          <w:sz w:val="18"/>
          <w:szCs w:val="18"/>
          <w:color w:val="auto"/>
        </w:rPr>
        <w:t xml:space="preserve">”), so long as the access to such Platform (i) is limited to the Agents, the Lenders and Transferees or prospective Transferees and (ii) remains subject to the confidentiality requirements set forth in </w:t>
      </w:r>
      <w:r>
        <w:rPr>
          <w:rFonts w:ascii="Arial" w:cs="Arial" w:eastAsia="Arial" w:hAnsi="Arial"/>
          <w:sz w:val="18"/>
          <w:szCs w:val="18"/>
          <w:u w:val="single" w:color="auto"/>
          <w:color w:val="auto"/>
        </w:rPr>
        <w:t>Section 13.16</w:t>
      </w:r>
      <w:r>
        <w:rPr>
          <w:rFonts w:ascii="Arial" w:cs="Arial" w:eastAsia="Arial" w:hAnsi="Arial"/>
          <w:sz w:val="18"/>
          <w:szCs w:val="18"/>
          <w:color w:val="auto"/>
        </w:rPr>
        <w:t>.</w:t>
      </w:r>
    </w:p>
    <w:p>
      <w:pPr>
        <w:spacing w:after="0" w:line="166" w:lineRule="exact"/>
        <w:rPr>
          <w:sz w:val="20"/>
          <w:szCs w:val="20"/>
          <w:color w:val="auto"/>
        </w:rPr>
      </w:pPr>
    </w:p>
    <w:p>
      <w:pPr>
        <w:ind w:right="120" w:firstLine="656"/>
        <w:spacing w:after="0" w:line="287" w:lineRule="auto"/>
        <w:tabs>
          <w:tab w:leader="none" w:pos="1034" w:val="left"/>
        </w:tabs>
        <w:numPr>
          <w:ilvl w:val="0"/>
          <w:numId w:val="228"/>
        </w:numPr>
        <w:rPr>
          <w:rFonts w:ascii="Arial" w:cs="Arial" w:eastAsia="Arial" w:hAnsi="Arial"/>
          <w:sz w:val="16"/>
          <w:szCs w:val="16"/>
          <w:color w:val="auto"/>
        </w:rPr>
      </w:pPr>
      <w:r>
        <w:rPr>
          <w:rFonts w:ascii="Arial" w:cs="Arial" w:eastAsia="Arial" w:hAnsi="Arial"/>
          <w:sz w:val="16"/>
          <w:szCs w:val="16"/>
          <w:color w:val="auto"/>
        </w:rPr>
        <w:t>THE PLATFORM IS PROVIDED “AS IS” AND “AS AVAILABLE.” THE AGENT PARTIES DO NOT WARRANT THE ACCURACY OR COMPLETENESS OF ANY MATERIALS OR INFORMATION PROVIDED BY THE CREDIT PARTIES (THE “</w:t>
      </w:r>
      <w:r>
        <w:rPr>
          <w:rFonts w:ascii="Arial" w:cs="Arial" w:eastAsia="Arial" w:hAnsi="Arial"/>
          <w:sz w:val="16"/>
          <w:szCs w:val="16"/>
          <w:b w:val="1"/>
          <w:bCs w:val="1"/>
          <w:color w:val="auto"/>
        </w:rPr>
        <w:t>BORROWER MATERIALS</w:t>
      </w:r>
      <w:r>
        <w:rPr>
          <w:rFonts w:ascii="Arial" w:cs="Arial" w:eastAsia="Arial" w:hAnsi="Arial"/>
          <w:sz w:val="16"/>
          <w:szCs w:val="16"/>
          <w:color w:val="auto"/>
        </w:rPr>
        <w:t>”)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6"/>
          <w:szCs w:val="16"/>
          <w:b w:val="1"/>
          <w:bCs w:val="1"/>
          <w:color w:val="auto"/>
        </w:rPr>
        <w:t>Agent Parties</w:t>
      </w:r>
      <w:r>
        <w:rPr>
          <w:rFonts w:ascii="Arial" w:cs="Arial" w:eastAsia="Arial" w:hAnsi="Arial"/>
          <w:sz w:val="16"/>
          <w:szCs w:val="16"/>
          <w:color w:val="auto"/>
        </w:rPr>
        <w:t>” and each an “</w:t>
      </w:r>
      <w:r>
        <w:rPr>
          <w:rFonts w:ascii="Arial" w:cs="Arial" w:eastAsia="Arial" w:hAnsi="Arial"/>
          <w:sz w:val="16"/>
          <w:szCs w:val="16"/>
          <w:b w:val="1"/>
          <w:bCs w:val="1"/>
          <w:color w:val="auto"/>
        </w:rPr>
        <w:t>Agent Party</w:t>
      </w:r>
      <w:r>
        <w:rPr>
          <w:rFonts w:ascii="Arial" w:cs="Arial" w:eastAsia="Arial" w:hAnsi="Arial"/>
          <w:sz w:val="16"/>
          <w:szCs w:val="16"/>
          <w:color w:val="auto"/>
        </w:rPr>
        <w:t>”) have any liability to the Borrower, any Lender, or any other Person for losses, claims, damages, liabilities, or expenses of any kind (whether in tort, contract or otherwise) arising out of the Borrower’s or the Administrative Agent’s transmission of Borrower Materials through the internet, except to the extent the liability of any Agent Party resulted from such Agent Party’s (or any of its Related Parties’ (other than any trustee or advisor)) gross negligence, bad faith or willful misconduct or material breach of the Credit Documents as determined in the final non-appealable judgment of a court of competent jurisdiction.</w:t>
      </w:r>
    </w:p>
    <w:p>
      <w:pPr>
        <w:spacing w:after="0" w:line="171" w:lineRule="exact"/>
        <w:rPr>
          <w:rFonts w:ascii="Arial" w:cs="Arial" w:eastAsia="Arial" w:hAnsi="Arial"/>
          <w:sz w:val="16"/>
          <w:szCs w:val="16"/>
          <w:color w:val="auto"/>
        </w:rPr>
      </w:pPr>
    </w:p>
    <w:p>
      <w:pPr>
        <w:ind w:firstLine="656"/>
        <w:spacing w:after="0" w:line="287" w:lineRule="auto"/>
        <w:tabs>
          <w:tab w:leader="none" w:pos="1028" w:val="left"/>
        </w:tabs>
        <w:numPr>
          <w:ilvl w:val="0"/>
          <w:numId w:val="228"/>
        </w:numPr>
        <w:rPr>
          <w:rFonts w:ascii="Arial" w:cs="Arial" w:eastAsia="Arial" w:hAnsi="Arial"/>
          <w:sz w:val="16"/>
          <w:szCs w:val="16"/>
          <w:color w:val="auto"/>
        </w:rPr>
      </w:pPr>
      <w:r>
        <w:rPr>
          <w:rFonts w:ascii="Arial" w:cs="Arial" w:eastAsia="Arial" w:hAnsi="Arial"/>
          <w:sz w:val="16"/>
          <w:szCs w:val="16"/>
          <w:color w:val="auto"/>
        </w:rPr>
        <w:t xml:space="preserve">Each of Holdings and the Borrower and each Lender acknowledge that certain of the Lenders may be “public-side” Lenders (Lenders that do not wish to receive material non-public information with respect to Holdings, the Borrower, the Subsidiaries or their securities) and, if documents or notices required to be delivered pursuant to the Credit Documents or otherwise are being distributed through the Platform, any document or notice that Holdings or the Borrower has indicated contains only publicly available information with respect to Holdings or the Borrower may be posted on that portion of the Platform designated for such public-side Lenders. If Holdings or the Borrower has not indicated whether a document or notice delivered contains only publicly available information, the Administrative Agent shall post such document or notice solely on that portion of the Platform designated for Lenders who wish to receive material nonpublic information with respect to Holdings, the Borrower, the Subsidiaries and their securities. Notwithstanding the foregoing, each of Holdings and the Borrower shall use commercially reasonable efforts to indicate whether any document or notice contains only publicly available information; provided however that, the following documents shall be deemed to be marked “PUBLIC,” unless the Borrower notifies the Administrative Agent promptly that any such document contains material nonpublic information: (1) the Credit Documents, (2) any notification of changes in the terms of the Credit Facility and (3) all financial statements and certificates delivered pursuant to </w:t>
      </w:r>
      <w:r>
        <w:rPr>
          <w:rFonts w:ascii="Arial" w:cs="Arial" w:eastAsia="Arial" w:hAnsi="Arial"/>
          <w:sz w:val="16"/>
          <w:szCs w:val="16"/>
          <w:u w:val="single" w:color="auto"/>
          <w:color w:val="auto"/>
        </w:rPr>
        <w:t>Sections 9.1(a)</w:t>
      </w:r>
      <w:r>
        <w:rPr>
          <w:rFonts w:ascii="Arial" w:cs="Arial" w:eastAsia="Arial" w:hAnsi="Arial"/>
          <w:sz w:val="16"/>
          <w:szCs w:val="16"/>
          <w:color w:val="auto"/>
        </w:rPr>
        <w:t>,</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w:t>
      </w:r>
    </w:p>
    <w:p>
      <w:pPr>
        <w:spacing w:after="0" w:line="17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13.18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hereby notifies each Credit Party that pursuant to the requirements of the USA Patriot Act (Title III of Pub. L. 107-56 (signed into law October 26, 2001)) (the “</w:t>
      </w:r>
      <w:r>
        <w:rPr>
          <w:rFonts w:ascii="Arial" w:cs="Arial" w:eastAsia="Arial" w:hAnsi="Arial"/>
          <w:sz w:val="18"/>
          <w:szCs w:val="18"/>
          <w:b w:val="1"/>
          <w:bCs w:val="1"/>
          <w:color w:val="auto"/>
        </w:rPr>
        <w:t>Patriot Act</w:t>
      </w:r>
      <w:r>
        <w:rPr>
          <w:rFonts w:ascii="Arial" w:cs="Arial" w:eastAsia="Arial" w:hAnsi="Arial"/>
          <w:sz w:val="18"/>
          <w:szCs w:val="18"/>
          <w:color w:val="auto"/>
        </w:rPr>
        <w:t>”), it is required to obtain, verify, and record information that identifies each Credit Party, which information includes the name and address of each Credit Party and other information that will allow such Lender to identify each Credit Party in accordance with the Patriot Act.</w:t>
      </w:r>
    </w:p>
    <w:p>
      <w:pPr>
        <w:spacing w:after="0" w:line="187"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13.19</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 xml:space="preserve">13.20 </w:t>
      </w:r>
      <w:r>
        <w:rPr>
          <w:rFonts w:ascii="Arial" w:cs="Arial" w:eastAsia="Arial" w:hAnsi="Arial"/>
          <w:sz w:val="17"/>
          <w:szCs w:val="17"/>
          <w:u w:val="single" w:color="auto"/>
          <w:color w:val="auto"/>
        </w:rPr>
        <w:t>Payments Set Aside</w:t>
      </w:r>
      <w:r>
        <w:rPr>
          <w:rFonts w:ascii="Arial" w:cs="Arial" w:eastAsia="Arial" w:hAnsi="Arial"/>
          <w:sz w:val="17"/>
          <w:szCs w:val="17"/>
          <w:color w:val="auto"/>
        </w:rPr>
        <w:t>. To the extent that any payment by or on behalf of Holdings or the Borrower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any Agent, plus interest thereon from the date of such demand to the date such payment is made at a rate per annum equal to the applicable Overnight Rate from time to time in effect.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337" w:right="339" w:bottom="1440" w:gutter="0" w:footer="0" w:header="0"/>
        </w:sectPr>
      </w:pPr>
    </w:p>
    <w:bookmarkStart w:id="234" w:name="page235"/>
    <w:bookmarkEnd w:id="234"/>
    <w:p>
      <w:pPr>
        <w:ind w:right="20" w:firstLine="648"/>
        <w:spacing w:after="0" w:line="286" w:lineRule="auto"/>
        <w:rPr>
          <w:sz w:val="20"/>
          <w:szCs w:val="20"/>
          <w:color w:val="auto"/>
        </w:rPr>
      </w:pPr>
      <w:r>
        <w:rPr>
          <w:rFonts w:ascii="Arial" w:cs="Arial" w:eastAsia="Arial" w:hAnsi="Arial"/>
          <w:sz w:val="16"/>
          <w:szCs w:val="16"/>
          <w:color w:val="auto"/>
        </w:rPr>
        <w:t xml:space="preserve">13.21 </w:t>
      </w:r>
      <w:r>
        <w:rPr>
          <w:rFonts w:ascii="Arial" w:cs="Arial" w:eastAsia="Arial" w:hAnsi="Arial"/>
          <w:sz w:val="16"/>
          <w:szCs w:val="16"/>
          <w:u w:val="single" w:color="auto"/>
          <w:color w:val="auto"/>
        </w:rPr>
        <w:t>No Fiduciary Duty</w:t>
      </w:r>
      <w:r>
        <w:rPr>
          <w:rFonts w:ascii="Arial" w:cs="Arial" w:eastAsia="Arial" w:hAnsi="Arial"/>
          <w:sz w:val="16"/>
          <w:szCs w:val="16"/>
          <w:color w:val="auto"/>
        </w:rPr>
        <w:t>. Each Agent, each Syndication Agent, each Documentation Agent, each Joint Lead Arranger and Bookrunner, each Letter of Credit Issuer, each Lender and their Affiliates (collectively, the “</w:t>
      </w:r>
      <w:r>
        <w:rPr>
          <w:rFonts w:ascii="Arial" w:cs="Arial" w:eastAsia="Arial" w:hAnsi="Arial"/>
          <w:sz w:val="16"/>
          <w:szCs w:val="16"/>
          <w:b w:val="1"/>
          <w:bCs w:val="1"/>
          <w:color w:val="auto"/>
        </w:rPr>
        <w:t>Lender Parties</w:t>
      </w:r>
      <w:r>
        <w:rPr>
          <w:rFonts w:ascii="Arial" w:cs="Arial" w:eastAsia="Arial" w:hAnsi="Arial"/>
          <w:sz w:val="16"/>
          <w:szCs w:val="16"/>
          <w:color w:val="auto"/>
        </w:rPr>
        <w:t>”), may have economic interests that conflict with those of the Credit Parties, their stockholders and/or their affiliates. Each Credit Party agrees that nothing in the Credit Documents or otherwise will be deemed to create an advisory, fiduciary or agency relationship or fiduciary or other implied duty between any Lender Party, on the one hand, and such Credit Party, its stockholders or its affiliates, on the other. The Credit Parties acknowledge and agree that (i) the transactions contemplated by the Credit Documents (including the exercise of rights and remedies hereunder and thereunder) are arm’s-length commercial transactions between the Lender Parties, on the one hand, and the Credit Parties, on the other, and (ii) in connection therewith and with the process leading thereto, (x) no Lender Party has assumed an advisory or fiduciary responsibility in favor of any Credit Party, its stockholders or its affiliates with respect to the transactions contemplated hereby (or the exercise of rights or remedies with respect thereto) or the process leading thereto (irrespective of whether any Lender Party has advised, is currently advising or will advise any Credit Party, its stockholders or its Affiliates on other matters) or any other obligation to any Credit Party except the obligations expressly set forth in the Credit Documents and (y) each Lender Party is acting solely as principal and not as the agent or fiduciary of any Credit Party, its management, stockholders or creditors. Each Credit Party acknowledges and agrees that it has consulted its own legal and financial advisors to the extent it deemed appropriate and that it is responsible for making its own independent judgment with respect to such transactions and the process leading thereto. Each Credit Party agrees that it will not claim that any Lender Party has rendered advisory services of any nature or respect, or owes a fiduciary or similar duty to such Credit Party, in connection with such transaction or the process leading thereto.</w:t>
      </w:r>
    </w:p>
    <w:p>
      <w:pPr>
        <w:spacing w:after="0" w:line="167"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 xml:space="preserve">13.22 </w:t>
      </w:r>
      <w:r>
        <w:rPr>
          <w:rFonts w:ascii="Arial" w:cs="Arial" w:eastAsia="Arial" w:hAnsi="Arial"/>
          <w:sz w:val="17"/>
          <w:szCs w:val="17"/>
          <w:u w:val="single" w:color="auto"/>
          <w:color w:val="auto"/>
        </w:rPr>
        <w:t>Acknowledgement and Consent to Bail-In of</w:t>
      </w:r>
      <w:r>
        <w:rPr>
          <w:rFonts w:ascii="Arial" w:cs="Arial" w:eastAsia="Arial" w:hAnsi="Arial"/>
          <w:sz w:val="17"/>
          <w:szCs w:val="17"/>
          <w:color w:val="auto"/>
        </w:rPr>
        <w:t xml:space="preserve"> </w:t>
      </w:r>
      <w:r>
        <w:rPr>
          <w:rFonts w:ascii="Arial" w:cs="Arial" w:eastAsia="Arial" w:hAnsi="Arial"/>
          <w:sz w:val="17"/>
          <w:szCs w:val="17"/>
          <w:u w:val="single" w:color="auto"/>
          <w:color w:val="FF0000"/>
          <w:strike w:val="1"/>
        </w:rPr>
        <w:t>EEA</w:t>
      </w:r>
      <w:r>
        <w:rPr>
          <w:rFonts w:ascii="Arial" w:cs="Arial" w:eastAsia="Arial" w:hAnsi="Arial"/>
          <w:sz w:val="17"/>
          <w:szCs w:val="17"/>
          <w:u w:val="single" w:color="auto"/>
          <w:color w:val="0000FF"/>
        </w:rPr>
        <w:t>Affected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Financial Institutions</w:t>
      </w:r>
      <w:r>
        <w:rPr>
          <w:rFonts w:ascii="Arial" w:cs="Arial" w:eastAsia="Arial" w:hAnsi="Arial"/>
          <w:sz w:val="17"/>
          <w:szCs w:val="17"/>
          <w:color w:val="auto"/>
        </w:rPr>
        <w:t xml:space="preserve">. Solely to the extent any Lender that is an EEA Financial Institution is a party to this Agreement and notwithstanding anything to the contrary in any Credit Document or in any other agreement, arrangement or understanding among any such parties, each party hereto acknowledges that any liability of any Lender that is an </w:t>
      </w:r>
      <w:r>
        <w:rPr>
          <w:rFonts w:ascii="Arial" w:cs="Arial" w:eastAsia="Arial" w:hAnsi="Arial"/>
          <w:sz w:val="17"/>
          <w:szCs w:val="17"/>
          <w:color w:val="FF0000"/>
          <w:strike w:val="1"/>
        </w:rPr>
        <w:t>EEA</w:t>
      </w:r>
      <w:r>
        <w:rPr>
          <w:rFonts w:ascii="Arial" w:cs="Arial" w:eastAsia="Arial" w:hAnsi="Arial"/>
          <w:sz w:val="17"/>
          <w:szCs w:val="17"/>
          <w:u w:val="single" w:color="auto"/>
          <w:color w:val="0000FF"/>
        </w:rPr>
        <w:t>Affected</w:t>
      </w:r>
      <w:r>
        <w:rPr>
          <w:rFonts w:ascii="Arial" w:cs="Arial" w:eastAsia="Arial" w:hAnsi="Arial"/>
          <w:sz w:val="17"/>
          <w:szCs w:val="17"/>
          <w:color w:val="auto"/>
        </w:rPr>
        <w:t xml:space="preserve"> Financial Institution arising under any Credit Document, to the extent such liability is unsecured, may be subject to the Write-down and Conversion Powers of </w:t>
      </w:r>
      <w:r>
        <w:rPr>
          <w:rFonts w:ascii="Arial" w:cs="Arial" w:eastAsia="Arial" w:hAnsi="Arial"/>
          <w:sz w:val="17"/>
          <w:szCs w:val="17"/>
          <w:color w:val="FF0000"/>
          <w:strike w:val="1"/>
        </w:rPr>
        <w:t>an EEA</w:t>
      </w:r>
      <w:r>
        <w:rPr>
          <w:rFonts w:ascii="Arial" w:cs="Arial" w:eastAsia="Arial" w:hAnsi="Arial"/>
          <w:sz w:val="17"/>
          <w:szCs w:val="17"/>
          <w:u w:val="single" w:color="auto"/>
          <w:color w:val="0000FF"/>
        </w:rPr>
        <w:t>the applicable</w:t>
      </w:r>
      <w:r>
        <w:rPr>
          <w:rFonts w:ascii="Arial" w:cs="Arial" w:eastAsia="Arial" w:hAnsi="Arial"/>
          <w:sz w:val="17"/>
          <w:szCs w:val="17"/>
          <w:color w:val="auto"/>
        </w:rPr>
        <w:t xml:space="preserve"> Resolution Authority and agrees and consents to, and acknowledges and agrees to be bound by:</w:t>
      </w:r>
    </w:p>
    <w:p>
      <w:pPr>
        <w:spacing w:after="0" w:line="176" w:lineRule="exact"/>
        <w:rPr>
          <w:sz w:val="20"/>
          <w:szCs w:val="20"/>
          <w:color w:val="auto"/>
        </w:rPr>
      </w:pPr>
    </w:p>
    <w:p>
      <w:pPr>
        <w:ind w:left="660" w:right="280" w:firstLine="644"/>
        <w:spacing w:after="0" w:line="277" w:lineRule="auto"/>
        <w:tabs>
          <w:tab w:leader="none" w:pos="1688"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the application of any Write-Down and Conversion Powers by </w:t>
      </w:r>
      <w:r>
        <w:rPr>
          <w:rFonts w:ascii="Arial" w:cs="Arial" w:eastAsia="Arial" w:hAnsi="Arial"/>
          <w:sz w:val="18"/>
          <w:szCs w:val="18"/>
          <w:color w:val="FF0000"/>
          <w:strike w:val="1"/>
        </w:rPr>
        <w:t>an EEA</w:t>
      </w:r>
      <w:r>
        <w:rPr>
          <w:rFonts w:ascii="Arial" w:cs="Arial" w:eastAsia="Arial" w:hAnsi="Arial"/>
          <w:sz w:val="18"/>
          <w:szCs w:val="18"/>
          <w:u w:val="single" w:color="auto"/>
          <w:color w:val="0000FF"/>
        </w:rPr>
        <w:t>the applicable</w:t>
      </w:r>
      <w:r>
        <w:rPr>
          <w:rFonts w:ascii="Arial" w:cs="Arial" w:eastAsia="Arial" w:hAnsi="Arial"/>
          <w:sz w:val="18"/>
          <w:szCs w:val="18"/>
          <w:color w:val="auto"/>
        </w:rPr>
        <w:t xml:space="preserve"> Resolution Authority to any such liabilities arising hereunder which may be payable to it by any Lender that is an </w:t>
      </w:r>
      <w:r>
        <w:rPr>
          <w:rFonts w:ascii="Arial" w:cs="Arial" w:eastAsia="Arial" w:hAnsi="Arial"/>
          <w:sz w:val="18"/>
          <w:szCs w:val="18"/>
          <w:color w:val="FF0000"/>
          <w:strike w:val="1"/>
        </w:rPr>
        <w:t>EEA</w:t>
      </w:r>
      <w:r>
        <w:rPr>
          <w:rFonts w:ascii="Arial" w:cs="Arial" w:eastAsia="Arial" w:hAnsi="Arial"/>
          <w:sz w:val="18"/>
          <w:szCs w:val="18"/>
          <w:u w:val="single" w:color="auto"/>
          <w:color w:val="0000FF"/>
        </w:rPr>
        <w:t>Affected</w:t>
      </w:r>
      <w:r>
        <w:rPr>
          <w:rFonts w:ascii="Arial" w:cs="Arial" w:eastAsia="Arial" w:hAnsi="Arial"/>
          <w:sz w:val="18"/>
          <w:szCs w:val="18"/>
          <w:color w:val="auto"/>
        </w:rPr>
        <w:t xml:space="preserve"> Financial Institution; and</w:t>
      </w:r>
    </w:p>
    <w:p>
      <w:pPr>
        <w:spacing w:after="0" w:line="89" w:lineRule="exact"/>
        <w:rPr>
          <w:rFonts w:ascii="Arial" w:cs="Arial" w:eastAsia="Arial" w:hAnsi="Arial"/>
          <w:sz w:val="18"/>
          <w:szCs w:val="18"/>
          <w:color w:val="auto"/>
        </w:rPr>
      </w:pPr>
    </w:p>
    <w:p>
      <w:pPr>
        <w:ind w:left="1700" w:hanging="396"/>
        <w:spacing w:after="0"/>
        <w:tabs>
          <w:tab w:leader="none" w:pos="17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44" w:lineRule="exact"/>
        <w:rPr>
          <w:rFonts w:ascii="Arial" w:cs="Arial" w:eastAsia="Arial" w:hAnsi="Arial"/>
          <w:sz w:val="18"/>
          <w:szCs w:val="18"/>
          <w:color w:val="auto"/>
        </w:rPr>
      </w:pPr>
    </w:p>
    <w:p>
      <w:pPr>
        <w:ind w:left="2540" w:hanging="345"/>
        <w:spacing w:after="0"/>
        <w:tabs>
          <w:tab w:leader="none" w:pos="254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44" w:lineRule="exact"/>
        <w:rPr>
          <w:rFonts w:ascii="Arial" w:cs="Arial" w:eastAsia="Arial" w:hAnsi="Arial"/>
          <w:sz w:val="18"/>
          <w:szCs w:val="18"/>
          <w:color w:val="auto"/>
        </w:rPr>
      </w:pPr>
    </w:p>
    <w:p>
      <w:pPr>
        <w:ind w:left="1300" w:right="260" w:firstLine="895"/>
        <w:spacing w:after="0" w:line="259" w:lineRule="auto"/>
        <w:tabs>
          <w:tab w:leader="none" w:pos="2591" w:val="left"/>
        </w:tabs>
        <w:numPr>
          <w:ilvl w:val="1"/>
          <w:numId w:val="229"/>
        </w:numPr>
        <w:rPr>
          <w:rFonts w:ascii="Arial" w:cs="Arial" w:eastAsia="Arial" w:hAnsi="Arial"/>
          <w:sz w:val="18"/>
          <w:szCs w:val="18"/>
          <w:color w:val="auto"/>
        </w:rPr>
      </w:pPr>
      <w:r>
        <w:rPr>
          <w:rFonts w:ascii="Arial" w:cs="Arial" w:eastAsia="Arial" w:hAnsi="Arial"/>
          <w:sz w:val="18"/>
          <w:szCs w:val="18"/>
          <w:color w:val="auto"/>
        </w:rPr>
        <w:t xml:space="preserve">a conversion of all, or a portion of, such liability into shares or other instruments of ownership in such </w:t>
      </w:r>
      <w:r>
        <w:rPr>
          <w:rFonts w:ascii="Arial" w:cs="Arial" w:eastAsia="Arial" w:hAnsi="Arial"/>
          <w:sz w:val="18"/>
          <w:szCs w:val="18"/>
          <w:color w:val="FF0000"/>
          <w:strike w:val="1"/>
        </w:rPr>
        <w:t>EEA</w:t>
      </w:r>
      <w:r>
        <w:rPr>
          <w:rFonts w:ascii="Arial" w:cs="Arial" w:eastAsia="Arial" w:hAnsi="Arial"/>
          <w:sz w:val="18"/>
          <w:szCs w:val="18"/>
          <w:u w:val="single" w:color="auto"/>
          <w:color w:val="0000FF"/>
        </w:rPr>
        <w:t>Affected</w:t>
      </w:r>
      <w:r>
        <w:rPr>
          <w:rFonts w:ascii="Arial" w:cs="Arial" w:eastAsia="Arial" w:hAnsi="Arial"/>
          <w:sz w:val="18"/>
          <w:szCs w:val="18"/>
          <w:color w:val="auto"/>
        </w:rPr>
        <w:t xml:space="preserve">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105" w:lineRule="exact"/>
        <w:rPr>
          <w:rFonts w:ascii="Arial" w:cs="Arial" w:eastAsia="Arial" w:hAnsi="Arial"/>
          <w:sz w:val="18"/>
          <w:szCs w:val="18"/>
          <w:color w:val="auto"/>
        </w:rPr>
      </w:pPr>
    </w:p>
    <w:p>
      <w:pPr>
        <w:ind w:left="1300" w:firstLine="895"/>
        <w:spacing w:after="0" w:line="277" w:lineRule="auto"/>
        <w:tabs>
          <w:tab w:leader="none" w:pos="2641" w:val="left"/>
        </w:tabs>
        <w:numPr>
          <w:ilvl w:val="1"/>
          <w:numId w:val="229"/>
        </w:numPr>
        <w:rPr>
          <w:rFonts w:ascii="Arial" w:cs="Arial" w:eastAsia="Arial" w:hAnsi="Arial"/>
          <w:sz w:val="18"/>
          <w:szCs w:val="18"/>
          <w:color w:val="auto"/>
        </w:rPr>
      </w:pPr>
      <w:r>
        <w:rPr>
          <w:rFonts w:ascii="Arial" w:cs="Arial" w:eastAsia="Arial" w:hAnsi="Arial"/>
          <w:sz w:val="18"/>
          <w:szCs w:val="18"/>
          <w:color w:val="auto"/>
        </w:rPr>
        <w:t xml:space="preserve">the variation of the terms of such liability in connection with the exercise of the Write-down and Conversion Powers of </w:t>
      </w:r>
      <w:r>
        <w:rPr>
          <w:rFonts w:ascii="Arial" w:cs="Arial" w:eastAsia="Arial" w:hAnsi="Arial"/>
          <w:sz w:val="18"/>
          <w:szCs w:val="18"/>
          <w:color w:val="FF0000"/>
          <w:strike w:val="1"/>
        </w:rPr>
        <w:t>any EEA</w:t>
      </w:r>
      <w:r>
        <w:rPr>
          <w:rFonts w:ascii="Arial" w:cs="Arial" w:eastAsia="Arial" w:hAnsi="Arial"/>
          <w:sz w:val="18"/>
          <w:szCs w:val="18"/>
          <w:u w:val="single" w:color="auto"/>
          <w:color w:val="0000FF"/>
        </w:rPr>
        <w:t>the applicable</w:t>
      </w:r>
      <w:r>
        <w:rPr>
          <w:rFonts w:ascii="Arial" w:cs="Arial" w:eastAsia="Arial" w:hAnsi="Arial"/>
          <w:sz w:val="18"/>
          <w:szCs w:val="18"/>
          <w:color w:val="FF0000"/>
        </w:rPr>
        <w:t xml:space="preserve"> </w:t>
      </w:r>
      <w:r>
        <w:rPr>
          <w:rFonts w:ascii="Arial" w:cs="Arial" w:eastAsia="Arial" w:hAnsi="Arial"/>
          <w:sz w:val="18"/>
          <w:szCs w:val="18"/>
          <w:color w:val="000000"/>
        </w:rPr>
        <w:t>Resolution Authority.</w:t>
      </w:r>
    </w:p>
    <w:p>
      <w:pPr>
        <w:spacing w:after="0" w:line="89"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13.23</w:t>
      </w:r>
      <w:r>
        <w:rPr>
          <w:sz w:val="20"/>
          <w:szCs w:val="20"/>
          <w:color w:val="auto"/>
        </w:rPr>
        <w:tab/>
      </w:r>
      <w:r>
        <w:rPr>
          <w:rFonts w:ascii="Arial" w:cs="Arial" w:eastAsia="Arial" w:hAnsi="Arial"/>
          <w:sz w:val="16"/>
          <w:szCs w:val="16"/>
          <w:u w:val="single" w:color="auto"/>
          <w:color w:val="auto"/>
        </w:rPr>
        <w:t>Acknowledgement Regarding Any Supported QFCs</w:t>
      </w:r>
      <w:r>
        <w:rPr>
          <w:rFonts w:ascii="Arial" w:cs="Arial" w:eastAsia="Arial" w:hAnsi="Arial"/>
          <w:sz w:val="16"/>
          <w:szCs w:val="16"/>
          <w:color w:val="auto"/>
        </w:rPr>
        <w:t>. To the extent that the Credit Documents provide support, through a guarantee or</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otherwise, for any swap contract or any other agreement or instrument that is a QFC (such support, “</w:t>
      </w:r>
      <w:r>
        <w:rPr>
          <w:rFonts w:ascii="Arial" w:cs="Arial" w:eastAsia="Arial" w:hAnsi="Arial"/>
          <w:sz w:val="17"/>
          <w:szCs w:val="17"/>
          <w:b w:val="1"/>
          <w:bCs w:val="1"/>
          <w:color w:val="auto"/>
        </w:rPr>
        <w:t>QFC Credit Support</w:t>
      </w:r>
      <w:r>
        <w:rPr>
          <w:rFonts w:ascii="Arial" w:cs="Arial" w:eastAsia="Arial" w:hAnsi="Arial"/>
          <w:sz w:val="17"/>
          <w:szCs w:val="17"/>
          <w:color w:val="auto"/>
        </w:rPr>
        <w:t>”, and each such QFC,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Supported QFC</w:t>
      </w:r>
      <w:r>
        <w:rPr>
          <w:rFonts w:ascii="Arial" w:cs="Arial" w:eastAsia="Arial" w:hAnsi="Arial"/>
          <w:sz w:val="16"/>
          <w:szCs w:val="16"/>
          <w:color w:val="auto"/>
        </w:rPr>
        <w:t>”), the parties acknowledge and agree as follows with respect to the resolution power of the Federal Deposit Insurance Corporation under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Federal Deposit Insurance Act and Title II of the Dodd-Frank Wall Street Reform and Consumer Protection Act (together with the regulations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promulgated thereunder, the “</w:t>
      </w:r>
      <w:r>
        <w:rPr>
          <w:rFonts w:ascii="Arial" w:cs="Arial" w:eastAsia="Arial" w:hAnsi="Arial"/>
          <w:sz w:val="16"/>
          <w:szCs w:val="16"/>
          <w:b w:val="1"/>
          <w:bCs w:val="1"/>
          <w:color w:val="auto"/>
        </w:rPr>
        <w:t>U.S. Special Resolution Regimes</w:t>
      </w:r>
      <w:r>
        <w:rPr>
          <w:rFonts w:ascii="Arial" w:cs="Arial" w:eastAsia="Arial" w:hAnsi="Arial"/>
          <w:sz w:val="16"/>
          <w:szCs w:val="16"/>
          <w:color w:val="auto"/>
        </w:rPr>
        <w:t>”) in respect of such Supported QFC and QFC Credit Support (with the provisions below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notwithstanding that the Credit Documents and any Supported QFC may in fact be stated to be governed by the laws of the State of New York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and/or of the United States or any other state of the United States):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320" w:top="341" w:right="359" w:bottom="1440" w:gutter="0" w:footer="0" w:header="0"/>
        </w:sectPr>
      </w:pPr>
    </w:p>
    <w:bookmarkStart w:id="235" w:name="page236"/>
    <w:bookmarkEnd w:id="235"/>
    <w:p>
      <w:pPr>
        <w:ind w:left="-460" w:firstLine="644"/>
        <w:spacing w:after="0" w:line="269" w:lineRule="auto"/>
        <w:tabs>
          <w:tab w:leader="none" w:pos="568" w:val="left"/>
        </w:tabs>
        <w:numPr>
          <w:ilvl w:val="0"/>
          <w:numId w:val="230"/>
        </w:numPr>
        <w:rPr>
          <w:rFonts w:ascii="Arial" w:cs="Arial" w:eastAsia="Arial" w:hAnsi="Arial"/>
          <w:sz w:val="17"/>
          <w:szCs w:val="17"/>
          <w:color w:val="auto"/>
        </w:rPr>
      </w:pPr>
      <w:r>
        <w:rPr>
          <w:rFonts w:ascii="Arial" w:cs="Arial" w:eastAsia="Arial" w:hAnsi="Arial"/>
          <w:sz w:val="17"/>
          <w:szCs w:val="17"/>
          <w:color w:val="auto"/>
        </w:rPr>
        <w:t>In the event a Covered Entity that is party to a Supported QFC (each, a “</w:t>
      </w:r>
      <w:r>
        <w:rPr>
          <w:rFonts w:ascii="Arial" w:cs="Arial" w:eastAsia="Arial" w:hAnsi="Arial"/>
          <w:sz w:val="17"/>
          <w:szCs w:val="17"/>
          <w:b w:val="1"/>
          <w:bCs w:val="1"/>
          <w:color w:val="auto"/>
        </w:rPr>
        <w:t>Covered Party</w:t>
      </w:r>
      <w:r>
        <w:rPr>
          <w:rFonts w:ascii="Arial" w:cs="Arial" w:eastAsia="Arial" w:hAnsi="Arial"/>
          <w:sz w:val="17"/>
          <w:szCs w:val="17"/>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01" w:lineRule="exact"/>
        <w:rPr>
          <w:rFonts w:ascii="Arial" w:cs="Arial" w:eastAsia="Arial" w:hAnsi="Arial"/>
          <w:sz w:val="17"/>
          <w:szCs w:val="17"/>
          <w:color w:val="auto"/>
        </w:rPr>
      </w:pPr>
    </w:p>
    <w:p>
      <w:pPr>
        <w:ind w:left="560" w:hanging="376"/>
        <w:spacing w:after="0"/>
        <w:tabs>
          <w:tab w:leader="none" w:pos="5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13.23</w:t>
      </w:r>
      <w:r>
        <w:rPr>
          <w:rFonts w:ascii="Arial" w:cs="Arial" w:eastAsia="Arial" w:hAnsi="Arial"/>
          <w:sz w:val="18"/>
          <w:szCs w:val="18"/>
          <w:color w:val="auto"/>
        </w:rPr>
        <w:t>, the following terms have the following meanings:</w:t>
      </w:r>
    </w:p>
    <w:p>
      <w:pPr>
        <w:spacing w:after="0" w:line="140" w:lineRule="exact"/>
        <w:rPr>
          <w:sz w:val="20"/>
          <w:szCs w:val="20"/>
          <w:color w:val="auto"/>
        </w:rPr>
      </w:pPr>
    </w:p>
    <w:p>
      <w:pPr>
        <w:ind w:left="180" w:right="4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BHC Act Affiliate</w:t>
      </w:r>
      <w:r>
        <w:rPr>
          <w:rFonts w:ascii="Arial" w:cs="Arial" w:eastAsia="Arial" w:hAnsi="Arial"/>
          <w:sz w:val="18"/>
          <w:szCs w:val="18"/>
          <w:color w:val="auto"/>
        </w:rPr>
        <w:t>” of a party means an “affiliate” (as such term is defined under, and interpreted in accordance with, 12 U.S.C. 1841(k)) of such party.</w:t>
      </w:r>
    </w:p>
    <w:p>
      <w:pPr>
        <w:spacing w:after="0" w:line="81" w:lineRule="exact"/>
        <w:rPr>
          <w:sz w:val="20"/>
          <w:szCs w:val="20"/>
          <w:color w:val="auto"/>
        </w:rPr>
      </w:pPr>
    </w:p>
    <w:p>
      <w:pPr>
        <w:jc w:val="both"/>
        <w:ind w:left="180" w:right="20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Covered Entity</w:t>
      </w:r>
      <w:r>
        <w:rPr>
          <w:rFonts w:ascii="Arial" w:cs="Arial" w:eastAsia="Arial" w:hAnsi="Arial"/>
          <w:sz w:val="17"/>
          <w:szCs w:val="17"/>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77" w:lineRule="exact"/>
        <w:rPr>
          <w:sz w:val="20"/>
          <w:szCs w:val="20"/>
          <w:color w:val="auto"/>
        </w:rPr>
      </w:pPr>
    </w:p>
    <w:p>
      <w:pPr>
        <w:ind w:lef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81" w:lineRule="exact"/>
        <w:rPr>
          <w:sz w:val="20"/>
          <w:szCs w:val="20"/>
          <w:color w:val="auto"/>
        </w:rPr>
      </w:pPr>
    </w:p>
    <w:p>
      <w:pPr>
        <w:ind w:left="180" w:right="2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QFC</w:t>
      </w:r>
      <w:r>
        <w:rPr>
          <w:rFonts w:ascii="Arial" w:cs="Arial" w:eastAsia="Arial" w:hAnsi="Arial"/>
          <w:sz w:val="18"/>
          <w:szCs w:val="18"/>
          <w:color w:val="auto"/>
        </w:rPr>
        <w:t>” has the meaning assigned to the term “qualified financial contract” in, and shall be interpreted in accordance with, 12 U.S.C. 5390(c)(8)(D).</w:t>
      </w:r>
    </w:p>
    <w:p>
      <w:pPr>
        <w:spacing w:after="0" w:line="85"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intentionally omitted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0100"/>
          </w:cols>
          <w:pgMar w:left="1440" w:top="337" w:right="359" w:bottom="1440" w:gutter="0" w:footer="0" w:header="0"/>
        </w:sectPr>
      </w:pPr>
    </w:p>
    <w:bookmarkStart w:id="236" w:name="page237"/>
    <w:bookmarkEnd w:id="236"/>
    <w:p>
      <w:pPr>
        <w:jc w:val="right"/>
        <w:spacing w:after="0"/>
        <w:rPr>
          <w:sz w:val="20"/>
          <w:szCs w:val="20"/>
          <w:color w:val="auto"/>
        </w:rPr>
      </w:pPr>
      <w:r>
        <w:rPr>
          <w:rFonts w:ascii="Arial" w:cs="Arial" w:eastAsia="Arial" w:hAnsi="Arial"/>
          <w:sz w:val="18"/>
          <w:szCs w:val="18"/>
          <w:b w:val="1"/>
          <w:bCs w:val="1"/>
          <w:color w:val="auto"/>
        </w:rPr>
        <w:t>Exhibit 10.3</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Form of PSU Agreement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STOCK UNIT GRANT NOTICE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UNDER THE</w:t>
      </w:r>
    </w:p>
    <w:p>
      <w:pPr>
        <w:jc w:val="center"/>
        <w:spacing w:after="0"/>
        <w:rPr>
          <w:sz w:val="20"/>
          <w:szCs w:val="20"/>
          <w:color w:val="auto"/>
        </w:rPr>
      </w:pPr>
      <w:r>
        <w:rPr>
          <w:rFonts w:ascii="Arial" w:cs="Arial" w:eastAsia="Arial" w:hAnsi="Arial"/>
          <w:sz w:val="20"/>
          <w:szCs w:val="20"/>
          <w:b w:val="1"/>
          <w:bCs w:val="1"/>
          <w:color w:val="auto"/>
        </w:rPr>
        <w:t>NATIONAL VISION HOLDINGS, INC.</w:t>
      </w:r>
    </w:p>
    <w:p>
      <w:pPr>
        <w:jc w:val="center"/>
        <w:spacing w:after="0"/>
        <w:rPr>
          <w:sz w:val="20"/>
          <w:szCs w:val="20"/>
          <w:color w:val="auto"/>
        </w:rPr>
      </w:pPr>
      <w:r>
        <w:rPr>
          <w:rFonts w:ascii="Arial" w:cs="Arial" w:eastAsia="Arial" w:hAnsi="Arial"/>
          <w:sz w:val="20"/>
          <w:szCs w:val="20"/>
          <w:b w:val="1"/>
          <w:bCs w:val="1"/>
          <w:color w:val="auto"/>
        </w:rPr>
        <w:t>2017 OMNIBUS INCENTIVE PLAN</w:t>
      </w:r>
    </w:p>
    <w:p>
      <w:pPr>
        <w:spacing w:after="0" w:line="14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National Vision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pursuant to its 2017 Omnibus Incentive Plan, as it may be amended and restated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 hereby grants to the Participant set forth below the number of Performance Stock Units, which are Restricted Stock Units that are subject to the performance-vesting conditions described herein (the “</w:t>
      </w:r>
      <w:r>
        <w:rPr>
          <w:rFonts w:ascii="Arial" w:cs="Arial" w:eastAsia="Arial" w:hAnsi="Arial"/>
          <w:sz w:val="18"/>
          <w:szCs w:val="18"/>
          <w:u w:val="single" w:color="auto"/>
          <w:color w:val="auto"/>
        </w:rPr>
        <w:t>Performance Stock Units</w:t>
      </w:r>
      <w:r>
        <w:rPr>
          <w:rFonts w:ascii="Arial" w:cs="Arial" w:eastAsia="Arial" w:hAnsi="Arial"/>
          <w:sz w:val="18"/>
          <w:szCs w:val="18"/>
          <w:color w:val="auto"/>
        </w:rPr>
        <w:t>” or “</w:t>
      </w:r>
      <w:r>
        <w:rPr>
          <w:rFonts w:ascii="Arial" w:cs="Arial" w:eastAsia="Arial" w:hAnsi="Arial"/>
          <w:sz w:val="18"/>
          <w:szCs w:val="18"/>
          <w:u w:val="single" w:color="auto"/>
          <w:color w:val="auto"/>
        </w:rPr>
        <w:t>PSUs</w:t>
      </w:r>
      <w:r>
        <w:rPr>
          <w:rFonts w:ascii="Arial" w:cs="Arial" w:eastAsia="Arial" w:hAnsi="Arial"/>
          <w:sz w:val="18"/>
          <w:szCs w:val="18"/>
          <w:color w:val="auto"/>
        </w:rPr>
        <w:t>”) set forth below. The Performance Stock Units are subject to all of the terms and conditions as set forth herein, in the Performance Stock Unit Agreement (attached hereto or previously provided to the Participant in connection with a prior grant), and in the Plan, all of which are incorporated herein in their entirety. Capitalized terms not otherwise defined herein shall have the meaning set forth in the Plan.</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660" w:type="dxa"/>
            <w:vAlign w:val="bottom"/>
          </w:tcPr>
          <w:p>
            <w:pPr>
              <w:spacing w:after="0"/>
              <w:rPr>
                <w:sz w:val="20"/>
                <w:szCs w:val="20"/>
                <w:color w:val="auto"/>
              </w:rPr>
            </w:pPr>
            <w:r>
              <w:rPr>
                <w:rFonts w:ascii="Arial" w:cs="Arial" w:eastAsia="Arial" w:hAnsi="Arial"/>
                <w:sz w:val="20"/>
                <w:szCs w:val="20"/>
                <w:b w:val="1"/>
                <w:bCs w:val="1"/>
                <w:color w:val="auto"/>
              </w:rPr>
              <w:t>Participant</w:t>
            </w:r>
            <w:r>
              <w:rPr>
                <w:rFonts w:ascii="Arial" w:cs="Arial" w:eastAsia="Arial" w:hAnsi="Arial"/>
                <w:sz w:val="20"/>
                <w:szCs w:val="20"/>
                <w:color w:val="auto"/>
              </w:rPr>
              <w:t>:</w:t>
            </w:r>
          </w:p>
        </w:tc>
        <w:tc>
          <w:tcPr>
            <w:tcW w:w="8580" w:type="dxa"/>
            <w:vAlign w:val="bottom"/>
            <w:gridSpan w:val="9"/>
          </w:tcPr>
          <w:p>
            <w:pPr>
              <w:ind w:left="5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Insert Participant Name</w:t>
            </w:r>
            <w:r>
              <w:rPr>
                <w:rFonts w:ascii="Arial" w:cs="Arial" w:eastAsia="Arial" w:hAnsi="Arial"/>
                <w:sz w:val="20"/>
                <w:szCs w:val="20"/>
                <w:color w:val="auto"/>
              </w:rPr>
              <w:t>]</w:t>
            </w:r>
          </w:p>
        </w:tc>
      </w:tr>
      <w:tr>
        <w:trPr>
          <w:trHeight w:val="392"/>
        </w:trPr>
        <w:tc>
          <w:tcPr>
            <w:tcW w:w="2660" w:type="dxa"/>
            <w:vAlign w:val="bottom"/>
          </w:tcPr>
          <w:p>
            <w:pPr>
              <w:spacing w:after="0"/>
              <w:rPr>
                <w:sz w:val="20"/>
                <w:szCs w:val="20"/>
                <w:color w:val="auto"/>
              </w:rPr>
            </w:pPr>
            <w:r>
              <w:rPr>
                <w:rFonts w:ascii="Arial" w:cs="Arial" w:eastAsia="Arial" w:hAnsi="Arial"/>
                <w:sz w:val="20"/>
                <w:szCs w:val="20"/>
                <w:b w:val="1"/>
                <w:bCs w:val="1"/>
                <w:color w:val="auto"/>
              </w:rPr>
              <w:t>Date of Grant</w:t>
            </w:r>
            <w:r>
              <w:rPr>
                <w:rFonts w:ascii="Arial" w:cs="Arial" w:eastAsia="Arial" w:hAnsi="Arial"/>
                <w:sz w:val="20"/>
                <w:szCs w:val="20"/>
                <w:color w:val="auto"/>
              </w:rPr>
              <w:t>:</w:t>
            </w:r>
          </w:p>
        </w:tc>
        <w:tc>
          <w:tcPr>
            <w:tcW w:w="8580" w:type="dxa"/>
            <w:vAlign w:val="bottom"/>
            <w:gridSpan w:val="9"/>
          </w:tcPr>
          <w:p>
            <w:pPr>
              <w:ind w:left="580"/>
              <w:spacing w:after="0"/>
              <w:rPr>
                <w:sz w:val="20"/>
                <w:szCs w:val="20"/>
                <w:color w:val="auto"/>
              </w:rPr>
            </w:pPr>
            <w:r>
              <w:rPr>
                <w:rFonts w:ascii="Arial" w:cs="Arial" w:eastAsia="Arial" w:hAnsi="Arial"/>
                <w:sz w:val="20"/>
                <w:szCs w:val="20"/>
                <w:color w:val="auto"/>
              </w:rPr>
              <w:t>[•], 2020</w:t>
            </w:r>
          </w:p>
        </w:tc>
      </w:tr>
      <w:tr>
        <w:trPr>
          <w:trHeight w:val="365"/>
        </w:trPr>
        <w:tc>
          <w:tcPr>
            <w:tcW w:w="2660" w:type="dxa"/>
            <w:vAlign w:val="bottom"/>
          </w:tcPr>
          <w:p>
            <w:pPr>
              <w:spacing w:after="0"/>
              <w:rPr>
                <w:sz w:val="20"/>
                <w:szCs w:val="20"/>
                <w:color w:val="auto"/>
              </w:rPr>
            </w:pPr>
            <w:r>
              <w:rPr>
                <w:rFonts w:ascii="Arial" w:cs="Arial" w:eastAsia="Arial" w:hAnsi="Arial"/>
                <w:sz w:val="20"/>
                <w:szCs w:val="20"/>
                <w:b w:val="1"/>
                <w:bCs w:val="1"/>
                <w:color w:val="auto"/>
              </w:rPr>
              <w:t>Number of Performance</w:t>
            </w:r>
          </w:p>
        </w:tc>
        <w:tc>
          <w:tcPr>
            <w:tcW w:w="2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2"/>
        </w:trPr>
        <w:tc>
          <w:tcPr>
            <w:tcW w:w="2660" w:type="dxa"/>
            <w:vAlign w:val="bottom"/>
          </w:tcPr>
          <w:p>
            <w:pPr>
              <w:spacing w:after="0" w:line="212" w:lineRule="exact"/>
              <w:rPr>
                <w:sz w:val="20"/>
                <w:szCs w:val="20"/>
                <w:color w:val="auto"/>
              </w:rPr>
            </w:pPr>
            <w:r>
              <w:rPr>
                <w:rFonts w:ascii="Arial" w:cs="Arial" w:eastAsia="Arial" w:hAnsi="Arial"/>
                <w:sz w:val="20"/>
                <w:szCs w:val="20"/>
                <w:b w:val="1"/>
                <w:bCs w:val="1"/>
                <w:color w:val="auto"/>
              </w:rPr>
              <w:t>Stock Units</w:t>
            </w:r>
            <w:r>
              <w:rPr>
                <w:rFonts w:ascii="Arial" w:cs="Arial" w:eastAsia="Arial" w:hAnsi="Arial"/>
                <w:sz w:val="20"/>
                <w:szCs w:val="20"/>
                <w:color w:val="auto"/>
              </w:rPr>
              <w:t>:</w:t>
            </w:r>
          </w:p>
        </w:tc>
        <w:tc>
          <w:tcPr>
            <w:tcW w:w="8580" w:type="dxa"/>
            <w:vAlign w:val="bottom"/>
            <w:gridSpan w:val="9"/>
          </w:tcPr>
          <w:p>
            <w:pPr>
              <w:ind w:left="580"/>
              <w:spacing w:after="0" w:line="212" w:lineRule="exact"/>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Insert No. of PSUs Granted</w:t>
            </w:r>
            <w:r>
              <w:rPr>
                <w:rFonts w:ascii="Arial" w:cs="Arial" w:eastAsia="Arial" w:hAnsi="Arial"/>
                <w:sz w:val="20"/>
                <w:szCs w:val="20"/>
                <w:color w:val="auto"/>
              </w:rPr>
              <w:t>] (the “PSUs”)</w:t>
            </w:r>
          </w:p>
        </w:tc>
      </w:tr>
      <w:tr>
        <w:trPr>
          <w:trHeight w:val="20"/>
        </w:trPr>
        <w:tc>
          <w:tcPr>
            <w:tcW w:w="2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71"/>
        </w:trPr>
        <w:tc>
          <w:tcPr>
            <w:tcW w:w="2660" w:type="dxa"/>
            <w:vAlign w:val="bottom"/>
          </w:tcPr>
          <w:p>
            <w:pPr>
              <w:spacing w:after="0"/>
              <w:rPr>
                <w:sz w:val="24"/>
                <w:szCs w:val="24"/>
                <w:color w:val="auto"/>
              </w:rPr>
            </w:pPr>
          </w:p>
        </w:tc>
        <w:tc>
          <w:tcPr>
            <w:tcW w:w="8580" w:type="dxa"/>
            <w:vAlign w:val="bottom"/>
            <w:gridSpan w:val="9"/>
          </w:tcPr>
          <w:p>
            <w:pPr>
              <w:ind w:left="580"/>
              <w:spacing w:after="0"/>
              <w:rPr>
                <w:sz w:val="20"/>
                <w:szCs w:val="20"/>
                <w:color w:val="auto"/>
              </w:rPr>
            </w:pPr>
            <w:r>
              <w:rPr>
                <w:rFonts w:ascii="Arial" w:cs="Arial" w:eastAsia="Arial" w:hAnsi="Arial"/>
                <w:sz w:val="20"/>
                <w:szCs w:val="20"/>
                <w:b w:val="1"/>
                <w:bCs w:val="1"/>
                <w:color w:val="auto"/>
                <w:w w:val="91"/>
              </w:rPr>
              <w:t>Vesting Schedule</w:t>
            </w:r>
            <w:r>
              <w:rPr>
                <w:rFonts w:ascii="Arial" w:cs="Arial" w:eastAsia="Arial" w:hAnsi="Arial"/>
                <w:sz w:val="20"/>
                <w:szCs w:val="20"/>
                <w:color w:val="auto"/>
                <w:w w:val="91"/>
              </w:rPr>
              <w:t>:   The PSUs will become earned (“Earned PSUs”) based on achievement of the</w:t>
            </w:r>
          </w:p>
        </w:tc>
      </w:tr>
      <w:tr>
        <w:trPr>
          <w:trHeight w:val="20"/>
        </w:trPr>
        <w:tc>
          <w:tcPr>
            <w:tcW w:w="2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3"/>
        </w:trPr>
        <w:tc>
          <w:tcPr>
            <w:tcW w:w="2660" w:type="dxa"/>
            <w:vAlign w:val="bottom"/>
          </w:tcPr>
          <w:p>
            <w:pPr>
              <w:spacing w:after="0"/>
              <w:rPr>
                <w:sz w:val="20"/>
                <w:szCs w:val="20"/>
                <w:color w:val="auto"/>
              </w:rPr>
            </w:pPr>
          </w:p>
        </w:tc>
        <w:tc>
          <w:tcPr>
            <w:tcW w:w="8580" w:type="dxa"/>
            <w:vAlign w:val="bottom"/>
            <w:gridSpan w:val="9"/>
          </w:tcPr>
          <w:p>
            <w:pPr>
              <w:ind w:left="580"/>
              <w:spacing w:after="0"/>
              <w:rPr>
                <w:sz w:val="20"/>
                <w:szCs w:val="20"/>
                <w:color w:val="auto"/>
              </w:rPr>
            </w:pPr>
            <w:r>
              <w:rPr>
                <w:rFonts w:ascii="Arial" w:cs="Arial" w:eastAsia="Arial" w:hAnsi="Arial"/>
                <w:sz w:val="20"/>
                <w:szCs w:val="20"/>
                <w:color w:val="auto"/>
                <w:w w:val="91"/>
              </w:rPr>
              <w:t>applicable Performance Condition with respect to the applicable Performance Period, in each case,</w:t>
            </w:r>
          </w:p>
        </w:tc>
      </w:tr>
      <w:tr>
        <w:trPr>
          <w:trHeight w:val="250"/>
        </w:trPr>
        <w:tc>
          <w:tcPr>
            <w:tcW w:w="2660" w:type="dxa"/>
            <w:vAlign w:val="bottom"/>
          </w:tcPr>
          <w:p>
            <w:pPr>
              <w:spacing w:after="0"/>
              <w:rPr>
                <w:sz w:val="21"/>
                <w:szCs w:val="21"/>
                <w:color w:val="auto"/>
              </w:rPr>
            </w:pPr>
          </w:p>
        </w:tc>
        <w:tc>
          <w:tcPr>
            <w:tcW w:w="8580" w:type="dxa"/>
            <w:vAlign w:val="bottom"/>
            <w:gridSpan w:val="9"/>
          </w:tcPr>
          <w:p>
            <w:pPr>
              <w:ind w:left="580"/>
              <w:spacing w:after="0"/>
              <w:rPr>
                <w:sz w:val="20"/>
                <w:szCs w:val="20"/>
                <w:color w:val="auto"/>
              </w:rPr>
            </w:pPr>
            <w:r>
              <w:rPr>
                <w:rFonts w:ascii="Arial" w:cs="Arial" w:eastAsia="Arial" w:hAnsi="Arial"/>
                <w:sz w:val="20"/>
                <w:szCs w:val="20"/>
                <w:color w:val="auto"/>
              </w:rPr>
              <w:t>as set forth below:</w:t>
            </w:r>
          </w:p>
        </w:tc>
      </w:tr>
      <w:tr>
        <w:trPr>
          <w:trHeight w:val="392"/>
        </w:trPr>
        <w:tc>
          <w:tcPr>
            <w:tcW w:w="2660" w:type="dxa"/>
            <w:vAlign w:val="bottom"/>
          </w:tcPr>
          <w:p>
            <w:pPr>
              <w:spacing w:after="0"/>
              <w:rPr>
                <w:sz w:val="24"/>
                <w:szCs w:val="24"/>
                <w:color w:val="auto"/>
              </w:rPr>
            </w:pPr>
          </w:p>
        </w:tc>
        <w:tc>
          <w:tcPr>
            <w:tcW w:w="8580" w:type="dxa"/>
            <w:vAlign w:val="bottom"/>
            <w:gridSpan w:val="9"/>
          </w:tcPr>
          <w:p>
            <w:pPr>
              <w:ind w:left="580"/>
              <w:spacing w:after="0"/>
              <w:rPr>
                <w:sz w:val="20"/>
                <w:szCs w:val="20"/>
                <w:color w:val="auto"/>
              </w:rPr>
            </w:pPr>
            <w:r>
              <w:rPr>
                <w:rFonts w:ascii="Arial" w:cs="Arial" w:eastAsia="Arial" w:hAnsi="Arial"/>
                <w:sz w:val="20"/>
                <w:szCs w:val="20"/>
                <w:i w:val="1"/>
                <w:iCs w:val="1"/>
                <w:color w:val="auto"/>
              </w:rPr>
              <w:t>Performance Period</w:t>
            </w:r>
          </w:p>
        </w:tc>
      </w:tr>
      <w:tr>
        <w:trPr>
          <w:trHeight w:val="391"/>
        </w:trPr>
        <w:tc>
          <w:tcPr>
            <w:tcW w:w="2660" w:type="dxa"/>
            <w:vAlign w:val="bottom"/>
          </w:tcPr>
          <w:p>
            <w:pPr>
              <w:spacing w:after="0"/>
              <w:rPr>
                <w:sz w:val="24"/>
                <w:szCs w:val="24"/>
                <w:color w:val="auto"/>
              </w:rPr>
            </w:pPr>
          </w:p>
        </w:tc>
        <w:tc>
          <w:tcPr>
            <w:tcW w:w="8580" w:type="dxa"/>
            <w:vAlign w:val="bottom"/>
            <w:gridSpan w:val="9"/>
          </w:tcPr>
          <w:p>
            <w:pPr>
              <w:ind w:left="580"/>
              <w:spacing w:after="0"/>
              <w:rPr>
                <w:sz w:val="20"/>
                <w:szCs w:val="20"/>
                <w:color w:val="auto"/>
              </w:rPr>
            </w:pPr>
            <w:r>
              <w:rPr>
                <w:rFonts w:ascii="Arial" w:cs="Arial" w:eastAsia="Arial" w:hAnsi="Arial"/>
                <w:sz w:val="20"/>
                <w:szCs w:val="20"/>
                <w:color w:val="auto"/>
              </w:rPr>
              <w:t>Fiscal year 2020 through fiscal year 2022.</w:t>
            </w:r>
          </w:p>
        </w:tc>
      </w:tr>
      <w:tr>
        <w:trPr>
          <w:trHeight w:val="553"/>
        </w:trPr>
        <w:tc>
          <w:tcPr>
            <w:tcW w:w="2660" w:type="dxa"/>
            <w:vAlign w:val="bottom"/>
          </w:tcPr>
          <w:p>
            <w:pPr>
              <w:spacing w:after="0"/>
              <w:rPr>
                <w:sz w:val="24"/>
                <w:szCs w:val="24"/>
                <w:color w:val="auto"/>
              </w:rPr>
            </w:pPr>
          </w:p>
        </w:tc>
        <w:tc>
          <w:tcPr>
            <w:tcW w:w="8580" w:type="dxa"/>
            <w:vAlign w:val="bottom"/>
            <w:gridSpan w:val="9"/>
          </w:tcPr>
          <w:p>
            <w:pPr>
              <w:ind w:left="580"/>
              <w:spacing w:after="0"/>
              <w:rPr>
                <w:sz w:val="20"/>
                <w:szCs w:val="20"/>
                <w:color w:val="auto"/>
              </w:rPr>
            </w:pPr>
            <w:r>
              <w:rPr>
                <w:rFonts w:ascii="Arial" w:cs="Arial" w:eastAsia="Arial" w:hAnsi="Arial"/>
                <w:sz w:val="20"/>
                <w:szCs w:val="20"/>
                <w:i w:val="1"/>
                <w:iCs w:val="1"/>
                <w:color w:val="auto"/>
              </w:rPr>
              <w:t>Performance Conditions</w:t>
            </w:r>
          </w:p>
        </w:tc>
      </w:tr>
      <w:tr>
        <w:trPr>
          <w:trHeight w:val="371"/>
        </w:trPr>
        <w:tc>
          <w:tcPr>
            <w:tcW w:w="2660" w:type="dxa"/>
            <w:vAlign w:val="bottom"/>
          </w:tcPr>
          <w:p>
            <w:pPr>
              <w:spacing w:after="0"/>
              <w:rPr>
                <w:sz w:val="24"/>
                <w:szCs w:val="24"/>
                <w:color w:val="auto"/>
              </w:rPr>
            </w:pPr>
          </w:p>
        </w:tc>
        <w:tc>
          <w:tcPr>
            <w:tcW w:w="8580" w:type="dxa"/>
            <w:vAlign w:val="bottom"/>
            <w:gridSpan w:val="9"/>
          </w:tcPr>
          <w:p>
            <w:pPr>
              <w:ind w:left="580"/>
              <w:spacing w:after="0"/>
              <w:rPr>
                <w:sz w:val="20"/>
                <w:szCs w:val="20"/>
                <w:color w:val="auto"/>
              </w:rPr>
            </w:pPr>
            <w:r>
              <w:rPr>
                <w:rFonts w:ascii="Arial" w:cs="Arial" w:eastAsia="Arial" w:hAnsi="Arial"/>
                <w:sz w:val="20"/>
                <w:szCs w:val="20"/>
                <w:color w:val="auto"/>
                <w:w w:val="99"/>
              </w:rPr>
              <w:t>The number of PSUs that become Earned PSUs shall be based on the achievement of the</w:t>
            </w:r>
          </w:p>
        </w:tc>
      </w:tr>
      <w:tr>
        <w:trPr>
          <w:trHeight w:val="229"/>
        </w:trPr>
        <w:tc>
          <w:tcPr>
            <w:tcW w:w="2660" w:type="dxa"/>
            <w:vAlign w:val="bottom"/>
          </w:tcPr>
          <w:p>
            <w:pPr>
              <w:spacing w:after="0"/>
              <w:rPr>
                <w:sz w:val="19"/>
                <w:szCs w:val="19"/>
                <w:color w:val="auto"/>
              </w:rPr>
            </w:pPr>
          </w:p>
        </w:tc>
        <w:tc>
          <w:tcPr>
            <w:tcW w:w="8580" w:type="dxa"/>
            <w:vAlign w:val="bottom"/>
            <w:gridSpan w:val="9"/>
          </w:tcPr>
          <w:p>
            <w:pPr>
              <w:ind w:left="580"/>
              <w:spacing w:after="0"/>
              <w:rPr>
                <w:sz w:val="20"/>
                <w:szCs w:val="20"/>
                <w:color w:val="auto"/>
              </w:rPr>
            </w:pPr>
            <w:r>
              <w:rPr>
                <w:rFonts w:ascii="Arial" w:cs="Arial" w:eastAsia="Arial" w:hAnsi="Arial"/>
                <w:sz w:val="20"/>
                <w:szCs w:val="20"/>
                <w:color w:val="auto"/>
                <w:w w:val="92"/>
              </w:rPr>
              <w:t>Performance Conditions set forth below, with the number PSUs earned equal to (x) the number of</w:t>
            </w:r>
          </w:p>
        </w:tc>
      </w:tr>
      <w:tr>
        <w:trPr>
          <w:trHeight w:val="230"/>
        </w:trPr>
        <w:tc>
          <w:tcPr>
            <w:tcW w:w="2660" w:type="dxa"/>
            <w:vAlign w:val="bottom"/>
          </w:tcPr>
          <w:p>
            <w:pPr>
              <w:spacing w:after="0"/>
              <w:rPr>
                <w:sz w:val="19"/>
                <w:szCs w:val="19"/>
                <w:color w:val="auto"/>
              </w:rPr>
            </w:pPr>
          </w:p>
        </w:tc>
        <w:tc>
          <w:tcPr>
            <w:tcW w:w="8580" w:type="dxa"/>
            <w:vAlign w:val="bottom"/>
            <w:gridSpan w:val="9"/>
          </w:tcPr>
          <w:p>
            <w:pPr>
              <w:ind w:left="580"/>
              <w:spacing w:after="0"/>
              <w:rPr>
                <w:sz w:val="20"/>
                <w:szCs w:val="20"/>
                <w:color w:val="auto"/>
              </w:rPr>
            </w:pPr>
            <w:r>
              <w:rPr>
                <w:rFonts w:ascii="Arial" w:cs="Arial" w:eastAsia="Arial" w:hAnsi="Arial"/>
                <w:sz w:val="20"/>
                <w:szCs w:val="20"/>
                <w:color w:val="auto"/>
                <w:w w:val="91"/>
              </w:rPr>
              <w:t>PSUs multiplied by (y) the applicable percentage earned (calculated as set forth below, rounded up</w:t>
            </w:r>
          </w:p>
        </w:tc>
      </w:tr>
      <w:tr>
        <w:trPr>
          <w:trHeight w:val="250"/>
        </w:trPr>
        <w:tc>
          <w:tcPr>
            <w:tcW w:w="2660" w:type="dxa"/>
            <w:vAlign w:val="bottom"/>
          </w:tcPr>
          <w:p>
            <w:pPr>
              <w:spacing w:after="0"/>
              <w:rPr>
                <w:sz w:val="21"/>
                <w:szCs w:val="21"/>
                <w:color w:val="auto"/>
              </w:rPr>
            </w:pPr>
          </w:p>
        </w:tc>
        <w:tc>
          <w:tcPr>
            <w:tcW w:w="8580" w:type="dxa"/>
            <w:vAlign w:val="bottom"/>
            <w:gridSpan w:val="9"/>
          </w:tcPr>
          <w:p>
            <w:pPr>
              <w:ind w:left="580"/>
              <w:spacing w:after="0"/>
              <w:rPr>
                <w:sz w:val="20"/>
                <w:szCs w:val="20"/>
                <w:color w:val="auto"/>
              </w:rPr>
            </w:pPr>
            <w:r>
              <w:rPr>
                <w:rFonts w:ascii="Arial" w:cs="Arial" w:eastAsia="Arial" w:hAnsi="Arial"/>
                <w:sz w:val="20"/>
                <w:szCs w:val="20"/>
                <w:color w:val="auto"/>
              </w:rPr>
              <w:t>to the nearest whole unit).</w:t>
            </w:r>
          </w:p>
        </w:tc>
      </w:tr>
      <w:tr>
        <w:trPr>
          <w:trHeight w:val="371"/>
        </w:trPr>
        <w:tc>
          <w:tcPr>
            <w:tcW w:w="2660" w:type="dxa"/>
            <w:vAlign w:val="bottom"/>
          </w:tcPr>
          <w:p>
            <w:pPr>
              <w:spacing w:after="0"/>
              <w:rPr>
                <w:sz w:val="24"/>
                <w:szCs w:val="24"/>
                <w:color w:val="auto"/>
              </w:rPr>
            </w:pPr>
          </w:p>
        </w:tc>
        <w:tc>
          <w:tcPr>
            <w:tcW w:w="8580" w:type="dxa"/>
            <w:vAlign w:val="bottom"/>
            <w:gridSpan w:val="9"/>
          </w:tcPr>
          <w:p>
            <w:pPr>
              <w:ind w:left="580"/>
              <w:spacing w:after="0"/>
              <w:rPr>
                <w:sz w:val="20"/>
                <w:szCs w:val="20"/>
                <w:color w:val="auto"/>
              </w:rPr>
            </w:pPr>
            <w:r>
              <w:rPr>
                <w:rFonts w:ascii="Arial" w:cs="Arial" w:eastAsia="Arial" w:hAnsi="Arial"/>
                <w:sz w:val="20"/>
                <w:szCs w:val="20"/>
                <w:color w:val="auto"/>
                <w:w w:val="94"/>
              </w:rPr>
              <w:t>PSUs shall become Earned PSUs based on achievement of specified Annual Adjusted EBITDA</w:t>
            </w:r>
          </w:p>
        </w:tc>
      </w:tr>
      <w:tr>
        <w:trPr>
          <w:trHeight w:val="250"/>
        </w:trPr>
        <w:tc>
          <w:tcPr>
            <w:tcW w:w="2660" w:type="dxa"/>
            <w:vAlign w:val="bottom"/>
          </w:tcPr>
          <w:p>
            <w:pPr>
              <w:spacing w:after="0"/>
              <w:rPr>
                <w:sz w:val="21"/>
                <w:szCs w:val="21"/>
                <w:color w:val="auto"/>
              </w:rPr>
            </w:pPr>
          </w:p>
        </w:tc>
        <w:tc>
          <w:tcPr>
            <w:tcW w:w="8580" w:type="dxa"/>
            <w:vAlign w:val="bottom"/>
            <w:gridSpan w:val="9"/>
          </w:tcPr>
          <w:p>
            <w:pPr>
              <w:ind w:left="580"/>
              <w:spacing w:after="0"/>
              <w:rPr>
                <w:sz w:val="20"/>
                <w:szCs w:val="20"/>
                <w:color w:val="auto"/>
              </w:rPr>
            </w:pPr>
            <w:r>
              <w:rPr>
                <w:rFonts w:ascii="Arial" w:cs="Arial" w:eastAsia="Arial" w:hAnsi="Arial"/>
                <w:sz w:val="20"/>
                <w:szCs w:val="20"/>
                <w:color w:val="auto"/>
              </w:rPr>
              <w:t>Growth targets over the Performance Period:</w:t>
            </w:r>
          </w:p>
        </w:tc>
      </w:tr>
      <w:tr>
        <w:trPr>
          <w:trHeight w:val="371"/>
        </w:trPr>
        <w:tc>
          <w:tcPr>
            <w:tcW w:w="2660" w:type="dxa"/>
            <w:vAlign w:val="bottom"/>
          </w:tcPr>
          <w:p>
            <w:pPr>
              <w:spacing w:after="0"/>
              <w:rPr>
                <w:sz w:val="24"/>
                <w:szCs w:val="24"/>
                <w:color w:val="auto"/>
              </w:rPr>
            </w:pPr>
          </w:p>
        </w:tc>
        <w:tc>
          <w:tcPr>
            <w:tcW w:w="8580" w:type="dxa"/>
            <w:vAlign w:val="bottom"/>
            <w:gridSpan w:val="9"/>
          </w:tcPr>
          <w:p>
            <w:pPr>
              <w:ind w:left="580"/>
              <w:spacing w:after="0"/>
              <w:rPr>
                <w:sz w:val="20"/>
                <w:szCs w:val="20"/>
                <w:color w:val="auto"/>
              </w:rPr>
            </w:pPr>
            <w:r>
              <w:rPr>
                <w:rFonts w:ascii="Arial" w:cs="Arial" w:eastAsia="Arial" w:hAnsi="Arial"/>
                <w:sz w:val="20"/>
                <w:szCs w:val="20"/>
                <w:color w:val="auto"/>
                <w:w w:val="94"/>
              </w:rPr>
              <w:t>As soon as practicable following the beginning of the Performance Period, the Committee (or its</w:t>
            </w:r>
          </w:p>
        </w:tc>
      </w:tr>
      <w:tr>
        <w:trPr>
          <w:trHeight w:val="206"/>
        </w:trPr>
        <w:tc>
          <w:tcPr>
            <w:tcW w:w="2660" w:type="dxa"/>
            <w:vAlign w:val="bottom"/>
          </w:tcPr>
          <w:p>
            <w:pPr>
              <w:spacing w:after="0"/>
              <w:rPr>
                <w:sz w:val="17"/>
                <w:szCs w:val="17"/>
                <w:color w:val="auto"/>
              </w:rPr>
            </w:pPr>
          </w:p>
        </w:tc>
        <w:tc>
          <w:tcPr>
            <w:tcW w:w="8580" w:type="dxa"/>
            <w:vAlign w:val="bottom"/>
            <w:gridSpan w:val="9"/>
          </w:tcPr>
          <w:p>
            <w:pPr>
              <w:ind w:left="580"/>
              <w:spacing w:after="0" w:line="206" w:lineRule="exact"/>
              <w:rPr>
                <w:sz w:val="20"/>
                <w:szCs w:val="20"/>
                <w:color w:val="auto"/>
              </w:rPr>
            </w:pPr>
            <w:r>
              <w:rPr>
                <w:rFonts w:ascii="Arial" w:cs="Arial" w:eastAsia="Arial" w:hAnsi="Arial"/>
                <w:sz w:val="20"/>
                <w:szCs w:val="20"/>
                <w:color w:val="auto"/>
                <w:w w:val="94"/>
              </w:rPr>
              <w:t>designee) shall establish a baseline Adjusted EBITDA (the “Baseline Adjusted EBITDA”). At the</w:t>
            </w:r>
          </w:p>
        </w:tc>
      </w:tr>
      <w:tr>
        <w:trPr>
          <w:trHeight w:val="20"/>
        </w:trPr>
        <w:tc>
          <w:tcPr>
            <w:tcW w:w="2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60" w:type="dxa"/>
            <w:vAlign w:val="bottom"/>
            <w:gridSpan w:val="2"/>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3"/>
        </w:trPr>
        <w:tc>
          <w:tcPr>
            <w:tcW w:w="2660" w:type="dxa"/>
            <w:vAlign w:val="bottom"/>
          </w:tcPr>
          <w:p>
            <w:pPr>
              <w:spacing w:after="0"/>
              <w:rPr>
                <w:sz w:val="20"/>
                <w:szCs w:val="20"/>
                <w:color w:val="auto"/>
              </w:rPr>
            </w:pPr>
          </w:p>
        </w:tc>
        <w:tc>
          <w:tcPr>
            <w:tcW w:w="8580" w:type="dxa"/>
            <w:vAlign w:val="bottom"/>
            <w:gridSpan w:val="9"/>
          </w:tcPr>
          <w:p>
            <w:pPr>
              <w:ind w:left="580"/>
              <w:spacing w:after="0"/>
              <w:rPr>
                <w:sz w:val="20"/>
                <w:szCs w:val="20"/>
                <w:color w:val="auto"/>
              </w:rPr>
            </w:pPr>
            <w:r>
              <w:rPr>
                <w:rFonts w:ascii="Arial" w:cs="Arial" w:eastAsia="Arial" w:hAnsi="Arial"/>
                <w:sz w:val="20"/>
                <w:szCs w:val="20"/>
                <w:color w:val="auto"/>
                <w:w w:val="92"/>
              </w:rPr>
              <w:t>end of the first fiscal year in the Performance Period, the Committee shall determine (i) the actual</w:t>
            </w:r>
          </w:p>
        </w:tc>
      </w:tr>
      <w:tr>
        <w:trPr>
          <w:trHeight w:val="206"/>
        </w:trPr>
        <w:tc>
          <w:tcPr>
            <w:tcW w:w="2660" w:type="dxa"/>
            <w:vAlign w:val="bottom"/>
          </w:tcPr>
          <w:p>
            <w:pPr>
              <w:spacing w:after="0"/>
              <w:rPr>
                <w:sz w:val="17"/>
                <w:szCs w:val="17"/>
                <w:color w:val="auto"/>
              </w:rPr>
            </w:pPr>
          </w:p>
        </w:tc>
        <w:tc>
          <w:tcPr>
            <w:tcW w:w="8580" w:type="dxa"/>
            <w:vAlign w:val="bottom"/>
            <w:gridSpan w:val="9"/>
          </w:tcPr>
          <w:p>
            <w:pPr>
              <w:ind w:left="580"/>
              <w:spacing w:after="0" w:line="206" w:lineRule="exact"/>
              <w:rPr>
                <w:sz w:val="20"/>
                <w:szCs w:val="20"/>
                <w:color w:val="auto"/>
              </w:rPr>
            </w:pPr>
            <w:r>
              <w:rPr>
                <w:rFonts w:ascii="Arial" w:cs="Arial" w:eastAsia="Arial" w:hAnsi="Arial"/>
                <w:sz w:val="20"/>
                <w:szCs w:val="20"/>
                <w:color w:val="auto"/>
                <w:w w:val="99"/>
              </w:rPr>
              <w:t>Adjusted EBITDA (the “Actual Adjusted EBITDA”) as of the end of the first fiscal year in the</w:t>
            </w:r>
          </w:p>
        </w:tc>
      </w:tr>
      <w:tr>
        <w:trPr>
          <w:trHeight w:val="20"/>
        </w:trPr>
        <w:tc>
          <w:tcPr>
            <w:tcW w:w="2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120" w:type="dxa"/>
            <w:vAlign w:val="bottom"/>
            <w:gridSpan w:val="3"/>
            <w:shd w:val="clear" w:color="auto" w:fill="000000"/>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r>
      <w:tr>
        <w:trPr>
          <w:trHeight w:val="233"/>
        </w:trPr>
        <w:tc>
          <w:tcPr>
            <w:tcW w:w="2660" w:type="dxa"/>
            <w:vAlign w:val="bottom"/>
          </w:tcPr>
          <w:p>
            <w:pPr>
              <w:spacing w:after="0"/>
              <w:rPr>
                <w:sz w:val="20"/>
                <w:szCs w:val="20"/>
                <w:color w:val="auto"/>
              </w:rPr>
            </w:pPr>
          </w:p>
        </w:tc>
        <w:tc>
          <w:tcPr>
            <w:tcW w:w="8580" w:type="dxa"/>
            <w:vAlign w:val="bottom"/>
            <w:gridSpan w:val="9"/>
          </w:tcPr>
          <w:p>
            <w:pPr>
              <w:ind w:left="580"/>
              <w:spacing w:after="0"/>
              <w:rPr>
                <w:sz w:val="20"/>
                <w:szCs w:val="20"/>
                <w:color w:val="auto"/>
              </w:rPr>
            </w:pPr>
            <w:r>
              <w:rPr>
                <w:rFonts w:ascii="Arial" w:cs="Arial" w:eastAsia="Arial" w:hAnsi="Arial"/>
                <w:sz w:val="20"/>
                <w:szCs w:val="20"/>
                <w:color w:val="auto"/>
                <w:w w:val="90"/>
              </w:rPr>
              <w:t>Performance Period and (ii) the percentage growth between the Baseline Adjusted EBITDA and the</w:t>
            </w:r>
          </w:p>
        </w:tc>
      </w:tr>
      <w:tr>
        <w:trPr>
          <w:trHeight w:val="250"/>
        </w:trPr>
        <w:tc>
          <w:tcPr>
            <w:tcW w:w="2660" w:type="dxa"/>
            <w:vAlign w:val="bottom"/>
          </w:tcPr>
          <w:p>
            <w:pPr>
              <w:spacing w:after="0"/>
              <w:rPr>
                <w:sz w:val="21"/>
                <w:szCs w:val="21"/>
                <w:color w:val="auto"/>
              </w:rPr>
            </w:pPr>
          </w:p>
        </w:tc>
        <w:tc>
          <w:tcPr>
            <w:tcW w:w="8580" w:type="dxa"/>
            <w:vAlign w:val="bottom"/>
            <w:gridSpan w:val="9"/>
          </w:tcPr>
          <w:p>
            <w:pPr>
              <w:ind w:left="580"/>
              <w:spacing w:after="0"/>
              <w:rPr>
                <w:sz w:val="20"/>
                <w:szCs w:val="20"/>
                <w:color w:val="auto"/>
              </w:rPr>
            </w:pPr>
            <w:r>
              <w:rPr>
                <w:rFonts w:ascii="Arial" w:cs="Arial" w:eastAsia="Arial" w:hAnsi="Arial"/>
                <w:sz w:val="20"/>
                <w:szCs w:val="20"/>
                <w:color w:val="auto"/>
              </w:rPr>
              <w:t>Actual Adjusted EBITDA for such fiscal year as follows:</w:t>
            </w:r>
          </w:p>
        </w:tc>
      </w:tr>
    </w:tbl>
    <w:p>
      <w:pPr>
        <w:sectPr>
          <w:pgSz w:w="11900" w:h="16838" w:orient="portrait"/>
          <w:cols w:equalWidth="0" w:num="1">
            <w:col w:w="11240"/>
          </w:cols>
          <w:pgMar w:left="320" w:top="121" w:right="339" w:bottom="1440" w:gutter="0" w:footer="0" w:header="0"/>
        </w:sectPr>
      </w:pPr>
    </w:p>
    <w:bookmarkStart w:id="237" w:name="page238"/>
    <w:bookmarkEnd w:id="237"/>
    <w:p>
      <w:pPr>
        <w:ind w:left="2780" w:firstLine="648"/>
        <w:spacing w:after="0" w:line="260" w:lineRule="auto"/>
        <w:rPr>
          <w:sz w:val="20"/>
          <w:szCs w:val="20"/>
          <w:color w:val="auto"/>
        </w:rPr>
      </w:pPr>
      <w:r>
        <w:rPr>
          <w:rFonts w:ascii="Arial" w:cs="Arial" w:eastAsia="Arial" w:hAnsi="Arial"/>
          <w:sz w:val="20"/>
          <w:szCs w:val="20"/>
          <w:color w:val="auto"/>
        </w:rPr>
        <w:t>((Actual Adjusted EBITDA - Baseline Adjusted EBITDA) / (Baseline Adjusted EBITDA)) * 100</w:t>
      </w:r>
    </w:p>
    <w:p>
      <w:pPr>
        <w:spacing w:after="0" w:line="123" w:lineRule="exact"/>
        <w:rPr>
          <w:sz w:val="20"/>
          <w:szCs w:val="20"/>
          <w:color w:val="auto"/>
        </w:rPr>
      </w:pPr>
    </w:p>
    <w:p>
      <w:pPr>
        <w:jc w:val="both"/>
        <w:ind w:left="2120"/>
        <w:spacing w:after="0" w:line="260" w:lineRule="auto"/>
        <w:rPr>
          <w:sz w:val="20"/>
          <w:szCs w:val="20"/>
          <w:color w:val="auto"/>
        </w:rPr>
      </w:pPr>
      <w:r>
        <w:rPr>
          <w:rFonts w:ascii="Arial" w:cs="Arial" w:eastAsia="Arial" w:hAnsi="Arial"/>
          <w:sz w:val="20"/>
          <w:szCs w:val="20"/>
          <w:color w:val="auto"/>
        </w:rPr>
        <w:t>The percentage growth shall then be extrapolated to a hypothetical Payout as a percentage of the target PSUs as set forth below:</w:t>
      </w:r>
    </w:p>
    <w:p>
      <w:pPr>
        <w:spacing w:after="0" w:line="147" w:lineRule="exact"/>
        <w:rPr>
          <w:sz w:val="20"/>
          <w:szCs w:val="20"/>
          <w:color w:val="auto"/>
        </w:rPr>
      </w:pPr>
    </w:p>
    <w:tbl>
      <w:tblPr>
        <w:tblLayout w:type="fixed"/>
        <w:tblInd w:w="2130" w:type="dxa"/>
        <w:tblCellMar>
          <w:top w:w="0" w:type="dxa"/>
          <w:left w:w="0" w:type="dxa"/>
          <w:bottom w:w="0" w:type="dxa"/>
          <w:right w:w="0" w:type="dxa"/>
        </w:tblCellMar>
      </w:tblPr>
      <w:tr>
        <w:trPr>
          <w:trHeight w:val="247"/>
        </w:trPr>
        <w:tc>
          <w:tcPr>
            <w:tcW w:w="1640" w:type="dxa"/>
            <w:vAlign w:val="bottom"/>
            <w:tcBorders>
              <w:top w:val="single" w:sz="8" w:color="auto"/>
              <w:left w:val="single" w:sz="8" w:color="auto"/>
              <w:right w:val="single" w:sz="8" w:color="auto"/>
            </w:tcBorders>
            <w:shd w:val="clear" w:color="auto" w:fill="D9D9D9"/>
          </w:tcPr>
          <w:p>
            <w:pPr>
              <w:spacing w:after="0"/>
              <w:rPr>
                <w:sz w:val="21"/>
                <w:szCs w:val="21"/>
                <w:color w:val="auto"/>
              </w:rPr>
            </w:pPr>
          </w:p>
        </w:tc>
        <w:tc>
          <w:tcPr>
            <w:tcW w:w="1880" w:type="dxa"/>
            <w:vAlign w:val="bottom"/>
            <w:tcBorders>
              <w:top w:val="single" w:sz="8" w:color="auto"/>
              <w:right w:val="single" w:sz="8" w:color="auto"/>
            </w:tcBorders>
            <w:gridSpan w:val="3"/>
            <w:shd w:val="clear" w:color="auto" w:fill="D9D9D9"/>
          </w:tcPr>
          <w:p>
            <w:pPr>
              <w:jc w:val="center"/>
              <w:ind w:right="40"/>
              <w:spacing w:after="0"/>
              <w:rPr>
                <w:sz w:val="20"/>
                <w:szCs w:val="20"/>
                <w:color w:val="auto"/>
              </w:rPr>
            </w:pPr>
            <w:r>
              <w:rPr>
                <w:rFonts w:ascii="Arial" w:cs="Arial" w:eastAsia="Arial" w:hAnsi="Arial"/>
                <w:sz w:val="20"/>
                <w:szCs w:val="20"/>
                <w:b w:val="1"/>
                <w:bCs w:val="1"/>
                <w:color w:val="auto"/>
                <w:w w:val="90"/>
              </w:rPr>
              <w:t>Payout as a % of</w:t>
            </w:r>
          </w:p>
        </w:tc>
      </w:tr>
      <w:tr>
        <w:trPr>
          <w:trHeight w:val="229"/>
        </w:trPr>
        <w:tc>
          <w:tcPr>
            <w:tcW w:w="1640" w:type="dxa"/>
            <w:vAlign w:val="bottom"/>
            <w:tcBorders>
              <w:left w:val="single" w:sz="8" w:color="auto"/>
              <w:right w:val="single" w:sz="8" w:color="auto"/>
            </w:tcBorders>
            <w:shd w:val="clear" w:color="auto" w:fill="D9D9D9"/>
          </w:tcPr>
          <w:p>
            <w:pPr>
              <w:ind w:left="100"/>
              <w:spacing w:after="0"/>
              <w:rPr>
                <w:sz w:val="20"/>
                <w:szCs w:val="20"/>
                <w:color w:val="auto"/>
              </w:rPr>
            </w:pPr>
            <w:r>
              <w:rPr>
                <w:rFonts w:ascii="Arial" w:cs="Arial" w:eastAsia="Arial" w:hAnsi="Arial"/>
                <w:sz w:val="20"/>
                <w:szCs w:val="20"/>
                <w:b w:val="1"/>
                <w:bCs w:val="1"/>
                <w:color w:val="auto"/>
                <w:w w:val="94"/>
              </w:rPr>
              <w:t>Annual Adjusted</w:t>
            </w:r>
          </w:p>
        </w:tc>
        <w:tc>
          <w:tcPr>
            <w:tcW w:w="1880" w:type="dxa"/>
            <w:vAlign w:val="bottom"/>
            <w:tcBorders>
              <w:right w:val="single" w:sz="8" w:color="auto"/>
            </w:tcBorders>
            <w:gridSpan w:val="3"/>
            <w:shd w:val="clear" w:color="auto" w:fill="D9D9D9"/>
          </w:tcPr>
          <w:p>
            <w:pPr>
              <w:jc w:val="center"/>
              <w:ind w:right="40"/>
              <w:spacing w:after="0"/>
              <w:rPr>
                <w:sz w:val="20"/>
                <w:szCs w:val="20"/>
                <w:color w:val="auto"/>
              </w:rPr>
            </w:pPr>
            <w:r>
              <w:rPr>
                <w:rFonts w:ascii="Arial" w:cs="Arial" w:eastAsia="Arial" w:hAnsi="Arial"/>
                <w:sz w:val="20"/>
                <w:szCs w:val="20"/>
                <w:b w:val="1"/>
                <w:bCs w:val="1"/>
                <w:color w:val="auto"/>
                <w:w w:val="87"/>
              </w:rPr>
              <w:t>Target PSUs</w:t>
            </w:r>
          </w:p>
        </w:tc>
      </w:tr>
      <w:tr>
        <w:trPr>
          <w:trHeight w:val="279"/>
        </w:trPr>
        <w:tc>
          <w:tcPr>
            <w:tcW w:w="1640" w:type="dxa"/>
            <w:vAlign w:val="bottom"/>
            <w:tcBorders>
              <w:left w:val="single" w:sz="8" w:color="auto"/>
              <w:bottom w:val="single" w:sz="8" w:color="auto"/>
              <w:right w:val="single" w:sz="8" w:color="auto"/>
            </w:tcBorders>
            <w:shd w:val="clear" w:color="auto" w:fill="D9D9D9"/>
          </w:tcPr>
          <w:p>
            <w:pPr>
              <w:ind w:left="80"/>
              <w:spacing w:after="0" w:line="212" w:lineRule="exact"/>
              <w:rPr>
                <w:sz w:val="20"/>
                <w:szCs w:val="20"/>
                <w:color w:val="auto"/>
              </w:rPr>
            </w:pPr>
            <w:r>
              <w:rPr>
                <w:rFonts w:ascii="Arial" w:cs="Arial" w:eastAsia="Arial" w:hAnsi="Arial"/>
                <w:sz w:val="20"/>
                <w:szCs w:val="20"/>
                <w:b w:val="1"/>
                <w:bCs w:val="1"/>
                <w:color w:val="auto"/>
              </w:rPr>
              <w:t>EBITDA Growth</w:t>
            </w:r>
          </w:p>
        </w:tc>
        <w:tc>
          <w:tcPr>
            <w:tcW w:w="1880" w:type="dxa"/>
            <w:vAlign w:val="bottom"/>
            <w:tcBorders>
              <w:bottom w:val="single" w:sz="8" w:color="auto"/>
              <w:right w:val="single" w:sz="8" w:color="auto"/>
            </w:tcBorders>
            <w:gridSpan w:val="3"/>
            <w:shd w:val="clear" w:color="auto" w:fill="D9D9D9"/>
          </w:tcPr>
          <w:p>
            <w:pPr>
              <w:jc w:val="center"/>
              <w:ind w:right="40"/>
              <w:spacing w:after="0" w:line="212" w:lineRule="exact"/>
              <w:rPr>
                <w:sz w:val="20"/>
                <w:szCs w:val="20"/>
                <w:color w:val="auto"/>
              </w:rPr>
            </w:pPr>
            <w:r>
              <w:rPr>
                <w:rFonts w:ascii="Arial" w:cs="Arial" w:eastAsia="Arial" w:hAnsi="Arial"/>
                <w:sz w:val="20"/>
                <w:szCs w:val="20"/>
                <w:b w:val="1"/>
                <w:bCs w:val="1"/>
                <w:color w:val="auto"/>
                <w:w w:val="91"/>
              </w:rPr>
              <w:t>(“Payout”)</w:t>
            </w:r>
          </w:p>
        </w:tc>
      </w:tr>
      <w:tr>
        <w:trPr>
          <w:trHeight w:val="254"/>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20%</w:t>
            </w:r>
          </w:p>
        </w:tc>
        <w:tc>
          <w:tcPr>
            <w:tcW w:w="1220" w:type="dxa"/>
            <w:vAlign w:val="bottom"/>
            <w:gridSpan w:val="2"/>
          </w:tcPr>
          <w:p>
            <w:pPr>
              <w:jc w:val="center"/>
              <w:ind w:left="521"/>
              <w:spacing w:after="0"/>
              <w:rPr>
                <w:sz w:val="20"/>
                <w:szCs w:val="20"/>
                <w:color w:val="auto"/>
              </w:rPr>
            </w:pPr>
            <w:r>
              <w:rPr>
                <w:rFonts w:ascii="Arial" w:cs="Arial" w:eastAsia="Arial" w:hAnsi="Arial"/>
                <w:sz w:val="20"/>
                <w:szCs w:val="20"/>
                <w:color w:val="auto"/>
                <w:w w:val="93"/>
              </w:rPr>
              <w:t>200%</w:t>
            </w:r>
          </w:p>
        </w:tc>
        <w:tc>
          <w:tcPr>
            <w:tcW w:w="660" w:type="dxa"/>
            <w:vAlign w:val="bottom"/>
            <w:tcBorders>
              <w:right w:val="single" w:sz="8" w:color="auto"/>
            </w:tcBorders>
          </w:tcPr>
          <w:p>
            <w:pPr>
              <w:spacing w:after="0"/>
              <w:rPr>
                <w:sz w:val="22"/>
                <w:szCs w:val="22"/>
                <w:color w:val="auto"/>
              </w:rPr>
            </w:pPr>
          </w:p>
        </w:tc>
      </w:tr>
      <w:tr>
        <w:trPr>
          <w:trHeight w:val="23"/>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r>
      <w:tr>
        <w:trPr>
          <w:trHeight w:val="254"/>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10%</w:t>
            </w:r>
          </w:p>
        </w:tc>
        <w:tc>
          <w:tcPr>
            <w:tcW w:w="1220" w:type="dxa"/>
            <w:vAlign w:val="bottom"/>
            <w:gridSpan w:val="2"/>
          </w:tcPr>
          <w:p>
            <w:pPr>
              <w:jc w:val="center"/>
              <w:ind w:left="521"/>
              <w:spacing w:after="0"/>
              <w:rPr>
                <w:sz w:val="20"/>
                <w:szCs w:val="20"/>
                <w:color w:val="auto"/>
              </w:rPr>
            </w:pPr>
            <w:r>
              <w:rPr>
                <w:rFonts w:ascii="Arial" w:cs="Arial" w:eastAsia="Arial" w:hAnsi="Arial"/>
                <w:sz w:val="20"/>
                <w:szCs w:val="20"/>
                <w:color w:val="auto"/>
                <w:w w:val="93"/>
              </w:rPr>
              <w:t>100%</w:t>
            </w:r>
          </w:p>
        </w:tc>
        <w:tc>
          <w:tcPr>
            <w:tcW w:w="660" w:type="dxa"/>
            <w:vAlign w:val="bottom"/>
            <w:tcBorders>
              <w:right w:val="single" w:sz="8" w:color="auto"/>
            </w:tcBorders>
          </w:tcPr>
          <w:p>
            <w:pPr>
              <w:spacing w:after="0"/>
              <w:rPr>
                <w:sz w:val="22"/>
                <w:szCs w:val="22"/>
                <w:color w:val="auto"/>
              </w:rPr>
            </w:pPr>
          </w:p>
        </w:tc>
      </w:tr>
      <w:tr>
        <w:trPr>
          <w:trHeight w:val="23"/>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r>
      <w:tr>
        <w:trPr>
          <w:trHeight w:val="254"/>
        </w:trPr>
        <w:tc>
          <w:tcPr>
            <w:tcW w:w="1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5%</w:t>
            </w:r>
          </w:p>
        </w:tc>
        <w:tc>
          <w:tcPr>
            <w:tcW w:w="1220" w:type="dxa"/>
            <w:vAlign w:val="bottom"/>
            <w:gridSpan w:val="2"/>
          </w:tcPr>
          <w:p>
            <w:pPr>
              <w:jc w:val="center"/>
              <w:ind w:left="521"/>
              <w:spacing w:after="0"/>
              <w:rPr>
                <w:sz w:val="20"/>
                <w:szCs w:val="20"/>
                <w:color w:val="auto"/>
              </w:rPr>
            </w:pPr>
            <w:r>
              <w:rPr>
                <w:rFonts w:ascii="Arial" w:cs="Arial" w:eastAsia="Arial" w:hAnsi="Arial"/>
                <w:sz w:val="20"/>
                <w:szCs w:val="20"/>
                <w:color w:val="auto"/>
                <w:w w:val="89"/>
              </w:rPr>
              <w:t>50%</w:t>
            </w:r>
          </w:p>
        </w:tc>
        <w:tc>
          <w:tcPr>
            <w:tcW w:w="660" w:type="dxa"/>
            <w:vAlign w:val="bottom"/>
            <w:tcBorders>
              <w:right w:val="single" w:sz="8" w:color="auto"/>
            </w:tcBorders>
          </w:tcPr>
          <w:p>
            <w:pPr>
              <w:spacing w:after="0"/>
              <w:rPr>
                <w:sz w:val="22"/>
                <w:szCs w:val="22"/>
                <w:color w:val="auto"/>
              </w:rPr>
            </w:pPr>
          </w:p>
        </w:tc>
      </w:tr>
      <w:tr>
        <w:trPr>
          <w:trHeight w:val="23"/>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r>
    </w:tbl>
    <w:p>
      <w:pPr>
        <w:spacing w:after="0" w:line="253" w:lineRule="exact"/>
        <w:rPr>
          <w:sz w:val="20"/>
          <w:szCs w:val="20"/>
          <w:color w:val="auto"/>
        </w:rPr>
      </w:pPr>
    </w:p>
    <w:p>
      <w:pPr>
        <w:jc w:val="both"/>
        <w:ind w:left="2120"/>
        <w:spacing w:after="0" w:line="272" w:lineRule="auto"/>
        <w:rPr>
          <w:sz w:val="20"/>
          <w:szCs w:val="20"/>
          <w:color w:val="auto"/>
        </w:rPr>
      </w:pPr>
      <w:r>
        <w:rPr>
          <w:rFonts w:ascii="Arial" w:cs="Arial" w:eastAsia="Arial" w:hAnsi="Arial"/>
          <w:sz w:val="18"/>
          <w:szCs w:val="18"/>
          <w:color w:val="auto"/>
        </w:rPr>
        <w:t>For each of the second and third fiscal years in the Performance Period, the Committee shall make the same determination with respect to Actual Adjusted EBITDA and percentage growth, in each case, for each of the second and third fiscal years in the Performance Period as set forth above; provided, however, that the percentage growth shall be determined (i) for the second fiscal year in the Performance Period, between the Actual Adjusted EBITDA as of the end of the first fiscal year in the Performance Period and the Actual Adjusted EBITDA as of the end of the second fiscal year in the Performance Period; and (ii) for the third fiscal year in the Performance Period, between the Actual Adjusted EBITDA as of the end of the second fiscal year in the Performance Period and the Actual Adjusted EBITDA as of the end of the Performance Period.</w:t>
      </w:r>
    </w:p>
    <w:p>
      <w:pPr>
        <w:spacing w:after="0" w:line="116" w:lineRule="exact"/>
        <w:rPr>
          <w:sz w:val="20"/>
          <w:szCs w:val="20"/>
          <w:color w:val="auto"/>
        </w:rPr>
      </w:pPr>
    </w:p>
    <w:p>
      <w:pPr>
        <w:jc w:val="both"/>
        <w:ind w:left="2120"/>
        <w:spacing w:after="0" w:line="276" w:lineRule="auto"/>
        <w:rPr>
          <w:sz w:val="20"/>
          <w:szCs w:val="20"/>
          <w:color w:val="auto"/>
        </w:rPr>
      </w:pPr>
      <w:r>
        <w:rPr>
          <w:rFonts w:ascii="Arial" w:cs="Arial" w:eastAsia="Arial" w:hAnsi="Arial"/>
          <w:sz w:val="18"/>
          <w:szCs w:val="18"/>
          <w:color w:val="auto"/>
        </w:rPr>
        <w:t>In the case of any individual merger, acquisition, or divestiture for which the net assets acquired or disposed, on an annualized basis, generate an annual run rate Adjusted EBITDA in excess of 2% of the Baseline Adjusted EBITDA in the fiscal year such transaction closes (each, an “</w:t>
      </w:r>
      <w:r>
        <w:rPr>
          <w:rFonts w:ascii="Arial" w:cs="Arial" w:eastAsia="Arial" w:hAnsi="Arial"/>
          <w:sz w:val="18"/>
          <w:szCs w:val="18"/>
          <w:u w:val="single" w:color="auto"/>
          <w:color w:val="auto"/>
        </w:rPr>
        <w:t>Excluded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Transaction</w:t>
      </w:r>
      <w:r>
        <w:rPr>
          <w:rFonts w:ascii="Arial" w:cs="Arial" w:eastAsia="Arial" w:hAnsi="Arial"/>
          <w:sz w:val="18"/>
          <w:szCs w:val="18"/>
          <w:color w:val="auto"/>
        </w:rPr>
        <w:t>”), the Adjusted EBITDA results attributable to such Excluded Transaction shall be excluded from the Adjusted EBITDA results for the fiscal year in which such Excluded Transaction closes for purposes of calculating the Annual Adjusted EBITDA Growth for such fiscal year.</w:t>
      </w:r>
    </w:p>
    <w:p>
      <w:pPr>
        <w:spacing w:after="0" w:line="57" w:lineRule="exact"/>
        <w:rPr>
          <w:sz w:val="20"/>
          <w:szCs w:val="20"/>
          <w:color w:val="auto"/>
        </w:rPr>
      </w:pPr>
    </w:p>
    <w:p>
      <w:pPr>
        <w:jc w:val="both"/>
        <w:ind w:left="2120"/>
        <w:spacing w:after="0" w:line="246" w:lineRule="auto"/>
        <w:rPr>
          <w:sz w:val="20"/>
          <w:szCs w:val="20"/>
          <w:color w:val="auto"/>
        </w:rPr>
      </w:pPr>
      <w:r>
        <w:rPr>
          <w:rFonts w:ascii="Arial" w:cs="Arial" w:eastAsia="Arial" w:hAnsi="Arial"/>
          <w:sz w:val="20"/>
          <w:szCs w:val="20"/>
          <w:color w:val="auto"/>
        </w:rPr>
        <w:t>Notwithstanding the foregoing, for purposes of calculating the Annual Adjusted EBITDA Growth for any fiscal year in the Performance Period after such Excluded Transaction closes, the Adjusted EBITDA results attributable to such Excluded Transaction shall be included in the prior fiscal year Adjusted EBITDA results, on an annualized basis.</w:t>
      </w:r>
    </w:p>
    <w:p>
      <w:pPr>
        <w:spacing w:after="0" w:line="83" w:lineRule="exact"/>
        <w:rPr>
          <w:sz w:val="20"/>
          <w:szCs w:val="20"/>
          <w:color w:val="auto"/>
        </w:rPr>
      </w:pPr>
    </w:p>
    <w:p>
      <w:pPr>
        <w:jc w:val="both"/>
        <w:ind w:left="2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EBITDA</w:t>
      </w:r>
      <w:r>
        <w:rPr>
          <w:rFonts w:ascii="Arial" w:cs="Arial" w:eastAsia="Arial" w:hAnsi="Arial"/>
          <w:sz w:val="18"/>
          <w:szCs w:val="18"/>
          <w:color w:val="auto"/>
        </w:rPr>
        <w:t>” means net income, plus interest expense, income tax provision (benefit) and depreciation and amortization, as further adjusted to exclude stock compensation expense, debt issuance costs, loss on the extinguishment of debt, asset impairment, secondary offering expenses, management realignment expenses, long-term incentive plan expenses, and other expenses.</w:t>
      </w:r>
    </w:p>
    <w:p>
      <w:pPr>
        <w:sectPr>
          <w:pgSz w:w="11900" w:h="16838" w:orient="portrait"/>
          <w:cols w:equalWidth="0" w:num="1">
            <w:col w:w="10120"/>
          </w:cols>
          <w:pgMar w:left="1440" w:top="501" w:right="339" w:bottom="1440" w:gutter="0" w:footer="0" w:header="0"/>
        </w:sectPr>
      </w:pPr>
    </w:p>
    <w:bookmarkStart w:id="238" w:name="page239"/>
    <w:bookmarkEnd w:id="238"/>
    <w:p>
      <w:pPr>
        <w:ind w:left="2120"/>
        <w:spacing w:after="0"/>
        <w:rPr>
          <w:sz w:val="20"/>
          <w:szCs w:val="20"/>
          <w:color w:val="auto"/>
        </w:rPr>
      </w:pPr>
      <w:r>
        <w:rPr>
          <w:rFonts w:ascii="Arial" w:cs="Arial" w:eastAsia="Arial" w:hAnsi="Arial"/>
          <w:sz w:val="20"/>
          <w:szCs w:val="20"/>
          <w:i w:val="1"/>
          <w:iCs w:val="1"/>
          <w:color w:val="auto"/>
        </w:rPr>
        <w:t>Calculation of Number of Earned PSUs</w:t>
      </w:r>
    </w:p>
    <w:p>
      <w:pPr>
        <w:spacing w:after="0" w:line="108" w:lineRule="exact"/>
        <w:rPr>
          <w:sz w:val="20"/>
          <w:szCs w:val="20"/>
          <w:color w:val="auto"/>
        </w:rPr>
      </w:pPr>
    </w:p>
    <w:p>
      <w:pPr>
        <w:jc w:val="both"/>
        <w:ind w:left="2120"/>
        <w:spacing w:after="0" w:line="276" w:lineRule="auto"/>
        <w:rPr>
          <w:sz w:val="20"/>
          <w:szCs w:val="20"/>
          <w:color w:val="auto"/>
        </w:rPr>
      </w:pPr>
      <w:r>
        <w:rPr>
          <w:rFonts w:ascii="Arial" w:cs="Arial" w:eastAsia="Arial" w:hAnsi="Arial"/>
          <w:sz w:val="18"/>
          <w:szCs w:val="18"/>
          <w:color w:val="auto"/>
        </w:rPr>
        <w:t>Payout for performance between levels of a Performance Condition shall be interpolated on a straight-line basis. All determinations with respect to whether and to the extent to which a Performance Condition has been achieved shall be made by the Committee in its sole discretion and the applicable Performance Conditions shall not be achieved and the applicable PSUs shall not become Earned PSUs until the date that the Committee certifies in writing the extent to which such Performance Conditions have been met (such date, the “</w:t>
      </w:r>
      <w:r>
        <w:rPr>
          <w:rFonts w:ascii="Arial" w:cs="Arial" w:eastAsia="Arial" w:hAnsi="Arial"/>
          <w:sz w:val="18"/>
          <w:szCs w:val="18"/>
          <w:u w:val="single" w:color="auto"/>
          <w:color w:val="auto"/>
        </w:rPr>
        <w:t>Determination Date</w:t>
      </w:r>
      <w:r>
        <w:rPr>
          <w:rFonts w:ascii="Arial" w:cs="Arial" w:eastAsia="Arial" w:hAnsi="Arial"/>
          <w:sz w:val="18"/>
          <w:szCs w:val="18"/>
          <w:color w:val="auto"/>
        </w:rPr>
        <w:t>”).</w:t>
      </w:r>
    </w:p>
    <w:p>
      <w:pPr>
        <w:spacing w:after="0" w:line="219" w:lineRule="exact"/>
        <w:rPr>
          <w:sz w:val="20"/>
          <w:szCs w:val="20"/>
          <w:color w:val="auto"/>
        </w:rPr>
      </w:pPr>
    </w:p>
    <w:p>
      <w:pPr>
        <w:jc w:val="both"/>
        <w:ind w:left="2120"/>
        <w:spacing w:after="0" w:line="291" w:lineRule="auto"/>
        <w:rPr>
          <w:sz w:val="20"/>
          <w:szCs w:val="20"/>
          <w:color w:val="auto"/>
        </w:rPr>
      </w:pPr>
      <w:r>
        <w:rPr>
          <w:rFonts w:ascii="Arial" w:cs="Arial" w:eastAsia="Arial" w:hAnsi="Arial"/>
          <w:sz w:val="18"/>
          <w:szCs w:val="18"/>
          <w:color w:val="auto"/>
        </w:rPr>
        <w:t>Following the last day of the Performance Period, the Committee shall average the hypothetical Payout corresponding to the Annual Adjusted EBITDA Growth achieved with respect to each fiscal year in the Performance Period to determine the actual Payout for the Performance Period.</w:t>
      </w:r>
    </w:p>
    <w:p>
      <w:pPr>
        <w:spacing w:after="0" w:line="206" w:lineRule="exact"/>
        <w:rPr>
          <w:sz w:val="20"/>
          <w:szCs w:val="20"/>
          <w:color w:val="auto"/>
        </w:rPr>
      </w:pPr>
    </w:p>
    <w:p>
      <w:pPr>
        <w:jc w:val="both"/>
        <w:ind w:left="2120" w:right="20"/>
        <w:spacing w:after="0" w:line="260" w:lineRule="auto"/>
        <w:rPr>
          <w:sz w:val="20"/>
          <w:szCs w:val="20"/>
          <w:color w:val="auto"/>
        </w:rPr>
      </w:pPr>
      <w:r>
        <w:rPr>
          <w:rFonts w:ascii="Arial" w:cs="Arial" w:eastAsia="Arial" w:hAnsi="Arial"/>
          <w:sz w:val="20"/>
          <w:szCs w:val="20"/>
          <w:color w:val="auto"/>
        </w:rPr>
        <w:t>Any PSUs which do not become Earned PSUs based on actual performance during the Performance Period shall be forfeited as of the last day of the Performance Period.</w:t>
      </w:r>
    </w:p>
    <w:p>
      <w:pPr>
        <w:spacing w:after="0" w:line="69" w:lineRule="exact"/>
        <w:rPr>
          <w:sz w:val="20"/>
          <w:szCs w:val="20"/>
          <w:color w:val="auto"/>
        </w:rPr>
      </w:pPr>
    </w:p>
    <w:p>
      <w:pPr>
        <w:ind w:left="2120"/>
        <w:spacing w:after="0"/>
        <w:rPr>
          <w:sz w:val="20"/>
          <w:szCs w:val="20"/>
          <w:color w:val="auto"/>
        </w:rPr>
      </w:pPr>
      <w:r>
        <w:rPr>
          <w:rFonts w:ascii="Arial" w:cs="Arial" w:eastAsia="Arial" w:hAnsi="Arial"/>
          <w:sz w:val="20"/>
          <w:szCs w:val="20"/>
          <w:i w:val="1"/>
          <w:iCs w:val="1"/>
          <w:color w:val="auto"/>
        </w:rPr>
        <w:t>Vesting of Earned PSUs</w:t>
      </w:r>
    </w:p>
    <w:p>
      <w:pPr>
        <w:spacing w:after="0" w:line="216" w:lineRule="exact"/>
        <w:rPr>
          <w:sz w:val="20"/>
          <w:szCs w:val="20"/>
          <w:color w:val="auto"/>
        </w:rPr>
      </w:pPr>
    </w:p>
    <w:p>
      <w:pPr>
        <w:jc w:val="both"/>
        <w:ind w:left="2120"/>
        <w:spacing w:after="0" w:line="260" w:lineRule="auto"/>
        <w:rPr>
          <w:sz w:val="20"/>
          <w:szCs w:val="20"/>
          <w:color w:val="auto"/>
        </w:rPr>
      </w:pPr>
      <w:r>
        <w:rPr>
          <w:rFonts w:ascii="Arial" w:cs="Arial" w:eastAsia="Arial" w:hAnsi="Arial"/>
          <w:sz w:val="20"/>
          <w:szCs w:val="20"/>
          <w:color w:val="auto"/>
        </w:rPr>
        <w:t>Any PSUs that become Earned PSUs shall become vested on the Determination Date for the applicable Performance Period.</w:t>
      </w:r>
    </w:p>
    <w:p>
      <w:pPr>
        <w:spacing w:after="0" w:line="177" w:lineRule="exact"/>
        <w:rPr>
          <w:sz w:val="20"/>
          <w:szCs w:val="20"/>
          <w:color w:val="auto"/>
        </w:rPr>
      </w:pPr>
    </w:p>
    <w:p>
      <w:pPr>
        <w:ind w:left="1480"/>
        <w:spacing w:after="0"/>
        <w:rPr>
          <w:sz w:val="20"/>
          <w:szCs w:val="20"/>
          <w:color w:val="auto"/>
        </w:rPr>
      </w:pPr>
      <w:r>
        <w:rPr>
          <w:rFonts w:ascii="Arial" w:cs="Arial" w:eastAsia="Arial" w:hAnsi="Arial"/>
          <w:sz w:val="20"/>
          <w:szCs w:val="20"/>
          <w:color w:val="auto"/>
        </w:rPr>
        <w:t>Notwithstanding the foregoing:</w:t>
      </w:r>
    </w:p>
    <w:p>
      <w:pPr>
        <w:spacing w:after="0" w:line="216" w:lineRule="exact"/>
        <w:rPr>
          <w:sz w:val="20"/>
          <w:szCs w:val="20"/>
          <w:color w:val="auto"/>
        </w:rPr>
      </w:pPr>
    </w:p>
    <w:p>
      <w:pPr>
        <w:jc w:val="both"/>
        <w:ind w:left="2120" w:hanging="316"/>
        <w:spacing w:after="0" w:line="243" w:lineRule="auto"/>
        <w:tabs>
          <w:tab w:leader="none" w:pos="2120" w:val="left"/>
        </w:tabs>
        <w:numPr>
          <w:ilvl w:val="0"/>
          <w:numId w:val="231"/>
        </w:numPr>
        <w:rPr>
          <w:rFonts w:ascii="Arial" w:cs="Arial" w:eastAsia="Arial" w:hAnsi="Arial"/>
          <w:sz w:val="20"/>
          <w:szCs w:val="20"/>
          <w:color w:val="auto"/>
        </w:rPr>
      </w:pPr>
      <w:r>
        <w:rPr>
          <w:rFonts w:ascii="Arial" w:cs="Arial" w:eastAsia="Arial" w:hAnsi="Arial"/>
          <w:sz w:val="20"/>
          <w:szCs w:val="20"/>
          <w:color w:val="auto"/>
        </w:rPr>
        <w:t>In the event that the Participant undergoes a Termination as a result of such Participant’s death or Disability, the PSUs shall become vested assuming achievement of a 100% payout (“</w:t>
      </w:r>
      <w:r>
        <w:rPr>
          <w:rFonts w:ascii="Arial" w:cs="Arial" w:eastAsia="Arial" w:hAnsi="Arial"/>
          <w:sz w:val="20"/>
          <w:szCs w:val="20"/>
          <w:u w:val="single" w:color="auto"/>
          <w:color w:val="auto"/>
        </w:rPr>
        <w:t>Target</w:t>
      </w:r>
      <w:r>
        <w:rPr>
          <w:rFonts w:ascii="Arial" w:cs="Arial" w:eastAsia="Arial" w:hAnsi="Arial"/>
          <w:sz w:val="20"/>
          <w:szCs w:val="20"/>
          <w:color w:val="auto"/>
        </w:rPr>
        <w:t xml:space="preserve"> </w:t>
      </w:r>
      <w:r>
        <w:rPr>
          <w:rFonts w:ascii="Arial" w:cs="Arial" w:eastAsia="Arial" w:hAnsi="Arial"/>
          <w:sz w:val="20"/>
          <w:szCs w:val="20"/>
          <w:u w:val="single" w:color="auto"/>
          <w:color w:val="auto"/>
        </w:rPr>
        <w:t>Performance</w:t>
      </w:r>
      <w:r>
        <w:rPr>
          <w:rFonts w:ascii="Arial" w:cs="Arial" w:eastAsia="Arial" w:hAnsi="Arial"/>
          <w:sz w:val="20"/>
          <w:szCs w:val="20"/>
          <w:color w:val="auto"/>
        </w:rPr>
        <w:t>”), and settled in accordance with the Agreement within sixty (60) days following such Termination.</w:t>
      </w:r>
    </w:p>
    <w:p>
      <w:pPr>
        <w:spacing w:after="0" w:line="2" w:lineRule="exact"/>
        <w:rPr>
          <w:rFonts w:ascii="Arial" w:cs="Arial" w:eastAsia="Arial" w:hAnsi="Arial"/>
          <w:sz w:val="20"/>
          <w:szCs w:val="20"/>
          <w:color w:val="auto"/>
        </w:rPr>
      </w:pPr>
    </w:p>
    <w:p>
      <w:pPr>
        <w:jc w:val="both"/>
        <w:ind w:left="2120" w:hanging="316"/>
        <w:spacing w:after="0" w:line="269" w:lineRule="auto"/>
        <w:tabs>
          <w:tab w:leader="none" w:pos="212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In the event that prior to a Change in Control the Participant undergoes a Termination by the Service Recipient without Cause or by such Participant for Good Reason, subject to the Participant’s compliance during the Performance Period with any restrictive covenant by which such Participant is bound, including, without limitation, any covenant not to compete or not to solicit, in any agreement with any member of the Company Group, with respect to any PSUs for which the Performance Period has not been completed, a prorated portion of the PSUs will remain outstanding and eligible to vest based on actual performance on the last day of the Performance Period, with such proration based on the number of days the Participant was employed during the Performance Period relative to the total number of days of the Performance Period. Any PSUs that become Earned PSUs following the Determination Date shall become vested and settled in accordance with the Agreement within sixty (60) days following the Determination Date.</w:t>
      </w:r>
    </w:p>
    <w:p>
      <w:pPr>
        <w:sectPr>
          <w:pgSz w:w="11900" w:h="16838" w:orient="portrait"/>
          <w:cols w:equalWidth="0" w:num="1">
            <w:col w:w="10120"/>
          </w:cols>
          <w:pgMar w:left="1440" w:top="339" w:right="339" w:bottom="1440" w:gutter="0" w:footer="0" w:header="0"/>
        </w:sectPr>
      </w:pPr>
    </w:p>
    <w:bookmarkStart w:id="239" w:name="page240"/>
    <w:bookmarkEnd w:id="239"/>
    <w:p>
      <w:pPr>
        <w:jc w:val="both"/>
        <w:ind w:left="2120" w:hanging="316"/>
        <w:spacing w:after="0" w:line="232" w:lineRule="exact"/>
        <w:tabs>
          <w:tab w:leader="none" w:pos="212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In the event of a Change in Control, PSUs shall be converted into time-based vesting shares of Restricted Stock (the “</w:t>
      </w:r>
      <w:r>
        <w:rPr>
          <w:rFonts w:ascii="Arial" w:cs="Arial" w:eastAsia="Arial" w:hAnsi="Arial"/>
          <w:sz w:val="18"/>
          <w:szCs w:val="18"/>
          <w:u w:val="single" w:color="auto"/>
          <w:color w:val="auto"/>
        </w:rPr>
        <w:t>Converted PSUs</w:t>
      </w:r>
      <w:r>
        <w:rPr>
          <w:rFonts w:ascii="Arial" w:cs="Arial" w:eastAsia="Arial" w:hAnsi="Arial"/>
          <w:sz w:val="18"/>
          <w:szCs w:val="18"/>
          <w:color w:val="auto"/>
        </w:rPr>
        <w:t>”) determined based on the greater of (x) Target Performance and (y) actual performance on the date of the Change in Control. If (i) a successor entity does not assume, convert, or replace the Converted PSUs in connection with the Change in Control or (ii) on or within the twenty</w:t>
      </w:r>
      <w:r>
        <w:rPr>
          <w:rFonts w:ascii="MS PGothic" w:cs="MS PGothic" w:eastAsia="MS PGothic" w:hAnsi="MS PGothic"/>
          <w:sz w:val="18"/>
          <w:szCs w:val="18"/>
          <w:color w:val="auto"/>
        </w:rPr>
        <w:t>‑</w:t>
      </w:r>
      <w:r>
        <w:rPr>
          <w:rFonts w:ascii="Arial" w:cs="Arial" w:eastAsia="Arial" w:hAnsi="Arial"/>
          <w:sz w:val="18"/>
          <w:szCs w:val="18"/>
          <w:color w:val="auto"/>
        </w:rPr>
        <w:t>four (24) months following the Change in Control the Participant undergoes a Termination by the Service Recipient without Cause or by such Participant for Good Reason, in each case, such Participant shall fully vest in such Converted PSUs.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Signatures to appear on following page</w:t>
      </w:r>
      <w:r>
        <w:rPr>
          <w:rFonts w:ascii="Arial" w:cs="Arial" w:eastAsia="Arial" w:hAnsi="Arial"/>
          <w:sz w:val="20"/>
          <w:szCs w:val="20"/>
          <w:color w:val="auto"/>
        </w:rPr>
        <w:t>]</w:t>
      </w:r>
    </w:p>
    <w:p>
      <w:pPr>
        <w:sectPr>
          <w:pgSz w:w="11900" w:h="16838" w:orient="portrait"/>
          <w:cols w:equalWidth="0" w:num="1">
            <w:col w:w="10120"/>
          </w:cols>
          <w:pgMar w:left="1440" w:top="339" w:right="339" w:bottom="1440" w:gutter="0" w:footer="0" w:header="0"/>
        </w:sectPr>
      </w:pPr>
    </w:p>
    <w:bookmarkStart w:id="240" w:name="page241"/>
    <w:bookmarkEnd w:id="240"/>
    <w:p>
      <w:pPr>
        <w:jc w:val="both"/>
        <w:spacing w:after="0" w:line="249" w:lineRule="auto"/>
        <w:rPr>
          <w:sz w:val="20"/>
          <w:szCs w:val="20"/>
          <w:color w:val="auto"/>
        </w:rPr>
      </w:pPr>
      <w:r>
        <w:rPr>
          <w:rFonts w:ascii="Arial" w:cs="Arial" w:eastAsia="Arial" w:hAnsi="Arial"/>
          <w:sz w:val="22"/>
          <w:szCs w:val="22"/>
          <w:b w:val="1"/>
          <w:bCs w:val="1"/>
          <w:color w:val="auto"/>
        </w:rPr>
        <w:t>THE UNDERSIGNED PARTICIPANT ACKNOWLEDGES RECEIPT OF THIS PERFORMANCE STOCK UNIT GRANT NOTICE, THE PERFORMANCE STOCK UNIT AGREEMENT AND THE PLAN, AND, AS AN EXPRESS CONDITION TO THE GRANT OF PERFORMANCE STOCK UNITS HEREUNDER, AGREES TO BE BOUND BY THE TERMS OF THIS PERFORMANCE STOCK UNIT GRANT NOTICE, THE PERFORMANCE STOCK UNIT AGREEMENT AND THE PLAN.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NATIONAL VISION HOLDINGS,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PARTICIPANT</w:t>
      </w:r>
      <w:r>
        <w:rPr>
          <w:rFonts w:ascii="Arial" w:cs="Arial" w:eastAsia="Arial" w:hAnsi="Arial"/>
          <w:sz w:val="28"/>
          <w:szCs w:val="28"/>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w:t>
      </w:r>
    </w:p>
    <w:p>
      <w:pPr>
        <w:spacing w:after="0" w:line="51" w:lineRule="exact"/>
        <w:rPr>
          <w:sz w:val="20"/>
          <w:szCs w:val="20"/>
          <w:color w:val="auto"/>
        </w:rPr>
      </w:pPr>
    </w:p>
    <w:p>
      <w:pPr>
        <w:ind w:right="60"/>
        <w:spacing w:after="0" w:line="216"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To the extent that the Company has established, either itself or through a third-party plan administrator, the ability to accept this award electronically, such acceptance shall constitute the Participant’s signature hereof.</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Performance Stock Unit Award</w:t>
      </w:r>
      <w:r>
        <w:rPr>
          <w:rFonts w:ascii="Arial" w:cs="Arial" w:eastAsia="Arial" w:hAnsi="Arial"/>
          <w:sz w:val="16"/>
          <w:szCs w:val="16"/>
          <w:color w:val="auto"/>
        </w:rPr>
        <w:t>]</w:t>
      </w:r>
    </w:p>
    <w:p>
      <w:pPr>
        <w:sectPr>
          <w:pgSz w:w="11900" w:h="16838" w:orient="portrait"/>
          <w:cols w:equalWidth="0" w:num="1">
            <w:col w:w="11240"/>
          </w:cols>
          <w:pgMar w:left="320" w:top="774" w:right="339" w:bottom="1440" w:gutter="0" w:footer="0" w:header="0"/>
        </w:sectPr>
      </w:pPr>
    </w:p>
    <w:bookmarkStart w:id="241" w:name="page242"/>
    <w:bookmarkEnd w:id="241"/>
    <w:p>
      <w:pPr>
        <w:jc w:val="center"/>
        <w:spacing w:after="0"/>
        <w:rPr>
          <w:sz w:val="20"/>
          <w:szCs w:val="20"/>
          <w:color w:val="auto"/>
        </w:rPr>
      </w:pPr>
      <w:r>
        <w:rPr>
          <w:rFonts w:ascii="Arial" w:cs="Arial" w:eastAsia="Arial" w:hAnsi="Arial"/>
          <w:sz w:val="20"/>
          <w:szCs w:val="20"/>
          <w:b w:val="1"/>
          <w:bCs w:val="1"/>
          <w:color w:val="auto"/>
        </w:rPr>
        <w:t>PERFORMANCE STOCK UNIT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UNDER THE</w:t>
      </w:r>
    </w:p>
    <w:p>
      <w:pPr>
        <w:jc w:val="center"/>
        <w:spacing w:after="0"/>
        <w:rPr>
          <w:sz w:val="20"/>
          <w:szCs w:val="20"/>
          <w:color w:val="auto"/>
        </w:rPr>
      </w:pPr>
      <w:r>
        <w:rPr>
          <w:rFonts w:ascii="Arial" w:cs="Arial" w:eastAsia="Arial" w:hAnsi="Arial"/>
          <w:sz w:val="20"/>
          <w:szCs w:val="20"/>
          <w:b w:val="1"/>
          <w:bCs w:val="1"/>
          <w:color w:val="auto"/>
        </w:rPr>
        <w:t>NATIONAL VISION HOLDINGS, INC.</w:t>
      </w:r>
    </w:p>
    <w:p>
      <w:pPr>
        <w:jc w:val="center"/>
        <w:spacing w:after="0"/>
        <w:rPr>
          <w:sz w:val="20"/>
          <w:szCs w:val="20"/>
          <w:color w:val="auto"/>
        </w:rPr>
      </w:pPr>
      <w:r>
        <w:rPr>
          <w:rFonts w:ascii="Arial" w:cs="Arial" w:eastAsia="Arial" w:hAnsi="Arial"/>
          <w:sz w:val="20"/>
          <w:szCs w:val="20"/>
          <w:b w:val="1"/>
          <w:bCs w:val="1"/>
          <w:color w:val="auto"/>
        </w:rPr>
        <w:t>2017 OMNIBUS INCENTIVE PLAN</w:t>
      </w:r>
    </w:p>
    <w:p>
      <w:pPr>
        <w:spacing w:after="0" w:line="21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Pursuant to the Performance Stock Unit Grant Notice (the “</w:t>
      </w:r>
      <w:r>
        <w:rPr>
          <w:rFonts w:ascii="Arial" w:cs="Arial" w:eastAsia="Arial" w:hAnsi="Arial"/>
          <w:sz w:val="20"/>
          <w:szCs w:val="20"/>
          <w:u w:val="single" w:color="auto"/>
          <w:color w:val="auto"/>
        </w:rPr>
        <w:t>Grant Notice</w:t>
      </w:r>
      <w:r>
        <w:rPr>
          <w:rFonts w:ascii="Arial" w:cs="Arial" w:eastAsia="Arial" w:hAnsi="Arial"/>
          <w:sz w:val="20"/>
          <w:szCs w:val="20"/>
          <w:color w:val="auto"/>
        </w:rPr>
        <w:t>”) delivered to the Participant (as defined in the Grant Notice), and subject to the terms of this Performance Stock Unit Agreement (this “</w:t>
      </w:r>
      <w:r>
        <w:rPr>
          <w:rFonts w:ascii="Arial" w:cs="Arial" w:eastAsia="Arial" w:hAnsi="Arial"/>
          <w:sz w:val="20"/>
          <w:szCs w:val="20"/>
          <w:u w:val="single" w:color="auto"/>
          <w:color w:val="auto"/>
        </w:rPr>
        <w:t>Performance Stock Unit Agreement</w:t>
      </w:r>
      <w:r>
        <w:rPr>
          <w:rFonts w:ascii="Arial" w:cs="Arial" w:eastAsia="Arial" w:hAnsi="Arial"/>
          <w:sz w:val="20"/>
          <w:szCs w:val="20"/>
          <w:color w:val="auto"/>
        </w:rPr>
        <w:t>”) and the National Vision Holdings, Inc. 2017 Omnibus Incentive Plan, as it may be amended and restated from time to time (the “</w:t>
      </w:r>
      <w:r>
        <w:rPr>
          <w:rFonts w:ascii="Arial" w:cs="Arial" w:eastAsia="Arial" w:hAnsi="Arial"/>
          <w:sz w:val="20"/>
          <w:szCs w:val="20"/>
          <w:u w:val="single" w:color="auto"/>
          <w:color w:val="auto"/>
        </w:rPr>
        <w:t>Plan</w:t>
      </w:r>
      <w:r>
        <w:rPr>
          <w:rFonts w:ascii="Arial" w:cs="Arial" w:eastAsia="Arial" w:hAnsi="Arial"/>
          <w:sz w:val="20"/>
          <w:szCs w:val="20"/>
          <w:color w:val="auto"/>
        </w:rPr>
        <w:t>”), National Vision Holdings, Inc. (the “</w:t>
      </w:r>
      <w:r>
        <w:rPr>
          <w:rFonts w:ascii="Arial" w:cs="Arial" w:eastAsia="Arial" w:hAnsi="Arial"/>
          <w:sz w:val="20"/>
          <w:szCs w:val="20"/>
          <w:u w:val="single" w:color="auto"/>
          <w:color w:val="auto"/>
        </w:rPr>
        <w:t>Company</w:t>
      </w:r>
      <w:r>
        <w:rPr>
          <w:rFonts w:ascii="Arial" w:cs="Arial" w:eastAsia="Arial" w:hAnsi="Arial"/>
          <w:sz w:val="20"/>
          <w:szCs w:val="20"/>
          <w:color w:val="auto"/>
        </w:rPr>
        <w:t>”) and the Participant agree as follows. Capitalized terms not otherwise defined herein shall have the same meaning as set forth in the Plan.</w:t>
      </w:r>
    </w:p>
    <w:p>
      <w:pPr>
        <w:spacing w:after="0" w:line="188" w:lineRule="exact"/>
        <w:rPr>
          <w:sz w:val="20"/>
          <w:szCs w:val="20"/>
          <w:color w:val="auto"/>
        </w:rPr>
      </w:pPr>
    </w:p>
    <w:p>
      <w:pPr>
        <w:jc w:val="both"/>
        <w:ind w:firstLine="656"/>
        <w:spacing w:after="0" w:line="259" w:lineRule="auto"/>
        <w:tabs>
          <w:tab w:leader="none" w:pos="859" w:val="left"/>
        </w:tabs>
        <w:numPr>
          <w:ilvl w:val="0"/>
          <w:numId w:val="233"/>
        </w:numPr>
        <w:rPr>
          <w:rFonts w:ascii="Arial" w:cs="Arial" w:eastAsia="Arial" w:hAnsi="Arial"/>
          <w:sz w:val="19"/>
          <w:szCs w:val="19"/>
          <w:color w:val="auto"/>
        </w:rPr>
      </w:pPr>
      <w:r>
        <w:rPr>
          <w:rFonts w:ascii="Arial" w:cs="Arial" w:eastAsia="Arial" w:hAnsi="Arial"/>
          <w:sz w:val="19"/>
          <w:szCs w:val="19"/>
          <w:b w:val="1"/>
          <w:bCs w:val="1"/>
          <w:u w:val="single" w:color="auto"/>
          <w:color w:val="auto"/>
        </w:rPr>
        <w:t>Grant of Performance Stock Units</w:t>
      </w:r>
      <w:r>
        <w:rPr>
          <w:rFonts w:ascii="Arial" w:cs="Arial" w:eastAsia="Arial" w:hAnsi="Arial"/>
          <w:sz w:val="19"/>
          <w:szCs w:val="19"/>
          <w:color w:val="auto"/>
        </w:rPr>
        <w:t>. Subject to the terms and conditions set forth herein and in the Plan, the Company hereby</w:t>
      </w:r>
      <w:r>
        <w:rPr>
          <w:rFonts w:ascii="Arial" w:cs="Arial" w:eastAsia="Arial" w:hAnsi="Arial"/>
          <w:sz w:val="19"/>
          <w:szCs w:val="19"/>
          <w:b w:val="1"/>
          <w:bCs w:val="1"/>
          <w:color w:val="auto"/>
        </w:rPr>
        <w:t xml:space="preserve"> </w:t>
      </w:r>
      <w:r>
        <w:rPr>
          <w:rFonts w:ascii="Arial" w:cs="Arial" w:eastAsia="Arial" w:hAnsi="Arial"/>
          <w:sz w:val="19"/>
          <w:szCs w:val="19"/>
          <w:color w:val="auto"/>
        </w:rPr>
        <w:t>grants to the Participant the number of Performance Stock Units provided in the Grant Notice (with each Performance Stock Unit representing the right to receive one share of Common Stock upon the vesting of such Performance Stock Unit). The Company may make one or more additional grants of Performance Stock Units to the Participant under this Performance Stock Unit Agreement by providing the Participant with a new Grant Notice, which may also include any terms and conditions differing from this Performance Stock Unit Agreement to the extent provided therein. The Company reserves all rights with respect to the granting of additional Performance Stock Units hereunder and makes no implied promise to grant additional Performance Stock Units.</w:t>
      </w:r>
    </w:p>
    <w:p>
      <w:pPr>
        <w:spacing w:after="0" w:line="172" w:lineRule="exact"/>
        <w:rPr>
          <w:rFonts w:ascii="Arial" w:cs="Arial" w:eastAsia="Arial" w:hAnsi="Arial"/>
          <w:sz w:val="19"/>
          <w:szCs w:val="19"/>
          <w:color w:val="auto"/>
        </w:rPr>
      </w:pPr>
    </w:p>
    <w:p>
      <w:pPr>
        <w:ind w:firstLine="656"/>
        <w:spacing w:after="0" w:line="267" w:lineRule="auto"/>
        <w:tabs>
          <w:tab w:leader="none" w:pos="846" w:val="left"/>
        </w:tabs>
        <w:numPr>
          <w:ilvl w:val="0"/>
          <w:numId w:val="233"/>
        </w:numPr>
        <w:rPr>
          <w:rFonts w:ascii="Arial" w:cs="Arial" w:eastAsia="Arial" w:hAnsi="Arial"/>
          <w:sz w:val="20"/>
          <w:szCs w:val="20"/>
          <w:color w:val="auto"/>
        </w:rPr>
      </w:pPr>
      <w:r>
        <w:rPr>
          <w:rFonts w:ascii="Arial" w:cs="Arial" w:eastAsia="Arial" w:hAnsi="Arial"/>
          <w:sz w:val="20"/>
          <w:szCs w:val="20"/>
          <w:b w:val="1"/>
          <w:bCs w:val="1"/>
          <w:u w:val="single" w:color="auto"/>
          <w:color w:val="auto"/>
        </w:rPr>
        <w:t>Vesting</w:t>
      </w:r>
      <w:r>
        <w:rPr>
          <w:rFonts w:ascii="Arial" w:cs="Arial" w:eastAsia="Arial" w:hAnsi="Arial"/>
          <w:sz w:val="20"/>
          <w:szCs w:val="20"/>
          <w:color w:val="auto"/>
        </w:rPr>
        <w:t>. Subject to the conditions contained herein and in the Plan, the Performance Stock Units shall vest and the restrictions on</w:t>
      </w:r>
      <w:r>
        <w:rPr>
          <w:rFonts w:ascii="Arial" w:cs="Arial" w:eastAsia="Arial" w:hAnsi="Arial"/>
          <w:sz w:val="20"/>
          <w:szCs w:val="20"/>
          <w:b w:val="1"/>
          <w:bCs w:val="1"/>
          <w:color w:val="auto"/>
        </w:rPr>
        <w:t xml:space="preserve"> </w:t>
      </w:r>
      <w:r>
        <w:rPr>
          <w:rFonts w:ascii="Arial" w:cs="Arial" w:eastAsia="Arial" w:hAnsi="Arial"/>
          <w:sz w:val="20"/>
          <w:szCs w:val="20"/>
          <w:color w:val="auto"/>
        </w:rPr>
        <w:t>such Performance Stock Units shall lapse as provided in the Grant Notice.</w:t>
      </w:r>
    </w:p>
    <w:p>
      <w:pPr>
        <w:spacing w:after="0" w:line="163" w:lineRule="exact"/>
        <w:rPr>
          <w:rFonts w:ascii="Arial" w:cs="Arial" w:eastAsia="Arial" w:hAnsi="Arial"/>
          <w:sz w:val="20"/>
          <w:szCs w:val="20"/>
          <w:color w:val="auto"/>
        </w:rPr>
      </w:pPr>
    </w:p>
    <w:p>
      <w:pPr>
        <w:jc w:val="both"/>
        <w:ind w:firstLine="656"/>
        <w:spacing w:after="0" w:line="253" w:lineRule="auto"/>
        <w:tabs>
          <w:tab w:leader="none" w:pos="846" w:val="left"/>
        </w:tabs>
        <w:numPr>
          <w:ilvl w:val="0"/>
          <w:numId w:val="233"/>
        </w:numPr>
        <w:rPr>
          <w:rFonts w:ascii="Arial" w:cs="Arial" w:eastAsia="Arial" w:hAnsi="Arial"/>
          <w:sz w:val="20"/>
          <w:szCs w:val="20"/>
          <w:color w:val="auto"/>
        </w:rPr>
      </w:pPr>
      <w:r>
        <w:rPr>
          <w:rFonts w:ascii="Arial" w:cs="Arial" w:eastAsia="Arial" w:hAnsi="Arial"/>
          <w:sz w:val="20"/>
          <w:szCs w:val="20"/>
          <w:b w:val="1"/>
          <w:bCs w:val="1"/>
          <w:u w:val="single" w:color="auto"/>
          <w:color w:val="auto"/>
        </w:rPr>
        <w:t>Settlement of Performance Stock Units</w:t>
      </w:r>
      <w:r>
        <w:rPr>
          <w:rFonts w:ascii="Arial" w:cs="Arial" w:eastAsia="Arial" w:hAnsi="Arial"/>
          <w:sz w:val="20"/>
          <w:szCs w:val="20"/>
          <w:color w:val="auto"/>
        </w:rPr>
        <w:t>. The provisions of Section 9(d)(ii) of the Plan are incorporated herein by reference and</w:t>
      </w:r>
      <w:r>
        <w:rPr>
          <w:rFonts w:ascii="Arial" w:cs="Arial" w:eastAsia="Arial" w:hAnsi="Arial"/>
          <w:sz w:val="20"/>
          <w:szCs w:val="20"/>
          <w:b w:val="1"/>
          <w:bCs w:val="1"/>
          <w:color w:val="auto"/>
        </w:rPr>
        <w:t xml:space="preserve"> </w:t>
      </w:r>
      <w:r>
        <w:rPr>
          <w:rFonts w:ascii="Arial" w:cs="Arial" w:eastAsia="Arial" w:hAnsi="Arial"/>
          <w:sz w:val="20"/>
          <w:szCs w:val="20"/>
          <w:color w:val="auto"/>
        </w:rPr>
        <w:t>made a part hereof; provided, however, that in no event will settlement of a Performance Stock Unit occur more than thirty (30) days following the expiration of its Restricted Period.</w:t>
      </w:r>
    </w:p>
    <w:p>
      <w:pPr>
        <w:spacing w:after="0" w:line="177" w:lineRule="exact"/>
        <w:rPr>
          <w:rFonts w:ascii="Arial" w:cs="Arial" w:eastAsia="Arial" w:hAnsi="Arial"/>
          <w:sz w:val="20"/>
          <w:szCs w:val="20"/>
          <w:color w:val="auto"/>
        </w:rPr>
      </w:pPr>
    </w:p>
    <w:p>
      <w:pPr>
        <w:ind w:left="860" w:hanging="204"/>
        <w:spacing w:after="0"/>
        <w:tabs>
          <w:tab w:leader="none" w:pos="860" w:val="left"/>
        </w:tabs>
        <w:numPr>
          <w:ilvl w:val="0"/>
          <w:numId w:val="233"/>
        </w:numPr>
        <w:rPr>
          <w:rFonts w:ascii="Arial" w:cs="Arial" w:eastAsia="Arial" w:hAnsi="Arial"/>
          <w:sz w:val="20"/>
          <w:szCs w:val="20"/>
          <w:color w:val="auto"/>
        </w:rPr>
      </w:pPr>
      <w:r>
        <w:rPr>
          <w:rFonts w:ascii="Arial" w:cs="Arial" w:eastAsia="Arial" w:hAnsi="Arial"/>
          <w:sz w:val="20"/>
          <w:szCs w:val="20"/>
          <w:b w:val="1"/>
          <w:bCs w:val="1"/>
          <w:u w:val="single" w:color="auto"/>
          <w:color w:val="auto"/>
        </w:rPr>
        <w:t>Definitions</w:t>
      </w:r>
      <w:r>
        <w:rPr>
          <w:rFonts w:ascii="Arial" w:cs="Arial" w:eastAsia="Arial" w:hAnsi="Arial"/>
          <w:sz w:val="20"/>
          <w:szCs w:val="20"/>
          <w:color w:val="auto"/>
        </w:rPr>
        <w:t>.</w:t>
      </w:r>
    </w:p>
    <w:p>
      <w:pPr>
        <w:spacing w:after="0" w:line="222" w:lineRule="exact"/>
        <w:rPr>
          <w:sz w:val="20"/>
          <w:szCs w:val="20"/>
          <w:color w:val="auto"/>
        </w:rPr>
      </w:pPr>
    </w:p>
    <w:p>
      <w:pPr>
        <w:ind w:firstLine="656"/>
        <w:spacing w:after="0" w:line="260" w:lineRule="auto"/>
        <w:tabs>
          <w:tab w:leader="none" w:pos="958" w:val="left"/>
        </w:tabs>
        <w:numPr>
          <w:ilvl w:val="1"/>
          <w:numId w:val="234"/>
        </w:numPr>
        <w:rPr>
          <w:rFonts w:ascii="Arial" w:cs="Arial" w:eastAsia="Arial" w:hAnsi="Arial"/>
          <w:sz w:val="20"/>
          <w:szCs w:val="20"/>
          <w:color w:val="auto"/>
        </w:rPr>
      </w:pPr>
      <w:r>
        <w:rPr>
          <w:rFonts w:ascii="Arial" w:cs="Arial" w:eastAsia="Arial" w:hAnsi="Arial"/>
          <w:sz w:val="20"/>
          <w:szCs w:val="20"/>
          <w:color w:val="auto"/>
        </w:rPr>
        <w:t>The term “</w:t>
      </w:r>
      <w:r>
        <w:rPr>
          <w:rFonts w:ascii="Arial" w:cs="Arial" w:eastAsia="Arial" w:hAnsi="Arial"/>
          <w:sz w:val="20"/>
          <w:szCs w:val="20"/>
          <w:u w:val="single" w:color="auto"/>
          <w:color w:val="auto"/>
        </w:rPr>
        <w:t>Company</w:t>
      </w:r>
      <w:r>
        <w:rPr>
          <w:rFonts w:ascii="Arial" w:cs="Arial" w:eastAsia="Arial" w:hAnsi="Arial"/>
          <w:sz w:val="20"/>
          <w:szCs w:val="20"/>
          <w:color w:val="auto"/>
        </w:rPr>
        <w:t>” as used in this Performance Stock Unit Agreement with reference to employment shall include the Company and its Subsidiaries.</w:t>
      </w:r>
    </w:p>
    <w:p>
      <w:pPr>
        <w:spacing w:after="0" w:line="176" w:lineRule="exact"/>
        <w:rPr>
          <w:rFonts w:ascii="Arial" w:cs="Arial" w:eastAsia="Arial" w:hAnsi="Arial"/>
          <w:sz w:val="20"/>
          <w:szCs w:val="20"/>
          <w:color w:val="auto"/>
        </w:rPr>
      </w:pPr>
    </w:p>
    <w:p>
      <w:pPr>
        <w:jc w:val="both"/>
        <w:ind w:right="20" w:firstLine="656"/>
        <w:spacing w:after="0" w:line="272" w:lineRule="auto"/>
        <w:tabs>
          <w:tab w:leader="none" w:pos="937"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Good Reason</w:t>
      </w:r>
      <w:r>
        <w:rPr>
          <w:rFonts w:ascii="Arial" w:cs="Arial" w:eastAsia="Arial" w:hAnsi="Arial"/>
          <w:sz w:val="18"/>
          <w:szCs w:val="18"/>
          <w:color w:val="auto"/>
        </w:rPr>
        <w:t>” as used in this Performance Stock Unit Agreement shall mean, without the Participant’s prior written consent, the occurrence of any one or more of the following that constitutes a material negative change to the Participant in the service relationship with the Company, or any of its Service Recipients, as applicable: (i) a reduction in the Participant’s annual rate of base salary,</w:t>
      </w:r>
    </w:p>
    <w:p>
      <w:pPr>
        <w:jc w:val="both"/>
        <w:ind w:firstLine="8"/>
        <w:spacing w:after="0" w:line="274" w:lineRule="auto"/>
        <w:tabs>
          <w:tab w:leader="none" w:pos="299"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relocation of the principal place of the Participant’s employment to a location more than fifty (50) miles away, or (iii) the significant diminution of the Participant’s duties and responsibilities. The Participant must make a claim for Good Reason within ninety (90) days following the occurrence of the event giving rise to the claim and terminate employment no later than one hundred and fifty (150) days after the event giving rise to the claim first occurs, or the Participant waives the Participant’s right to claim Good Reason as a result of the event. No Good Reason will exist if the Company cures any of the foregoing within thirty (30) days after the Participant claims Good Reason.</w:t>
      </w:r>
    </w:p>
    <w:p>
      <w:pPr>
        <w:sectPr>
          <w:pgSz w:w="11900" w:h="16838" w:orient="portrait"/>
          <w:cols w:equalWidth="0" w:num="1">
            <w:col w:w="11240"/>
          </w:cols>
          <w:pgMar w:left="320" w:top="589" w:right="339" w:bottom="1440" w:gutter="0" w:footer="0" w:header="0"/>
        </w:sectPr>
      </w:pPr>
    </w:p>
    <w:bookmarkStart w:id="242" w:name="page243"/>
    <w:bookmarkEnd w:id="242"/>
    <w:p>
      <w:pPr>
        <w:jc w:val="both"/>
        <w:ind w:left="-656" w:firstLine="656"/>
        <w:spacing w:after="0" w:line="246" w:lineRule="auto"/>
        <w:tabs>
          <w:tab w:leader="none" w:pos="264" w:val="left"/>
        </w:tabs>
        <w:numPr>
          <w:ilvl w:val="0"/>
          <w:numId w:val="236"/>
        </w:numPr>
        <w:rPr>
          <w:rFonts w:ascii="Arial" w:cs="Arial" w:eastAsia="Arial" w:hAnsi="Arial"/>
          <w:sz w:val="20"/>
          <w:szCs w:val="20"/>
          <w:color w:val="auto"/>
        </w:rPr>
      </w:pPr>
      <w:r>
        <w:rPr>
          <w:rFonts w:ascii="Arial" w:cs="Arial" w:eastAsia="Arial" w:hAnsi="Arial"/>
          <w:sz w:val="20"/>
          <w:szCs w:val="20"/>
          <w:color w:val="auto"/>
        </w:rPr>
        <w:t>Whenever the word “</w:t>
      </w:r>
      <w:r>
        <w:rPr>
          <w:rFonts w:ascii="Arial" w:cs="Arial" w:eastAsia="Arial" w:hAnsi="Arial"/>
          <w:sz w:val="20"/>
          <w:szCs w:val="20"/>
          <w:u w:val="single" w:color="auto"/>
          <w:color w:val="auto"/>
        </w:rPr>
        <w:t>Participant</w:t>
      </w:r>
      <w:r>
        <w:rPr>
          <w:rFonts w:ascii="Arial" w:cs="Arial" w:eastAsia="Arial" w:hAnsi="Arial"/>
          <w:sz w:val="20"/>
          <w:szCs w:val="20"/>
          <w:color w:val="auto"/>
        </w:rPr>
        <w:t>” is used in any provision of this Performance Stock Unit Agreement under circumstances where the provision should logically be construed to apply to the executors, the administrators, or the person or persons to whom the Performance Stock Units may be transferred by will or by the laws of descent and distribution, the word “Participant” shall be deemed to include such person or persons.</w:t>
      </w:r>
    </w:p>
    <w:p>
      <w:pPr>
        <w:spacing w:after="0" w:line="185" w:lineRule="exact"/>
        <w:rPr>
          <w:sz w:val="20"/>
          <w:szCs w:val="20"/>
          <w:color w:val="auto"/>
        </w:rPr>
      </w:pPr>
    </w:p>
    <w:p>
      <w:pPr>
        <w:jc w:val="both"/>
        <w:ind w:left="-656" w:firstLine="656"/>
        <w:spacing w:after="0" w:line="246" w:lineRule="auto"/>
        <w:tabs>
          <w:tab w:leader="none" w:pos="217" w:val="left"/>
        </w:tabs>
        <w:numPr>
          <w:ilvl w:val="0"/>
          <w:numId w:val="237"/>
        </w:numPr>
        <w:rPr>
          <w:rFonts w:ascii="Arial" w:cs="Arial" w:eastAsia="Arial" w:hAnsi="Arial"/>
          <w:sz w:val="20"/>
          <w:szCs w:val="20"/>
          <w:color w:val="auto"/>
        </w:rPr>
      </w:pPr>
      <w:r>
        <w:rPr>
          <w:rFonts w:ascii="Arial" w:cs="Arial" w:eastAsia="Arial" w:hAnsi="Arial"/>
          <w:sz w:val="20"/>
          <w:szCs w:val="20"/>
          <w:b w:val="1"/>
          <w:bCs w:val="1"/>
          <w:u w:val="single" w:color="auto"/>
          <w:color w:val="auto"/>
        </w:rPr>
        <w:t>Non-Transferability</w:t>
      </w:r>
      <w:r>
        <w:rPr>
          <w:rFonts w:ascii="Arial" w:cs="Arial" w:eastAsia="Arial" w:hAnsi="Arial"/>
          <w:sz w:val="20"/>
          <w:szCs w:val="20"/>
          <w:color w:val="auto"/>
        </w:rPr>
        <w:t>. The Performance Stock Units are not transferable by the Participant except to Permitted Transferees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Section 14(b) of the Plan. Except as otherwise provided herein, no assignment or transfer of the Performance Stock Units, or of the rights represented thereby, whether voluntary or involuntary, by operation of law or otherwise, shall vest in the assignee or transferee any interest or right herein whatsoever, but immediately upon such assignment or transfer the Performance Stock Units shall terminate and become of no further effect.</w:t>
      </w:r>
    </w:p>
    <w:p>
      <w:pPr>
        <w:spacing w:after="0" w:line="184" w:lineRule="exact"/>
        <w:rPr>
          <w:rFonts w:ascii="Arial" w:cs="Arial" w:eastAsia="Arial" w:hAnsi="Arial"/>
          <w:sz w:val="20"/>
          <w:szCs w:val="20"/>
          <w:color w:val="auto"/>
        </w:rPr>
      </w:pPr>
    </w:p>
    <w:p>
      <w:pPr>
        <w:jc w:val="both"/>
        <w:ind w:left="-656" w:firstLine="656"/>
        <w:spacing w:after="0" w:line="248" w:lineRule="auto"/>
        <w:tabs>
          <w:tab w:leader="none" w:pos="217" w:val="left"/>
        </w:tabs>
        <w:numPr>
          <w:ilvl w:val="0"/>
          <w:numId w:val="237"/>
        </w:numPr>
        <w:rPr>
          <w:rFonts w:ascii="Arial" w:cs="Arial" w:eastAsia="Arial" w:hAnsi="Arial"/>
          <w:sz w:val="20"/>
          <w:szCs w:val="20"/>
          <w:color w:val="auto"/>
        </w:rPr>
      </w:pPr>
      <w:r>
        <w:rPr>
          <w:rFonts w:ascii="Arial" w:cs="Arial" w:eastAsia="Arial" w:hAnsi="Arial"/>
          <w:sz w:val="20"/>
          <w:szCs w:val="20"/>
          <w:b w:val="1"/>
          <w:bCs w:val="1"/>
          <w:u w:val="single" w:color="auto"/>
          <w:color w:val="auto"/>
        </w:rPr>
        <w:t>Rights as Stockholder</w:t>
      </w:r>
      <w:r>
        <w:rPr>
          <w:rFonts w:ascii="Arial" w:cs="Arial" w:eastAsia="Arial" w:hAnsi="Arial"/>
          <w:sz w:val="20"/>
          <w:szCs w:val="20"/>
          <w:color w:val="auto"/>
        </w:rPr>
        <w:t>. The Participant or a Permitted Transferee of the Performance Stock Units shall have no rights as a</w:t>
      </w:r>
      <w:r>
        <w:rPr>
          <w:rFonts w:ascii="Arial" w:cs="Arial" w:eastAsia="Arial" w:hAnsi="Arial"/>
          <w:sz w:val="20"/>
          <w:szCs w:val="20"/>
          <w:b w:val="1"/>
          <w:bCs w:val="1"/>
          <w:color w:val="auto"/>
        </w:rPr>
        <w:t xml:space="preserve"> </w:t>
      </w:r>
      <w:r>
        <w:rPr>
          <w:rFonts w:ascii="Arial" w:cs="Arial" w:eastAsia="Arial" w:hAnsi="Arial"/>
          <w:sz w:val="20"/>
          <w:szCs w:val="20"/>
          <w:color w:val="auto"/>
        </w:rPr>
        <w:t>stockholder with respect to any share of Common Stock underlying a Performance Stock Unit (including no rights with respect to voting or to receive any dividends or dividend equivalents) unless and until the Participant or the Permitted Transferee shall have become the holder of record or the beneficial owner of such Common Stock.</w:t>
      </w:r>
    </w:p>
    <w:p>
      <w:pPr>
        <w:spacing w:after="0" w:line="183" w:lineRule="exact"/>
        <w:rPr>
          <w:rFonts w:ascii="Arial" w:cs="Arial" w:eastAsia="Arial" w:hAnsi="Arial"/>
          <w:sz w:val="20"/>
          <w:szCs w:val="20"/>
          <w:color w:val="auto"/>
        </w:rPr>
      </w:pPr>
    </w:p>
    <w:p>
      <w:pPr>
        <w:ind w:left="204" w:hanging="204"/>
        <w:spacing w:after="0"/>
        <w:tabs>
          <w:tab w:leader="none" w:pos="204" w:val="left"/>
        </w:tabs>
        <w:numPr>
          <w:ilvl w:val="0"/>
          <w:numId w:val="237"/>
        </w:numPr>
        <w:rPr>
          <w:rFonts w:ascii="Arial" w:cs="Arial" w:eastAsia="Arial" w:hAnsi="Arial"/>
          <w:sz w:val="18"/>
          <w:szCs w:val="18"/>
          <w:color w:val="auto"/>
        </w:rPr>
      </w:pPr>
      <w:r>
        <w:rPr>
          <w:rFonts w:ascii="Arial" w:cs="Arial" w:eastAsia="Arial" w:hAnsi="Arial"/>
          <w:sz w:val="18"/>
          <w:szCs w:val="18"/>
          <w:b w:val="1"/>
          <w:bCs w:val="1"/>
          <w:u w:val="single" w:color="auto"/>
          <w:color w:val="auto"/>
        </w:rPr>
        <w:t>Tax Withholding</w:t>
      </w:r>
      <w:r>
        <w:rPr>
          <w:rFonts w:ascii="Arial" w:cs="Arial" w:eastAsia="Arial" w:hAnsi="Arial"/>
          <w:sz w:val="18"/>
          <w:szCs w:val="18"/>
          <w:color w:val="auto"/>
        </w:rPr>
        <w:t>. The provisions of Section 14(d) of the Plan are incorporated herein by reference and made a part hereof.</w:t>
      </w:r>
    </w:p>
    <w:p>
      <w:pPr>
        <w:spacing w:after="0" w:line="238" w:lineRule="exact"/>
        <w:rPr>
          <w:rFonts w:ascii="Arial" w:cs="Arial" w:eastAsia="Arial" w:hAnsi="Arial"/>
          <w:sz w:val="18"/>
          <w:szCs w:val="18"/>
          <w:color w:val="auto"/>
        </w:rPr>
      </w:pPr>
    </w:p>
    <w:p>
      <w:pPr>
        <w:jc w:val="both"/>
        <w:ind w:left="-656" w:firstLine="656"/>
        <w:spacing w:after="0" w:line="233" w:lineRule="exact"/>
        <w:tabs>
          <w:tab w:leader="none" w:pos="203" w:val="left"/>
        </w:tabs>
        <w:numPr>
          <w:ilvl w:val="0"/>
          <w:numId w:val="237"/>
        </w:numPr>
        <w:rPr>
          <w:rFonts w:ascii="Arial" w:cs="Arial" w:eastAsia="Arial" w:hAnsi="Arial"/>
          <w:sz w:val="19"/>
          <w:szCs w:val="19"/>
          <w:color w:val="auto"/>
        </w:rPr>
      </w:pPr>
      <w:r>
        <w:rPr>
          <w:rFonts w:ascii="Arial" w:cs="Arial" w:eastAsia="Arial" w:hAnsi="Arial"/>
          <w:sz w:val="19"/>
          <w:szCs w:val="19"/>
          <w:b w:val="1"/>
          <w:bCs w:val="1"/>
          <w:u w:val="single" w:color="auto"/>
          <w:color w:val="auto"/>
        </w:rPr>
        <w:t>Notice</w:t>
      </w:r>
      <w:r>
        <w:rPr>
          <w:rFonts w:ascii="Arial" w:cs="Arial" w:eastAsia="Arial" w:hAnsi="Arial"/>
          <w:sz w:val="19"/>
          <w:szCs w:val="19"/>
          <w:color w:val="auto"/>
        </w:rPr>
        <w:t>. Every notice or other communication relating to this Performance Stock Unit Agreement between the Company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shall be in writing, and shall be mailed to or delivered to the party for whom it is intended at such address as may from time to time be designated by such party in a notice mailed or delivered to the other party as herein provided; provided that, unless and until some other address be so designated, all notices or communications by the Participant to the Company shall be mailed or delivered to the Company at its principal executive office, to the attention of the General Counsel,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w:t>
      </w:r>
      <w:r>
        <w:rPr>
          <w:rFonts w:ascii="MS PGothic" w:cs="MS PGothic" w:eastAsia="MS PGothic" w:hAnsi="MS PGothic"/>
          <w:sz w:val="19"/>
          <w:szCs w:val="19"/>
          <w:color w:val="auto"/>
        </w:rPr>
        <w:t>‑</w:t>
      </w:r>
      <w:r>
        <w:rPr>
          <w:rFonts w:ascii="Arial" w:cs="Arial" w:eastAsia="Arial" w:hAnsi="Arial"/>
          <w:sz w:val="19"/>
          <w:szCs w:val="19"/>
          <w:color w:val="auto"/>
        </w:rPr>
        <w:t>party plan administrator shall be mailed, delivered, transmitted or sent in accordance with the procedures established by such third-party plan administrator and communicated to the Participant from time to time.</w:t>
      </w:r>
    </w:p>
    <w:p>
      <w:pPr>
        <w:spacing w:after="0" w:line="192" w:lineRule="exact"/>
        <w:rPr>
          <w:rFonts w:ascii="Arial" w:cs="Arial" w:eastAsia="Arial" w:hAnsi="Arial"/>
          <w:sz w:val="19"/>
          <w:szCs w:val="19"/>
          <w:color w:val="auto"/>
        </w:rPr>
      </w:pPr>
    </w:p>
    <w:p>
      <w:pPr>
        <w:ind w:left="-656" w:firstLine="656"/>
        <w:spacing w:after="0" w:line="267" w:lineRule="auto"/>
        <w:tabs>
          <w:tab w:leader="none" w:pos="217" w:val="left"/>
        </w:tabs>
        <w:numPr>
          <w:ilvl w:val="0"/>
          <w:numId w:val="237"/>
        </w:numPr>
        <w:rPr>
          <w:rFonts w:ascii="Arial" w:cs="Arial" w:eastAsia="Arial" w:hAnsi="Arial"/>
          <w:sz w:val="20"/>
          <w:szCs w:val="20"/>
          <w:color w:val="auto"/>
        </w:rPr>
      </w:pPr>
      <w:r>
        <w:rPr>
          <w:rFonts w:ascii="Arial" w:cs="Arial" w:eastAsia="Arial" w:hAnsi="Arial"/>
          <w:sz w:val="20"/>
          <w:szCs w:val="20"/>
          <w:b w:val="1"/>
          <w:bCs w:val="1"/>
          <w:u w:val="single" w:color="auto"/>
          <w:color w:val="auto"/>
        </w:rPr>
        <w:t>No Right to Continued Service</w:t>
      </w:r>
      <w:r>
        <w:rPr>
          <w:rFonts w:ascii="Arial" w:cs="Arial" w:eastAsia="Arial" w:hAnsi="Arial"/>
          <w:sz w:val="20"/>
          <w:szCs w:val="20"/>
          <w:color w:val="auto"/>
        </w:rPr>
        <w:t>. This Performance Stock Unit Agreement does not confer upon the Participant any right to</w:t>
      </w:r>
      <w:r>
        <w:rPr>
          <w:rFonts w:ascii="Arial" w:cs="Arial" w:eastAsia="Arial" w:hAnsi="Arial"/>
          <w:sz w:val="20"/>
          <w:szCs w:val="20"/>
          <w:b w:val="1"/>
          <w:bCs w:val="1"/>
          <w:color w:val="auto"/>
        </w:rPr>
        <w:t xml:space="preserve"> </w:t>
      </w:r>
      <w:r>
        <w:rPr>
          <w:rFonts w:ascii="Arial" w:cs="Arial" w:eastAsia="Arial" w:hAnsi="Arial"/>
          <w:sz w:val="20"/>
          <w:szCs w:val="20"/>
          <w:color w:val="auto"/>
        </w:rPr>
        <w:t>continue as an employee or service provider to the Company.</w:t>
      </w:r>
    </w:p>
    <w:p>
      <w:pPr>
        <w:spacing w:after="0" w:line="163" w:lineRule="exact"/>
        <w:rPr>
          <w:rFonts w:ascii="Arial" w:cs="Arial" w:eastAsia="Arial" w:hAnsi="Arial"/>
          <w:sz w:val="20"/>
          <w:szCs w:val="20"/>
          <w:color w:val="auto"/>
        </w:rPr>
      </w:pPr>
    </w:p>
    <w:p>
      <w:pPr>
        <w:ind w:left="-656" w:firstLine="656"/>
        <w:spacing w:after="0" w:line="267" w:lineRule="auto"/>
        <w:tabs>
          <w:tab w:leader="none" w:pos="329" w:val="left"/>
        </w:tabs>
        <w:numPr>
          <w:ilvl w:val="0"/>
          <w:numId w:val="237"/>
        </w:numPr>
        <w:rPr>
          <w:rFonts w:ascii="Arial" w:cs="Arial" w:eastAsia="Arial" w:hAnsi="Arial"/>
          <w:sz w:val="20"/>
          <w:szCs w:val="20"/>
          <w:color w:val="auto"/>
        </w:rPr>
      </w:pPr>
      <w:r>
        <w:rPr>
          <w:rFonts w:ascii="Arial" w:cs="Arial" w:eastAsia="Arial" w:hAnsi="Arial"/>
          <w:sz w:val="20"/>
          <w:szCs w:val="20"/>
          <w:b w:val="1"/>
          <w:bCs w:val="1"/>
          <w:u w:val="single" w:color="auto"/>
          <w:color w:val="auto"/>
        </w:rPr>
        <w:t>Binding Effect</w:t>
      </w:r>
      <w:r>
        <w:rPr>
          <w:rFonts w:ascii="Arial" w:cs="Arial" w:eastAsia="Arial" w:hAnsi="Arial"/>
          <w:sz w:val="20"/>
          <w:szCs w:val="20"/>
          <w:color w:val="auto"/>
        </w:rPr>
        <w:t>. This Performance Stock Unit Agreement shall be binding upon the heirs, executors, administrators and</w:t>
      </w:r>
      <w:r>
        <w:rPr>
          <w:rFonts w:ascii="Arial" w:cs="Arial" w:eastAsia="Arial" w:hAnsi="Arial"/>
          <w:sz w:val="20"/>
          <w:szCs w:val="20"/>
          <w:b w:val="1"/>
          <w:bCs w:val="1"/>
          <w:color w:val="auto"/>
        </w:rPr>
        <w:t xml:space="preserve"> </w:t>
      </w:r>
      <w:r>
        <w:rPr>
          <w:rFonts w:ascii="Arial" w:cs="Arial" w:eastAsia="Arial" w:hAnsi="Arial"/>
          <w:sz w:val="20"/>
          <w:szCs w:val="20"/>
          <w:color w:val="auto"/>
        </w:rPr>
        <w:t>successors of the parties hereto.</w:t>
      </w:r>
    </w:p>
    <w:p>
      <w:pPr>
        <w:spacing w:after="0" w:line="163" w:lineRule="exact"/>
        <w:rPr>
          <w:rFonts w:ascii="Arial" w:cs="Arial" w:eastAsia="Arial" w:hAnsi="Arial"/>
          <w:sz w:val="20"/>
          <w:szCs w:val="20"/>
          <w:color w:val="auto"/>
        </w:rPr>
      </w:pPr>
    </w:p>
    <w:p>
      <w:pPr>
        <w:jc w:val="both"/>
        <w:ind w:left="-656" w:firstLine="656"/>
        <w:spacing w:after="0" w:line="280" w:lineRule="auto"/>
        <w:tabs>
          <w:tab w:leader="none" w:pos="308" w:val="left"/>
        </w:tabs>
        <w:numPr>
          <w:ilvl w:val="0"/>
          <w:numId w:val="237"/>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and Amendments</w:t>
      </w:r>
      <w:r>
        <w:rPr>
          <w:rFonts w:ascii="Arial" w:cs="Arial" w:eastAsia="Arial" w:hAnsi="Arial"/>
          <w:sz w:val="18"/>
          <w:szCs w:val="18"/>
          <w:color w:val="auto"/>
        </w:rPr>
        <w:t>. Except as otherwise set forth in Section 13 of the Plan, any waiver, alteration, amendment or</w:t>
      </w:r>
      <w:r>
        <w:rPr>
          <w:rFonts w:ascii="Arial" w:cs="Arial" w:eastAsia="Arial" w:hAnsi="Arial"/>
          <w:sz w:val="18"/>
          <w:szCs w:val="18"/>
          <w:b w:val="1"/>
          <w:bCs w:val="1"/>
          <w:color w:val="auto"/>
        </w:rPr>
        <w:t xml:space="preserve"> </w:t>
      </w:r>
      <w:r>
        <w:rPr>
          <w:rFonts w:ascii="Arial" w:cs="Arial" w:eastAsia="Arial" w:hAnsi="Arial"/>
          <w:sz w:val="18"/>
          <w:szCs w:val="18"/>
          <w:color w:val="auto"/>
        </w:rPr>
        <w:t>modification of any of the terms of this Performance Stock Unit Agreement shall be valid only if made in writing and signed by the parties hereto; provided, however,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ectPr>
          <w:pgSz w:w="11900" w:h="16838" w:orient="portrait"/>
          <w:cols w:equalWidth="0" w:num="1">
            <w:col w:w="10584"/>
          </w:cols>
          <w:pgMar w:left="976" w:top="339" w:right="339" w:bottom="1440" w:gutter="0" w:footer="0" w:header="0"/>
        </w:sectPr>
      </w:pPr>
    </w:p>
    <w:bookmarkStart w:id="243" w:name="page244"/>
    <w:bookmarkEnd w:id="243"/>
    <w:p>
      <w:pPr>
        <w:jc w:val="both"/>
        <w:ind w:left="-656" w:firstLine="656"/>
        <w:spacing w:after="0" w:line="246" w:lineRule="auto"/>
        <w:tabs>
          <w:tab w:leader="none" w:pos="289" w:val="left"/>
        </w:tabs>
        <w:numPr>
          <w:ilvl w:val="0"/>
          <w:numId w:val="238"/>
        </w:numPr>
        <w:rPr>
          <w:rFonts w:ascii="Arial" w:cs="Arial" w:eastAsia="Arial" w:hAnsi="Arial"/>
          <w:sz w:val="20"/>
          <w:szCs w:val="20"/>
          <w:color w:val="auto"/>
        </w:rPr>
      </w:pPr>
      <w:r>
        <w:rPr>
          <w:rFonts w:ascii="Arial" w:cs="Arial" w:eastAsia="Arial" w:hAnsi="Arial"/>
          <w:sz w:val="20"/>
          <w:szCs w:val="20"/>
          <w:b w:val="1"/>
          <w:bCs w:val="1"/>
          <w:u w:val="single" w:color="auto"/>
          <w:color w:val="auto"/>
        </w:rPr>
        <w:t>Governing Law</w:t>
      </w:r>
      <w:r>
        <w:rPr>
          <w:rFonts w:ascii="Arial" w:cs="Arial" w:eastAsia="Arial" w:hAnsi="Arial"/>
          <w:sz w:val="20"/>
          <w:szCs w:val="20"/>
          <w:color w:val="auto"/>
        </w:rPr>
        <w:t>. This Performance Stock Unit Agreement shall be construed and interpreted in accordance with the laws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State of Delaware, without regard to the principles of conflicts of law thereof. Notwithstanding anything contained in this Performance Stock Unit Agreement, the Grant Notice or the Plan to the contrary, if any suit or claim is instituted by the Participant or the Company relating to this Performance Stock Unit Agreement, the Grant Notice or the Plan, the Participant hereby submits to the exclusive jurisdiction of and venue in the courts of Delaware.</w:t>
      </w:r>
    </w:p>
    <w:p>
      <w:pPr>
        <w:spacing w:after="0" w:line="184" w:lineRule="exact"/>
        <w:rPr>
          <w:rFonts w:ascii="Arial" w:cs="Arial" w:eastAsia="Arial" w:hAnsi="Arial"/>
          <w:sz w:val="20"/>
          <w:szCs w:val="20"/>
          <w:color w:val="auto"/>
        </w:rPr>
      </w:pPr>
    </w:p>
    <w:p>
      <w:pPr>
        <w:jc w:val="both"/>
        <w:ind w:left="-656" w:firstLine="656"/>
        <w:spacing w:after="0" w:line="253" w:lineRule="auto"/>
        <w:tabs>
          <w:tab w:leader="none" w:pos="316" w:val="left"/>
        </w:tabs>
        <w:numPr>
          <w:ilvl w:val="0"/>
          <w:numId w:val="238"/>
        </w:numPr>
        <w:rPr>
          <w:rFonts w:ascii="Arial" w:cs="Arial" w:eastAsia="Arial" w:hAnsi="Arial"/>
          <w:sz w:val="20"/>
          <w:szCs w:val="20"/>
          <w:color w:val="auto"/>
        </w:rPr>
      </w:pPr>
      <w:r>
        <w:rPr>
          <w:rFonts w:ascii="Arial" w:cs="Arial" w:eastAsia="Arial" w:hAnsi="Arial"/>
          <w:sz w:val="20"/>
          <w:szCs w:val="20"/>
          <w:b w:val="1"/>
          <w:bCs w:val="1"/>
          <w:u w:val="single" w:color="auto"/>
          <w:color w:val="auto"/>
        </w:rPr>
        <w:t>Plan</w:t>
      </w:r>
      <w:r>
        <w:rPr>
          <w:rFonts w:ascii="Arial" w:cs="Arial" w:eastAsia="Arial" w:hAnsi="Arial"/>
          <w:sz w:val="20"/>
          <w:szCs w:val="20"/>
          <w:color w:val="auto"/>
        </w:rPr>
        <w:t>. The terms and provisions of the Plan are incorporated herein by reference. In the event of a conflict or inconsistency</w:t>
      </w:r>
      <w:r>
        <w:rPr>
          <w:rFonts w:ascii="Arial" w:cs="Arial" w:eastAsia="Arial" w:hAnsi="Arial"/>
          <w:sz w:val="20"/>
          <w:szCs w:val="20"/>
          <w:b w:val="1"/>
          <w:bCs w:val="1"/>
          <w:color w:val="auto"/>
        </w:rPr>
        <w:t xml:space="preserve"> </w:t>
      </w:r>
      <w:r>
        <w:rPr>
          <w:rFonts w:ascii="Arial" w:cs="Arial" w:eastAsia="Arial" w:hAnsi="Arial"/>
          <w:sz w:val="20"/>
          <w:szCs w:val="20"/>
          <w:color w:val="auto"/>
        </w:rPr>
        <w:t>between the terms and provisions of the Plan and the provisions of this Performance Stock Unit Agreement (including the Grant Notice), the Plan shall govern and control.</w:t>
      </w:r>
    </w:p>
    <w:p>
      <w:pPr>
        <w:sectPr>
          <w:pgSz w:w="11900" w:h="16838" w:orient="portrait"/>
          <w:cols w:equalWidth="0" w:num="1">
            <w:col w:w="10584"/>
          </w:cols>
          <w:pgMar w:left="976" w:top="333" w:right="33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 Reade Fahs, certify that:</w:t>
      </w:r>
    </w:p>
    <w:p>
      <w:pPr>
        <w:spacing w:after="0" w:line="225" w:lineRule="exact"/>
        <w:rPr>
          <w:sz w:val="20"/>
          <w:szCs w:val="20"/>
          <w:color w:val="auto"/>
        </w:rPr>
      </w:pPr>
    </w:p>
    <w:p>
      <w:pPr>
        <w:ind w:left="340" w:hanging="332"/>
        <w:spacing w:after="0"/>
        <w:tabs>
          <w:tab w:leader="none" w:pos="3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28, 2020 of National Vision Holdings,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2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31750</wp:posOffset>
            </wp:positionV>
            <wp:extent cx="23488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5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L. Reade Fahs</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Executive Officer and Director</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5" w:right="3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 UNDER SECTION 302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Patrick R. Moore, certify that:</w:t>
      </w:r>
    </w:p>
    <w:p>
      <w:pPr>
        <w:spacing w:after="0" w:line="225" w:lineRule="exact"/>
        <w:rPr>
          <w:sz w:val="20"/>
          <w:szCs w:val="20"/>
          <w:color w:val="auto"/>
        </w:rPr>
      </w:pPr>
    </w:p>
    <w:p>
      <w:pPr>
        <w:ind w:left="340" w:hanging="332"/>
        <w:spacing w:after="0"/>
        <w:tabs>
          <w:tab w:leader="none" w:pos="3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28, 2020 of National Vision Holdings, Inc.;</w:t>
      </w:r>
    </w:p>
    <w:p>
      <w:pPr>
        <w:spacing w:after="0" w:line="225"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20" w:hanging="332"/>
        <w:spacing w:after="0" w:line="263" w:lineRule="auto"/>
        <w:tabs>
          <w:tab w:leader="none" w:pos="3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380" w:hanging="328"/>
        <w:spacing w:after="0" w:line="263" w:lineRule="auto"/>
        <w:tabs>
          <w:tab w:leader="none" w:pos="66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60" w:val="left"/>
        </w:tabs>
        <w:numPr>
          <w:ilvl w:val="1"/>
          <w:numId w:val="2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6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280" w:hanging="328"/>
        <w:spacing w:after="0" w:line="277" w:lineRule="auto"/>
        <w:tabs>
          <w:tab w:leader="none" w:pos="66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31750</wp:posOffset>
            </wp:positionV>
            <wp:extent cx="29229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5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Patrick R. Moore</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Senior Vice President, Chief Financial Officer</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5" w:right="3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In connection with the Quarterly Report of National Vision Holdings, Inc. (the “Company”) on Form 10-Q for the quarterly period ended March 28, 2020 filed with the Securities and Exchange Commission on the date hereof (the “Report”), I, L. Reade Fahs, Chief Executive Officer and Director of the Company, do hereby certify, pursuant to 18 U.S.C. Section 1350, as adopted pursuant to Section 906 of the Sarbanes-Oxley Act of 2002, that:</w:t>
      </w:r>
    </w:p>
    <w:p>
      <w:pPr>
        <w:spacing w:after="0" w:line="149" w:lineRule="exact"/>
        <w:rPr>
          <w:sz w:val="20"/>
          <w:szCs w:val="20"/>
          <w:color w:val="auto"/>
        </w:rPr>
      </w:pPr>
    </w:p>
    <w:p>
      <w:pPr>
        <w:ind w:left="340" w:hanging="332"/>
        <w:spacing w:after="0"/>
        <w:tabs>
          <w:tab w:leader="none" w:pos="3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right="240" w:hanging="332"/>
        <w:spacing w:after="0" w:line="277" w:lineRule="auto"/>
        <w:tabs>
          <w:tab w:leader="none" w:pos="3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L. Reade Fahs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31750</wp:posOffset>
            </wp:positionV>
            <wp:extent cx="23488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5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L. Reade Fahs</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Executive Officer and Director</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5" w:right="3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In connection with the Quarterly Report of National Vision Holdings, Inc. (the “Company”) on Form 10-Q for the quarterly period ended March 28, 2020 filed with the Securities and Exchange Commission on the date hereof (the “Report”), I, Patrick R. Moore, Senior Vice President, Chief Financial Officer of the Company, do hereby certify, pursuant to 18 U.S.C. Section 1350, as adopted pursuant to Section 906 of the Sarbanes-Oxley Act of 2002, that:</w:t>
      </w:r>
    </w:p>
    <w:p>
      <w:pPr>
        <w:spacing w:after="0" w:line="149" w:lineRule="exact"/>
        <w:rPr>
          <w:sz w:val="20"/>
          <w:szCs w:val="20"/>
          <w:color w:val="auto"/>
        </w:rPr>
      </w:pPr>
    </w:p>
    <w:p>
      <w:pPr>
        <w:ind w:left="340" w:hanging="332"/>
        <w:spacing w:after="0"/>
        <w:tabs>
          <w:tab w:leader="none" w:pos="340" w:val="left"/>
        </w:tabs>
        <w:numPr>
          <w:ilvl w:val="0"/>
          <w:numId w:val="242"/>
        </w:numPr>
        <w:rPr>
          <w:rFonts w:ascii="Arial" w:cs="Arial" w:eastAsia="Arial" w:hAnsi="Arial"/>
          <w:sz w:val="18"/>
          <w:szCs w:val="18"/>
          <w:b w:val="1"/>
          <w:bCs w:val="1"/>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b w:val="1"/>
          <w:bCs w:val="1"/>
          <w:color w:val="auto"/>
        </w:rPr>
      </w:pPr>
    </w:p>
    <w:p>
      <w:pPr>
        <w:ind w:left="340" w:right="240" w:hanging="332"/>
        <w:spacing w:after="0" w:line="277" w:lineRule="auto"/>
        <w:tabs>
          <w:tab w:leader="none" w:pos="340" w:val="left"/>
        </w:tabs>
        <w:numPr>
          <w:ilvl w:val="0"/>
          <w:numId w:val="242"/>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Patrick 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31750</wp:posOffset>
            </wp:positionV>
            <wp:extent cx="29229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5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Patrick R. Moore</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Senior Vice President, Chief Financial Officer</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B012B3"/>
    <w:multiLevelType w:val="hybridMultilevel"/>
    <w:lvl w:ilvl="0">
      <w:lvlJc w:val="left"/>
      <w:lvlText w:val="☒"/>
      <w:numFmt w:val="bullet"/>
      <w:start w:val="1"/>
    </w:lvl>
  </w:abstractNum>
  <w:abstractNum w:abstractNumId="1">
    <w:nsid w:val="2708C9AF"/>
    <w:multiLevelType w:val="hybridMultilevel"/>
    <w:lvl w:ilvl="0">
      <w:lvlJc w:val="left"/>
      <w:lvlText w:val="☐"/>
      <w:numFmt w:val="bullet"/>
      <w:start w:val="1"/>
    </w:lvl>
  </w:abstractNum>
  <w:abstractNum w:abstractNumId="2">
    <w:nsid w:val="5B25ACE2"/>
    <w:multiLevelType w:val="hybridMultilevel"/>
    <w:lvl w:ilvl="0">
      <w:lvlJc w:val="left"/>
      <w:lvlText w:val="•"/>
      <w:numFmt w:val="bullet"/>
      <w:start w:val="1"/>
    </w:lvl>
  </w:abstractNum>
  <w:abstractNum w:abstractNumId="3">
    <w:nsid w:val="175DFCF0"/>
    <w:multiLevelType w:val="hybridMultilevel"/>
    <w:lvl w:ilvl="0">
      <w:lvlJc w:val="left"/>
      <w:lvlText w:val="•"/>
      <w:numFmt w:val="bullet"/>
      <w:start w:val="1"/>
    </w:lvl>
  </w:abstractNum>
  <w:abstractNum w:abstractNumId="4">
    <w:nsid w:val="4F97E3E4"/>
    <w:multiLevelType w:val="hybridMultilevel"/>
    <w:lvl w:ilvl="0">
      <w:lvlJc w:val="left"/>
      <w:lvlText w:val="(%1)"/>
      <w:numFmt w:val="decimal"/>
      <w:start w:val="1"/>
    </w:lvl>
  </w:abstractNum>
  <w:abstractNum w:abstractNumId="5">
    <w:nsid w:val="53B0A9E"/>
    <w:multiLevelType w:val="hybridMultilevel"/>
    <w:lvl w:ilvl="0">
      <w:lvlJc w:val="left"/>
      <w:lvlText w:val="%1."/>
      <w:numFmt w:val="decimal"/>
      <w:start w:val="3"/>
    </w:lvl>
    <w:lvl w:ilvl="1">
      <w:lvlJc w:val="left"/>
      <w:lvlText w:val="•"/>
      <w:numFmt w:val="bullet"/>
      <w:start w:val="1"/>
    </w:lvl>
  </w:abstractNum>
  <w:abstractNum w:abstractNumId="6">
    <w:nsid w:val="34FD6B4F"/>
    <w:multiLevelType w:val="hybridMultilevel"/>
    <w:lvl w:ilvl="0">
      <w:lvlJc w:val="left"/>
      <w:lvlText w:val="%1"/>
      <w:numFmt w:val="decimal"/>
      <w:start w:val="1"/>
    </w:lvl>
    <w:lvl w:ilvl="1">
      <w:lvlJc w:val="left"/>
      <w:lvlText w:val="(%2)"/>
      <w:numFmt w:val="decimal"/>
      <w:start w:val="1"/>
    </w:lvl>
  </w:abstractNum>
  <w:abstractNum w:abstractNumId="7">
    <w:nsid w:val="5915FF32"/>
    <w:multiLevelType w:val="hybridMultilevel"/>
    <w:lvl w:ilvl="0">
      <w:lvlJc w:val="left"/>
      <w:lvlText w:val="%1."/>
      <w:numFmt w:val="decimal"/>
      <w:start w:val="4"/>
    </w:lvl>
    <w:lvl w:ilvl="1">
      <w:lvlJc w:val="left"/>
      <w:lvlText w:val="%2"/>
      <w:numFmt w:val="decimal"/>
      <w:start w:val="1"/>
    </w:lvl>
  </w:abstractNum>
  <w:abstractNum w:abstractNumId="8">
    <w:nsid w:val="56438D15"/>
    <w:multiLevelType w:val="hybridMultilevel"/>
    <w:lvl w:ilvl="0">
      <w:lvlJc w:val="left"/>
      <w:lvlText w:val="(%1)"/>
      <w:numFmt w:val="decimal"/>
      <w:start w:val="1"/>
    </w:lvl>
  </w:abstractNum>
  <w:abstractNum w:abstractNumId="9">
    <w:nsid w:val="519E3149"/>
    <w:multiLevelType w:val="hybridMultilevel"/>
    <w:lvl w:ilvl="0">
      <w:lvlJc w:val="left"/>
      <w:lvlText w:val="(%1)"/>
      <w:numFmt w:val="lowerLetter"/>
      <w:start w:val="1"/>
    </w:lvl>
  </w:abstractNum>
  <w:abstractNum w:abstractNumId="10">
    <w:nsid w:val="2C6E4AFD"/>
    <w:multiLevelType w:val="hybridMultilevel"/>
    <w:lvl w:ilvl="0">
      <w:lvlJc w:val="left"/>
      <w:lvlText w:val="(%1)"/>
      <w:numFmt w:val="lowerLetter"/>
      <w:start w:val="1"/>
    </w:lvl>
  </w:abstractNum>
  <w:abstractNum w:abstractNumId="11">
    <w:nsid w:val="17A1B582"/>
    <w:multiLevelType w:val="hybridMultilevel"/>
    <w:lvl w:ilvl="0">
      <w:lvlJc w:val="left"/>
      <w:lvlText w:val="(%1)"/>
      <w:numFmt w:val="lowerLetter"/>
      <w:start w:val="1"/>
    </w:lvl>
  </w:abstractNum>
  <w:abstractNum w:abstractNumId="12">
    <w:nsid w:val="4DF72E4E"/>
    <w:multiLevelType w:val="hybridMultilevel"/>
    <w:lvl w:ilvl="0">
      <w:lvlJc w:val="left"/>
      <w:lvlText w:val="%1"/>
      <w:numFmt w:val="decimal"/>
      <w:start w:val="1"/>
    </w:lvl>
    <w:lvl w:ilvl="1">
      <w:lvlJc w:val="left"/>
      <w:lvlText w:val="(%2)"/>
      <w:numFmt w:val="lowerLetter"/>
      <w:start w:val="1"/>
    </w:lvl>
  </w:abstractNum>
  <w:abstractNum w:abstractNumId="13">
    <w:nsid w:val="5046B5A9"/>
    <w:multiLevelType w:val="hybridMultilevel"/>
    <w:lvl w:ilvl="0">
      <w:lvlJc w:val="left"/>
      <w:lvlText w:val="%1."/>
      <w:numFmt w:val="decimal"/>
      <w:start w:val="9"/>
    </w:lvl>
    <w:lvl w:ilvl="1">
      <w:lvlJc w:val="left"/>
      <w:lvlText w:val="%2"/>
      <w:numFmt w:val="lowerLetter"/>
      <w:start w:val="1"/>
    </w:lvl>
  </w:abstractNum>
  <w:abstractNum w:abstractNumId="14">
    <w:nsid w:val="5D888A08"/>
    <w:multiLevelType w:val="hybridMultilevel"/>
    <w:lvl w:ilvl="0">
      <w:lvlJc w:val="left"/>
      <w:lvlText w:val="•"/>
      <w:numFmt w:val="bullet"/>
      <w:start w:val="1"/>
    </w:lvl>
  </w:abstractNum>
  <w:abstractNum w:abstractNumId="15">
    <w:nsid w:val="2A082C70"/>
    <w:multiLevelType w:val="hybridMultilevel"/>
    <w:lvl w:ilvl="0">
      <w:lvlJc w:val="left"/>
      <w:lvlText w:val="•"/>
      <w:numFmt w:val="bullet"/>
      <w:start w:val="1"/>
    </w:lvl>
  </w:abstractNum>
  <w:abstractNum w:abstractNumId="16">
    <w:nsid w:val="5EC6AFD4"/>
    <w:multiLevelType w:val="hybridMultilevel"/>
    <w:lvl w:ilvl="0">
      <w:lvlJc w:val="left"/>
      <w:lvlText w:val="•"/>
      <w:numFmt w:val="bullet"/>
      <w:start w:val="1"/>
    </w:lvl>
  </w:abstractNum>
  <w:abstractNum w:abstractNumId="17">
    <w:nsid w:val="19E21BB2"/>
    <w:multiLevelType w:val="hybridMultilevel"/>
    <w:lvl w:ilvl="0">
      <w:lvlJc w:val="left"/>
      <w:lvlText w:val="•"/>
      <w:numFmt w:val="bullet"/>
      <w:start w:val="1"/>
    </w:lvl>
  </w:abstractNum>
  <w:abstractNum w:abstractNumId="18">
    <w:nsid w:val="75E0858A"/>
    <w:multiLevelType w:val="hybridMultilevel"/>
    <w:lvl w:ilvl="0">
      <w:lvlJc w:val="left"/>
      <w:lvlText w:val="•"/>
      <w:numFmt w:val="bullet"/>
      <w:start w:val="1"/>
    </w:lvl>
  </w:abstractNum>
  <w:abstractNum w:abstractNumId="19">
    <w:nsid w:val="57A61A29"/>
    <w:multiLevelType w:val="hybridMultilevel"/>
    <w:lvl w:ilvl="0">
      <w:lvlJc w:val="left"/>
      <w:lvlText w:val="•"/>
      <w:numFmt w:val="bullet"/>
      <w:start w:val="1"/>
    </w:lvl>
  </w:abstractNum>
  <w:abstractNum w:abstractNumId="20">
    <w:nsid w:val="5399C654"/>
    <w:multiLevelType w:val="hybridMultilevel"/>
    <w:lvl w:ilvl="0">
      <w:lvlJc w:val="left"/>
      <w:lvlText w:val="•"/>
      <w:numFmt w:val="bullet"/>
      <w:start w:val="1"/>
    </w:lvl>
  </w:abstractNum>
  <w:abstractNum w:abstractNumId="21">
    <w:nsid w:val="20EE1348"/>
    <w:multiLevelType w:val="hybridMultilevel"/>
    <w:lvl w:ilvl="0">
      <w:lvlJc w:val="left"/>
      <w:lvlText w:val="(%1)"/>
      <w:numFmt w:val="decimal"/>
      <w:start w:val="1"/>
    </w:lvl>
  </w:abstractNum>
  <w:abstractNum w:abstractNumId="22">
    <w:nsid w:val="4427069A"/>
    <w:multiLevelType w:val="hybridMultilevel"/>
    <w:lvl w:ilvl="0">
      <w:lvlJc w:val="left"/>
      <w:lvlText w:val="•"/>
      <w:numFmt w:val="bullet"/>
      <w:start w:val="1"/>
    </w:lvl>
  </w:abstractNum>
  <w:abstractNum w:abstractNumId="23">
    <w:nsid w:val="B37E80A"/>
    <w:multiLevelType w:val="hybridMultilevel"/>
    <w:lvl w:ilvl="0">
      <w:lvlJc w:val="left"/>
      <w:lvlText w:val="(%1)"/>
      <w:numFmt w:val="lowerLetter"/>
      <w:start w:val="1"/>
    </w:lvl>
  </w:abstractNum>
  <w:abstractNum w:abstractNumId="24">
    <w:nsid w:val="2157F6BC"/>
    <w:multiLevelType w:val="hybridMultilevel"/>
    <w:lvl w:ilvl="0">
      <w:lvlJc w:val="left"/>
      <w:lvlText w:val="(%1)"/>
      <w:numFmt w:val="lowerLetter"/>
      <w:start w:val="6"/>
    </w:lvl>
  </w:abstractNum>
  <w:abstractNum w:abstractNumId="25">
    <w:nsid w:val="704E1DD5"/>
    <w:multiLevelType w:val="hybridMultilevel"/>
    <w:lvl w:ilvl="0">
      <w:lvlJc w:val="left"/>
      <w:lvlText w:val="•"/>
      <w:numFmt w:val="bullet"/>
      <w:start w:val="1"/>
    </w:lvl>
  </w:abstractNum>
  <w:abstractNum w:abstractNumId="26">
    <w:nsid w:val="57D2F10E"/>
    <w:multiLevelType w:val="hybridMultilevel"/>
    <w:lvl w:ilvl="0">
      <w:lvlJc w:val="left"/>
      <w:lvlText w:val="•"/>
      <w:numFmt w:val="bullet"/>
      <w:start w:val="1"/>
    </w:lvl>
  </w:abstractNum>
  <w:abstractNum w:abstractNumId="27">
    <w:nsid w:val="BFFAE18"/>
    <w:multiLevelType w:val="hybridMultilevel"/>
    <w:lvl w:ilvl="0">
      <w:lvlJc w:val="left"/>
      <w:lvlText w:val="•"/>
      <w:numFmt w:val="bullet"/>
      <w:start w:val="1"/>
    </w:lvl>
  </w:abstractNum>
  <w:abstractNum w:abstractNumId="28">
    <w:nsid w:val="E3E47A8"/>
    <w:multiLevelType w:val="hybridMultilevel"/>
    <w:lvl w:ilvl="0">
      <w:lvlJc w:val="left"/>
      <w:lvlText w:val="•"/>
      <w:numFmt w:val="bullet"/>
      <w:start w:val="1"/>
    </w:lvl>
  </w:abstractNum>
  <w:abstractNum w:abstractNumId="29">
    <w:nsid w:val="2E48F044"/>
    <w:multiLevelType w:val="hybridMultilevel"/>
    <w:lvl w:ilvl="0">
      <w:lvlJc w:val="left"/>
      <w:lvlText w:val="%1"/>
      <w:numFmt w:val="decimal"/>
      <w:start w:val="104"/>
    </w:lvl>
  </w:abstractNum>
  <w:abstractNum w:abstractNumId="30">
    <w:nsid w:val="49D0FEAC"/>
    <w:multiLevelType w:val="hybridMultilevel"/>
    <w:lvl w:ilvl="0">
      <w:lvlJc w:val="left"/>
      <w:lvlText w:val="%1."/>
      <w:numFmt w:val="decimal"/>
      <w:start w:val="1"/>
    </w:lvl>
  </w:abstractNum>
  <w:abstractNum w:abstractNumId="31">
    <w:nsid w:val="4BEE5A5B"/>
    <w:multiLevelType w:val="hybridMultilevel"/>
    <w:lvl w:ilvl="0">
      <w:lvlJc w:val="left"/>
      <w:lvlText w:val="%1."/>
      <w:numFmt w:val="decimal"/>
      <w:start w:val="1"/>
    </w:lvl>
    <w:lvl w:ilvl="1">
      <w:lvlJc w:val="left"/>
      <w:lvlText w:val="%2."/>
      <w:numFmt w:val="lowerLetter"/>
      <w:start w:val="1"/>
    </w:lvl>
  </w:abstractNum>
  <w:abstractNum w:abstractNumId="32">
    <w:nsid w:val="5551B9F3"/>
    <w:multiLevelType w:val="hybridMultilevel"/>
    <w:lvl w:ilvl="0">
      <w:lvlJc w:val="left"/>
      <w:lvlText w:val="%1"/>
      <w:numFmt w:val="decimal"/>
      <w:start w:val="1"/>
    </w:lvl>
    <w:lvl w:ilvl="1">
      <w:lvlJc w:val="left"/>
      <w:lvlText w:val="%2."/>
      <w:numFmt w:val="lowerLetter"/>
      <w:start w:val="2"/>
    </w:lvl>
  </w:abstractNum>
  <w:abstractNum w:abstractNumId="33">
    <w:nsid w:val="24F6AB8E"/>
    <w:multiLevelType w:val="hybridMultilevel"/>
    <w:lvl w:ilvl="0">
      <w:lvlJc w:val="left"/>
      <w:lvlText w:val="%1."/>
      <w:numFmt w:val="decimal"/>
      <w:start w:val="2"/>
    </w:lvl>
    <w:lvl w:ilvl="1">
      <w:lvlJc w:val="left"/>
      <w:lvlText w:val="%2."/>
      <w:numFmt w:val="lowerLetter"/>
      <w:start w:val="1"/>
    </w:lvl>
  </w:abstractNum>
  <w:abstractNum w:abstractNumId="34">
    <w:nsid w:val="634C574C"/>
    <w:multiLevelType w:val="hybridMultilevel"/>
    <w:lvl w:ilvl="0">
      <w:lvlJc w:val="left"/>
      <w:lvlText w:val="%1"/>
      <w:numFmt w:val="decimal"/>
      <w:start w:val="1"/>
    </w:lvl>
    <w:lvl w:ilvl="1">
      <w:lvlJc w:val="left"/>
      <w:lvlText w:val="%2."/>
      <w:numFmt w:val="lowerLetter"/>
      <w:start w:val="5"/>
    </w:lvl>
  </w:abstractNum>
  <w:abstractNum w:abstractNumId="35">
    <w:nsid w:val="24E99DD7"/>
    <w:multiLevelType w:val="hybridMultilevel"/>
    <w:lvl w:ilvl="0">
      <w:lvlJc w:val="left"/>
      <w:lvlText w:val="%1."/>
      <w:numFmt w:val="decimal"/>
      <w:start w:val="4"/>
    </w:lvl>
    <w:lvl w:ilvl="1">
      <w:lvlJc w:val="left"/>
      <w:lvlText w:val="%2"/>
      <w:numFmt w:val="lowerLetter"/>
      <w:start w:val="1"/>
    </w:lvl>
  </w:abstractNum>
  <w:abstractNum w:abstractNumId="36">
    <w:nsid w:val="2A31B62D"/>
    <w:multiLevelType w:val="hybridMultilevel"/>
    <w:lvl w:ilvl="0">
      <w:lvlJc w:val="left"/>
      <w:lvlText w:val="%1."/>
      <w:numFmt w:val="decimal"/>
      <w:start w:val="12"/>
    </w:lvl>
  </w:abstractNum>
  <w:abstractNum w:abstractNumId="37">
    <w:nsid w:val="1849C29B"/>
    <w:multiLevelType w:val="hybridMultilevel"/>
    <w:lvl w:ilvl="0">
      <w:lvlJc w:val="left"/>
      <w:lvlText w:val="(%1)"/>
      <w:numFmt w:val="lowerLetter"/>
      <w:start w:val="1"/>
    </w:lvl>
  </w:abstractNum>
  <w:abstractNum w:abstractNumId="38">
    <w:nsid w:val="7DFF9D09"/>
    <w:multiLevelType w:val="hybridMultilevel"/>
    <w:lvl w:ilvl="0">
      <w:lvlJc w:val="left"/>
      <w:lvlText w:val="%1"/>
      <w:numFmt w:val="lowerLetter"/>
      <w:start w:val="1"/>
    </w:lvl>
    <w:lvl w:ilvl="1">
      <w:lvlJc w:val="left"/>
      <w:lvlText w:val="(%2)"/>
      <w:numFmt w:val="lowerRoman"/>
      <w:start w:val="1"/>
    </w:lvl>
  </w:abstractNum>
  <w:abstractNum w:abstractNumId="39">
    <w:nsid w:val="754342"/>
    <w:multiLevelType w:val="hybridMultilevel"/>
    <w:lvl w:ilvl="0">
      <w:lvlJc w:val="left"/>
      <w:lvlText w:val="(%1)"/>
      <w:numFmt w:val="lowerLetter"/>
      <w:start w:val="1"/>
    </w:lvl>
    <w:lvl w:ilvl="1">
      <w:lvlJc w:val="left"/>
      <w:lvlText w:val="%2"/>
      <w:numFmt w:val="lowerRoman"/>
      <w:start w:val="1"/>
    </w:lvl>
  </w:abstractNum>
  <w:abstractNum w:abstractNumId="40">
    <w:nsid w:val="69E7F3E5"/>
    <w:multiLevelType w:val="hybridMultilevel"/>
    <w:lvl w:ilvl="0">
      <w:lvlJc w:val="left"/>
      <w:lvlText w:val="(%1)"/>
      <w:numFmt w:val="lowerLetter"/>
      <w:start w:val="2"/>
    </w:lvl>
  </w:abstractNum>
  <w:abstractNum w:abstractNumId="41">
    <w:nsid w:val="2A6DE806"/>
    <w:multiLevelType w:val="hybridMultilevel"/>
    <w:lvl w:ilvl="0">
      <w:lvlJc w:val="left"/>
      <w:lvlText w:val="(%1)"/>
      <w:numFmt w:val="lowerLetter"/>
      <w:start w:val="14"/>
    </w:lvl>
  </w:abstractNum>
  <w:abstractNum w:abstractNumId="42">
    <w:nsid w:val="1816F8C4"/>
    <w:multiLevelType w:val="hybridMultilevel"/>
    <w:lvl w:ilvl="0">
      <w:lvlJc w:val="left"/>
      <w:lvlText w:val="(%1)"/>
      <w:numFmt w:val="lowerRoman"/>
      <w:start w:val="1"/>
    </w:lvl>
  </w:abstractNum>
  <w:abstractNum w:abstractNumId="43">
    <w:nsid w:val="37DF2233"/>
    <w:multiLevelType w:val="hybridMultilevel"/>
    <w:lvl w:ilvl="0">
      <w:lvlJc w:val="left"/>
      <w:lvlText w:val="(%1)"/>
      <w:numFmt w:val="lowerRoman"/>
      <w:start w:val="5"/>
    </w:lvl>
  </w:abstractNum>
  <w:abstractNum w:abstractNumId="44">
    <w:nsid w:val="7AB49DAF"/>
    <w:multiLevelType w:val="hybridMultilevel"/>
    <w:lvl w:ilvl="0">
      <w:lvlJc w:val="left"/>
      <w:lvlText w:val="(%1)"/>
      <w:numFmt w:val="lowerRoman"/>
      <w:start w:val="3"/>
    </w:lvl>
  </w:abstractNum>
  <w:abstractNum w:abstractNumId="45">
    <w:nsid w:val="759F82CD"/>
    <w:multiLevelType w:val="hybridMultilevel"/>
    <w:lvl w:ilvl="0">
      <w:lvlJc w:val="left"/>
      <w:lvlText w:val="%1"/>
      <w:numFmt w:val="lowerLetter"/>
      <w:start w:val="1"/>
    </w:lvl>
    <w:lvl w:ilvl="1">
      <w:lvlJc w:val="left"/>
      <w:lvlText w:val="(%2)"/>
      <w:numFmt w:val="lowerLetter"/>
      <w:start w:val="9"/>
    </w:lvl>
  </w:abstractNum>
  <w:abstractNum w:abstractNumId="46">
    <w:nsid w:val="61E74EA3"/>
    <w:multiLevelType w:val="hybridMultilevel"/>
    <w:lvl w:ilvl="0">
      <w:lvlJc w:val="left"/>
      <w:lvlText w:val="(%1)"/>
      <w:numFmt w:val="lowerLetter"/>
      <w:start w:val="1"/>
    </w:lvl>
    <w:lvl w:ilvl="1">
      <w:lvlJc w:val="left"/>
      <w:lvlText w:val="%2"/>
      <w:numFmt w:val="lowerLetter"/>
      <w:start w:val="1"/>
    </w:lvl>
  </w:abstractNum>
  <w:abstractNum w:abstractNumId="47">
    <w:nsid w:val="597B4D84"/>
    <w:multiLevelType w:val="hybridMultilevel"/>
    <w:lvl w:ilvl="0">
      <w:lvlJc w:val="left"/>
      <w:lvlText w:val="(%1)"/>
      <w:numFmt w:val="lowerLetter"/>
      <w:start w:val="3"/>
    </w:lvl>
  </w:abstractNum>
  <w:abstractNum w:abstractNumId="48">
    <w:nsid w:val="F819E7F"/>
    <w:multiLevelType w:val="hybridMultilevel"/>
    <w:lvl w:ilvl="0">
      <w:lvlJc w:val="left"/>
      <w:lvlText w:val="(%1)"/>
      <w:numFmt w:val="lowerLetter"/>
      <w:start w:val="12"/>
    </w:lvl>
  </w:abstractNum>
  <w:abstractNum w:abstractNumId="49">
    <w:nsid w:val="57C7D42D"/>
    <w:multiLevelType w:val="hybridMultilevel"/>
    <w:lvl w:ilvl="0">
      <w:lvlJc w:val="left"/>
      <w:lvlText w:val="%1"/>
      <w:numFmt w:val="lowerLetter"/>
      <w:start w:val="1"/>
    </w:lvl>
    <w:lvl w:ilvl="1">
      <w:lvlJc w:val="left"/>
      <w:lvlText w:val="(%2)"/>
      <w:numFmt w:val="lowerLetter"/>
      <w:start w:val="35"/>
    </w:lvl>
  </w:abstractNum>
  <w:abstractNum w:abstractNumId="50">
    <w:nsid w:val="312167AD"/>
    <w:multiLevelType w:val="hybridMultilevel"/>
    <w:lvl w:ilvl="0">
      <w:lvlJc w:val="left"/>
      <w:lvlText w:val="(%1)"/>
      <w:numFmt w:val="lowerLetter"/>
      <w:start w:val="1"/>
    </w:lvl>
    <w:lvl w:ilvl="1">
      <w:lvlJc w:val="left"/>
      <w:lvlText w:val="(%2)"/>
      <w:numFmt w:val="lowerLetter"/>
      <w:start w:val="61"/>
    </w:lvl>
  </w:abstractNum>
  <w:abstractNum w:abstractNumId="51">
    <w:nsid w:val="631B64D4"/>
    <w:multiLevelType w:val="hybridMultilevel"/>
    <w:lvl w:ilvl="0">
      <w:lvlJc w:val="left"/>
      <w:lvlText w:val="(%1)"/>
      <w:numFmt w:val="lowerLetter"/>
      <w:start w:val="1"/>
    </w:lvl>
  </w:abstractNum>
  <w:abstractNum w:abstractNumId="52">
    <w:nsid w:val="78B5E776"/>
    <w:multiLevelType w:val="hybridMultilevel"/>
    <w:lvl w:ilvl="0">
      <w:lvlJc w:val="left"/>
      <w:lvlText w:val="(%1)"/>
      <w:numFmt w:val="lowerRoman"/>
      <w:start w:val="1"/>
    </w:lvl>
  </w:abstractNum>
  <w:abstractNum w:abstractNumId="53">
    <w:nsid w:val="75486E47"/>
    <w:multiLevelType w:val="hybridMultilevel"/>
    <w:lvl w:ilvl="0">
      <w:lvlJc w:val="left"/>
      <w:lvlText w:val="(%1)"/>
      <w:numFmt w:val="lowerRoman"/>
      <w:start w:val="3"/>
    </w:lvl>
  </w:abstractNum>
  <w:abstractNum w:abstractNumId="54">
    <w:nsid w:val="6E534CDE"/>
    <w:multiLevelType w:val="hybridMultilevel"/>
    <w:lvl w:ilvl="0">
      <w:lvlJc w:val="left"/>
      <w:lvlText w:val="(%1)"/>
      <w:numFmt w:val="lowerRoman"/>
      <w:start w:val="1"/>
    </w:lvl>
  </w:abstractNum>
  <w:abstractNum w:abstractNumId="55">
    <w:nsid w:val="1A0DDE32"/>
    <w:multiLevelType w:val="hybridMultilevel"/>
    <w:lvl w:ilvl="0">
      <w:lvlJc w:val="left"/>
      <w:lvlText w:val="(%1)"/>
      <w:numFmt w:val="lowerRoman"/>
      <w:start w:val="2"/>
    </w:lvl>
  </w:abstractNum>
  <w:abstractNum w:abstractNumId="56">
    <w:nsid w:val="65968C1C"/>
    <w:multiLevelType w:val="hybridMultilevel"/>
    <w:lvl w:ilvl="0">
      <w:lvlJc w:val="left"/>
      <w:lvlText w:val="(%1)"/>
      <w:numFmt w:val="lowerRoman"/>
      <w:start w:val="1"/>
    </w:lvl>
  </w:abstractNum>
  <w:abstractNum w:abstractNumId="57">
    <w:nsid w:val="46263DEC"/>
    <w:multiLevelType w:val="hybridMultilevel"/>
    <w:lvl w:ilvl="0">
      <w:lvlJc w:val="left"/>
      <w:lvlText w:val="(%1)"/>
      <w:numFmt w:val="lowerRoman"/>
      <w:start w:val="7"/>
    </w:lvl>
  </w:abstractNum>
  <w:abstractNum w:abstractNumId="58">
    <w:nsid w:val="260D8C4A"/>
    <w:multiLevelType w:val="hybridMultilevel"/>
    <w:lvl w:ilvl="0">
      <w:lvlJc w:val="left"/>
      <w:lvlText w:val="(%1)"/>
      <w:numFmt w:val="lowerRoman"/>
      <w:start w:val="15"/>
    </w:lvl>
  </w:abstractNum>
  <w:abstractNum w:abstractNumId="59">
    <w:nsid w:val="73D4D3C4"/>
    <w:multiLevelType w:val="hybridMultilevel"/>
    <w:lvl w:ilvl="0">
      <w:lvlJc w:val="left"/>
      <w:lvlText w:val="(%1)"/>
      <w:numFmt w:val="lowerRoman"/>
      <w:start w:val="17"/>
    </w:lvl>
  </w:abstractNum>
  <w:abstractNum w:abstractNumId="60">
    <w:nsid w:val="746F2E30"/>
    <w:multiLevelType w:val="hybridMultilevel"/>
    <w:lvl w:ilvl="0">
      <w:lvlJc w:val="left"/>
      <w:lvlText w:val="(%1)"/>
      <w:numFmt w:val="lowerLetter"/>
      <w:start w:val="2"/>
    </w:lvl>
  </w:abstractNum>
  <w:abstractNum w:abstractNumId="61">
    <w:nsid w:val="6FDE8AF6"/>
    <w:multiLevelType w:val="hybridMultilevel"/>
    <w:lvl w:ilvl="0">
      <w:lvlJc w:val="left"/>
      <w:lvlText w:val="(%1)"/>
      <w:numFmt w:val="lowerRoman"/>
      <w:start w:val="1"/>
    </w:lvl>
  </w:abstractNum>
  <w:abstractNum w:abstractNumId="62">
    <w:nsid w:val="3FC32E20"/>
    <w:multiLevelType w:val="hybridMultilevel"/>
    <w:lvl w:ilvl="0">
      <w:lvlJc w:val="left"/>
      <w:lvlText w:val="(%1)"/>
      <w:numFmt w:val="lowerRoman"/>
      <w:start w:val="1"/>
    </w:lvl>
  </w:abstractNum>
  <w:abstractNum w:abstractNumId="63">
    <w:nsid w:val="49C0E823"/>
    <w:multiLevelType w:val="hybridMultilevel"/>
    <w:lvl w:ilvl="0">
      <w:lvlJc w:val="left"/>
      <w:lvlText w:val="(%1)"/>
      <w:numFmt w:val="lowerRoman"/>
      <w:start w:val="3"/>
    </w:lvl>
  </w:abstractNum>
  <w:abstractNum w:abstractNumId="64">
    <w:nsid w:val="14D53685"/>
    <w:multiLevelType w:val="hybridMultilevel"/>
    <w:lvl w:ilvl="0">
      <w:lvlJc w:val="left"/>
      <w:lvlText w:val="(%1)"/>
      <w:numFmt w:val="lowerRoman"/>
      <w:start w:val="1"/>
    </w:lvl>
  </w:abstractNum>
  <w:abstractNum w:abstractNumId="65">
    <w:nsid w:val="230F856C"/>
    <w:multiLevelType w:val="hybridMultilevel"/>
    <w:lvl w:ilvl="0">
      <w:lvlJc w:val="left"/>
      <w:lvlText w:val="(%1)"/>
      <w:numFmt w:val="lowerRoman"/>
      <w:start w:val="1"/>
    </w:lvl>
  </w:abstractNum>
  <w:abstractNum w:abstractNumId="66">
    <w:nsid w:val="6EAA85FB"/>
    <w:multiLevelType w:val="hybridMultilevel"/>
    <w:lvl w:ilvl="0">
      <w:lvlJc w:val="left"/>
      <w:lvlText w:val="(%1)"/>
      <w:numFmt w:val="lowerRoman"/>
      <w:start w:val="2"/>
    </w:lvl>
  </w:abstractNum>
  <w:abstractNum w:abstractNumId="67">
    <w:nsid w:val="3F06ECB2"/>
    <w:multiLevelType w:val="hybridMultilevel"/>
    <w:lvl w:ilvl="0">
      <w:lvlJc w:val="left"/>
      <w:lvlText w:val="(%1)"/>
      <w:numFmt w:val="lowerRoman"/>
      <w:start w:val="1"/>
    </w:lvl>
  </w:abstractNum>
  <w:abstractNum w:abstractNumId="68">
    <w:nsid w:val="3B594807"/>
    <w:multiLevelType w:val="hybridMultilevel"/>
    <w:lvl w:ilvl="0">
      <w:lvlJc w:val="left"/>
      <w:lvlText w:val=";"/>
      <w:numFmt w:val="bullet"/>
      <w:start w:val="1"/>
    </w:lvl>
  </w:abstractNum>
  <w:abstractNum w:abstractNumId="69">
    <w:nsid w:val="6CAA2304"/>
    <w:multiLevelType w:val="hybridMultilevel"/>
    <w:lvl w:ilvl="0">
      <w:lvlJc w:val="left"/>
      <w:lvlText w:val="(%1)"/>
      <w:numFmt w:val="lowerLetter"/>
      <w:start w:val="1"/>
    </w:lvl>
  </w:abstractNum>
  <w:abstractNum w:abstractNumId="70">
    <w:nsid w:val="3F7C2FF4"/>
    <w:multiLevelType w:val="hybridMultilevel"/>
    <w:lvl w:ilvl="0">
      <w:lvlJc w:val="left"/>
      <w:lvlText w:val="(%1)"/>
      <w:numFmt w:val="lowerRoman"/>
      <w:start w:val="1"/>
    </w:lvl>
  </w:abstractNum>
  <w:abstractNum w:abstractNumId="71">
    <w:nsid w:val="25413BEC"/>
    <w:multiLevelType w:val="hybridMultilevel"/>
    <w:lvl w:ilvl="0">
      <w:lvlJc w:val="left"/>
      <w:lvlText w:val="(%1)"/>
      <w:numFmt w:val="lowerRoman"/>
      <w:start w:val="4"/>
    </w:lvl>
  </w:abstractNum>
  <w:abstractNum w:abstractNumId="72">
    <w:nsid w:val="17180B0B"/>
    <w:multiLevelType w:val="hybridMultilevel"/>
    <w:lvl w:ilvl="0">
      <w:lvlJc w:val="left"/>
      <w:lvlText w:val="%1"/>
      <w:numFmt w:val="lowerRoman"/>
      <w:start w:val="1"/>
    </w:lvl>
    <w:lvl w:ilvl="1">
      <w:lvlJc w:val="left"/>
      <w:lvlText w:val="(%2)"/>
      <w:numFmt w:val="lowerRoman"/>
      <w:start w:val="11"/>
    </w:lvl>
  </w:abstractNum>
  <w:abstractNum w:abstractNumId="73">
    <w:nsid w:val="579328B9"/>
    <w:multiLevelType w:val="hybridMultilevel"/>
    <w:lvl w:ilvl="0">
      <w:lvlJc w:val="left"/>
      <w:lvlText w:val="(%1)"/>
      <w:numFmt w:val="lowerRoman"/>
      <w:start w:val="13"/>
    </w:lvl>
    <w:lvl w:ilvl="1">
      <w:lvlJc w:val="left"/>
      <w:lvlText w:val="(%2)"/>
      <w:numFmt w:val="lowerRoman"/>
      <w:start w:val="14"/>
    </w:lvl>
  </w:abstractNum>
  <w:abstractNum w:abstractNumId="74">
    <w:nsid w:val="5D205E20"/>
    <w:multiLevelType w:val="hybridMultilevel"/>
    <w:lvl w:ilvl="0">
      <w:lvlJc w:val="left"/>
      <w:lvlText w:val="%1"/>
      <w:numFmt w:val="lowerRoman"/>
      <w:start w:val="1"/>
    </w:lvl>
    <w:lvl w:ilvl="1">
      <w:lvlJc w:val="left"/>
      <w:lvlText w:val="(%2)"/>
      <w:numFmt w:val="lowerRoman"/>
      <w:start w:val="22"/>
    </w:lvl>
  </w:abstractNum>
  <w:abstractNum w:abstractNumId="75">
    <w:nsid w:val="11CCA8BA"/>
    <w:multiLevelType w:val="hybridMultilevel"/>
    <w:lvl w:ilvl="0">
      <w:lvlJc w:val="left"/>
      <w:lvlText w:val="(%1)"/>
      <w:numFmt w:val="lowerRoman"/>
      <w:start w:val="23"/>
    </w:lvl>
    <w:lvl w:ilvl="1">
      <w:lvlJc w:val="left"/>
      <w:lvlText w:val="%2"/>
      <w:numFmt w:val="lowerRoman"/>
      <w:start w:val="1"/>
    </w:lvl>
  </w:abstractNum>
  <w:abstractNum w:abstractNumId="76">
    <w:nsid w:val="4D32AB86"/>
    <w:multiLevelType w:val="hybridMultilevel"/>
    <w:lvl w:ilvl="0">
      <w:lvlJc w:val="left"/>
      <w:lvlText w:val="(%1)"/>
      <w:numFmt w:val="lowerRoman"/>
      <w:start w:val="1"/>
    </w:lvl>
  </w:abstractNum>
  <w:abstractNum w:abstractNumId="77">
    <w:nsid w:val="3F07ACC3"/>
    <w:multiLevelType w:val="hybridMultilevel"/>
    <w:lvl w:ilvl="0">
      <w:lvlJc w:val="left"/>
      <w:lvlText w:val="(%1)"/>
      <w:numFmt w:val="decimal"/>
      <w:start w:val="1"/>
    </w:lvl>
    <w:lvl w:ilvl="1">
      <w:lvlJc w:val="left"/>
      <w:lvlText w:val="(%2)"/>
      <w:numFmt w:val="lowerRoman"/>
      <w:start w:val="7"/>
    </w:lvl>
  </w:abstractNum>
  <w:abstractNum w:abstractNumId="78">
    <w:nsid w:val="6B47F63E"/>
    <w:multiLevelType w:val="hybridMultilevel"/>
    <w:lvl w:ilvl="0">
      <w:lvlJc w:val="left"/>
      <w:lvlText w:val="(%1)"/>
      <w:numFmt w:val="lowerRoman"/>
      <w:start w:val="10"/>
    </w:lvl>
  </w:abstractNum>
  <w:abstractNum w:abstractNumId="79">
    <w:nsid w:val="5CB44A05"/>
    <w:multiLevelType w:val="hybridMultilevel"/>
    <w:lvl w:ilvl="0">
      <w:lvlJc w:val="left"/>
      <w:lvlText w:val="(%1)"/>
      <w:numFmt w:val="lowerRoman"/>
      <w:start w:val="22"/>
    </w:lvl>
  </w:abstractNum>
  <w:abstractNum w:abstractNumId="80">
    <w:nsid w:val="16CF80F1"/>
    <w:multiLevelType w:val="hybridMultilevel"/>
    <w:lvl w:ilvl="0">
      <w:lvlJc w:val="left"/>
      <w:lvlText w:val="%1"/>
      <w:numFmt w:val="lowerLetter"/>
      <w:start w:val="1"/>
    </w:lvl>
    <w:lvl w:ilvl="1">
      <w:lvlJc w:val="left"/>
      <w:lvlText w:val="(%2)"/>
      <w:numFmt w:val="lowerRoman"/>
      <w:start w:val="33"/>
    </w:lvl>
  </w:abstractNum>
  <w:abstractNum w:abstractNumId="81">
    <w:nsid w:val="1C695DEC"/>
    <w:multiLevelType w:val="hybridMultilevel"/>
    <w:lvl w:ilvl="0">
      <w:lvlJc w:val="left"/>
      <w:lvlText w:val="(%1)"/>
      <w:numFmt w:val="lowerLetter"/>
      <w:start w:val="1"/>
    </w:lvl>
    <w:lvl w:ilvl="1">
      <w:lvlJc w:val="left"/>
      <w:lvlText w:val="(%2)"/>
      <w:numFmt w:val="lowerRoman"/>
      <w:start w:val="37"/>
    </w:lvl>
  </w:abstractNum>
  <w:abstractNum w:abstractNumId="82">
    <w:nsid w:val="3FCFAED9"/>
    <w:multiLevelType w:val="hybridMultilevel"/>
    <w:lvl w:ilvl="0">
      <w:lvlJc w:val="left"/>
      <w:lvlText w:val="(%1)"/>
      <w:numFmt w:val="lowerLetter"/>
      <w:start w:val="1"/>
    </w:lvl>
  </w:abstractNum>
  <w:abstractNum w:abstractNumId="83">
    <w:nsid w:val="F856867"/>
    <w:multiLevelType w:val="hybridMultilevel"/>
    <w:lvl w:ilvl="0">
      <w:lvlJc w:val="left"/>
      <w:lvlText w:val="(%1)"/>
      <w:numFmt w:val="lowerLetter"/>
      <w:start w:val="1"/>
    </w:lvl>
  </w:abstractNum>
  <w:abstractNum w:abstractNumId="84">
    <w:nsid w:val="11B1CC33"/>
    <w:multiLevelType w:val="hybridMultilevel"/>
    <w:lvl w:ilvl="0">
      <w:lvlJc w:val="left"/>
      <w:lvlText w:val="(%1)"/>
      <w:numFmt w:val="lowerLetter"/>
      <w:start w:val="1"/>
    </w:lvl>
  </w:abstractNum>
  <w:abstractNum w:abstractNumId="85">
    <w:nsid w:val="2E22FBB7"/>
    <w:multiLevelType w:val="hybridMultilevel"/>
    <w:lvl w:ilvl="0">
      <w:lvlJc w:val="left"/>
      <w:lvlText w:val="(%1)"/>
      <w:numFmt w:val="lowerLetter"/>
      <w:start w:val="7"/>
    </w:lvl>
  </w:abstractNum>
  <w:abstractNum w:abstractNumId="86">
    <w:nsid w:val="29934699"/>
    <w:multiLevelType w:val="hybridMultilevel"/>
    <w:lvl w:ilvl="0">
      <w:lvlJc w:val="left"/>
      <w:lvlText w:val="(%1)"/>
      <w:numFmt w:val="lowerLetter"/>
      <w:start w:val="1"/>
    </w:lvl>
  </w:abstractNum>
  <w:abstractNum w:abstractNumId="87">
    <w:nsid w:val="77485850"/>
    <w:multiLevelType w:val="hybridMultilevel"/>
    <w:lvl w:ilvl="0">
      <w:lvlJc w:val="left"/>
      <w:lvlText w:val="(%1)"/>
      <w:numFmt w:val="lowerLetter"/>
      <w:start w:val="1"/>
    </w:lvl>
  </w:abstractNum>
  <w:abstractNum w:abstractNumId="88">
    <w:nsid w:val="744939A3"/>
    <w:multiLevelType w:val="hybridMultilevel"/>
    <w:lvl w:ilvl="0">
      <w:lvlJc w:val="left"/>
      <w:lvlText w:val="(%1)"/>
      <w:numFmt w:val="lowerLetter"/>
      <w:start w:val="2"/>
    </w:lvl>
  </w:abstractNum>
  <w:abstractNum w:abstractNumId="89">
    <w:nsid w:val="4FA0D2E3"/>
    <w:multiLevelType w:val="hybridMultilevel"/>
    <w:lvl w:ilvl="0">
      <w:lvlJc w:val="left"/>
      <w:lvlText w:val="(%1)"/>
      <w:numFmt w:val="lowerRoman"/>
      <w:start w:val="1"/>
    </w:lvl>
  </w:abstractNum>
  <w:abstractNum w:abstractNumId="90">
    <w:nsid w:val="6B1D2C14"/>
    <w:multiLevelType w:val="hybridMultilevel"/>
    <w:lvl w:ilvl="0">
      <w:lvlJc w:val="left"/>
      <w:lvlText w:val="(%1)"/>
      <w:numFmt w:val="lowerLetter"/>
      <w:start w:val="3"/>
    </w:lvl>
  </w:abstractNum>
  <w:abstractNum w:abstractNumId="91">
    <w:nsid w:val="68B867D3"/>
    <w:multiLevelType w:val="hybridMultilevel"/>
    <w:lvl w:ilvl="0">
      <w:lvlJc w:val="left"/>
      <w:lvlText w:val="(%1)"/>
      <w:numFmt w:val="lowerLetter"/>
      <w:start w:val="1"/>
    </w:lvl>
  </w:abstractNum>
  <w:abstractNum w:abstractNumId="92">
    <w:nsid w:val="3F7F5DD9"/>
    <w:multiLevelType w:val="hybridMultilevel"/>
    <w:lvl w:ilvl="0">
      <w:lvlJc w:val="left"/>
      <w:lvlText w:val="(%1)"/>
      <w:numFmt w:val="lowerLetter"/>
      <w:start w:val="5"/>
    </w:lvl>
  </w:abstractNum>
  <w:abstractNum w:abstractNumId="93">
    <w:nsid w:val="2AE05A34"/>
    <w:multiLevelType w:val="hybridMultilevel"/>
    <w:lvl w:ilvl="0">
      <w:lvlJc w:val="left"/>
      <w:lvlText w:val="(%1)"/>
      <w:numFmt w:val="lowerLetter"/>
      <w:start w:val="1"/>
    </w:lvl>
  </w:abstractNum>
  <w:abstractNum w:abstractNumId="94">
    <w:nsid w:val="32794FF7"/>
    <w:multiLevelType w:val="hybridMultilevel"/>
    <w:lvl w:ilvl="0">
      <w:lvlJc w:val="left"/>
      <w:lvlText w:val="(%1)"/>
      <w:numFmt w:val="lowerLetter"/>
      <w:start w:val="2"/>
    </w:lvl>
  </w:abstractNum>
  <w:abstractNum w:abstractNumId="95">
    <w:nsid w:val="5454945E"/>
    <w:multiLevelType w:val="hybridMultilevel"/>
    <w:lvl w:ilvl="0">
      <w:lvlJc w:val="left"/>
      <w:lvlText w:val="(%1)"/>
      <w:numFmt w:val="lowerLetter"/>
      <w:start w:val="1"/>
    </w:lvl>
  </w:abstractNum>
  <w:abstractNum w:abstractNumId="96">
    <w:nsid w:val="4DEFDFA0"/>
    <w:multiLevelType w:val="hybridMultilevel"/>
    <w:lvl w:ilvl="0">
      <w:lvlJc w:val="left"/>
      <w:lvlText w:val="(%1)"/>
      <w:numFmt w:val="lowerLetter"/>
      <w:start w:val="3"/>
    </w:lvl>
  </w:abstractNum>
  <w:abstractNum w:abstractNumId="97">
    <w:nsid w:val="2123D5F2"/>
    <w:multiLevelType w:val="hybridMultilevel"/>
    <w:lvl w:ilvl="0">
      <w:lvlJc w:val="left"/>
      <w:lvlText w:val="(%1)"/>
      <w:numFmt w:val="lowerLetter"/>
      <w:start w:val="1"/>
    </w:lvl>
  </w:abstractNum>
  <w:abstractNum w:abstractNumId="98">
    <w:nsid w:val="135B8110"/>
    <w:multiLevelType w:val="hybridMultilevel"/>
    <w:lvl w:ilvl="0">
      <w:lvlJc w:val="left"/>
      <w:lvlText w:val="(%1)"/>
      <w:numFmt w:val="lowerLetter"/>
      <w:start w:val="3"/>
    </w:lvl>
  </w:abstractNum>
  <w:abstractNum w:abstractNumId="99">
    <w:nsid w:val="94927A8"/>
    <w:multiLevelType w:val="hybridMultilevel"/>
    <w:lvl w:ilvl="0">
      <w:lvlJc w:val="left"/>
      <w:lvlText w:val="(%1)"/>
      <w:numFmt w:val="lowerLetter"/>
      <w:start w:val="4"/>
    </w:lvl>
  </w:abstractNum>
  <w:abstractNum w:abstractNumId="100">
    <w:nsid w:val="DCDF8F6"/>
    <w:multiLevelType w:val="hybridMultilevel"/>
    <w:lvl w:ilvl="0">
      <w:lvlJc w:val="left"/>
      <w:lvlText w:val="(%1)"/>
      <w:numFmt w:val="lowerLetter"/>
      <w:start w:val="1"/>
    </w:lvl>
  </w:abstractNum>
  <w:abstractNum w:abstractNumId="101">
    <w:nsid w:val="52D7B105"/>
    <w:multiLevelType w:val="hybridMultilevel"/>
    <w:lvl w:ilvl="0">
      <w:lvlJc w:val="left"/>
      <w:lvlText w:val="(%1)"/>
      <w:numFmt w:val="lowerLetter"/>
      <w:start w:val="2"/>
    </w:lvl>
  </w:abstractNum>
  <w:abstractNum w:abstractNumId="102">
    <w:nsid w:val="2E8A6394"/>
    <w:multiLevelType w:val="hybridMultilevel"/>
    <w:lvl w:ilvl="0">
      <w:lvlJc w:val="left"/>
      <w:lvlText w:val="(%1)"/>
      <w:numFmt w:val="lowerLetter"/>
      <w:start w:val="1"/>
    </w:lvl>
  </w:abstractNum>
  <w:abstractNum w:abstractNumId="103">
    <w:nsid w:val="24E60401"/>
    <w:multiLevelType w:val="hybridMultilevel"/>
    <w:lvl w:ilvl="0">
      <w:lvlJc w:val="left"/>
      <w:lvlText w:val="(%1)"/>
      <w:numFmt w:val="lowerLetter"/>
      <w:start w:val="5"/>
    </w:lvl>
  </w:abstractNum>
  <w:abstractNum w:abstractNumId="104">
    <w:nsid w:val="2A6AD9BE"/>
    <w:multiLevelType w:val="hybridMultilevel"/>
    <w:lvl w:ilvl="0">
      <w:lvlJc w:val="left"/>
      <w:lvlText w:val="(%1)"/>
      <w:numFmt w:val="lowerLetter"/>
      <w:start w:val="1"/>
    </w:lvl>
  </w:abstractNum>
  <w:abstractNum w:abstractNumId="105">
    <w:nsid w:val="BAAC1B4"/>
    <w:multiLevelType w:val="hybridMultilevel"/>
    <w:lvl w:ilvl="0">
      <w:lvlJc w:val="left"/>
      <w:lvlText w:val="(%1)"/>
      <w:numFmt w:val="lowerLetter"/>
      <w:start w:val="1"/>
    </w:lvl>
    <w:lvl w:ilvl="1">
      <w:lvlJc w:val="left"/>
      <w:lvlText w:val="(%2)"/>
      <w:numFmt w:val="lowerRoman"/>
      <w:start w:val="1"/>
    </w:lvl>
  </w:abstractNum>
  <w:abstractNum w:abstractNumId="106">
    <w:nsid w:val="36B2ACBC"/>
    <w:multiLevelType w:val="hybridMultilevel"/>
    <w:lvl w:ilvl="0">
      <w:lvlJc w:val="left"/>
      <w:lvlText w:val="(%1)"/>
      <w:numFmt w:val="lowerRoman"/>
      <w:start w:val="3"/>
    </w:lvl>
  </w:abstractNum>
  <w:abstractNum w:abstractNumId="107">
    <w:nsid w:val="779D8544"/>
    <w:multiLevelType w:val="hybridMultilevel"/>
    <w:lvl w:ilvl="0">
      <w:lvlJc w:val="left"/>
      <w:lvlText w:val="(%1)"/>
      <w:numFmt w:val="lowerLetter"/>
      <w:start w:val="35"/>
    </w:lvl>
    <w:lvl w:ilvl="1">
      <w:lvlJc w:val="left"/>
      <w:lvlText w:val="(%2)"/>
      <w:numFmt w:val="lowerLetter"/>
      <w:start w:val="2"/>
    </w:lvl>
  </w:abstractNum>
  <w:abstractNum w:abstractNumId="108">
    <w:nsid w:val="4AB26E78"/>
    <w:multiLevelType w:val="hybridMultilevel"/>
    <w:lvl w:ilvl="0">
      <w:lvlJc w:val="left"/>
      <w:lvlText w:val="(%1)"/>
      <w:numFmt w:val="lowerLetter"/>
      <w:start w:val="4"/>
    </w:lvl>
    <w:lvl w:ilvl="1">
      <w:lvlJc w:val="left"/>
      <w:lvlText w:val="(%2)"/>
      <w:numFmt w:val="lowerRoman"/>
      <w:start w:val="1"/>
    </w:lvl>
  </w:abstractNum>
  <w:abstractNum w:abstractNumId="109">
    <w:nsid w:val="21FAA2FA"/>
    <w:multiLevelType w:val="hybridMultilevel"/>
    <w:lvl w:ilvl="0">
      <w:lvlJc w:val="left"/>
      <w:lvlText w:val="(%1)"/>
      <w:numFmt w:val="lowerLetter"/>
      <w:start w:val="1"/>
    </w:lvl>
  </w:abstractNum>
  <w:abstractNum w:abstractNumId="110">
    <w:nsid w:val="5451CF49"/>
    <w:multiLevelType w:val="hybridMultilevel"/>
    <w:lvl w:ilvl="0">
      <w:lvlJc w:val="left"/>
      <w:lvlText w:val="(%1)"/>
      <w:numFmt w:val="lowerLetter"/>
      <w:start w:val="2"/>
    </w:lvl>
  </w:abstractNum>
  <w:abstractNum w:abstractNumId="111">
    <w:nsid w:val="6181EF69"/>
    <w:multiLevelType w:val="hybridMultilevel"/>
    <w:lvl w:ilvl="0">
      <w:lvlJc w:val="left"/>
      <w:lvlText w:val="%1"/>
      <w:numFmt w:val="upperLetter"/>
      <w:start w:val="1"/>
    </w:lvl>
    <w:lvl w:ilvl="1">
      <w:lvlJc w:val="left"/>
      <w:lvlText w:val="(%2)"/>
      <w:numFmt w:val="lowerRoman"/>
      <w:start w:val="2"/>
    </w:lvl>
  </w:abstractNum>
  <w:abstractNum w:abstractNumId="112">
    <w:nsid w:val="3E6400E6"/>
    <w:multiLevelType w:val="hybridMultilevel"/>
    <w:lvl w:ilvl="0">
      <w:lvlJc w:val="left"/>
      <w:lvlText w:val="(%1)"/>
      <w:numFmt w:val="upperLetter"/>
      <w:start w:val="1"/>
    </w:lvl>
    <w:lvl w:ilvl="1">
      <w:lvlJc w:val="left"/>
      <w:lvlText w:val="%2"/>
      <w:numFmt w:val="lowerRoman"/>
      <w:start w:val="1"/>
    </w:lvl>
  </w:abstractNum>
  <w:abstractNum w:abstractNumId="113">
    <w:nsid w:val="14217E23"/>
    <w:multiLevelType w:val="hybridMultilevel"/>
    <w:lvl w:ilvl="0">
      <w:lvlJc w:val="left"/>
      <w:lvlText w:val="(%1)"/>
      <w:numFmt w:val="lowerRoman"/>
      <w:start w:val="3"/>
    </w:lvl>
  </w:abstractNum>
  <w:abstractNum w:abstractNumId="114">
    <w:nsid w:val="710757D0"/>
    <w:multiLevelType w:val="hybridMultilevel"/>
    <w:lvl w:ilvl="0">
      <w:lvlJc w:val="left"/>
      <w:lvlText w:val="(%1)"/>
      <w:numFmt w:val="lowerRoman"/>
      <w:start w:val="5"/>
    </w:lvl>
  </w:abstractNum>
  <w:abstractNum w:abstractNumId="115">
    <w:nsid w:val="5015CD1A"/>
    <w:multiLevelType w:val="hybridMultilevel"/>
    <w:lvl w:ilvl="0">
      <w:lvlJc w:val="left"/>
      <w:lvlText w:val="(%1)"/>
      <w:numFmt w:val="lowerLetter"/>
      <w:start w:val="1"/>
    </w:lvl>
    <w:lvl w:ilvl="1">
      <w:lvlJc w:val="left"/>
      <w:lvlText w:val="(%2)"/>
      <w:numFmt w:val="lowerRoman"/>
      <w:start w:val="1"/>
    </w:lvl>
  </w:abstractNum>
  <w:abstractNum w:abstractNumId="116">
    <w:nsid w:val="424479DA"/>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61"/>
    </w:lvl>
  </w:abstractNum>
  <w:abstractNum w:abstractNumId="117">
    <w:nsid w:val="1A9A9E69"/>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abstractNum>
  <w:abstractNum w:abstractNumId="118">
    <w:nsid w:val="475E256A"/>
    <w:multiLevelType w:val="hybridMultilevel"/>
    <w:lvl w:ilvl="0">
      <w:lvlJc w:val="left"/>
      <w:lvlText w:val="(%1)"/>
      <w:numFmt w:val="lowerLetter"/>
      <w:start w:val="25"/>
    </w:lvl>
    <w:lvl w:ilvl="1">
      <w:lvlJc w:val="left"/>
      <w:lvlText w:val="%2"/>
      <w:numFmt w:val="upperLetter"/>
      <w:start w:val="1"/>
    </w:lvl>
    <w:lvl w:ilvl="2">
      <w:lvlJc w:val="left"/>
      <w:lvlText w:val="%3"/>
      <w:numFmt w:val="lowerLetter"/>
      <w:start w:val="1"/>
    </w:lvl>
  </w:abstractNum>
  <w:abstractNum w:abstractNumId="119">
    <w:nsid w:val="368DB37E"/>
    <w:multiLevelType w:val="hybridMultilevel"/>
    <w:lvl w:ilvl="0">
      <w:lvlJc w:val="left"/>
      <w:lvlText w:val="(%1)"/>
      <w:numFmt w:val="lowerRoman"/>
      <w:start w:val="4"/>
    </w:lvl>
  </w:abstractNum>
  <w:abstractNum w:abstractNumId="120">
    <w:nsid w:val="6A3B714C"/>
    <w:multiLevelType w:val="hybridMultilevel"/>
    <w:lvl w:ilvl="0">
      <w:lvlJc w:val="left"/>
      <w:lvlText w:val="%1"/>
      <w:numFmt w:val="lowerLetter"/>
      <w:start w:val="1"/>
    </w:lvl>
    <w:lvl w:ilvl="1">
      <w:lvlJc w:val="left"/>
      <w:lvlText w:val="(%2)"/>
      <w:numFmt w:val="lowerLetter"/>
      <w:start w:val="22"/>
    </w:lvl>
  </w:abstractNum>
  <w:abstractNum w:abstractNumId="121">
    <w:nsid w:val="327B517E"/>
    <w:multiLevelType w:val="hybridMultilevel"/>
    <w:lvl w:ilvl="0">
      <w:lvlJc w:val="left"/>
      <w:lvlText w:val="(%1)"/>
      <w:numFmt w:val="lowerLetter"/>
      <w:start w:val="2"/>
    </w:lvl>
    <w:lvl w:ilvl="1">
      <w:lvlJc w:val="left"/>
      <w:lvlText w:val="%2"/>
      <w:numFmt w:val="lowerLetter"/>
      <w:start w:val="1"/>
    </w:lvl>
  </w:abstractNum>
  <w:abstractNum w:abstractNumId="122">
    <w:nsid w:val="1F461B51"/>
    <w:multiLevelType w:val="hybridMultilevel"/>
    <w:lvl w:ilvl="0">
      <w:lvlJc w:val="left"/>
      <w:lvlText w:val="%1"/>
      <w:numFmt w:val="lowerLetter"/>
      <w:start w:val="1"/>
    </w:lvl>
    <w:lvl w:ilvl="1">
      <w:lvlJc w:val="left"/>
      <w:lvlText w:val="(%2)"/>
      <w:numFmt w:val="lowerLetter"/>
      <w:start w:val="1"/>
    </w:lvl>
  </w:abstractNum>
  <w:abstractNum w:abstractNumId="123">
    <w:nsid w:val="29BACF25"/>
    <w:multiLevelType w:val="hybridMultilevel"/>
    <w:lvl w:ilvl="0">
      <w:lvlJc w:val="left"/>
      <w:lvlText w:val="(%1)"/>
      <w:numFmt w:val="lowerLetter"/>
      <w:start w:val="25"/>
    </w:lvl>
    <w:lvl w:ilvl="1">
      <w:lvlJc w:val="left"/>
      <w:lvlText w:val="(%2)"/>
      <w:numFmt w:val="lowerLetter"/>
      <w:start w:val="3"/>
    </w:lvl>
  </w:abstractNum>
  <w:abstractNum w:abstractNumId="124">
    <w:nsid w:val="5D5BABB3"/>
    <w:multiLevelType w:val="hybridMultilevel"/>
    <w:lvl w:ilvl="0">
      <w:lvlJc w:val="left"/>
      <w:lvlText w:val="(%1)"/>
      <w:numFmt w:val="lowerLetter"/>
      <w:start w:val="4"/>
    </w:lvl>
    <w:lvl w:ilvl="1">
      <w:lvlJc w:val="left"/>
      <w:lvlText w:val="(%2)"/>
      <w:numFmt w:val="lowerRoman"/>
      <w:start w:val="1"/>
    </w:lvl>
  </w:abstractNum>
  <w:abstractNum w:abstractNumId="125">
    <w:nsid w:val="51BF6B48"/>
    <w:multiLevelType w:val="hybridMultilevel"/>
    <w:lvl w:ilvl="0">
      <w:lvlJc w:val="left"/>
      <w:lvlText w:val="(%1)"/>
      <w:numFmt w:val="lowerLetter"/>
      <w:start w:val="1"/>
    </w:lvl>
  </w:abstractNum>
  <w:abstractNum w:abstractNumId="126">
    <w:nsid w:val="7E0F6384"/>
    <w:multiLevelType w:val="hybridMultilevel"/>
    <w:lvl w:ilvl="0">
      <w:lvlJc w:val="left"/>
      <w:lvlText w:val="(%1)"/>
      <w:numFmt w:val="lowerLetter"/>
      <w:start w:val="5"/>
    </w:lvl>
  </w:abstractNum>
  <w:abstractNum w:abstractNumId="127">
    <w:nsid w:val="2B4B8B53"/>
    <w:multiLevelType w:val="hybridMultilevel"/>
    <w:lvl w:ilvl="0">
      <w:lvlJc w:val="left"/>
      <w:lvlText w:val="(%1)"/>
      <w:numFmt w:val="lowerLetter"/>
      <w:start w:val="1"/>
    </w:lvl>
  </w:abstractNum>
  <w:abstractNum w:abstractNumId="128">
    <w:nsid w:val="72E3413A"/>
    <w:multiLevelType w:val="hybridMultilevel"/>
    <w:lvl w:ilvl="0">
      <w:lvlJc w:val="left"/>
      <w:lvlText w:val="(%1)"/>
      <w:numFmt w:val="lowerLetter"/>
      <w:start w:val="5"/>
    </w:lvl>
  </w:abstractNum>
  <w:abstractNum w:abstractNumId="129">
    <w:nsid w:val="116AE494"/>
    <w:multiLevelType w:val="hybridMultilevel"/>
    <w:lvl w:ilvl="0">
      <w:lvlJc w:val="left"/>
      <w:lvlText w:val="(%1)"/>
      <w:numFmt w:val="lowerLetter"/>
      <w:start w:val="1"/>
    </w:lvl>
  </w:abstractNum>
  <w:abstractNum w:abstractNumId="130">
    <w:nsid w:val="3494B2FB"/>
    <w:multiLevelType w:val="hybridMultilevel"/>
    <w:lvl w:ilvl="0">
      <w:lvlJc w:val="left"/>
      <w:lvlText w:val="(%1)"/>
      <w:numFmt w:val="lowerLetter"/>
      <w:start w:val="2"/>
    </w:lvl>
    <w:lvl w:ilvl="1">
      <w:lvlJc w:val="left"/>
      <w:lvlText w:val="(%2)"/>
      <w:numFmt w:val="lowerRoman"/>
      <w:start w:val="1"/>
    </w:lvl>
  </w:abstractNum>
  <w:abstractNum w:abstractNumId="131">
    <w:nsid w:val="B13A31"/>
    <w:multiLevelType w:val="hybridMultilevel"/>
    <w:lvl w:ilvl="0">
      <w:lvlJc w:val="left"/>
      <w:lvlText w:val="(%1)"/>
      <w:numFmt w:val="lowerLetter"/>
      <w:start w:val="1"/>
    </w:lvl>
  </w:abstractNum>
  <w:abstractNum w:abstractNumId="132">
    <w:nsid w:val="64429599"/>
    <w:multiLevelType w:val="hybridMultilevel"/>
    <w:lvl w:ilvl="0">
      <w:lvlJc w:val="left"/>
      <w:lvlText w:val="(%1)"/>
      <w:numFmt w:val="lowerLetter"/>
      <w:start w:val="2"/>
    </w:lvl>
  </w:abstractNum>
  <w:abstractNum w:abstractNumId="133">
    <w:nsid w:val="631F1690"/>
    <w:multiLevelType w:val="hybridMultilevel"/>
    <w:lvl w:ilvl="0">
      <w:lvlJc w:val="left"/>
      <w:lvlText w:val="(%1)"/>
      <w:numFmt w:val="lowerLetter"/>
      <w:start w:val="1"/>
    </w:lvl>
  </w:abstractNum>
  <w:abstractNum w:abstractNumId="134">
    <w:nsid w:val="25973E32"/>
    <w:multiLevelType w:val="hybridMultilevel"/>
    <w:lvl w:ilvl="0">
      <w:lvlJc w:val="left"/>
      <w:lvlText w:val="(%1)"/>
      <w:numFmt w:val="lowerLetter"/>
      <w:start w:val="1"/>
    </w:lvl>
  </w:abstractNum>
  <w:abstractNum w:abstractNumId="135">
    <w:nsid w:val="EAD6F57"/>
    <w:multiLevelType w:val="hybridMultilevel"/>
    <w:lvl w:ilvl="0">
      <w:lvlJc w:val="left"/>
      <w:lvlText w:val="(%1)"/>
      <w:numFmt w:val="lowerLetter"/>
      <w:start w:val="5"/>
    </w:lvl>
  </w:abstractNum>
  <w:abstractNum w:abstractNumId="136">
    <w:nsid w:val="6EC9D844"/>
    <w:multiLevelType w:val="hybridMultilevel"/>
    <w:lvl w:ilvl="0">
      <w:lvlJc w:val="left"/>
      <w:lvlText w:val="(%1)"/>
      <w:numFmt w:val="lowerLetter"/>
      <w:start w:val="1"/>
    </w:lvl>
  </w:abstractNum>
  <w:abstractNum w:abstractNumId="137">
    <w:nsid w:val="5C49EAEE"/>
    <w:multiLevelType w:val="hybridMultilevel"/>
    <w:lvl w:ilvl="0">
      <w:lvlJc w:val="left"/>
      <w:lvlText w:val="(%1)"/>
      <w:numFmt w:val="lowerLetter"/>
      <w:start w:val="4"/>
    </w:lvl>
  </w:abstractNum>
  <w:abstractNum w:abstractNumId="138">
    <w:nsid w:val="64AF49B"/>
    <w:multiLevelType w:val="hybridMultilevel"/>
    <w:lvl w:ilvl="0">
      <w:lvlJc w:val="left"/>
      <w:lvlText w:val="(%1)"/>
      <w:numFmt w:val="lowerLetter"/>
      <w:start w:val="1"/>
    </w:lvl>
    <w:lvl w:ilvl="1">
      <w:lvlJc w:val="left"/>
      <w:lvlText w:val="(%2)"/>
      <w:numFmt w:val="lowerLetter"/>
      <w:start w:val="9"/>
    </w:lvl>
  </w:abstractNum>
  <w:abstractNum w:abstractNumId="139">
    <w:nsid w:val="397C46BC"/>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2"/>
    </w:lvl>
  </w:abstractNum>
  <w:abstractNum w:abstractNumId="140">
    <w:nsid w:val="7E448DE9"/>
    <w:multiLevelType w:val="hybridMultilevel"/>
    <w:lvl w:ilvl="0">
      <w:lvlJc w:val="left"/>
      <w:lvlText w:val="(%1)"/>
      <w:numFmt w:val="lowerLetter"/>
      <w:start w:val="4"/>
    </w:lvl>
  </w:abstractNum>
  <w:abstractNum w:abstractNumId="141">
    <w:nsid w:val="5A9CC3E5"/>
    <w:multiLevelType w:val="hybridMultilevel"/>
    <w:lvl w:ilvl="0">
      <w:lvlJc w:val="left"/>
      <w:lvlText w:val="(%1)"/>
      <w:numFmt w:val="lowerLetter"/>
      <w:start w:val="1"/>
    </w:lvl>
  </w:abstractNum>
  <w:abstractNum w:abstractNumId="142">
    <w:nsid w:val="1AFE3625"/>
    <w:multiLevelType w:val="hybridMultilevel"/>
    <w:lvl w:ilvl="0">
      <w:lvlJc w:val="left"/>
      <w:lvlText w:val="(%1)"/>
      <w:numFmt w:val="lowerLetter"/>
      <w:start w:val="2"/>
    </w:lvl>
  </w:abstractNum>
  <w:abstractNum w:abstractNumId="143">
    <w:nsid w:val="3CA88ECF"/>
    <w:multiLevelType w:val="hybridMultilevel"/>
    <w:lvl w:ilvl="0">
      <w:lvlJc w:val="left"/>
      <w:lvlText w:val="(%1)"/>
      <w:numFmt w:val="lowerLetter"/>
      <w:start w:val="1"/>
    </w:lvl>
    <w:lvl w:ilvl="1">
      <w:lvlJc w:val="left"/>
      <w:lvlText w:val="(%2)"/>
      <w:numFmt w:val="lowerRoman"/>
      <w:start w:val="1"/>
    </w:lvl>
  </w:abstractNum>
  <w:abstractNum w:abstractNumId="144">
    <w:nsid w:val="6EBE4208"/>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45">
    <w:nsid w:val="C058DF5"/>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decimal"/>
      <w:start w:val="4"/>
    </w:lvl>
  </w:abstractNum>
  <w:abstractNum w:abstractNumId="146">
    <w:nsid w:val="CBE5BE9"/>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lvl w:ilvl="3">
      <w:lvlJc w:val="left"/>
      <w:lvlText w:val="%4"/>
      <w:numFmt w:val="decimal"/>
      <w:start w:val="1"/>
    </w:lvl>
  </w:abstractNum>
  <w:abstractNum w:abstractNumId="147">
    <w:nsid w:val="3102BBE2"/>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lvl w:ilvl="3">
      <w:lvlJc w:val="left"/>
      <w:lvlText w:val="%4"/>
      <w:numFmt w:val="decimal"/>
      <w:start w:val="1"/>
    </w:lvl>
  </w:abstractNum>
  <w:abstractNum w:abstractNumId="148">
    <w:nsid w:val="26A02C5E"/>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lvl w:ilvl="3">
      <w:lvlJc w:val="left"/>
      <w:lvlText w:val="%4"/>
      <w:numFmt w:val="decimal"/>
      <w:start w:val="1"/>
    </w:lvl>
  </w:abstractNum>
  <w:abstractNum w:abstractNumId="149">
    <w:nsid w:val="541C8153"/>
    <w:multiLevelType w:val="hybridMultilevel"/>
    <w:lvl w:ilvl="0">
      <w:lvlJc w:val="left"/>
      <w:lvlText w:val="(%1)"/>
      <w:numFmt w:val="lowerLetter"/>
      <w:start w:val="6"/>
    </w:lvl>
    <w:lvl w:ilvl="1">
      <w:lvlJc w:val="left"/>
      <w:lvlText w:val="(%2)"/>
      <w:numFmt w:val="lowerLetter"/>
      <w:start w:val="7"/>
    </w:lvl>
  </w:abstractNum>
  <w:abstractNum w:abstractNumId="150">
    <w:nsid w:val="67906F60"/>
    <w:multiLevelType w:val="hybridMultilevel"/>
    <w:lvl w:ilvl="0">
      <w:lvlJc w:val="left"/>
      <w:lvlText w:val="(%1)"/>
      <w:numFmt w:val="lowerLetter"/>
      <w:start w:val="1"/>
    </w:lvl>
  </w:abstractNum>
  <w:abstractNum w:abstractNumId="151">
    <w:nsid w:val="10DB9DAA"/>
    <w:multiLevelType w:val="hybridMultilevel"/>
    <w:lvl w:ilvl="0">
      <w:lvlJc w:val="left"/>
      <w:lvlText w:val="(%1)"/>
      <w:numFmt w:val="lowerLetter"/>
      <w:start w:val="1"/>
    </w:lvl>
  </w:abstractNum>
  <w:abstractNum w:abstractNumId="152">
    <w:nsid w:val="697D2D2"/>
    <w:multiLevelType w:val="hybridMultilevel"/>
    <w:lvl w:ilvl="0">
      <w:lvlJc w:val="left"/>
      <w:lvlText w:val="(%1)"/>
      <w:numFmt w:val="lowerLetter"/>
      <w:start w:val="1"/>
    </w:lvl>
  </w:abstractNum>
  <w:abstractNum w:abstractNumId="153">
    <w:nsid w:val="6D68AB2"/>
    <w:multiLevelType w:val="hybridMultilevel"/>
    <w:lvl w:ilvl="0">
      <w:lvlJc w:val="left"/>
      <w:lvlText w:val="(%1)"/>
      <w:numFmt w:val="lowerLetter"/>
      <w:start w:val="1"/>
    </w:lvl>
  </w:abstractNum>
  <w:abstractNum w:abstractNumId="154">
    <w:nsid w:val="3A966CD0"/>
    <w:multiLevelType w:val="hybridMultilevel"/>
    <w:lvl w:ilvl="0">
      <w:lvlJc w:val="left"/>
      <w:lvlText w:val="(%1)"/>
      <w:numFmt w:val="lowerLetter"/>
      <w:start w:val="1"/>
    </w:lvl>
  </w:abstractNum>
  <w:abstractNum w:abstractNumId="155">
    <w:nsid w:val="63F37E85"/>
    <w:multiLevelType w:val="hybridMultilevel"/>
    <w:lvl w:ilvl="0">
      <w:lvlJc w:val="left"/>
      <w:lvlText w:val="(%1)"/>
      <w:numFmt w:val="lowerLetter"/>
      <w:start w:val="1"/>
    </w:lvl>
  </w:abstractNum>
  <w:abstractNum w:abstractNumId="156">
    <w:nsid w:val="5895F5FA"/>
    <w:multiLevelType w:val="hybridMultilevel"/>
    <w:lvl w:ilvl="0">
      <w:lvlJc w:val="left"/>
      <w:lvlText w:val="(%1)"/>
      <w:numFmt w:val="lowerLetter"/>
      <w:start w:val="1"/>
    </w:lvl>
  </w:abstractNum>
  <w:abstractNum w:abstractNumId="157">
    <w:nsid w:val="38A5D054"/>
    <w:multiLevelType w:val="hybridMultilevel"/>
    <w:lvl w:ilvl="0">
      <w:lvlJc w:val="left"/>
      <w:lvlText w:val="(%1)"/>
      <w:numFmt w:val="lowerLetter"/>
      <w:start w:val="2"/>
    </w:lvl>
  </w:abstractNum>
  <w:abstractNum w:abstractNumId="158">
    <w:nsid w:val="F3F09D8"/>
    <w:multiLevelType w:val="hybridMultilevel"/>
    <w:lvl w:ilvl="0">
      <w:lvlJc w:val="left"/>
      <w:lvlText w:val="%1"/>
      <w:numFmt w:val="lowerLetter"/>
      <w:start w:val="1"/>
    </w:lvl>
    <w:lvl w:ilvl="1">
      <w:lvlJc w:val="left"/>
      <w:lvlText w:val="(%2)"/>
      <w:numFmt w:val="lowerLetter"/>
      <w:start w:val="1"/>
    </w:lvl>
  </w:abstractNum>
  <w:abstractNum w:abstractNumId="159">
    <w:nsid w:val="4B793735"/>
    <w:multiLevelType w:val="hybridMultilevel"/>
    <w:lvl w:ilvl="0">
      <w:lvlJc w:val="left"/>
      <w:lvlText w:val="(%1)"/>
      <w:numFmt w:val="lowerLetter"/>
      <w:start w:val="35"/>
    </w:lvl>
    <w:lvl w:ilvl="1">
      <w:lvlJc w:val="left"/>
      <w:lvlText w:val="(%2)"/>
      <w:numFmt w:val="lowerLetter"/>
      <w:start w:val="2"/>
    </w:lvl>
  </w:abstractNum>
  <w:abstractNum w:abstractNumId="160">
    <w:nsid w:val="4A10B4E8"/>
    <w:multiLevelType w:val="hybridMultilevel"/>
    <w:lvl w:ilvl="0">
      <w:lvlJc w:val="left"/>
      <w:lvlText w:val="(%1)"/>
      <w:numFmt w:val="lowerLetter"/>
      <w:start w:val="1"/>
    </w:lvl>
  </w:abstractNum>
  <w:abstractNum w:abstractNumId="161">
    <w:nsid w:val="43D3BCD4"/>
    <w:multiLevelType w:val="hybridMultilevel"/>
    <w:lvl w:ilvl="0">
      <w:lvlJc w:val="left"/>
      <w:lvlText w:val="(%1)"/>
      <w:numFmt w:val="lowerLetter"/>
      <w:start w:val="1"/>
    </w:lvl>
  </w:abstractNum>
  <w:abstractNum w:abstractNumId="162">
    <w:nsid w:val="4C2A7166"/>
    <w:multiLevelType w:val="hybridMultilevel"/>
    <w:lvl w:ilvl="0">
      <w:lvlJc w:val="left"/>
      <w:lvlText w:val="(%1)"/>
      <w:numFmt w:val="lowerLetter"/>
      <w:start w:val="4"/>
    </w:lvl>
    <w:lvl w:ilvl="1">
      <w:lvlJc w:val="left"/>
      <w:lvlText w:val="(%2)"/>
      <w:numFmt w:val="lowerRoman"/>
      <w:start w:val="1"/>
    </w:lvl>
  </w:abstractNum>
  <w:abstractNum w:abstractNumId="163">
    <w:nsid w:val="2E534A82"/>
    <w:multiLevelType w:val="hybridMultilevel"/>
    <w:lvl w:ilvl="0">
      <w:lvlJc w:val="left"/>
      <w:lvlText w:val="(%1)"/>
      <w:numFmt w:val="lowerLetter"/>
      <w:start w:val="7"/>
    </w:lvl>
  </w:abstractNum>
  <w:abstractNum w:abstractNumId="164">
    <w:nsid w:val="26F2D364"/>
    <w:multiLevelType w:val="hybridMultilevel"/>
    <w:lvl w:ilvl="0">
      <w:lvlJc w:val="left"/>
      <w:lvlText w:val="(%1)"/>
      <w:numFmt w:val="lowerLetter"/>
      <w:start w:val="8"/>
    </w:lvl>
  </w:abstractNum>
  <w:abstractNum w:abstractNumId="165">
    <w:nsid w:val="71C1AF98"/>
    <w:multiLevelType w:val="hybridMultilevel"/>
    <w:lvl w:ilvl="0">
      <w:lvlJc w:val="left"/>
      <w:lvlText w:val="(%1)"/>
      <w:numFmt w:val="lowerLetter"/>
      <w:start w:val="10"/>
    </w:lvl>
  </w:abstractNum>
  <w:abstractNum w:abstractNumId="166">
    <w:nsid w:val="3D00B9D9"/>
    <w:multiLevelType w:val="hybridMultilevel"/>
    <w:lvl w:ilvl="0">
      <w:lvlJc w:val="left"/>
      <w:lvlText w:val="(%1)"/>
      <w:numFmt w:val="lowerLetter"/>
      <w:start w:val="1"/>
    </w:lvl>
  </w:abstractNum>
  <w:abstractNum w:abstractNumId="167">
    <w:nsid w:val="15BCABA8"/>
    <w:multiLevelType w:val="hybridMultilevel"/>
    <w:lvl w:ilvl="0">
      <w:lvlJc w:val="left"/>
      <w:lvlText w:val="(%1)"/>
      <w:numFmt w:val="lowerLetter"/>
      <w:start w:val="1"/>
    </w:lvl>
  </w:abstractNum>
  <w:abstractNum w:abstractNumId="168">
    <w:nsid w:val="4E0B9A87"/>
    <w:multiLevelType w:val="hybridMultilevel"/>
    <w:lvl w:ilvl="0">
      <w:lvlJc w:val="left"/>
      <w:lvlText w:val="(%1)"/>
      <w:numFmt w:val="lowerLetter"/>
      <w:start w:val="3"/>
    </w:lvl>
  </w:abstractNum>
  <w:abstractNum w:abstractNumId="169">
    <w:nsid w:val="434BAE75"/>
    <w:multiLevelType w:val="hybridMultilevel"/>
    <w:lvl w:ilvl="0">
      <w:lvlJc w:val="left"/>
      <w:lvlText w:val="(%1)"/>
      <w:numFmt w:val="lowerLetter"/>
      <w:start w:val="1"/>
    </w:lvl>
  </w:abstractNum>
  <w:abstractNum w:abstractNumId="170">
    <w:nsid w:val="4F38F265"/>
    <w:multiLevelType w:val="hybridMultilevel"/>
    <w:lvl w:ilvl="0">
      <w:lvlJc w:val="left"/>
      <w:lvlText w:val="(%1)"/>
      <w:numFmt w:val="lowerLetter"/>
      <w:start w:val="7"/>
    </w:lvl>
  </w:abstractNum>
  <w:abstractNum w:abstractNumId="171">
    <w:nsid w:val="4C502870"/>
    <w:multiLevelType w:val="hybridMultilevel"/>
    <w:lvl w:ilvl="0">
      <w:lvlJc w:val="left"/>
      <w:lvlText w:val="%1"/>
      <w:numFmt w:val="lowerLetter"/>
      <w:start w:val="1"/>
    </w:lvl>
    <w:lvl w:ilvl="1">
      <w:lvlJc w:val="left"/>
      <w:lvlText w:val="(%2)"/>
      <w:numFmt w:val="lowerLetter"/>
      <w:start w:val="13"/>
    </w:lvl>
  </w:abstractNum>
  <w:abstractNum w:abstractNumId="172">
    <w:nsid w:val="1DE8725A"/>
    <w:multiLevelType w:val="hybridMultilevel"/>
    <w:lvl w:ilvl="0">
      <w:lvlJc w:val="left"/>
      <w:lvlText w:val="(%1)"/>
      <w:numFmt w:val="lowerLetter"/>
      <w:start w:val="24"/>
    </w:lvl>
    <w:lvl w:ilvl="1">
      <w:lvlJc w:val="left"/>
      <w:lvlText w:val="(%2)"/>
      <w:numFmt w:val="lowerLetter"/>
      <w:start w:val="15"/>
    </w:lvl>
  </w:abstractNum>
  <w:abstractNum w:abstractNumId="173">
    <w:nsid w:val="6A37288A"/>
    <w:multiLevelType w:val="hybridMultilevel"/>
    <w:lvl w:ilvl="0">
      <w:lvlJc w:val="left"/>
      <w:lvlText w:val="(%1)"/>
      <w:numFmt w:val="lowerLetter"/>
      <w:start w:val="18"/>
    </w:lvl>
    <w:lvl w:ilvl="1">
      <w:lvlJc w:val="left"/>
      <w:lvlText w:val="(%2)"/>
      <w:numFmt w:val="lowerLetter"/>
      <w:start w:val="19"/>
    </w:lvl>
  </w:abstractNum>
  <w:abstractNum w:abstractNumId="174">
    <w:nsid w:val="8F8B73F"/>
    <w:multiLevelType w:val="hybridMultilevel"/>
    <w:lvl w:ilvl="0">
      <w:lvlJc w:val="left"/>
      <w:lvlText w:val="(%1)"/>
      <w:numFmt w:val="lowerRoman"/>
      <w:start w:val="1"/>
    </w:lvl>
  </w:abstractNum>
  <w:abstractNum w:abstractNumId="175">
    <w:nsid w:val="CA6B462"/>
    <w:multiLevelType w:val="hybridMultilevel"/>
    <w:lvl w:ilvl="0">
      <w:lvlJc w:val="left"/>
      <w:lvlText w:val="(%1)"/>
      <w:numFmt w:val="lowerLetter"/>
      <w:start w:val="2"/>
    </w:lvl>
  </w:abstractNum>
  <w:abstractNum w:abstractNumId="176">
    <w:nsid w:val="763CB680"/>
    <w:multiLevelType w:val="hybridMultilevel"/>
    <w:lvl w:ilvl="0">
      <w:lvlJc w:val="left"/>
      <w:lvlText w:val="(%1)"/>
      <w:numFmt w:val="lowerLetter"/>
      <w:start w:val="1"/>
    </w:lvl>
  </w:abstractNum>
  <w:abstractNum w:abstractNumId="177">
    <w:nsid w:val="15B71329"/>
    <w:multiLevelType w:val="hybridMultilevel"/>
    <w:lvl w:ilvl="0">
      <w:lvlJc w:val="left"/>
      <w:lvlText w:val="(%1)"/>
      <w:numFmt w:val="lowerLetter"/>
      <w:start w:val="3"/>
    </w:lvl>
  </w:abstractNum>
  <w:abstractNum w:abstractNumId="178">
    <w:nsid w:val="3DA97044"/>
    <w:multiLevelType w:val="hybridMultilevel"/>
    <w:lvl w:ilvl="0">
      <w:lvlJc w:val="left"/>
      <w:lvlText w:val="(%1)"/>
      <w:numFmt w:val="lowerLetter"/>
      <w:start w:val="1"/>
    </w:lvl>
    <w:lvl w:ilvl="1">
      <w:lvlJc w:val="left"/>
      <w:lvlText w:val="(%2)"/>
      <w:numFmt w:val="lowerLetter"/>
      <w:start w:val="9"/>
    </w:lvl>
  </w:abstractNum>
  <w:abstractNum w:abstractNumId="179">
    <w:nsid w:val="1CDCE2DE"/>
    <w:multiLevelType w:val="hybridMultilevel"/>
    <w:lvl w:ilvl="0">
      <w:lvlJc w:val="left"/>
      <w:lvlText w:val="(%1)"/>
      <w:numFmt w:val="lowerRoman"/>
      <w:start w:val="2"/>
    </w:lvl>
  </w:abstractNum>
  <w:abstractNum w:abstractNumId="180">
    <w:nsid w:val="69D3947C"/>
    <w:multiLevelType w:val="hybridMultilevel"/>
    <w:lvl w:ilvl="0">
      <w:lvlJc w:val="left"/>
      <w:lvlText w:val="(%1)"/>
      <w:numFmt w:val="lowerRoman"/>
      <w:start w:val="1"/>
    </w:lvl>
  </w:abstractNum>
  <w:abstractNum w:abstractNumId="181">
    <w:nsid w:val="2539DFA5"/>
    <w:multiLevelType w:val="hybridMultilevel"/>
    <w:lvl w:ilvl="0">
      <w:lvlJc w:val="left"/>
      <w:lvlText w:val="(%1)"/>
      <w:numFmt w:val="lowerLetter"/>
      <w:start w:val="3"/>
    </w:lvl>
  </w:abstractNum>
  <w:abstractNum w:abstractNumId="182">
    <w:nsid w:val="2DB88089"/>
    <w:multiLevelType w:val="hybridMultilevel"/>
    <w:lvl w:ilvl="0">
      <w:lvlJc w:val="left"/>
      <w:lvlText w:val="(%1)"/>
      <w:numFmt w:val="lowerLetter"/>
      <w:start w:val="1"/>
    </w:lvl>
    <w:lvl w:ilvl="1">
      <w:lvlJc w:val="left"/>
      <w:lvlText w:val="(%2)"/>
      <w:numFmt w:val="decimal"/>
      <w:start w:val="1"/>
    </w:lvl>
  </w:abstractNum>
  <w:abstractNum w:abstractNumId="183">
    <w:nsid w:val="706B674E"/>
    <w:multiLevelType w:val="hybridMultilevel"/>
    <w:lvl w:ilvl="0">
      <w:lvlJc w:val="left"/>
      <w:lvlText w:val="%1"/>
      <w:numFmt w:val="decimal"/>
      <w:start w:val="1"/>
    </w:lvl>
    <w:lvl w:ilvl="1">
      <w:lvlJc w:val="left"/>
      <w:lvlText w:val="(%2)"/>
      <w:numFmt w:val="upperLetter"/>
      <w:start w:val="1"/>
    </w:lvl>
  </w:abstractNum>
  <w:abstractNum w:abstractNumId="184">
    <w:nsid w:val="2C106A57"/>
    <w:multiLevelType w:val="hybridMultilevel"/>
    <w:lvl w:ilvl="0">
      <w:lvlJc w:val="left"/>
      <w:lvlText w:val="(%1)"/>
      <w:numFmt w:val="decimal"/>
      <w:start w:val="2"/>
    </w:lvl>
    <w:lvl w:ilvl="1">
      <w:lvlJc w:val="left"/>
      <w:lvlText w:val="%2"/>
      <w:numFmt w:val="upperLetter"/>
      <w:start w:val="1"/>
    </w:lvl>
  </w:abstractNum>
  <w:abstractNum w:abstractNumId="185">
    <w:nsid w:val="684EED59"/>
    <w:multiLevelType w:val="hybridMultilevel"/>
    <w:lvl w:ilvl="0">
      <w:lvlJc w:val="left"/>
      <w:lvlText w:val="(%1)"/>
      <w:numFmt w:val="lowerRoman"/>
      <w:start w:val="1"/>
    </w:lvl>
    <w:lvl w:ilvl="1">
      <w:lvlJc w:val="left"/>
      <w:lvlText w:val="(%2)"/>
      <w:numFmt w:val="upperLetter"/>
      <w:start w:val="1"/>
    </w:lvl>
  </w:abstractNum>
  <w:abstractNum w:abstractNumId="186">
    <w:nsid w:val="545EE5D3"/>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3"/>
    </w:lvl>
  </w:abstractNum>
  <w:abstractNum w:abstractNumId="187">
    <w:nsid w:val="4A66051"/>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88">
    <w:nsid w:val="20F4BDAD"/>
    <w:multiLevelType w:val="hybridMultilevel"/>
    <w:lvl w:ilvl="0">
      <w:lvlJc w:val="left"/>
      <w:lvlText w:val="(%1)"/>
      <w:numFmt w:val="decimal"/>
      <w:start w:val="2"/>
    </w:lvl>
  </w:abstractNum>
  <w:abstractNum w:abstractNumId="189">
    <w:nsid w:val="639DEFAC"/>
    <w:multiLevelType w:val="hybridMultilevel"/>
    <w:lvl w:ilvl="0">
      <w:lvlJc w:val="left"/>
      <w:lvlText w:val="(%1)"/>
      <w:numFmt w:val="upperLetter"/>
      <w:start w:val="3"/>
    </w:lvl>
    <w:lvl w:ilvl="1">
      <w:lvlJc w:val="left"/>
      <w:lvlText w:val="(%2)"/>
      <w:numFmt w:val="decimal"/>
      <w:start w:val="5"/>
    </w:lvl>
  </w:abstractNum>
  <w:abstractNum w:abstractNumId="190">
    <w:nsid w:val="501F9786"/>
    <w:multiLevelType w:val="hybridMultilevel"/>
    <w:lvl w:ilvl="0">
      <w:lvlJc w:val="left"/>
      <w:lvlText w:val="%1"/>
      <w:numFmt w:val="lowerRoman"/>
      <w:start w:val="1"/>
    </w:lvl>
    <w:lvl w:ilvl="1">
      <w:lvlJc w:val="left"/>
      <w:lvlText w:val="(%2)"/>
      <w:numFmt w:val="decimal"/>
      <w:start w:val="10"/>
    </w:lvl>
  </w:abstractNum>
  <w:abstractNum w:abstractNumId="191">
    <w:nsid w:val="6B057295"/>
    <w:multiLevelType w:val="hybridMultilevel"/>
    <w:lvl w:ilvl="0">
      <w:lvlJc w:val="left"/>
      <w:lvlText w:val="(%1)"/>
      <w:numFmt w:val="lowerRoman"/>
      <w:start w:val="11"/>
    </w:lvl>
    <w:lvl w:ilvl="1">
      <w:lvlJc w:val="left"/>
      <w:lvlText w:val="%2"/>
      <w:numFmt w:val="decimal"/>
      <w:start w:val="1"/>
    </w:lvl>
  </w:abstractNum>
  <w:abstractNum w:abstractNumId="192">
    <w:nsid w:val="2771AC80"/>
    <w:multiLevelType w:val="hybridMultilevel"/>
    <w:lvl w:ilvl="0">
      <w:lvlJc w:val="left"/>
      <w:lvlText w:val="(%1)"/>
      <w:numFmt w:val="decimal"/>
      <w:start w:val="16"/>
    </w:lvl>
  </w:abstractNum>
  <w:abstractNum w:abstractNumId="193">
    <w:nsid w:val="1C4A08EC"/>
    <w:multiLevelType w:val="hybridMultilevel"/>
    <w:lvl w:ilvl="0">
      <w:lvlJc w:val="left"/>
      <w:lvlText w:val="(%1)"/>
      <w:numFmt w:val="lowerLetter"/>
      <w:start w:val="1"/>
    </w:lvl>
  </w:abstractNum>
  <w:abstractNum w:abstractNumId="194">
    <w:nsid w:val="1958BD17"/>
    <w:multiLevelType w:val="hybridMultilevel"/>
    <w:lvl w:ilvl="0">
      <w:lvlJc w:val="left"/>
      <w:lvlText w:val="(%1)"/>
      <w:numFmt w:val="lowerRoman"/>
      <w:start w:val="1"/>
    </w:lvl>
  </w:abstractNum>
  <w:abstractNum w:abstractNumId="195">
    <w:nsid w:val="4E647FE4"/>
    <w:multiLevelType w:val="hybridMultilevel"/>
    <w:lvl w:ilvl="0">
      <w:lvlJc w:val="left"/>
      <w:lvlText w:val="(%1)"/>
      <w:numFmt w:val="lowerRoman"/>
      <w:start w:val="1"/>
    </w:lvl>
  </w:abstractNum>
  <w:abstractNum w:abstractNumId="196">
    <w:nsid w:val="E0BB885"/>
    <w:multiLevelType w:val="hybridMultilevel"/>
    <w:lvl w:ilvl="0">
      <w:lvlJc w:val="left"/>
      <w:lvlText w:val="(%1)"/>
      <w:numFmt w:val="lowerRoman"/>
      <w:start w:val="2"/>
    </w:lvl>
  </w:abstractNum>
  <w:abstractNum w:abstractNumId="197">
    <w:nsid w:val="565976F1"/>
    <w:multiLevelType w:val="hybridMultilevel"/>
    <w:lvl w:ilvl="0">
      <w:lvlJc w:val="left"/>
      <w:lvlText w:val="(%1)"/>
      <w:numFmt w:val="lowerLetter"/>
      <w:start w:val="1"/>
    </w:lvl>
  </w:abstractNum>
  <w:abstractNum w:abstractNumId="198">
    <w:nsid w:val="64212B8C"/>
    <w:multiLevelType w:val="hybridMultilevel"/>
    <w:lvl w:ilvl="0">
      <w:lvlJc w:val="left"/>
      <w:lvlText w:val="(%1)"/>
      <w:numFmt w:val="lowerLetter"/>
      <w:start w:val="1"/>
    </w:lvl>
  </w:abstractNum>
  <w:abstractNum w:abstractNumId="199">
    <w:nsid w:val="5C17530C"/>
    <w:multiLevelType w:val="hybridMultilevel"/>
    <w:lvl w:ilvl="0">
      <w:lvlJc w:val="left"/>
      <w:lvlText w:val="(%1)"/>
      <w:numFmt w:val="lowerRoman"/>
      <w:start w:val="1"/>
    </w:lvl>
  </w:abstractNum>
  <w:abstractNum w:abstractNumId="200">
    <w:nsid w:val="19A52566"/>
    <w:multiLevelType w:val="hybridMultilevel"/>
    <w:lvl w:ilvl="0">
      <w:lvlJc w:val="left"/>
      <w:lvlText w:val="(%1)"/>
      <w:numFmt w:val="lowerRoman"/>
      <w:start w:val="3"/>
    </w:lvl>
  </w:abstractNum>
  <w:abstractNum w:abstractNumId="201">
    <w:nsid w:val="335A1DF1"/>
    <w:multiLevelType w:val="hybridMultilevel"/>
    <w:lvl w:ilvl="0">
      <w:lvlJc w:val="left"/>
      <w:lvlText w:val="(%1)"/>
      <w:numFmt w:val="lowerLetter"/>
      <w:start w:val="1"/>
    </w:lvl>
  </w:abstractNum>
  <w:abstractNum w:abstractNumId="202">
    <w:nsid w:val="28677B7C"/>
    <w:multiLevelType w:val="hybridMultilevel"/>
    <w:lvl w:ilvl="0">
      <w:lvlJc w:val="left"/>
      <w:lvlText w:val="(%1)"/>
      <w:numFmt w:val="lowerLetter"/>
      <w:start w:val="1"/>
    </w:lvl>
  </w:abstractNum>
  <w:abstractNum w:abstractNumId="203">
    <w:nsid w:val="378D97C0"/>
    <w:multiLevelType w:val="hybridMultilevel"/>
    <w:lvl w:ilvl="0">
      <w:lvlJc w:val="left"/>
      <w:lvlText w:val="(%1)"/>
      <w:numFmt w:val="lowerLetter"/>
      <w:start w:val="2"/>
    </w:lvl>
  </w:abstractNum>
  <w:abstractNum w:abstractNumId="204">
    <w:nsid w:val="1D91467C"/>
    <w:multiLevelType w:val="hybridMultilevel"/>
    <w:lvl w:ilvl="0">
      <w:lvlJc w:val="left"/>
      <w:lvlText w:val="(%1)"/>
      <w:numFmt w:val="lowerLetter"/>
      <w:start w:val="1"/>
    </w:lvl>
  </w:abstractNum>
  <w:abstractNum w:abstractNumId="205">
    <w:nsid w:val="316032BB"/>
    <w:multiLevelType w:val="hybridMultilevel"/>
    <w:lvl w:ilvl="0">
      <w:lvlJc w:val="left"/>
      <w:lvlText w:val="(%1)"/>
      <w:numFmt w:val="lowerLetter"/>
      <w:start w:val="4"/>
    </w:lvl>
  </w:abstractNum>
  <w:abstractNum w:abstractNumId="206">
    <w:nsid w:val="44344C22"/>
    <w:multiLevelType w:val="hybridMultilevel"/>
    <w:lvl w:ilvl="0">
      <w:lvlJc w:val="left"/>
      <w:lvlText w:val="(%1)"/>
      <w:numFmt w:val="lowerLetter"/>
      <w:start w:val="1"/>
    </w:lvl>
    <w:lvl w:ilvl="1">
      <w:lvlJc w:val="left"/>
      <w:lvlText w:val="(%2)"/>
      <w:numFmt w:val="lowerRoman"/>
      <w:start w:val="1"/>
    </w:lvl>
  </w:abstractNum>
  <w:abstractNum w:abstractNumId="207">
    <w:nsid w:val="13CDFCFC"/>
    <w:multiLevelType w:val="hybridMultilevel"/>
    <w:lvl w:ilvl="0">
      <w:lvlJc w:val="left"/>
      <w:lvlText w:val="(%1)"/>
      <w:numFmt w:val="lowerLetter"/>
      <w:start w:val="1"/>
    </w:lvl>
  </w:abstractNum>
  <w:abstractNum w:abstractNumId="208">
    <w:nsid w:val="471745E4"/>
    <w:multiLevelType w:val="hybridMultilevel"/>
    <w:lvl w:ilvl="0">
      <w:lvlJc w:val="left"/>
      <w:lvlText w:val="%1"/>
      <w:numFmt w:val="lowerLetter"/>
      <w:start w:val="1"/>
    </w:lvl>
    <w:lvl w:ilvl="1">
      <w:lvlJc w:val="left"/>
      <w:lvlText w:val="(%2)"/>
      <w:numFmt w:val="lowerLetter"/>
      <w:start w:val="1"/>
    </w:lvl>
  </w:abstractNum>
  <w:abstractNum w:abstractNumId="209">
    <w:nsid w:val="1DDBC66"/>
    <w:multiLevelType w:val="hybridMultilevel"/>
    <w:lvl w:ilvl="0">
      <w:lvlJc w:val="left"/>
      <w:lvlText w:val="(%1)"/>
      <w:numFmt w:val="lowerLetter"/>
      <w:start w:val="35"/>
    </w:lvl>
    <w:lvl w:ilvl="1">
      <w:lvlJc w:val="left"/>
      <w:lvlText w:val="(%2)"/>
      <w:numFmt w:val="lowerLetter"/>
      <w:start w:val="2"/>
    </w:lvl>
  </w:abstractNum>
  <w:abstractNum w:abstractNumId="210">
    <w:nsid w:val="30AADFDA"/>
    <w:multiLevelType w:val="hybridMultilevel"/>
    <w:lvl w:ilvl="0">
      <w:lvlJc w:val="left"/>
      <w:lvlText w:val="(%1)"/>
      <w:numFmt w:val="lowerLetter"/>
      <w:start w:val="3"/>
    </w:lvl>
  </w:abstractNum>
  <w:abstractNum w:abstractNumId="211">
    <w:nsid w:val="30EADA61"/>
    <w:multiLevelType w:val="hybridMultilevel"/>
    <w:lvl w:ilvl="0">
      <w:lvlJc w:val="left"/>
      <w:lvlText w:val="(%1)"/>
      <w:numFmt w:val="lowerLetter"/>
      <w:start w:val="1"/>
    </w:lvl>
    <w:lvl w:ilvl="1">
      <w:lvlJc w:val="left"/>
      <w:lvlText w:val="(%2)"/>
      <w:numFmt w:val="upperLetter"/>
      <w:start w:val="1"/>
    </w:lvl>
  </w:abstractNum>
  <w:abstractNum w:abstractNumId="212">
    <w:nsid w:val="27179C0B"/>
    <w:multiLevelType w:val="hybridMultilevel"/>
    <w:lvl w:ilvl="0">
      <w:lvlJc w:val="left"/>
      <w:lvlText w:val="(%1)"/>
      <w:numFmt w:val="lowerRoman"/>
      <w:start w:val="2"/>
    </w:lvl>
    <w:lvl w:ilvl="1">
      <w:lvlJc w:val="left"/>
      <w:lvlText w:val="(%2)"/>
      <w:numFmt w:val="upperLetter"/>
      <w:start w:val="1"/>
    </w:lvl>
  </w:abstractNum>
  <w:abstractNum w:abstractNumId="213">
    <w:nsid w:val="5E636063"/>
    <w:multiLevelType w:val="hybridMultilevel"/>
    <w:lvl w:ilvl="0">
      <w:lvlJc w:val="left"/>
      <w:lvlText w:val="%1"/>
      <w:numFmt w:val="lowerRoman"/>
      <w:start w:val="1"/>
    </w:lvl>
    <w:lvl w:ilvl="1">
      <w:lvlJc w:val="left"/>
      <w:lvlText w:val="(%2)"/>
      <w:numFmt w:val="upperLetter"/>
      <w:start w:val="2"/>
    </w:lvl>
  </w:abstractNum>
  <w:abstractNum w:abstractNumId="214">
    <w:nsid w:val="215641AF"/>
    <w:multiLevelType w:val="hybridMultilevel"/>
    <w:lvl w:ilvl="0">
      <w:lvlJc w:val="left"/>
      <w:lvlText w:val="(%1)"/>
      <w:numFmt w:val="lowerRoman"/>
      <w:start w:val="3"/>
    </w:lvl>
    <w:lvl w:ilvl="1">
      <w:lvlJc w:val="left"/>
      <w:lvlText w:val="%2"/>
      <w:numFmt w:val="upperLetter"/>
      <w:start w:val="1"/>
    </w:lvl>
  </w:abstractNum>
  <w:abstractNum w:abstractNumId="215">
    <w:nsid w:val="53280662"/>
    <w:multiLevelType w:val="hybridMultilevel"/>
    <w:lvl w:ilvl="0">
      <w:lvlJc w:val="left"/>
      <w:lvlText w:val="%1"/>
      <w:numFmt w:val="lowerLetter"/>
      <w:start w:val="1"/>
    </w:lvl>
    <w:lvl w:ilvl="1">
      <w:lvlJc w:val="left"/>
      <w:lvlText w:val="(%2)"/>
      <w:numFmt w:val="lowerLetter"/>
      <w:start w:val="22"/>
    </w:lvl>
  </w:abstractNum>
  <w:abstractNum w:abstractNumId="216">
    <w:nsid w:val="46B24DBC"/>
    <w:multiLevelType w:val="hybridMultilevel"/>
    <w:lvl w:ilvl="0">
      <w:lvlJc w:val="left"/>
      <w:lvlText w:val="(%1)"/>
      <w:numFmt w:val="lowerLetter"/>
      <w:start w:val="3"/>
    </w:lvl>
    <w:lvl w:ilvl="1">
      <w:lvlJc w:val="left"/>
      <w:lvlText w:val="(%2)"/>
      <w:numFmt w:val="lowerLetter"/>
      <w:start w:val="35"/>
    </w:lvl>
  </w:abstractNum>
  <w:abstractNum w:abstractNumId="217">
    <w:nsid w:val="75B52783"/>
    <w:multiLevelType w:val="hybridMultilevel"/>
    <w:lvl w:ilvl="0">
      <w:lvlJc w:val="left"/>
      <w:lvlText w:val="(%1)"/>
      <w:numFmt w:val="lowerLetter"/>
      <w:start w:val="5"/>
    </w:lvl>
  </w:abstractNum>
  <w:abstractNum w:abstractNumId="218">
    <w:nsid w:val="57CE66B4"/>
    <w:multiLevelType w:val="hybridMultilevel"/>
    <w:lvl w:ilvl="0">
      <w:lvlJc w:val="left"/>
      <w:lvlText w:val="(%1)"/>
      <w:numFmt w:val="lowerLetter"/>
      <w:start w:val="1"/>
    </w:lvl>
  </w:abstractNum>
  <w:abstractNum w:abstractNumId="219">
    <w:nsid w:val="67A70B69"/>
    <w:multiLevelType w:val="hybridMultilevel"/>
    <w:lvl w:ilvl="0">
      <w:lvlJc w:val="left"/>
      <w:lvlText w:val="(%1)"/>
      <w:numFmt w:val="lowerLetter"/>
      <w:start w:val="1"/>
    </w:lvl>
  </w:abstractNum>
  <w:abstractNum w:abstractNumId="220">
    <w:nsid w:val="5953172F"/>
    <w:multiLevelType w:val="hybridMultilevel"/>
    <w:lvl w:ilvl="0">
      <w:lvlJc w:val="left"/>
      <w:lvlText w:val="(%1)"/>
      <w:numFmt w:val="lowerLetter"/>
      <w:start w:val="1"/>
    </w:lvl>
  </w:abstractNum>
  <w:abstractNum w:abstractNumId="221">
    <w:nsid w:val="27EDFE3A"/>
    <w:multiLevelType w:val="hybridMultilevel"/>
    <w:lvl w:ilvl="0">
      <w:lvlJc w:val="left"/>
      <w:lvlText w:val="(%1)"/>
      <w:numFmt w:val="lowerLetter"/>
      <w:start w:val="2"/>
    </w:lvl>
  </w:abstractNum>
  <w:abstractNum w:abstractNumId="222">
    <w:nsid w:val="52AC7DFF"/>
    <w:multiLevelType w:val="hybridMultilevel"/>
    <w:lvl w:ilvl="0">
      <w:lvlJc w:val="left"/>
      <w:lvlText w:val="(%1)"/>
      <w:numFmt w:val="lowerLetter"/>
      <w:start w:val="1"/>
    </w:lvl>
    <w:lvl w:ilvl="1">
      <w:lvlJc w:val="left"/>
      <w:lvlText w:val="(%2)"/>
      <w:numFmt w:val="lowerRoman"/>
      <w:start w:val="2"/>
    </w:lvl>
  </w:abstractNum>
  <w:abstractNum w:abstractNumId="223">
    <w:nsid w:val="C4C3AF"/>
    <w:multiLevelType w:val="hybridMultilevel"/>
    <w:lvl w:ilvl="0">
      <w:lvlJc w:val="left"/>
      <w:lvlText w:val="%1"/>
      <w:numFmt w:val="lowerLetter"/>
      <w:start w:val="1"/>
    </w:lvl>
    <w:lvl w:ilvl="1">
      <w:lvlJc w:val="left"/>
      <w:lvlText w:val="(%2)"/>
      <w:numFmt w:val="lowerLetter"/>
      <w:start w:val="22"/>
    </w:lvl>
  </w:abstractNum>
  <w:abstractNum w:abstractNumId="224">
    <w:nsid w:val="44380727"/>
    <w:multiLevelType w:val="hybridMultilevel"/>
    <w:lvl w:ilvl="0">
      <w:lvlJc w:val="left"/>
      <w:lvlText w:val="(%1)"/>
      <w:numFmt w:val="lowerLetter"/>
      <w:start w:val="3"/>
    </w:lvl>
    <w:lvl w:ilvl="1">
      <w:lvlJc w:val="left"/>
      <w:lvlText w:val="%2"/>
      <w:numFmt w:val="lowerLetter"/>
      <w:start w:val="1"/>
    </w:lvl>
  </w:abstractNum>
  <w:abstractNum w:abstractNumId="225">
    <w:nsid w:val="6C053B16"/>
    <w:multiLevelType w:val="hybridMultilevel"/>
    <w:lvl w:ilvl="0">
      <w:lvlJc w:val="left"/>
      <w:lvlText w:val="(%1)"/>
      <w:numFmt w:val="lowerRoman"/>
      <w:start w:val="4"/>
    </w:lvl>
  </w:abstractNum>
  <w:abstractNum w:abstractNumId="226">
    <w:nsid w:val="4F294393"/>
    <w:multiLevelType w:val="hybridMultilevel"/>
    <w:lvl w:ilvl="0">
      <w:lvlJc w:val="left"/>
      <w:lvlText w:val="(%1)"/>
      <w:numFmt w:val="lowerLetter"/>
      <w:start w:val="1"/>
    </w:lvl>
  </w:abstractNum>
  <w:abstractNum w:abstractNumId="227">
    <w:nsid w:val="5243BFAC"/>
    <w:multiLevelType w:val="hybridMultilevel"/>
    <w:lvl w:ilvl="0">
      <w:lvlJc w:val="left"/>
      <w:lvlText w:val="(%1)"/>
      <w:numFmt w:val="lowerLetter"/>
      <w:start w:val="2"/>
    </w:lvl>
  </w:abstractNum>
  <w:abstractNum w:abstractNumId="228">
    <w:nsid w:val="425EB207"/>
    <w:multiLevelType w:val="hybridMultilevel"/>
    <w:lvl w:ilvl="0">
      <w:lvlJc w:val="left"/>
      <w:lvlText w:val="(%1)"/>
      <w:numFmt w:val="lowerLetter"/>
      <w:start w:val="1"/>
    </w:lvl>
    <w:lvl w:ilvl="1">
      <w:lvlJc w:val="left"/>
      <w:lvlText w:val="(%2)"/>
      <w:numFmt w:val="lowerRoman"/>
      <w:start w:val="1"/>
    </w:lvl>
  </w:abstractNum>
  <w:abstractNum w:abstractNumId="229">
    <w:nsid w:val="334A6F1F"/>
    <w:multiLevelType w:val="hybridMultilevel"/>
    <w:lvl w:ilvl="0">
      <w:lvlJc w:val="left"/>
      <w:lvlText w:val="(%1)"/>
      <w:numFmt w:val="lowerLetter"/>
      <w:start w:val="1"/>
    </w:lvl>
  </w:abstractNum>
  <w:abstractNum w:abstractNumId="230">
    <w:nsid w:val="2E5B12B8"/>
    <w:multiLevelType w:val="hybridMultilevel"/>
    <w:lvl w:ilvl="0">
      <w:lvlJc w:val="left"/>
      <w:lvlText w:val="▪"/>
      <w:numFmt w:val="bullet"/>
      <w:start w:val="1"/>
    </w:lvl>
  </w:abstractNum>
  <w:abstractNum w:abstractNumId="231">
    <w:nsid w:val="5C03D76D"/>
    <w:multiLevelType w:val="hybridMultilevel"/>
    <w:lvl w:ilvl="0">
      <w:lvlJc w:val="left"/>
      <w:lvlText w:val="▪"/>
      <w:numFmt w:val="bullet"/>
      <w:start w:val="1"/>
    </w:lvl>
  </w:abstractNum>
  <w:abstractNum w:abstractNumId="232">
    <w:nsid w:val="66A48D11"/>
    <w:multiLevelType w:val="hybridMultilevel"/>
    <w:lvl w:ilvl="0">
      <w:lvlJc w:val="left"/>
      <w:lvlText w:val="%1."/>
      <w:numFmt w:val="decimal"/>
      <w:start w:val="1"/>
    </w:lvl>
  </w:abstractNum>
  <w:abstractNum w:abstractNumId="233">
    <w:nsid w:val="56C28E34"/>
    <w:multiLevelType w:val="hybridMultilevel"/>
    <w:lvl w:ilvl="0">
      <w:lvlJc w:val="left"/>
      <w:lvlText w:val="%1"/>
      <w:numFmt w:val="lowerLetter"/>
      <w:start w:val="1"/>
    </w:lvl>
    <w:lvl w:ilvl="1">
      <w:lvlJc w:val="left"/>
      <w:lvlText w:val="(%2)"/>
      <w:numFmt w:val="lowerLetter"/>
      <w:start w:val="1"/>
    </w:lvl>
  </w:abstractNum>
  <w:abstractNum w:abstractNumId="234">
    <w:nsid w:val="13916F2D"/>
    <w:multiLevelType w:val="hybridMultilevel"/>
    <w:lvl w:ilvl="0">
      <w:lvlJc w:val="left"/>
      <w:lvlText w:val="(%1)"/>
      <w:numFmt w:val="lowerLetter"/>
      <w:start w:val="35"/>
    </w:lvl>
    <w:lvl w:ilvl="1">
      <w:lvlJc w:val="left"/>
      <w:lvlText w:val="%2"/>
      <w:numFmt w:val="lowerLetter"/>
      <w:start w:val="1"/>
    </w:lvl>
  </w:abstractNum>
  <w:abstractNum w:abstractNumId="235">
    <w:nsid w:val="435D38D"/>
    <w:multiLevelType w:val="hybridMultilevel"/>
    <w:lvl w:ilvl="0">
      <w:lvlJc w:val="left"/>
      <w:lvlText w:val="(%1)"/>
      <w:numFmt w:val="lowerLetter"/>
      <w:start w:val="3"/>
    </w:lvl>
  </w:abstractNum>
  <w:abstractNum w:abstractNumId="236">
    <w:nsid w:val="822C0EF"/>
    <w:multiLevelType w:val="hybridMultilevel"/>
    <w:lvl w:ilvl="0">
      <w:lvlJc w:val="left"/>
      <w:lvlText w:val="%1."/>
      <w:numFmt w:val="decimal"/>
      <w:start w:val="5"/>
    </w:lvl>
  </w:abstractNum>
  <w:abstractNum w:abstractNumId="237">
    <w:nsid w:val="57C5BB4F"/>
    <w:multiLevelType w:val="hybridMultilevel"/>
    <w:lvl w:ilvl="0">
      <w:lvlJc w:val="left"/>
      <w:lvlText w:val="%1."/>
      <w:numFmt w:val="decimal"/>
      <w:start w:val="12"/>
    </w:lvl>
  </w:abstractNum>
  <w:abstractNum w:abstractNumId="238">
    <w:nsid w:val="1803D089"/>
    <w:multiLevelType w:val="hybridMultilevel"/>
    <w:lvl w:ilvl="0">
      <w:lvlJc w:val="left"/>
      <w:lvlText w:val="%1."/>
      <w:numFmt w:val="decimal"/>
      <w:start w:val="1"/>
    </w:lvl>
    <w:lvl w:ilvl="1">
      <w:lvlJc w:val="left"/>
      <w:lvlText w:val="%2)"/>
      <w:numFmt w:val="lowerLetter"/>
      <w:start w:val="1"/>
    </w:lvl>
  </w:abstractNum>
  <w:abstractNum w:abstractNumId="239">
    <w:nsid w:val="4F3A06D4"/>
    <w:multiLevelType w:val="hybridMultilevel"/>
    <w:lvl w:ilvl="0">
      <w:lvlJc w:val="left"/>
      <w:lvlText w:val="%1."/>
      <w:numFmt w:val="decimal"/>
      <w:start w:val="1"/>
    </w:lvl>
    <w:lvl w:ilvl="1">
      <w:lvlJc w:val="left"/>
      <w:lvlText w:val="%2)"/>
      <w:numFmt w:val="lowerLetter"/>
      <w:start w:val="1"/>
    </w:lvl>
  </w:abstractNum>
  <w:abstractNum w:abstractNumId="240">
    <w:nsid w:val="59A377B6"/>
    <w:multiLevelType w:val="hybridMultilevel"/>
    <w:lvl w:ilvl="0">
      <w:lvlJc w:val="left"/>
      <w:lvlText w:val="•"/>
      <w:numFmt w:val="bullet"/>
      <w:start w:val="1"/>
    </w:lvl>
  </w:abstractNum>
  <w:abstractNum w:abstractNumId="241">
    <w:nsid w:val="48AEB0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20" Type="http://schemas.openxmlformats.org/officeDocument/2006/relationships/hyperlink" Target="http://www.sec.gov/Archives/edgar/data/1710155/000156761917002270/s001582x19_ex3-1.htm" TargetMode="External"/><Relationship Id="rId21" Type="http://schemas.openxmlformats.org/officeDocument/2006/relationships/hyperlink" Target="http://www.sec.gov/Archives/edgar/data/1710155/000156761917002270/s001582x19_ex3-2.htm" TargetMode="External"/><Relationship Id="rId22" Type="http://schemas.openxmlformats.org/officeDocument/2006/relationships/hyperlink" Target="https://www.sec.gov/Archives/edgar/data/1710155/000171015520000003/exhib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2020-05-07T05:28:34Z</dcterms:created>
  <dcterms:modified xsi:type="dcterms:W3CDTF">2020-05-07T05:28:34Z</dcterms:modified>
</cp:coreProperties>
</file>