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ind w:left="3720"/>
        <w:spacing w:after="0" w:line="216" w:lineRule="auto"/>
        <w:rPr>
          <w:sz w:val="20"/>
          <w:szCs w:val="20"/>
          <w:color w:val="auto"/>
        </w:rPr>
      </w:pPr>
      <w:r>
        <w:rPr>
          <w:rFonts w:ascii="Arial" w:cs="Arial" w:eastAsia="Arial" w:hAnsi="Arial"/>
          <w:sz w:val="11"/>
          <w:szCs w:val="11"/>
          <w:b w:val="1"/>
          <w:bCs w:val="1"/>
          <w:color w:val="auto"/>
        </w:rPr>
        <w:t>_____________________________</w:t>
      </w:r>
      <w:r>
        <w:rPr>
          <w:rFonts w:ascii="Arial" w:cs="Arial" w:eastAsia="Arial" w:hAnsi="Arial"/>
          <w:sz w:val="8"/>
          <w:szCs w:val="8"/>
          <w:b w:val="1"/>
          <w:bCs w:val="1"/>
          <w:color w:val="auto"/>
        </w:rPr>
        <w:t>_</w:t>
      </w:r>
      <w:r>
        <w:rPr>
          <w:rFonts w:ascii="Arial" w:cs="Arial" w:eastAsia="Arial" w:hAnsi="Arial"/>
          <w:sz w:val="11"/>
          <w:szCs w:val="11"/>
          <w:b w:val="1"/>
          <w:bCs w:val="1"/>
          <w:color w:val="auto"/>
        </w:rPr>
        <w:t>_________________________________________</w:t>
      </w:r>
    </w:p>
    <w:p>
      <w:pPr>
        <w:spacing w:after="0"/>
        <w:rPr>
          <w:sz w:val="20"/>
          <w:szCs w:val="20"/>
          <w:color w:val="auto"/>
        </w:rPr>
      </w:pPr>
      <w:r>
        <w:rPr>
          <w:rFonts w:ascii="Arial" w:cs="Arial" w:eastAsia="Arial" w:hAnsi="Arial"/>
          <w:sz w:val="16"/>
          <w:szCs w:val="16"/>
          <w:color w:val="auto"/>
        </w:rPr>
        <w:t>(Mark One)</w:t>
      </w:r>
    </w:p>
    <w:p>
      <w:pPr>
        <w:spacing w:after="0" w:line="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January 2,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48"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240"/>
          </w:cols>
          <w:pgMar w:left="320" w:top="805" w:right="339" w:bottom="1440" w:gutter="0" w:footer="0" w:header="0"/>
        </w:sectPr>
      </w:pPr>
    </w:p>
    <w:p>
      <w:pPr>
        <w:spacing w:after="0" w:line="123"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46-4841717</w:t>
      </w:r>
    </w:p>
    <w:p>
      <w:pPr>
        <w:spacing w:after="0" w:line="71" w:lineRule="exact"/>
        <w:rPr>
          <w:sz w:val="24"/>
          <w:szCs w:val="24"/>
          <w:color w:val="auto"/>
        </w:rPr>
      </w:pPr>
    </w:p>
    <w:p>
      <w:pPr>
        <w:sectPr>
          <w:pgSz w:w="11900" w:h="16838" w:orient="portrait"/>
          <w:cols w:equalWidth="0" w:num="2">
            <w:col w:w="7320" w:space="720"/>
            <w:col w:w="3200"/>
          </w:cols>
          <w:pgMar w:left="320" w:top="805" w:right="339" w:bottom="1440" w:gutter="0" w:footer="0" w:header="0"/>
          <w:type w:val="continuous"/>
        </w:sectPr>
      </w:pPr>
    </w:p>
    <w:p>
      <w:pPr>
        <w:ind w:left="11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30" w:lineRule="exact"/>
        <w:rPr>
          <w:sz w:val="24"/>
          <w:szCs w:val="24"/>
          <w:color w:val="auto"/>
        </w:rPr>
      </w:pPr>
    </w:p>
    <w:p>
      <w:pPr>
        <w:sectPr>
          <w:pgSz w:w="11900" w:h="16838" w:orient="portrait"/>
          <w:cols w:equalWidth="0" w:num="2">
            <w:col w:w="6620" w:space="720"/>
            <w:col w:w="3900"/>
          </w:cols>
          <w:pgMar w:left="320" w:top="805"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2435 Commerce Ave,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Duluth, Georgia 30096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93"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(770) 822</w:t>
      </w:r>
      <w:r>
        <w:rPr>
          <w:rFonts w:ascii="MS PGothic" w:cs="MS PGothic" w:eastAsia="MS PGothic" w:hAnsi="MS PGothic"/>
          <w:sz w:val="14"/>
          <w:szCs w:val="14"/>
          <w:color w:val="auto"/>
        </w:rPr>
        <w:t>‑</w:t>
      </w:r>
      <w:r>
        <w:rPr>
          <w:rFonts w:ascii="Arial" w:cs="Arial" w:eastAsia="Arial" w:hAnsi="Arial"/>
          <w:sz w:val="14"/>
          <w:szCs w:val="14"/>
          <w:b w:val="1"/>
          <w:bCs w:val="1"/>
          <w:color w:val="auto"/>
        </w:rPr>
        <w:t>3600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3"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480" w:type="dxa"/>
            <w:vAlign w:val="bottom"/>
            <w:gridSpan w:val="2"/>
          </w:tcPr>
          <w:p>
            <w:pPr>
              <w:jc w:val="center"/>
              <w:ind w:right="2400"/>
              <w:spacing w:after="0"/>
              <w:rPr>
                <w:sz w:val="20"/>
                <w:szCs w:val="20"/>
                <w:color w:val="auto"/>
              </w:rPr>
            </w:pPr>
            <w:r>
              <w:rPr>
                <w:rFonts w:ascii="Arial" w:cs="Arial" w:eastAsia="Arial" w:hAnsi="Arial"/>
                <w:sz w:val="14"/>
                <w:szCs w:val="14"/>
                <w:b w:val="1"/>
                <w:bCs w:val="1"/>
                <w:color w:val="auto"/>
                <w:w w:val="89"/>
              </w:rPr>
              <w:t>Title of each class</w:t>
            </w: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4140" w:type="dxa"/>
            <w:vAlign w:val="bottom"/>
            <w:gridSpan w:val="3"/>
          </w:tcPr>
          <w:p>
            <w:pPr>
              <w:jc w:val="center"/>
              <w:ind w:right="1720"/>
              <w:spacing w:after="0"/>
              <w:rPr>
                <w:sz w:val="20"/>
                <w:szCs w:val="20"/>
                <w:color w:val="auto"/>
              </w:rPr>
            </w:pPr>
            <w:r>
              <w:rPr>
                <w:rFonts w:ascii="Arial" w:cs="Arial" w:eastAsia="Arial" w:hAnsi="Arial"/>
                <w:sz w:val="14"/>
                <w:szCs w:val="14"/>
                <w:color w:val="auto"/>
                <w:w w:val="91"/>
              </w:rPr>
              <w:t>Common Stock, par value $0.01 per share</w:t>
            </w:r>
          </w:p>
        </w:tc>
        <w:tc>
          <w:tcPr>
            <w:tcW w:w="1960" w:type="dxa"/>
            <w:vAlign w:val="bottom"/>
            <w:gridSpan w:val="2"/>
          </w:tcPr>
          <w:p>
            <w:pPr>
              <w:jc w:val="center"/>
              <w:ind w:right="800"/>
              <w:spacing w:after="0"/>
              <w:rPr>
                <w:sz w:val="20"/>
                <w:szCs w:val="20"/>
                <w:color w:val="auto"/>
              </w:rPr>
            </w:pPr>
            <w:r>
              <w:rPr>
                <w:rFonts w:ascii="Arial" w:cs="Arial" w:eastAsia="Arial" w:hAnsi="Arial"/>
                <w:sz w:val="14"/>
                <w:szCs w:val="14"/>
                <w:color w:val="auto"/>
                <w:w w:val="99"/>
              </w:rPr>
              <w:t>EYE</w:t>
            </w:r>
          </w:p>
        </w:tc>
        <w:tc>
          <w:tcPr>
            <w:tcW w:w="8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rPr>
              <w:t>NASDAQ</w:t>
            </w:r>
          </w:p>
        </w:tc>
      </w:tr>
    </w:tbl>
    <w:p>
      <w:pPr>
        <w:spacing w:after="0" w:line="165" w:lineRule="exact"/>
        <w:rPr>
          <w:sz w:val="24"/>
          <w:szCs w:val="24"/>
          <w:color w:val="auto"/>
        </w:rPr>
      </w:pPr>
    </w:p>
    <w:p>
      <w:pPr>
        <w:jc w:val="both"/>
        <w:ind w:right="3540" w:firstLine="3687"/>
        <w:spacing w:after="0" w:line="220" w:lineRule="exact"/>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80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20" w:type="dxa"/>
            <w:vAlign w:val="bottom"/>
          </w:tcPr>
          <w:p>
            <w:pPr>
              <w:ind w:left="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2"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June 27, 2020, the last day of the registrant’s most recently completed second quarter, the aggregate market value of the registrant’s common stock held by non-affiliates of the registrant was approximately $2.3 billion (based upon the closing sale price of the common stock on last trading date of the quarter on the NASDAQ).</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61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Outstanding at February 26, 2021</w:t>
            </w:r>
          </w:p>
        </w:tc>
      </w:tr>
      <w:tr>
        <w:trPr>
          <w:trHeight w:val="182"/>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$0.01 par value per share</w:t>
            </w:r>
          </w:p>
        </w:tc>
        <w:tc>
          <w:tcPr>
            <w:tcW w:w="1040" w:type="dxa"/>
            <w:vAlign w:val="bottom"/>
          </w:tcPr>
          <w:p>
            <w:pPr>
              <w:spacing w:after="0"/>
              <w:rPr>
                <w:sz w:val="15"/>
                <w:szCs w:val="15"/>
                <w:color w:val="auto"/>
              </w:rPr>
            </w:pPr>
          </w:p>
        </w:tc>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81,311,893</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jc w:val="both"/>
        <w:spacing w:after="0" w:line="255"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are incorporated by reference into Part III of this Annual Report on Form 10-K. The Proxy Statement will be filed with the Securities and Exchange Commission within 120 days of the registrant’s fiscal year ended January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Page</w:t>
            </w:r>
          </w:p>
        </w:tc>
      </w:tr>
      <w:tr>
        <w:trPr>
          <w:trHeight w:val="270"/>
        </w:trPr>
        <w:tc>
          <w:tcPr>
            <w:tcW w:w="1014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FORWARD-LOOKING STATEMENTS</w:t>
              </w:r>
            </w:hyperlink>
          </w:p>
        </w:tc>
        <w:tc>
          <w:tcPr>
            <w:tcW w:w="1100" w:type="dxa"/>
            <w:vAlign w:val="bottom"/>
          </w:tcPr>
          <w:p>
            <w:pPr>
              <w:jc w:val="center"/>
              <w:ind w:left="410"/>
              <w:spacing w:after="0"/>
              <w:rPr>
                <w:rFonts w:ascii="Arial" w:cs="Arial" w:eastAsia="Arial" w:hAnsi="Arial"/>
                <w:sz w:val="18"/>
                <w:szCs w:val="18"/>
                <w:u w:val="single" w:color="auto"/>
                <w:color w:val="0000FF"/>
                <w:w w:val="79"/>
              </w:rPr>
            </w:pPr>
            <w:hyperlink w:anchor="page2">
              <w:r>
                <w:rPr>
                  <w:rFonts w:ascii="Arial" w:cs="Arial" w:eastAsia="Arial" w:hAnsi="Arial"/>
                  <w:sz w:val="18"/>
                  <w:szCs w:val="18"/>
                  <w:u w:val="single" w:color="auto"/>
                  <w:color w:val="0000FF"/>
                  <w:w w:val="79"/>
                </w:rPr>
                <w:t>3</w:t>
              </w:r>
            </w:hyperlink>
          </w:p>
        </w:tc>
      </w:tr>
      <w:tr>
        <w:trPr>
          <w:trHeight w:val="257"/>
        </w:trPr>
        <w:tc>
          <w:tcPr>
            <w:tcW w:w="1014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RISK FACTORS SUMMARY</w:t>
              </w:r>
            </w:hyperlink>
          </w:p>
        </w:tc>
        <w:tc>
          <w:tcPr>
            <w:tcW w:w="1100" w:type="dxa"/>
            <w:vAlign w:val="bottom"/>
          </w:tcPr>
          <w:p>
            <w:pPr>
              <w:jc w:val="center"/>
              <w:ind w:left="410"/>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4</w:t>
              </w:r>
            </w:hyperlink>
          </w:p>
        </w:tc>
      </w:tr>
      <w:tr>
        <w:trPr>
          <w:trHeight w:val="243"/>
        </w:trPr>
        <w:tc>
          <w:tcPr>
            <w:tcW w:w="126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w:t>
              </w:r>
            </w:hyperlink>
          </w:p>
        </w:tc>
        <w:tc>
          <w:tcPr>
            <w:tcW w:w="8880" w:type="dxa"/>
            <w:vAlign w:val="bottom"/>
          </w:tcPr>
          <w:p>
            <w:pPr>
              <w:spacing w:after="0"/>
              <w:rPr>
                <w:sz w:val="21"/>
                <w:szCs w:val="21"/>
                <w:color w:val="auto"/>
              </w:rPr>
            </w:pPr>
          </w:p>
        </w:tc>
        <w:tc>
          <w:tcPr>
            <w:tcW w:w="1100" w:type="dxa"/>
            <w:vAlign w:val="bottom"/>
          </w:tcPr>
          <w:p>
            <w:pPr>
              <w:jc w:val="center"/>
              <w:ind w:left="41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6</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8880" w:type="dxa"/>
            <w:vAlign w:val="bottom"/>
          </w:tcPr>
          <w:p>
            <w:pPr>
              <w:ind w:left="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c>
          <w:tcPr>
            <w:tcW w:w="1100" w:type="dxa"/>
            <w:vAlign w:val="bottom"/>
          </w:tcPr>
          <w:p>
            <w:pPr>
              <w:jc w:val="center"/>
              <w:ind w:left="410"/>
              <w:spacing w:after="0"/>
              <w:rPr>
                <w:rFonts w:ascii="Arial" w:cs="Arial" w:eastAsia="Arial" w:hAnsi="Arial"/>
                <w:sz w:val="18"/>
                <w:szCs w:val="18"/>
                <w:u w:val="single" w:color="auto"/>
                <w:color w:val="0000FF"/>
                <w:w w:val="79"/>
              </w:rPr>
            </w:pPr>
            <w:hyperlink w:anchor="page6">
              <w:r>
                <w:rPr>
                  <w:rFonts w:ascii="Arial" w:cs="Arial" w:eastAsia="Arial" w:hAnsi="Arial"/>
                  <w:sz w:val="18"/>
                  <w:szCs w:val="18"/>
                  <w:u w:val="single" w:color="auto"/>
                  <w:color w:val="0000FF"/>
                  <w:w w:val="79"/>
                </w:rPr>
                <w:t>6</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1A.</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20</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1B.</w:t>
              </w:r>
            </w:hyperlink>
          </w:p>
        </w:tc>
        <w:tc>
          <w:tcPr>
            <w:tcW w:w="8880" w:type="dxa"/>
            <w:vAlign w:val="bottom"/>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Unresolved Staff Comments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40</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2.</w:t>
              </w:r>
            </w:hyperlink>
          </w:p>
        </w:tc>
        <w:tc>
          <w:tcPr>
            <w:tcW w:w="8880" w:type="dxa"/>
            <w:vAlign w:val="bottom"/>
          </w:tcPr>
          <w:p>
            <w:pPr>
              <w:ind w:left="2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Properties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41</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w:t>
              </w:r>
            </w:hyperlink>
          </w:p>
        </w:tc>
        <w:tc>
          <w:tcPr>
            <w:tcW w:w="8880" w:type="dxa"/>
            <w:vAlign w:val="bottom"/>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42</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4.</w:t>
              </w:r>
            </w:hyperlink>
          </w:p>
        </w:tc>
        <w:tc>
          <w:tcPr>
            <w:tcW w:w="8880" w:type="dxa"/>
            <w:vAlign w:val="bottom"/>
          </w:tcPr>
          <w:p>
            <w:pPr>
              <w:ind w:left="2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Mine Safety Disclosures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r>
      <w:tr>
        <w:trPr>
          <w:trHeight w:val="270"/>
        </w:trPr>
        <w:tc>
          <w:tcPr>
            <w:tcW w:w="126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PART II</w:t>
              </w:r>
            </w:hyperlink>
          </w:p>
        </w:tc>
        <w:tc>
          <w:tcPr>
            <w:tcW w:w="8880" w:type="dxa"/>
            <w:vAlign w:val="bottom"/>
          </w:tcPr>
          <w:p>
            <w:pPr>
              <w:spacing w:after="0"/>
              <w:rPr>
                <w:sz w:val="23"/>
                <w:szCs w:val="23"/>
                <w:color w:val="auto"/>
              </w:rPr>
            </w:pPr>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r>
      <w:tr>
        <w:trPr>
          <w:trHeight w:val="297"/>
        </w:trPr>
        <w:tc>
          <w:tcPr>
            <w:tcW w:w="1260" w:type="dxa"/>
            <w:vAlign w:val="bottom"/>
          </w:tcPr>
          <w:p>
            <w:pPr>
              <w:ind w:left="40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5.</w:t>
              </w:r>
            </w:hyperlink>
          </w:p>
        </w:tc>
        <w:tc>
          <w:tcPr>
            <w:tcW w:w="8880" w:type="dxa"/>
            <w:vAlign w:val="bottom"/>
          </w:tcPr>
          <w:p>
            <w:pPr>
              <w:ind w:left="200"/>
              <w:spacing w:after="0"/>
              <w:rPr>
                <w:rFonts w:ascii="Arial" w:cs="Arial" w:eastAsia="Arial" w:hAnsi="Arial"/>
                <w:sz w:val="18"/>
                <w:szCs w:val="18"/>
                <w:u w:val="single" w:color="auto"/>
                <w:color w:val="0000FF"/>
                <w:w w:val="97"/>
              </w:rPr>
            </w:pPr>
            <w:hyperlink w:anchor="page43">
              <w:r>
                <w:rPr>
                  <w:rFonts w:ascii="Arial" w:cs="Arial" w:eastAsia="Arial" w:hAnsi="Arial"/>
                  <w:sz w:val="18"/>
                  <w:szCs w:val="18"/>
                  <w:u w:val="single" w:color="auto"/>
                  <w:color w:val="0000FF"/>
                  <w:w w:val="97"/>
                </w:rPr>
                <w:t>Market for Registrant’s Common Equity, Related Stockholder Matters and Issuer Purchases of Equity Securities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r>
      <w:tr>
        <w:trPr>
          <w:trHeight w:val="243"/>
        </w:trPr>
        <w:tc>
          <w:tcPr>
            <w:tcW w:w="1260" w:type="dxa"/>
            <w:vAlign w:val="bottom"/>
          </w:tcPr>
          <w:p>
            <w:pPr>
              <w:ind w:left="40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6.</w:t>
              </w:r>
            </w:hyperlink>
          </w:p>
        </w:tc>
        <w:tc>
          <w:tcPr>
            <w:tcW w:w="8880" w:type="dxa"/>
            <w:vAlign w:val="bottom"/>
          </w:tcPr>
          <w:p>
            <w:pPr>
              <w:ind w:left="20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Selected Financial Data</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44</w:t>
              </w:r>
            </w:hyperlink>
          </w:p>
        </w:tc>
      </w:tr>
      <w:tr>
        <w:trPr>
          <w:trHeight w:val="297"/>
        </w:trPr>
        <w:tc>
          <w:tcPr>
            <w:tcW w:w="1260" w:type="dxa"/>
            <w:vAlign w:val="bottom"/>
          </w:tcPr>
          <w:p>
            <w:pPr>
              <w:ind w:left="4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7.</w:t>
              </w:r>
            </w:hyperlink>
          </w:p>
        </w:tc>
        <w:tc>
          <w:tcPr>
            <w:tcW w:w="8880" w:type="dxa"/>
            <w:vAlign w:val="bottom"/>
          </w:tcPr>
          <w:p>
            <w:pPr>
              <w:ind w:left="2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Management’s Discussion and Analysis of Financial Condition and Results of Operations</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 7A.</w:t>
              </w:r>
            </w:hyperlink>
          </w:p>
        </w:tc>
        <w:tc>
          <w:tcPr>
            <w:tcW w:w="8880" w:type="dxa"/>
            <w:vAlign w:val="bottom"/>
          </w:tcPr>
          <w:p>
            <w:pPr>
              <w:ind w:left="2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Quantitative and Qualitative Disclosures About Market Risk</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71</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 8.</w:t>
              </w:r>
            </w:hyperlink>
          </w:p>
        </w:tc>
        <w:tc>
          <w:tcPr>
            <w:tcW w:w="8880" w:type="dxa"/>
            <w:vAlign w:val="bottom"/>
          </w:tcPr>
          <w:p>
            <w:pPr>
              <w:ind w:left="2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Financial Statements and Supplementary Data</w:t>
              </w:r>
            </w:hyperlink>
          </w:p>
        </w:tc>
        <w:tc>
          <w:tcPr>
            <w:tcW w:w="1100" w:type="dxa"/>
            <w:vAlign w:val="bottom"/>
          </w:tcPr>
          <w:p>
            <w:pPr>
              <w:jc w:val="center"/>
              <w:ind w:left="390"/>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72</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Item 9.</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Changes in and Disagreements with Accountants on Accounting and Financial Disclosure</w:t>
              </w:r>
            </w:hyperlink>
          </w:p>
        </w:tc>
        <w:tc>
          <w:tcPr>
            <w:tcW w:w="1100" w:type="dxa"/>
            <w:vAlign w:val="bottom"/>
          </w:tcPr>
          <w:p>
            <w:pPr>
              <w:jc w:val="center"/>
              <w:ind w:left="390"/>
              <w:spacing w:after="0"/>
              <w:rPr>
                <w:rFonts w:ascii="Arial" w:cs="Arial" w:eastAsia="Arial" w:hAnsi="Arial"/>
                <w:sz w:val="18"/>
                <w:szCs w:val="18"/>
                <w:u w:val="single" w:color="auto"/>
                <w:color w:val="0000FF"/>
                <w:w w:val="86"/>
              </w:rPr>
            </w:pPr>
            <w:hyperlink w:anchor="page117">
              <w:r>
                <w:rPr>
                  <w:rFonts w:ascii="Arial" w:cs="Arial" w:eastAsia="Arial" w:hAnsi="Arial"/>
                  <w:sz w:val="18"/>
                  <w:szCs w:val="18"/>
                  <w:u w:val="single" w:color="auto"/>
                  <w:color w:val="0000FF"/>
                  <w:w w:val="86"/>
                </w:rPr>
                <w:t>118</w:t>
              </w:r>
            </w:hyperlink>
          </w:p>
        </w:tc>
      </w:tr>
      <w:tr>
        <w:trPr>
          <w:trHeight w:val="243"/>
        </w:trPr>
        <w:tc>
          <w:tcPr>
            <w:tcW w:w="1260" w:type="dxa"/>
            <w:vAlign w:val="bottom"/>
          </w:tcPr>
          <w:p>
            <w:pPr>
              <w:ind w:left="40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Item 9A.</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Controls and Procedures</w:t>
              </w:r>
            </w:hyperlink>
          </w:p>
        </w:tc>
        <w:tc>
          <w:tcPr>
            <w:tcW w:w="1100" w:type="dxa"/>
            <w:vAlign w:val="bottom"/>
          </w:tcPr>
          <w:p>
            <w:pPr>
              <w:jc w:val="center"/>
              <w:ind w:left="390"/>
              <w:spacing w:after="0"/>
              <w:rPr>
                <w:rFonts w:ascii="Arial" w:cs="Arial" w:eastAsia="Arial" w:hAnsi="Arial"/>
                <w:sz w:val="18"/>
                <w:szCs w:val="18"/>
                <w:u w:val="single" w:color="auto"/>
                <w:color w:val="0000FF"/>
                <w:w w:val="86"/>
              </w:rPr>
            </w:pPr>
            <w:hyperlink w:anchor="page118">
              <w:r>
                <w:rPr>
                  <w:rFonts w:ascii="Arial" w:cs="Arial" w:eastAsia="Arial" w:hAnsi="Arial"/>
                  <w:sz w:val="18"/>
                  <w:szCs w:val="18"/>
                  <w:u w:val="single" w:color="auto"/>
                  <w:color w:val="0000FF"/>
                  <w:w w:val="86"/>
                </w:rPr>
                <w:t>118</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9B.</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Other Information</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19">
              <w:r>
                <w:rPr>
                  <w:rFonts w:ascii="Arial" w:cs="Arial" w:eastAsia="Arial" w:hAnsi="Arial"/>
                  <w:sz w:val="18"/>
                  <w:szCs w:val="18"/>
                  <w:u w:val="single" w:color="auto"/>
                  <w:color w:val="0000FF"/>
                  <w:w w:val="93"/>
                </w:rPr>
                <w:t>120</w:t>
              </w:r>
            </w:hyperlink>
          </w:p>
        </w:tc>
      </w:tr>
      <w:tr>
        <w:trPr>
          <w:trHeight w:val="270"/>
        </w:trPr>
        <w:tc>
          <w:tcPr>
            <w:tcW w:w="1260" w:type="dxa"/>
            <w:vAlign w:val="bottom"/>
          </w:tcPr>
          <w:p>
            <w:pPr>
              <w:ind w:left="2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PART III</w:t>
              </w:r>
            </w:hyperlink>
          </w:p>
        </w:tc>
        <w:tc>
          <w:tcPr>
            <w:tcW w:w="8880" w:type="dxa"/>
            <w:vAlign w:val="bottom"/>
          </w:tcPr>
          <w:p>
            <w:pPr>
              <w:spacing w:after="0"/>
              <w:rPr>
                <w:sz w:val="23"/>
                <w:szCs w:val="23"/>
                <w:color w:val="auto"/>
              </w:rPr>
            </w:pPr>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0">
              <w:r>
                <w:rPr>
                  <w:rFonts w:ascii="Arial" w:cs="Arial" w:eastAsia="Arial" w:hAnsi="Arial"/>
                  <w:sz w:val="18"/>
                  <w:szCs w:val="18"/>
                  <w:u w:val="single" w:color="auto"/>
                  <w:color w:val="0000FF"/>
                  <w:w w:val="93"/>
                </w:rPr>
                <w:t>120</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10.</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Directors, Executive Officers and Corporate Governance</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0">
              <w:r>
                <w:rPr>
                  <w:rFonts w:ascii="Arial" w:cs="Arial" w:eastAsia="Arial" w:hAnsi="Arial"/>
                  <w:sz w:val="18"/>
                  <w:szCs w:val="18"/>
                  <w:u w:val="single" w:color="auto"/>
                  <w:color w:val="0000FF"/>
                  <w:w w:val="93"/>
                </w:rPr>
                <w:t>120</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Item 11.</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Executive Compensation</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121</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Item 12.</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Security Ownership of Certain Beneficial Owners and Management and Related Stockholder Matters</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121</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Item 13.</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Certain Relationships and Related Transactions and Director Independence</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121</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Item 14.</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Principal Accountant Fees and Services</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121</w:t>
              </w:r>
            </w:hyperlink>
          </w:p>
        </w:tc>
      </w:tr>
      <w:tr>
        <w:trPr>
          <w:trHeight w:val="270"/>
        </w:trPr>
        <w:tc>
          <w:tcPr>
            <w:tcW w:w="1260" w:type="dxa"/>
            <w:vAlign w:val="bottom"/>
          </w:tcPr>
          <w:p>
            <w:pPr>
              <w:ind w:left="20"/>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PART IV</w:t>
              </w:r>
            </w:hyperlink>
          </w:p>
        </w:tc>
        <w:tc>
          <w:tcPr>
            <w:tcW w:w="8880" w:type="dxa"/>
            <w:vAlign w:val="bottom"/>
          </w:tcPr>
          <w:p>
            <w:pPr>
              <w:spacing w:after="0"/>
              <w:rPr>
                <w:sz w:val="23"/>
                <w:szCs w:val="23"/>
                <w:color w:val="auto"/>
              </w:rPr>
            </w:pPr>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122</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Item 15.</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Exhibits and Financial Statement Schedules</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2">
              <w:r>
                <w:rPr>
                  <w:rFonts w:ascii="Arial" w:cs="Arial" w:eastAsia="Arial" w:hAnsi="Arial"/>
                  <w:sz w:val="18"/>
                  <w:szCs w:val="18"/>
                  <w:u w:val="single" w:color="auto"/>
                  <w:color w:val="0000FF"/>
                  <w:w w:val="93"/>
                </w:rPr>
                <w:t>122</w:t>
              </w:r>
            </w:hyperlink>
          </w:p>
        </w:tc>
      </w:tr>
      <w:tr>
        <w:trPr>
          <w:trHeight w:val="270"/>
        </w:trPr>
        <w:tc>
          <w:tcPr>
            <w:tcW w:w="1260" w:type="dxa"/>
            <w:vAlign w:val="bottom"/>
          </w:tcPr>
          <w:p>
            <w:pPr>
              <w:ind w:left="40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Item 16.</w:t>
              </w:r>
            </w:hyperlink>
          </w:p>
        </w:tc>
        <w:tc>
          <w:tcPr>
            <w:tcW w:w="8880" w:type="dxa"/>
            <w:vAlign w:val="bottom"/>
          </w:tcPr>
          <w:p>
            <w:pPr>
              <w:ind w:left="20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Form 10-K Summary</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125</w:t>
              </w:r>
            </w:hyperlink>
          </w:p>
        </w:tc>
      </w:tr>
      <w:tr>
        <w:trPr>
          <w:trHeight w:val="270"/>
        </w:trPr>
        <w:tc>
          <w:tcPr>
            <w:tcW w:w="1260" w:type="dxa"/>
            <w:vAlign w:val="bottom"/>
          </w:tcPr>
          <w:p>
            <w:pPr>
              <w:spacing w:after="0"/>
              <w:rPr>
                <w:sz w:val="23"/>
                <w:szCs w:val="23"/>
                <w:color w:val="auto"/>
              </w:rPr>
            </w:pPr>
          </w:p>
        </w:tc>
        <w:tc>
          <w:tcPr>
            <w:tcW w:w="8880" w:type="dxa"/>
            <w:vAlign w:val="bottom"/>
          </w:tcPr>
          <w:p>
            <w:pPr>
              <w:ind w:left="20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Signatures</w:t>
              </w:r>
            </w:hyperlink>
          </w:p>
        </w:tc>
        <w:tc>
          <w:tcPr>
            <w:tcW w:w="1100" w:type="dxa"/>
            <w:vAlign w:val="bottom"/>
          </w:tcPr>
          <w:p>
            <w:pPr>
              <w:jc w:val="center"/>
              <w:ind w:left="410"/>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126</w:t>
              </w:r>
            </w:hyperlink>
          </w:p>
        </w:tc>
      </w:tr>
      <w:tr>
        <w:trPr>
          <w:trHeight w:val="1370"/>
        </w:trPr>
        <w:tc>
          <w:tcPr>
            <w:tcW w:w="126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 set forth in the section</w:t>
      </w:r>
    </w:p>
    <w:p>
      <w:pPr>
        <w:spacing w:after="0"/>
        <w:rPr>
          <w:sz w:val="20"/>
          <w:szCs w:val="20"/>
          <w:color w:val="auto"/>
        </w:rPr>
      </w:pPr>
      <w:r>
        <w:rPr>
          <w:rFonts w:ascii="Arial" w:cs="Arial" w:eastAsia="Arial" w:hAnsi="Arial"/>
          <w:sz w:val="18"/>
          <w:szCs w:val="18"/>
          <w:i w:val="1"/>
          <w:iCs w:val="1"/>
          <w:color w:val="auto"/>
        </w:rPr>
        <w:t>entitled “Risk Factors” in this Form 10-K.</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6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The COVID-19 pandemic has had, and may in the future continue to have, a material adverse impact on our business.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open and operate new stores in a timely and cost-effective manner or fail to successfully enter new markets, our financial performance could be materially and adversely affected.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recruit and retain vision care professionals for our stores could adversely affect our business, financial condition and results of operations.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operational success depends on our ability to develop, maintain and extend relationships with managed vision care companies, vision insurance providers and other third-party payors.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the performance of our host and legacy brands declines or we are unable to maintain our operating relationships with our host and legacy partners, our business, profitability and cash flows may be adversely affected and we may be required to incur impairment charges.</w:t>
      </w: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state, local and federal vision care and healthcare laws and regulations and failure to adhere to such laws and regulations would adversely affect our business.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managed vision care laws and regulations.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vendors from whom our products are sourced and are dependent on a limited number of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optical retail industry is highly competitive, and if we do not compete successfully, our business may be adversely impacted.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could strain our existing resources and cause the performance of our existing stores to suffer.</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21"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risks associated with leasing substantial amounts of space, including future increases in occupancy costs.</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our existing senior management team or attract qualified new personnel, such failure could have a material adverse effect on our business, financial condition and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overall decline in the health of the economy and other factors impacting consumer spending, such as recessionary conditions, the timing and issuance of tax refunds, governmental instability and natural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disasters, may affect consumer purchases, which could reduce demand for our products and materially harm our sales, profitability and financial condition.</w:t>
      </w:r>
    </w:p>
    <w:p>
      <w:pPr>
        <w:spacing w:after="0" w:line="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profitability and cash flows may be negatively affected if we are not successful in managing our inventory balances and inventory shrinkage.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and inventory levels fluctuate on a seasonal basis.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coverage and reimbursement, including government programs, for an increasing portion of our revenues, the future reduction of which could adversely affect our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e-commerce and omni-channel business faces distinct risks, and our failure to successfully manage it could have a negative impact on our profitability.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could be adversely affected by product liability, product recall or personal injury issues.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laws, regulations and enforcement activities or changes in statutory, regulatory, accounting and other legal requirements could potentially impact our operating and financial results.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litigation judgments or settlements resulting from legal proceedings relating to our business operations could materially adversely affect our business, financial condition and results of operations.</w:t>
      </w:r>
    </w:p>
    <w:p>
      <w:pPr>
        <w:spacing w:after="0" w:line="8"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incur losses arising from our investments in technological innovators in the optical retail industry, which would negatively affect our financial results.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adequately protect our intellectual property, which could harm the value of our brand and adversely affect our business.</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Indebtedness and Ownership of Common Stock</w:t>
      </w:r>
    </w:p>
    <w:p>
      <w:pPr>
        <w:spacing w:after="0" w:line="67"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significant amount of indebtedness which could adversely affect our business and financial position, including limiting our business flexibility and preventing us from meeting our debt obligations.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change in interest rates or discontinuation, reform or replacement of LIBOR and other benchmark rates, or uncertainty related to the potential for any of the foregoing, may adversely affect our business.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agreement contains restrictions that limit our flexibility in operating our business.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 of the 2025 Notes could dilute the ownership interest of existing stockholders or may otherwise depress the price of our common stock.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may be volatile or may decline regardless of our operating performance.</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holding company with no operations of our own and, as such, we depend on our subsidiaries for cash to fund all of our operations and expenses, including future dividend payments, if any.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downgrade our stock or our sector, our stock price and trading volume could decline.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the requirements of being a public company may strain our resources, divert management’s attention and affect our ability to attract and retain qualified board members.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Ineffective internal controls could have a material adverse effect on our business and stock price, and could result in our financial statements becoming unreliable.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could delay or prevent a change of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Board of Directors is authorized to issue and designate shares of our preferred stock in additional series without stockholder approval.</w:t>
      </w:r>
    </w:p>
    <w:p>
      <w:pPr>
        <w:spacing w:after="0" w:line="12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0563C1"/>
        </w:rPr>
        <w:t>www.nationalvision.com</w:t>
      </w:r>
      <w:r>
        <w:rPr>
          <w:rFonts w:ascii="Arial" w:cs="Arial" w:eastAsia="Arial" w:hAnsi="Arial"/>
          <w:sz w:val="18"/>
          <w:szCs w:val="18"/>
          <w:color w:val="auto"/>
        </w:rPr>
        <w:t>. Investors can obtain copies of our SEC filings from this site free of charge, as well as from the SEC website at www.sec.gov. The information posted to our website is not incorporated into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1,205 retail stores across five brands and 19 consumer websites as of January 2, 2021, our 2020 fiscal year end.</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symbol “EYE.” Our principal executive offices are located at 2435 Commerce Avenue, Bldg. 2200, Duluth, Georgia 30096.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Partners LLC (“Berkshire”) acquired both NVI and Consolidated Vision Group, Inc., which operated America’s Best Contacts and Eyeglasses (“America’s Best”) stores, and merged these entities, with NVI surviving. In 2009, NVI acquired the Eyeglass World store chain. In 2011, after a multi-year partnership, NVI acquired Arlington Contact Lens Service, Inc. (“AC Lens”) to bolster its e-commerce platform.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2014, NVI was acquired (the “KKR Acquisition”) by affiliates of KKR &amp; Co. Inc. (“KKR”). National Vision Holdings, Inc. was incorporated in Delaware on February 14, 2014 under the name “Nautilus Parent, Inc.” and NVI became our wholly-owned subsidiary in connection with the KKR Acquisition. In 2017, we changed our name to “National Vision Holdings, Inc.”</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October 2017, we completed the initial public offering of our common stock (the “IPO”). National Vision was controlled by affiliates of KKR and private equity funds managed by Berkshire until July 30, 2018 and by August 2019, these private equity funds had sold their remaining holds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NVI’s Business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COVID-19 in 2020 resulted in a global pandemic and a significant slowdown of economic activity including worldwide travel restrictions, prohibitions of non-essential work activities, disruption and shutdown of businesses, changes in consumer behavior and greater uncertainty in global financial markets, which in turn, had a significant impact on our operations and performance in fiscal 2020. We prioritized the safety of our associates, optometrists, customers and patients by closing our stores to the public for a temporary period of time in the first half of 2020 in order to implement enhanced safety protocols. Through the dedication of our associates and doctors, we were able to continue to provide our customers and patients reliable and quality low cost eye care and eyewear. Our strategy has guided us during these most challenging times and reinforces our confidence in our business model. As the pandemic endures and continues to have an impact on global economic activity, the extent to which COVID-19 adversely impacts our future business operations, financial performance and results of operations is uncertain and will depend on many factors outside the Company’s control. For a further discussion of the risks, uncertainties and actions taken in response to COVID-19, refer to Item 1A “Risk Factors” and Item 7 “Management’s Discussion and Analysis of Financial Condition and Results of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57150</wp:posOffset>
            </wp:positionV>
            <wp:extent cx="5349240" cy="2366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Note: Represents stores in operations across all five company retail brands at the end of each fiscal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fundamentals of our model are described below:</w:t>
      </w:r>
    </w:p>
    <w:p>
      <w:pPr>
        <w:spacing w:after="0" w:line="117" w:lineRule="exact"/>
        <w:rPr>
          <w:sz w:val="20"/>
          <w:szCs w:val="20"/>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Differentiated and Defensible Value Proposition</w:t>
      </w:r>
      <w:r>
        <w:rPr>
          <w:rFonts w:ascii="Arial" w:cs="Arial" w:eastAsia="Arial" w:hAnsi="Arial"/>
          <w:sz w:val="18"/>
          <w:szCs w:val="18"/>
          <w:color w:val="auto"/>
        </w:rPr>
        <w:t>. We believe our success is driven by our low prices, convenient locations, broad assortment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 at Eyeglass World, represent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86"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Recurring Revenue Characteristics</w:t>
      </w:r>
      <w:r>
        <w:rPr>
          <w:rFonts w:ascii="Arial" w:cs="Arial" w:eastAsia="Arial" w:hAnsi="Arial"/>
          <w:sz w:val="18"/>
          <w:szCs w:val="18"/>
          <w:color w:val="auto"/>
        </w:rPr>
        <w:t>. Eye care purchases are predominantly a medical necessity and are therefore considered non-discretionary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66% of total customers in 2020 and new customers representing the remaining 34% of total customers in 2020.</w:t>
      </w:r>
    </w:p>
    <w:p>
      <w:pPr>
        <w:spacing w:after="0" w:line="79" w:lineRule="exact"/>
        <w:rPr>
          <w:rFonts w:ascii="Arial" w:cs="Arial" w:eastAsia="Arial" w:hAnsi="Arial"/>
          <w:sz w:val="18"/>
          <w:szCs w:val="18"/>
          <w:color w:val="auto"/>
        </w:rPr>
      </w:pPr>
    </w:p>
    <w:p>
      <w:pPr>
        <w:jc w:val="both"/>
        <w:ind w:left="660" w:hanging="328"/>
        <w:spacing w:after="0" w:line="288" w:lineRule="auto"/>
        <w:tabs>
          <w:tab w:leader="none" w:pos="655"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Attractive Store Economics</w:t>
      </w:r>
      <w:r>
        <w:rPr>
          <w:rFonts w:ascii="Arial" w:cs="Arial" w:eastAsia="Arial" w:hAnsi="Arial"/>
          <w:sz w:val="16"/>
          <w:szCs w:val="16"/>
          <w:color w:val="auto"/>
        </w:rPr>
        <w:t>. Since 2006, we have opened 777 stores in the aggregate, including 747 stores under our America’s Best and Eyeglass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retail brands. Our store economics are based on low capital investment, steady ramping of sales in new locations, low operating costs and consistent sales volume and earnings growth in mature stores, which result in attractive returns on capital. By consistently replicating the key characteristics of our store model, we execute a formula-based approach to opening new stores and managing existing stores, which has delivered predictable store performance across vintages, diverse geographies and new and existing markets. Our new store model targets a store size between 3,500 to 4,500 square feet and an average new store cash investment of approximately $0.4 million to $0.5 million, in furniture, fixtures, leaseholds and equipment for new stores, net of tenant incentives. Our new store model targets sales in the fifth year of operation in the range of $1.4 million to $1.6 million, with at least 60% of year five sales targeted in the first full year of operation. Our new store model targets vary for America’s Best and Eyeglass World stores to reflect differences by brand, markets and geography. The majority of our owned stores have achieved profitability during the second year of operation and have paid back invested capital in three to five years.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Store Base. </w:t>
      </w:r>
      <w:r>
        <w:rPr>
          <w:rFonts w:ascii="Arial" w:cs="Arial" w:eastAsia="Arial" w:hAnsi="Arial"/>
          <w:sz w:val="17"/>
          <w:szCs w:val="17"/>
          <w:color w:val="auto"/>
        </w:rPr>
        <w:t>We believe that we continue to have significant expansion opportunities in the United States. We have adopted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have an established partnership with a third party real estate data analytics firm to evaluate potential new America’s Best and Eyeglass World stores and updated our analysis during 2020. This updated analysis suggests that we can grow America’s Best to at least 1,300 stores and Eyeglass World to at least 850 stores, inclusive of those already open. We believe that these two brands can accordingly grow from 892 stores as of January 2, 2021 to a total of at least 2,150 stores, with similar economics to the existing store base.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and Philanthropic Efforts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help people by making quality eye care and eyewear more affordable and accessible. Our philanthropic culture instills a sense of purpose and engagement in our associates, from in-store team members to senior management. Our associates feel pride in the positive work they are doing, which allows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success has helped fuel our ever-growing philanthropic engine. In the U.S., through our partnership with charitable organizations, we provide free vision screenings, eye exams and eyeglasses to young Americans and other underserved communities. In addition, through multiple charitable partnerships with organizations such as VisionSpring, RestoringVision and VOSH International, we both directly assist and indirectly help improve the vision of millions of individuals globally. We also work collaboratively with others in the industry to help a portion of the world’s population who live with uncorrected vision problems.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select Fred Meyer stores. Within this segment, we also provide low-cost vision care products and services to American military service members by operating Vista Optical locations on select military bases across the country. Our Legacy segment consists of our long-term strategic relationship with Walmart to operate Vision Centers in select Walmart stores. In addition, our wholly-owned subsidiary, FirstSight Vision Services, Inc. (“FirstSight”), which is licensed as a single-service health plan under California law, issues individual vision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omni-channel offerings and we also have an established standalone e-commerce business. Our e-commerce platform, which is managed by our wholly-owned subsidiary AC Lens, serves our proprietary e-commerce websites and the e-commerce websites of third parties, including Walmart, Sam’s Club and Giant Eagle. AC Lens handles site management, customer relationship management and order fulfillment and also sells a wide variety of contact lenses, eyeglasses and eye care accessories.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overview of our portfolio of brands: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0" w:type="dxa"/>
            <w:vAlign w:val="bottom"/>
            <w:tcBorders>
              <w:top w:val="single" w:sz="8" w:color="ACACAC"/>
            </w:tcBorders>
            <w:shd w:val="clear" w:color="auto" w:fill="ACACAC"/>
          </w:tcPr>
          <w:p>
            <w:pPr>
              <w:spacing w:after="0"/>
              <w:rPr>
                <w:sz w:val="22"/>
                <w:szCs w:val="22"/>
                <w:color w:val="auto"/>
              </w:rPr>
            </w:pPr>
          </w:p>
        </w:tc>
        <w:tc>
          <w:tcPr>
            <w:tcW w:w="1640" w:type="dxa"/>
            <w:vAlign w:val="bottom"/>
            <w:tcBorders>
              <w:top w:val="single" w:sz="8" w:color="ACACAC"/>
            </w:tcBorders>
            <w:shd w:val="clear" w:color="auto" w:fill="CCEEFF"/>
          </w:tcPr>
          <w:p>
            <w:pPr>
              <w:spacing w:after="0"/>
              <w:rPr>
                <w:sz w:val="22"/>
                <w:szCs w:val="22"/>
                <w:color w:val="auto"/>
              </w:rPr>
            </w:pPr>
          </w:p>
        </w:tc>
        <w:tc>
          <w:tcPr>
            <w:tcW w:w="5280" w:type="dxa"/>
            <w:vAlign w:val="bottom"/>
            <w:tcBorders>
              <w:top w:val="single" w:sz="8" w:color="ACACAC"/>
            </w:tcBorders>
            <w:gridSpan w:val="2"/>
            <w:shd w:val="clear" w:color="auto" w:fill="CCEEFF"/>
          </w:tcPr>
          <w:p>
            <w:pPr>
              <w:ind w:left="2040"/>
              <w:spacing w:after="0"/>
              <w:rPr>
                <w:sz w:val="20"/>
                <w:szCs w:val="20"/>
                <w:color w:val="auto"/>
              </w:rPr>
            </w:pPr>
            <w:r>
              <w:rPr>
                <w:rFonts w:ascii="Arial" w:cs="Arial" w:eastAsia="Arial" w:hAnsi="Arial"/>
                <w:sz w:val="15"/>
                <w:szCs w:val="15"/>
                <w:b w:val="1"/>
                <w:bCs w:val="1"/>
                <w:color w:val="auto"/>
              </w:rPr>
              <w:t>Owned &amp; Host Brands</w:t>
            </w:r>
          </w:p>
        </w:tc>
        <w:tc>
          <w:tcPr>
            <w:tcW w:w="2040" w:type="dxa"/>
            <w:vAlign w:val="bottom"/>
            <w:tcBorders>
              <w:top w:val="single" w:sz="8" w:color="ACACAC"/>
            </w:tcBorders>
            <w:shd w:val="clear" w:color="auto" w:fill="CCEEFF"/>
          </w:tcPr>
          <w:p>
            <w:pPr>
              <w:spacing w:after="0"/>
              <w:rPr>
                <w:sz w:val="22"/>
                <w:szCs w:val="22"/>
                <w:color w:val="auto"/>
              </w:rPr>
            </w:pPr>
          </w:p>
        </w:tc>
        <w:tc>
          <w:tcPr>
            <w:tcW w:w="2040" w:type="dxa"/>
            <w:vAlign w:val="bottom"/>
            <w:tcBorders>
              <w:top w:val="single" w:sz="8" w:color="ACACAC"/>
            </w:tcBorders>
            <w:shd w:val="clear" w:color="auto" w:fill="D4D6D7"/>
          </w:tcPr>
          <w:p>
            <w:pPr>
              <w:jc w:val="center"/>
              <w:spacing w:after="0"/>
              <w:rPr>
                <w:sz w:val="20"/>
                <w:szCs w:val="20"/>
                <w:color w:val="auto"/>
              </w:rPr>
            </w:pPr>
            <w:r>
              <w:rPr>
                <w:rFonts w:ascii="Arial" w:cs="Arial" w:eastAsia="Arial" w:hAnsi="Arial"/>
                <w:sz w:val="15"/>
                <w:szCs w:val="15"/>
                <w:b w:val="1"/>
                <w:bCs w:val="1"/>
                <w:color w:val="auto"/>
              </w:rPr>
              <w:t>Legacy</w:t>
            </w:r>
          </w:p>
        </w:tc>
        <w:tc>
          <w:tcPr>
            <w:tcW w:w="120" w:type="dxa"/>
            <w:vAlign w:val="bottom"/>
            <w:tcBorders>
              <w:top w:val="single" w:sz="8" w:color="ACACAC"/>
            </w:tcBorders>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20" w:type="dxa"/>
            <w:vAlign w:val="bottom"/>
            <w:shd w:val="clear" w:color="auto" w:fill="ACACAC"/>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vMerge w:val="restart"/>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ACACAC"/>
          </w:tcPr>
          <w:p>
            <w:pPr>
              <w:spacing w:after="0"/>
              <w:rPr>
                <w:sz w:val="17"/>
                <w:szCs w:val="17"/>
                <w:color w:val="auto"/>
              </w:rPr>
            </w:pPr>
          </w:p>
        </w:tc>
        <w:tc>
          <w:tcPr>
            <w:tcW w:w="1640" w:type="dxa"/>
            <w:vAlign w:val="bottom"/>
            <w:shd w:val="clear" w:color="auto" w:fill="CCEEFF"/>
          </w:tcPr>
          <w:p>
            <w:pPr>
              <w:jc w:val="center"/>
              <w:ind w:left="475"/>
              <w:spacing w:after="0"/>
              <w:rPr>
                <w:sz w:val="20"/>
                <w:szCs w:val="20"/>
                <w:color w:val="auto"/>
              </w:rPr>
            </w:pPr>
            <w:r>
              <w:rPr>
                <w:rFonts w:ascii="Arial" w:cs="Arial" w:eastAsia="Arial" w:hAnsi="Arial"/>
                <w:sz w:val="15"/>
                <w:szCs w:val="15"/>
                <w:b w:val="1"/>
                <w:bCs w:val="1"/>
                <w:color w:val="auto"/>
              </w:rPr>
              <w:t>Lowest Price</w:t>
            </w:r>
          </w:p>
        </w:tc>
        <w:tc>
          <w:tcPr>
            <w:tcW w:w="2620" w:type="dxa"/>
            <w:vAlign w:val="bottom"/>
            <w:shd w:val="clear" w:color="auto" w:fill="CCEEFF"/>
          </w:tcPr>
          <w:p>
            <w:pPr>
              <w:jc w:val="center"/>
              <w:ind w:left="633"/>
              <w:spacing w:after="0"/>
              <w:rPr>
                <w:sz w:val="20"/>
                <w:szCs w:val="20"/>
                <w:color w:val="auto"/>
              </w:rPr>
            </w:pPr>
            <w:r>
              <w:rPr>
                <w:rFonts w:ascii="Arial" w:cs="Arial" w:eastAsia="Arial" w:hAnsi="Arial"/>
                <w:sz w:val="15"/>
                <w:szCs w:val="15"/>
                <w:b w:val="1"/>
                <w:bCs w:val="1"/>
                <w:color w:val="auto"/>
              </w:rPr>
              <w:t>Eyewear Value Superstore</w:t>
            </w:r>
          </w:p>
        </w:tc>
        <w:tc>
          <w:tcPr>
            <w:tcW w:w="266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Shop-Within-A-Shop</w:t>
            </w:r>
          </w:p>
        </w:tc>
        <w:tc>
          <w:tcPr>
            <w:tcW w:w="2040" w:type="dxa"/>
            <w:vAlign w:val="bottom"/>
            <w:shd w:val="clear" w:color="auto" w:fill="CCEEFF"/>
          </w:tcPr>
          <w:p>
            <w:pPr>
              <w:jc w:val="center"/>
              <w:ind w:right="94"/>
              <w:spacing w:after="0"/>
              <w:rPr>
                <w:sz w:val="20"/>
                <w:szCs w:val="20"/>
                <w:color w:val="auto"/>
              </w:rPr>
            </w:pPr>
            <w:r>
              <w:rPr>
                <w:rFonts w:ascii="Arial" w:cs="Arial" w:eastAsia="Arial" w:hAnsi="Arial"/>
                <w:sz w:val="15"/>
                <w:szCs w:val="15"/>
                <w:b w:val="1"/>
                <w:bCs w:val="1"/>
                <w:color w:val="auto"/>
              </w:rPr>
              <w:t>Commissary Store</w:t>
            </w:r>
          </w:p>
        </w:tc>
        <w:tc>
          <w:tcPr>
            <w:tcW w:w="2040" w:type="dxa"/>
            <w:vAlign w:val="bottom"/>
            <w:shd w:val="clear" w:color="auto" w:fill="D4D6D7"/>
          </w:tcPr>
          <w:p>
            <w:pPr>
              <w:jc w:val="center"/>
              <w:spacing w:after="0"/>
              <w:rPr>
                <w:sz w:val="20"/>
                <w:szCs w:val="20"/>
                <w:color w:val="auto"/>
              </w:rPr>
            </w:pPr>
            <w:r>
              <w:rPr>
                <w:rFonts w:ascii="Arial" w:cs="Arial" w:eastAsia="Arial" w:hAnsi="Arial"/>
                <w:sz w:val="15"/>
                <w:szCs w:val="15"/>
                <w:b w:val="1"/>
                <w:bCs w:val="1"/>
                <w:color w:val="auto"/>
              </w:rPr>
              <w:t>Shop-Within-A-Shop</w:t>
            </w:r>
          </w:p>
        </w:tc>
        <w:tc>
          <w:tcPr>
            <w:tcW w:w="1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20" w:type="dxa"/>
            <w:vAlign w:val="bottom"/>
            <w:shd w:val="clear" w:color="auto" w:fill="ACACAC"/>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3"/>
                <w:szCs w:val="13"/>
                <w:i w:val="1"/>
                <w:iCs w:val="1"/>
                <w:color w:val="auto"/>
                <w:w w:val="95"/>
              </w:rPr>
              <w:t>“Great Deals Everywhere You Look”</w:t>
            </w:r>
          </w:p>
        </w:tc>
        <w:tc>
          <w:tcPr>
            <w:tcW w:w="2040" w:type="dxa"/>
            <w:vAlign w:val="bottom"/>
          </w:tcPr>
          <w:p>
            <w:pPr>
              <w:jc w:val="center"/>
              <w:ind w:right="94"/>
              <w:spacing w:after="0"/>
              <w:rPr>
                <w:sz w:val="20"/>
                <w:szCs w:val="20"/>
                <w:color w:val="auto"/>
              </w:rPr>
            </w:pPr>
            <w:r>
              <w:rPr>
                <w:rFonts w:ascii="Arial" w:cs="Arial" w:eastAsia="Arial" w:hAnsi="Arial"/>
                <w:sz w:val="13"/>
                <w:szCs w:val="13"/>
                <w:i w:val="1"/>
                <w:iCs w:val="1"/>
                <w:color w:val="auto"/>
                <w:w w:val="96"/>
              </w:rPr>
              <w:t>“Fantastic Military Pricing”</w:t>
            </w:r>
          </w:p>
        </w:tc>
        <w:tc>
          <w:tcPr>
            <w:tcW w:w="2040" w:type="dxa"/>
            <w:vAlign w:val="bottom"/>
          </w:tcPr>
          <w:p>
            <w:pPr>
              <w:jc w:val="center"/>
              <w:spacing w:after="0"/>
              <w:rPr>
                <w:sz w:val="20"/>
                <w:szCs w:val="20"/>
                <w:color w:val="auto"/>
              </w:rPr>
            </w:pPr>
            <w:r>
              <w:rPr>
                <w:rFonts w:ascii="Arial" w:cs="Arial" w:eastAsia="Arial" w:hAnsi="Arial"/>
                <w:sz w:val="13"/>
                <w:szCs w:val="13"/>
                <w:i w:val="1"/>
                <w:iCs w:val="1"/>
                <w:color w:val="auto"/>
                <w:w w:val="97"/>
              </w:rPr>
              <w:t>“Everyday Low Price”</w:t>
            </w:r>
          </w:p>
        </w:tc>
        <w:tc>
          <w:tcPr>
            <w:tcW w:w="120" w:type="dxa"/>
            <w:vAlign w:val="bottom"/>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0" w:type="dxa"/>
            <w:vAlign w:val="bottom"/>
            <w:shd w:val="clear" w:color="auto" w:fill="ACACAC"/>
          </w:tcPr>
          <w:p>
            <w:pPr>
              <w:spacing w:after="0"/>
              <w:rPr>
                <w:sz w:val="24"/>
                <w:szCs w:val="24"/>
                <w:color w:val="auto"/>
              </w:rPr>
            </w:pPr>
          </w:p>
        </w:tc>
        <w:tc>
          <w:tcPr>
            <w:tcW w:w="1640" w:type="dxa"/>
            <w:vAlign w:val="bottom"/>
          </w:tcPr>
          <w:p>
            <w:pPr>
              <w:jc w:val="center"/>
              <w:ind w:left="475"/>
              <w:spacing w:after="0"/>
              <w:rPr>
                <w:sz w:val="20"/>
                <w:szCs w:val="20"/>
                <w:color w:val="auto"/>
              </w:rPr>
            </w:pPr>
            <w:r>
              <w:rPr>
                <w:rFonts w:ascii="Arial" w:cs="Arial" w:eastAsia="Arial" w:hAnsi="Arial"/>
                <w:sz w:val="13"/>
                <w:szCs w:val="13"/>
                <w:b w:val="1"/>
                <w:bCs w:val="1"/>
                <w:color w:val="auto"/>
                <w:w w:val="97"/>
              </w:rPr>
              <w:t>Employed ODs</w:t>
            </w:r>
          </w:p>
        </w:tc>
        <w:tc>
          <w:tcPr>
            <w:tcW w:w="2620" w:type="dxa"/>
            <w:vAlign w:val="bottom"/>
          </w:tcPr>
          <w:p>
            <w:pPr>
              <w:jc w:val="center"/>
              <w:ind w:left="633"/>
              <w:spacing w:after="0"/>
              <w:rPr>
                <w:sz w:val="20"/>
                <w:szCs w:val="20"/>
                <w:color w:val="auto"/>
              </w:rPr>
            </w:pPr>
            <w:r>
              <w:rPr>
                <w:rFonts w:ascii="Arial" w:cs="Arial" w:eastAsia="Arial" w:hAnsi="Arial"/>
                <w:sz w:val="13"/>
                <w:szCs w:val="13"/>
                <w:b w:val="1"/>
                <w:bCs w:val="1"/>
                <w:color w:val="auto"/>
                <w:w w:val="97"/>
              </w:rPr>
              <w:t>Mostly Independent ODs</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2040" w:type="dxa"/>
            <w:vAlign w:val="bottom"/>
          </w:tcPr>
          <w:p>
            <w:pPr>
              <w:jc w:val="center"/>
              <w:ind w:right="94"/>
              <w:spacing w:after="0"/>
              <w:rPr>
                <w:sz w:val="20"/>
                <w:szCs w:val="20"/>
                <w:color w:val="auto"/>
              </w:rPr>
            </w:pPr>
            <w:r>
              <w:rPr>
                <w:rFonts w:ascii="Arial" w:cs="Arial" w:eastAsia="Arial" w:hAnsi="Arial"/>
                <w:sz w:val="13"/>
                <w:szCs w:val="13"/>
                <w:b w:val="1"/>
                <w:bCs w:val="1"/>
                <w:color w:val="auto"/>
                <w:w w:val="97"/>
              </w:rPr>
              <w:t>Mostly Independent ODs</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120" w:type="dxa"/>
            <w:vAlign w:val="bottom"/>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ACACAC"/>
          </w:tcPr>
          <w:p>
            <w:pPr>
              <w:spacing w:after="0"/>
              <w:rPr>
                <w:sz w:val="15"/>
                <w:szCs w:val="15"/>
                <w:color w:val="auto"/>
              </w:rPr>
            </w:pPr>
          </w:p>
        </w:tc>
        <w:tc>
          <w:tcPr>
            <w:tcW w:w="1640" w:type="dxa"/>
            <w:vAlign w:val="bottom"/>
          </w:tcPr>
          <w:p>
            <w:pPr>
              <w:jc w:val="center"/>
              <w:ind w:left="495"/>
              <w:spacing w:after="0"/>
              <w:rPr>
                <w:sz w:val="20"/>
                <w:szCs w:val="20"/>
                <w:color w:val="auto"/>
              </w:rPr>
            </w:pPr>
            <w:r>
              <w:rPr>
                <w:rFonts w:ascii="Arial" w:cs="Arial" w:eastAsia="Arial" w:hAnsi="Arial"/>
                <w:sz w:val="13"/>
                <w:szCs w:val="13"/>
                <w:color w:val="auto"/>
                <w:w w:val="95"/>
              </w:rPr>
              <w:t>773 Stores</w:t>
            </w:r>
          </w:p>
        </w:tc>
        <w:tc>
          <w:tcPr>
            <w:tcW w:w="2620" w:type="dxa"/>
            <w:vAlign w:val="bottom"/>
          </w:tcPr>
          <w:p>
            <w:pPr>
              <w:jc w:val="center"/>
              <w:ind w:left="633"/>
              <w:spacing w:after="0"/>
              <w:rPr>
                <w:sz w:val="20"/>
                <w:szCs w:val="20"/>
                <w:color w:val="auto"/>
              </w:rPr>
            </w:pPr>
            <w:r>
              <w:rPr>
                <w:rFonts w:ascii="Arial" w:cs="Arial" w:eastAsia="Arial" w:hAnsi="Arial"/>
                <w:sz w:val="13"/>
                <w:szCs w:val="13"/>
                <w:color w:val="auto"/>
                <w:w w:val="95"/>
              </w:rPr>
              <w:t>119 Stores</w:t>
            </w: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29 Stores</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3"/>
              </w:rPr>
              <w:t>54 Stores</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230 Stores</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ACACAC"/>
          </w:tcPr>
          <w:p>
            <w:pPr>
              <w:spacing w:after="0"/>
              <w:rPr>
                <w:sz w:val="15"/>
                <w:szCs w:val="15"/>
                <w:color w:val="auto"/>
              </w:rPr>
            </w:pPr>
          </w:p>
        </w:tc>
        <w:tc>
          <w:tcPr>
            <w:tcW w:w="1640" w:type="dxa"/>
            <w:vAlign w:val="bottom"/>
          </w:tcPr>
          <w:p>
            <w:pPr>
              <w:jc w:val="center"/>
              <w:ind w:left="495"/>
              <w:spacing w:after="0"/>
              <w:rPr>
                <w:sz w:val="20"/>
                <w:szCs w:val="20"/>
                <w:color w:val="auto"/>
              </w:rPr>
            </w:pPr>
            <w:r>
              <w:rPr>
                <w:rFonts w:ascii="Arial" w:cs="Arial" w:eastAsia="Arial" w:hAnsi="Arial"/>
                <w:sz w:val="13"/>
                <w:szCs w:val="13"/>
                <w:color w:val="auto"/>
                <w:w w:val="95"/>
              </w:rPr>
              <w:t>~3,500 sq. ft.</w:t>
            </w:r>
          </w:p>
        </w:tc>
        <w:tc>
          <w:tcPr>
            <w:tcW w:w="2620" w:type="dxa"/>
            <w:vAlign w:val="bottom"/>
          </w:tcPr>
          <w:p>
            <w:pPr>
              <w:jc w:val="center"/>
              <w:ind w:left="633"/>
              <w:spacing w:after="0"/>
              <w:rPr>
                <w:sz w:val="20"/>
                <w:szCs w:val="20"/>
                <w:color w:val="auto"/>
              </w:rPr>
            </w:pPr>
            <w:r>
              <w:rPr>
                <w:rFonts w:ascii="Arial" w:cs="Arial" w:eastAsia="Arial" w:hAnsi="Arial"/>
                <w:sz w:val="13"/>
                <w:szCs w:val="13"/>
                <w:color w:val="auto"/>
                <w:w w:val="95"/>
              </w:rPr>
              <w:t>~4,500 sq. ft.</w:t>
            </w:r>
          </w:p>
        </w:tc>
        <w:tc>
          <w:tcPr>
            <w:tcW w:w="2660" w:type="dxa"/>
            <w:vAlign w:val="bottom"/>
          </w:tcPr>
          <w:p>
            <w:pPr>
              <w:jc w:val="center"/>
              <w:spacing w:after="0"/>
              <w:rPr>
                <w:sz w:val="20"/>
                <w:szCs w:val="20"/>
                <w:color w:val="auto"/>
              </w:rPr>
            </w:pPr>
            <w:r>
              <w:rPr>
                <w:rFonts w:ascii="Arial" w:cs="Arial" w:eastAsia="Arial" w:hAnsi="Arial"/>
                <w:sz w:val="13"/>
                <w:szCs w:val="13"/>
                <w:color w:val="auto"/>
                <w:w w:val="98"/>
              </w:rPr>
              <w:t>~800 sq. ft.</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5"/>
              </w:rPr>
              <w:t>~1,000 sq. ft.</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~1,800 sq. ft.</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ACACAC"/>
          </w:tcPr>
          <w:p>
            <w:pPr>
              <w:spacing w:after="0"/>
              <w:rPr>
                <w:sz w:val="15"/>
                <w:szCs w:val="15"/>
                <w:color w:val="auto"/>
              </w:rPr>
            </w:pPr>
          </w:p>
        </w:tc>
        <w:tc>
          <w:tcPr>
            <w:tcW w:w="1640" w:type="dxa"/>
            <w:vAlign w:val="bottom"/>
          </w:tcPr>
          <w:p>
            <w:pPr>
              <w:jc w:val="center"/>
              <w:ind w:left="475"/>
              <w:spacing w:after="0"/>
              <w:rPr>
                <w:sz w:val="20"/>
                <w:szCs w:val="20"/>
                <w:color w:val="auto"/>
              </w:rPr>
            </w:pPr>
            <w:r>
              <w:rPr>
                <w:rFonts w:ascii="Arial" w:cs="Arial" w:eastAsia="Arial" w:hAnsi="Arial"/>
                <w:sz w:val="13"/>
                <w:szCs w:val="13"/>
                <w:color w:val="auto"/>
                <w:w w:val="96"/>
              </w:rPr>
              <w:t>~1,300 SKUs</w:t>
            </w:r>
          </w:p>
        </w:tc>
        <w:tc>
          <w:tcPr>
            <w:tcW w:w="2620" w:type="dxa"/>
            <w:vAlign w:val="bottom"/>
          </w:tcPr>
          <w:p>
            <w:pPr>
              <w:jc w:val="center"/>
              <w:ind w:left="613"/>
              <w:spacing w:after="0"/>
              <w:rPr>
                <w:sz w:val="20"/>
                <w:szCs w:val="20"/>
                <w:color w:val="auto"/>
              </w:rPr>
            </w:pPr>
            <w:r>
              <w:rPr>
                <w:rFonts w:ascii="Arial" w:cs="Arial" w:eastAsia="Arial" w:hAnsi="Arial"/>
                <w:sz w:val="13"/>
                <w:szCs w:val="13"/>
                <w:color w:val="auto"/>
                <w:w w:val="96"/>
              </w:rPr>
              <w:t>~1,900 SKUs</w:t>
            </w: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~600 SKUs</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6"/>
              </w:rPr>
              <w:t>~700 SKUs</w:t>
            </w:r>
          </w:p>
        </w:tc>
        <w:tc>
          <w:tcPr>
            <w:tcW w:w="2040" w:type="dxa"/>
            <w:vAlign w:val="bottom"/>
          </w:tcPr>
          <w:p>
            <w:pPr>
              <w:jc w:val="center"/>
              <w:spacing w:after="0"/>
              <w:rPr>
                <w:sz w:val="20"/>
                <w:szCs w:val="20"/>
                <w:color w:val="auto"/>
              </w:rPr>
            </w:pPr>
            <w:r>
              <w:rPr>
                <w:rFonts w:ascii="Arial" w:cs="Arial" w:eastAsia="Arial" w:hAnsi="Arial"/>
                <w:sz w:val="13"/>
                <w:szCs w:val="13"/>
                <w:color w:val="auto"/>
                <w:w w:val="96"/>
              </w:rPr>
              <w:t>~800 SKUs</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CACAC"/>
            </w:tcBorders>
            <w:shd w:val="clear" w:color="auto" w:fill="ACACAC"/>
          </w:tcPr>
          <w:p>
            <w:pPr>
              <w:spacing w:after="0"/>
              <w:rPr>
                <w:sz w:val="20"/>
                <w:szCs w:val="20"/>
                <w:color w:val="auto"/>
              </w:rPr>
            </w:pPr>
          </w:p>
        </w:tc>
        <w:tc>
          <w:tcPr>
            <w:tcW w:w="1640" w:type="dxa"/>
            <w:vAlign w:val="bottom"/>
            <w:tcBorders>
              <w:bottom w:val="single" w:sz="8" w:color="ACACAC"/>
            </w:tcBorders>
          </w:tcPr>
          <w:p>
            <w:pPr>
              <w:jc w:val="center"/>
              <w:ind w:left="495"/>
              <w:spacing w:after="0"/>
              <w:rPr>
                <w:sz w:val="20"/>
                <w:szCs w:val="20"/>
                <w:color w:val="auto"/>
              </w:rPr>
            </w:pPr>
            <w:r>
              <w:rPr>
                <w:rFonts w:ascii="Arial" w:cs="Arial" w:eastAsia="Arial" w:hAnsi="Arial"/>
                <w:sz w:val="13"/>
                <w:szCs w:val="13"/>
                <w:color w:val="auto"/>
                <w:w w:val="96"/>
              </w:rPr>
              <w:t>Centralized Lab</w:t>
            </w:r>
          </w:p>
        </w:tc>
        <w:tc>
          <w:tcPr>
            <w:tcW w:w="2620" w:type="dxa"/>
            <w:vAlign w:val="bottom"/>
            <w:tcBorders>
              <w:bottom w:val="single" w:sz="8" w:color="ACACAC"/>
            </w:tcBorders>
          </w:tcPr>
          <w:p>
            <w:pPr>
              <w:jc w:val="center"/>
              <w:ind w:left="613"/>
              <w:spacing w:after="0"/>
              <w:rPr>
                <w:sz w:val="20"/>
                <w:szCs w:val="20"/>
                <w:color w:val="auto"/>
              </w:rPr>
            </w:pPr>
            <w:r>
              <w:rPr>
                <w:rFonts w:ascii="Arial" w:cs="Arial" w:eastAsia="Arial" w:hAnsi="Arial"/>
                <w:sz w:val="13"/>
                <w:szCs w:val="13"/>
                <w:color w:val="auto"/>
                <w:w w:val="96"/>
              </w:rPr>
              <w:t>Lab in Store / Centralized Lab</w:t>
            </w:r>
          </w:p>
        </w:tc>
        <w:tc>
          <w:tcPr>
            <w:tcW w:w="2660" w:type="dxa"/>
            <w:vAlign w:val="bottom"/>
            <w:tcBorders>
              <w:bottom w:val="single" w:sz="8" w:color="ACACAC"/>
            </w:tcBorders>
          </w:tcPr>
          <w:p>
            <w:pPr>
              <w:jc w:val="center"/>
              <w:spacing w:after="0"/>
              <w:rPr>
                <w:sz w:val="20"/>
                <w:szCs w:val="20"/>
                <w:color w:val="auto"/>
              </w:rPr>
            </w:pPr>
            <w:r>
              <w:rPr>
                <w:rFonts w:ascii="Arial" w:cs="Arial" w:eastAsia="Arial" w:hAnsi="Arial"/>
                <w:sz w:val="13"/>
                <w:szCs w:val="13"/>
                <w:color w:val="auto"/>
                <w:w w:val="96"/>
              </w:rPr>
              <w:t>Centralized Lab</w:t>
            </w:r>
          </w:p>
        </w:tc>
        <w:tc>
          <w:tcPr>
            <w:tcW w:w="2040" w:type="dxa"/>
            <w:vAlign w:val="bottom"/>
            <w:tcBorders>
              <w:bottom w:val="single" w:sz="8" w:color="ACACAC"/>
            </w:tcBorders>
          </w:tcPr>
          <w:p>
            <w:pPr>
              <w:jc w:val="center"/>
              <w:ind w:right="94"/>
              <w:spacing w:after="0"/>
              <w:rPr>
                <w:sz w:val="20"/>
                <w:szCs w:val="20"/>
                <w:color w:val="auto"/>
              </w:rPr>
            </w:pPr>
            <w:r>
              <w:rPr>
                <w:rFonts w:ascii="Arial" w:cs="Arial" w:eastAsia="Arial" w:hAnsi="Arial"/>
                <w:sz w:val="13"/>
                <w:szCs w:val="13"/>
                <w:color w:val="auto"/>
                <w:w w:val="96"/>
              </w:rPr>
              <w:t>Centralized Lab</w:t>
            </w:r>
          </w:p>
        </w:tc>
        <w:tc>
          <w:tcPr>
            <w:tcW w:w="2040" w:type="dxa"/>
            <w:vAlign w:val="bottom"/>
            <w:tcBorders>
              <w:bottom w:val="single" w:sz="8" w:color="ACACAC"/>
            </w:tcBorders>
          </w:tcPr>
          <w:p>
            <w:pPr>
              <w:jc w:val="center"/>
              <w:spacing w:after="0"/>
              <w:rPr>
                <w:sz w:val="20"/>
                <w:szCs w:val="20"/>
                <w:color w:val="auto"/>
              </w:rPr>
            </w:pPr>
            <w:r>
              <w:rPr>
                <w:rFonts w:ascii="Arial" w:cs="Arial" w:eastAsia="Arial" w:hAnsi="Arial"/>
                <w:sz w:val="13"/>
                <w:szCs w:val="13"/>
                <w:color w:val="auto"/>
                <w:w w:val="96"/>
              </w:rPr>
              <w:t>Centralized Lab</w:t>
            </w:r>
          </w:p>
        </w:tc>
        <w:tc>
          <w:tcPr>
            <w:tcW w:w="120" w:type="dxa"/>
            <w:vAlign w:val="bottom"/>
            <w:tcBorders>
              <w:bottom w:val="single" w:sz="8" w:color="ACACAC"/>
            </w:tcBorders>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Borders>
              <w:top w:val="single" w:sz="8" w:color="ACACAC"/>
            </w:tcBorders>
            <w:shd w:val="clear" w:color="auto" w:fill="ACACAC"/>
          </w:tcPr>
          <w:p>
            <w:pPr>
              <w:spacing w:after="0"/>
              <w:rPr>
                <w:sz w:val="17"/>
                <w:szCs w:val="17"/>
                <w:color w:val="auto"/>
              </w:rPr>
            </w:pPr>
          </w:p>
        </w:tc>
        <w:tc>
          <w:tcPr>
            <w:tcW w:w="1640" w:type="dxa"/>
            <w:vAlign w:val="bottom"/>
            <w:tcBorders>
              <w:top w:val="single" w:sz="8" w:color="225799"/>
            </w:tcBorders>
          </w:tcPr>
          <w:p>
            <w:pPr>
              <w:spacing w:after="0"/>
              <w:rPr>
                <w:sz w:val="17"/>
                <w:szCs w:val="17"/>
                <w:color w:val="auto"/>
              </w:rPr>
            </w:pPr>
          </w:p>
        </w:tc>
        <w:tc>
          <w:tcPr>
            <w:tcW w:w="2620" w:type="dxa"/>
            <w:vAlign w:val="bottom"/>
            <w:tcBorders>
              <w:top w:val="single" w:sz="8" w:color="225799"/>
            </w:tcBorders>
          </w:tcPr>
          <w:p>
            <w:pPr>
              <w:spacing w:after="0"/>
              <w:rPr>
                <w:sz w:val="17"/>
                <w:szCs w:val="17"/>
                <w:color w:val="auto"/>
              </w:rPr>
            </w:pPr>
          </w:p>
        </w:tc>
        <w:tc>
          <w:tcPr>
            <w:tcW w:w="2660" w:type="dxa"/>
            <w:vAlign w:val="bottom"/>
            <w:tcBorders>
              <w:top w:val="single" w:sz="8" w:color="225799"/>
            </w:tcBorders>
          </w:tcPr>
          <w:p>
            <w:pPr>
              <w:spacing w:after="0"/>
              <w:rPr>
                <w:sz w:val="20"/>
                <w:szCs w:val="20"/>
                <w:color w:val="auto"/>
              </w:rPr>
            </w:pPr>
            <w:r>
              <w:rPr>
                <w:rFonts w:ascii="Arial" w:cs="Arial" w:eastAsia="Arial" w:hAnsi="Arial"/>
                <w:sz w:val="15"/>
                <w:szCs w:val="15"/>
                <w:b w:val="1"/>
                <w:bCs w:val="1"/>
                <w:color w:val="00497F"/>
              </w:rPr>
              <w:t>OMNI-CHANNEL &amp; E-COMMERCE</w:t>
            </w:r>
          </w:p>
        </w:tc>
        <w:tc>
          <w:tcPr>
            <w:tcW w:w="2040" w:type="dxa"/>
            <w:vAlign w:val="bottom"/>
            <w:tcBorders>
              <w:top w:val="single" w:sz="8" w:color="225799"/>
            </w:tcBorders>
          </w:tcPr>
          <w:p>
            <w:pPr>
              <w:spacing w:after="0"/>
              <w:rPr>
                <w:sz w:val="17"/>
                <w:szCs w:val="17"/>
                <w:color w:val="auto"/>
              </w:rPr>
            </w:pPr>
          </w:p>
        </w:tc>
        <w:tc>
          <w:tcPr>
            <w:tcW w:w="2040" w:type="dxa"/>
            <w:vAlign w:val="bottom"/>
            <w:tcBorders>
              <w:top w:val="single" w:sz="8" w:color="225799"/>
            </w:tcBorders>
          </w:tcPr>
          <w:p>
            <w:pPr>
              <w:spacing w:after="0"/>
              <w:rPr>
                <w:sz w:val="17"/>
                <w:szCs w:val="17"/>
                <w:color w:val="auto"/>
              </w:rPr>
            </w:pPr>
          </w:p>
        </w:tc>
        <w:tc>
          <w:tcPr>
            <w:tcW w:w="120" w:type="dxa"/>
            <w:vAlign w:val="bottom"/>
            <w:tcBorders>
              <w:top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ACACAC"/>
          </w:tcPr>
          <w:p>
            <w:pPr>
              <w:spacing w:after="0"/>
              <w:rPr>
                <w:sz w:val="16"/>
                <w:szCs w:val="16"/>
                <w:color w:val="auto"/>
              </w:rPr>
            </w:pPr>
          </w:p>
        </w:tc>
        <w:tc>
          <w:tcPr>
            <w:tcW w:w="1640" w:type="dxa"/>
            <w:vAlign w:val="bottom"/>
          </w:tcPr>
          <w:p>
            <w:pPr>
              <w:spacing w:after="0"/>
              <w:rPr>
                <w:sz w:val="16"/>
                <w:szCs w:val="16"/>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Sister Sites (4)</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Proprietary Sites (6)</w:t>
            </w:r>
          </w:p>
        </w:tc>
        <w:tc>
          <w:tcPr>
            <w:tcW w:w="4080" w:type="dxa"/>
            <w:vAlign w:val="bottom"/>
            <w:gridSpan w:val="2"/>
          </w:tcPr>
          <w:p>
            <w:pPr>
              <w:ind w:left="1400"/>
              <w:spacing w:after="0"/>
              <w:rPr>
                <w:sz w:val="20"/>
                <w:szCs w:val="20"/>
                <w:color w:val="auto"/>
              </w:rPr>
            </w:pPr>
            <w:r>
              <w:rPr>
                <w:rFonts w:ascii="Arial" w:cs="Arial" w:eastAsia="Arial" w:hAnsi="Arial"/>
                <w:sz w:val="14"/>
                <w:szCs w:val="14"/>
                <w:b w:val="1"/>
                <w:bCs w:val="1"/>
                <w:color w:val="auto"/>
              </w:rPr>
              <w:t>Partner Sites (9)</w:t>
            </w:r>
          </w:p>
        </w:tc>
        <w:tc>
          <w:tcPr>
            <w:tcW w:w="1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788"/>
        </w:trPr>
        <w:tc>
          <w:tcPr>
            <w:tcW w:w="120" w:type="dxa"/>
            <w:vAlign w:val="bottom"/>
            <w:tcBorders>
              <w:bottom w:val="single" w:sz="8" w:color="ACACAC"/>
            </w:tcBorders>
            <w:shd w:val="clear" w:color="auto" w:fill="ACACAC"/>
          </w:tcPr>
          <w:p>
            <w:pPr>
              <w:spacing w:after="0"/>
              <w:rPr>
                <w:sz w:val="24"/>
                <w:szCs w:val="24"/>
                <w:color w:val="auto"/>
              </w:rPr>
            </w:pPr>
          </w:p>
        </w:tc>
        <w:tc>
          <w:tcPr>
            <w:tcW w:w="1640" w:type="dxa"/>
            <w:vAlign w:val="bottom"/>
            <w:tcBorders>
              <w:bottom w:val="single" w:sz="8" w:color="ACACAC"/>
            </w:tcBorders>
          </w:tcPr>
          <w:p>
            <w:pPr>
              <w:spacing w:after="0"/>
              <w:rPr>
                <w:sz w:val="24"/>
                <w:szCs w:val="24"/>
                <w:color w:val="auto"/>
              </w:rPr>
            </w:pPr>
          </w:p>
        </w:tc>
        <w:tc>
          <w:tcPr>
            <w:tcW w:w="2620" w:type="dxa"/>
            <w:vAlign w:val="bottom"/>
            <w:tcBorders>
              <w:bottom w:val="single" w:sz="8" w:color="ACACAC"/>
            </w:tcBorders>
          </w:tcPr>
          <w:p>
            <w:pPr>
              <w:spacing w:after="0"/>
              <w:rPr>
                <w:sz w:val="24"/>
                <w:szCs w:val="24"/>
                <w:color w:val="auto"/>
              </w:rPr>
            </w:pPr>
          </w:p>
        </w:tc>
        <w:tc>
          <w:tcPr>
            <w:tcW w:w="2660" w:type="dxa"/>
            <w:vAlign w:val="bottom"/>
            <w:tcBorders>
              <w:bottom w:val="single" w:sz="8" w:color="ACACAC"/>
            </w:tcBorders>
          </w:tcPr>
          <w:p>
            <w:pPr>
              <w:spacing w:after="0"/>
              <w:rPr>
                <w:sz w:val="24"/>
                <w:szCs w:val="24"/>
                <w:color w:val="auto"/>
              </w:rPr>
            </w:pPr>
          </w:p>
        </w:tc>
        <w:tc>
          <w:tcPr>
            <w:tcW w:w="2040" w:type="dxa"/>
            <w:vAlign w:val="bottom"/>
            <w:tcBorders>
              <w:bottom w:val="single" w:sz="8" w:color="ACACAC"/>
            </w:tcBorders>
          </w:tcPr>
          <w:p>
            <w:pPr>
              <w:spacing w:after="0"/>
              <w:rPr>
                <w:sz w:val="24"/>
                <w:szCs w:val="24"/>
                <w:color w:val="auto"/>
              </w:rPr>
            </w:pPr>
          </w:p>
        </w:tc>
        <w:tc>
          <w:tcPr>
            <w:tcW w:w="2040" w:type="dxa"/>
            <w:vAlign w:val="bottom"/>
            <w:tcBorders>
              <w:bottom w:val="single" w:sz="8" w:color="ACACAC"/>
            </w:tcBorders>
          </w:tcPr>
          <w:p>
            <w:pPr>
              <w:spacing w:after="0"/>
              <w:rPr>
                <w:sz w:val="24"/>
                <w:szCs w:val="24"/>
                <w:color w:val="auto"/>
              </w:rPr>
            </w:pPr>
          </w:p>
        </w:tc>
        <w:tc>
          <w:tcPr>
            <w:tcW w:w="120" w:type="dxa"/>
            <w:vAlign w:val="bottom"/>
            <w:tcBorders>
              <w:bottom w:val="single" w:sz="8" w:color="ACACAC"/>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-2245360</wp:posOffset>
            </wp:positionV>
            <wp:extent cx="660082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3257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-1713865</wp:posOffset>
            </wp:positionV>
            <wp:extent cx="75438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-1713865</wp:posOffset>
            </wp:positionV>
            <wp:extent cx="33401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010" cy="29146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-427990</wp:posOffset>
            </wp:positionV>
            <wp:extent cx="6223635" cy="24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23635" cy="248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Note: Store count as of January 2, 2021. SKU figures refer to eyeglass frame SKUs. ODs are Doctors of Optometry.</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brands leverage our highly-efficient centralized laboratory network and distribution system, which helps us minimize production and distribution costs. As one of the largest purchasers of eyeglass frames, spectacle lenses and contact lenses in the United States, we also benefit from centralized procurement efforts and purchasing economies of scale.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Our America’s Best Brand. </w:t>
      </w:r>
      <w:r>
        <w:rPr>
          <w:rFonts w:ascii="Arial" w:cs="Arial" w:eastAsia="Arial" w:hAnsi="Arial"/>
          <w:sz w:val="18"/>
          <w:szCs w:val="18"/>
          <w:color w:val="auto"/>
        </w:rPr>
        <w:t>America’s Best strives to be the value leader in virtually every market in which it operates. Its signature offer of “two pairs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or similar entities.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approximately 1,300 eyeglass frame SKUs, including imports from low-cost overseas manufacturers, higher-margin private label brands and discounted well-known frame brands. America’s Best stores, which average approximately 3,500 square feet, are primarily located in high-traffic strip centers next to other value-focused retailers.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Our Eyeglass World Brand. </w:t>
      </w:r>
      <w:r>
        <w:rPr>
          <w:rFonts w:ascii="Arial" w:cs="Arial" w:eastAsia="Arial" w:hAnsi="Arial"/>
          <w:sz w:val="17"/>
          <w:szCs w:val="17"/>
          <w:color w:val="auto"/>
        </w:rPr>
        <w:t>Eyeglass World also offers a value price point for customers, with an opening offer of “two pairs of eyeglasses for $78.”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is positioned as an eyeglass superstore with a broad selection of designer brands and price points, and offers a highly personalized level of service. We source eyeglass frames for our Eyeglass World stores from leading designer brands, private label manufacturers and low-cost overseas manufacturers. Eyeglass World locations offer eye exams, primarily from independent optometrists and optometrists employed by independent professional corporations or similar entities, and have on-site laboratories that enable stores to quickly fulfill customer orders and make repairs. Lens orders that are not completed in-store are completed by our centralized laboratory network. Due to the wider brand selection and on-site laboratories, Eyeglass World stores average approximately 4,500 square feet and typically stock approximately 1,900 eyeglass frame SKUs. These stores are primarily located in freestanding or in-line locations near high-foot-traffic shopping centers.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Our Partner Brands. </w:t>
      </w:r>
      <w:r>
        <w:rPr>
          <w:rFonts w:ascii="Arial" w:cs="Arial" w:eastAsia="Arial" w:hAnsi="Arial"/>
          <w:sz w:val="17"/>
          <w:szCs w:val="17"/>
          <w:color w:val="auto"/>
        </w:rPr>
        <w:t>We have three partner brands consisting of 230 Vision Centers in Walmart stores across the country, 54 Vista Optical locations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military bases and 29 Vista Optical locations within Fred Meyer stores as of January 2, 2021.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w:t>
      </w:r>
      <w:r>
        <w:rPr>
          <w:rFonts w:ascii="Arial" w:cs="Arial" w:eastAsia="Arial" w:hAnsi="Arial"/>
          <w:sz w:val="17"/>
          <w:szCs w:val="17"/>
          <w:color w:val="212529"/>
        </w:rPr>
        <w:t>by three years, to February 23, 2024.</w:t>
      </w:r>
      <w:r>
        <w:rPr>
          <w:rFonts w:ascii="Arial" w:cs="Arial" w:eastAsia="Arial" w:hAnsi="Arial"/>
          <w:sz w:val="17"/>
          <w:szCs w:val="17"/>
          <w:color w:val="auto"/>
        </w:rPr>
        <w:t xml:space="preserve"> We have strong, long-standing relationships with these partners. Our strategic relationship with Walmart is in its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year and our partnerships with Fred Meyer and the U.S. military have been maintained for over 20 years. Our partner brands all compete within the value segment of the U.S. optical retail industry.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Our Omni-Channel and E-Commerce Platforms. </w:t>
      </w:r>
      <w:r>
        <w:rPr>
          <w:rFonts w:ascii="Arial" w:cs="Arial" w:eastAsia="Arial" w:hAnsi="Arial"/>
          <w:sz w:val="18"/>
          <w:szCs w:val="18"/>
          <w:color w:val="auto"/>
        </w:rPr>
        <w:t>We offer our customers an engaging digital shopping experience through an established platform of four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omni-channel store websites, and 15 dedicated e-commerce consumer websites. Our omni-channel store websites augment our America’s Best, Eyeglass World, Vision Center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dedicated e-commerce websites are managed by our subsidiary, AC Lens. AC Lens operates six proprietary branded websites including, among others, aclens.com and discountcontacts.com. In addition, AC Lens operates and provides support services for nine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which includes “buy-in-store and ship-to-home” transactions, represented approximately 12.0% and 10.3% of our 2020 and 2019 fiscal year net revenue,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r>
        <w:rPr>
          <w:rFonts w:ascii="Arial" w:cs="Arial" w:eastAsia="Arial" w:hAnsi="Arial"/>
          <w:sz w:val="23"/>
          <w:szCs w:val="23"/>
          <w:b w:val="1"/>
          <w:bCs w:val="1"/>
          <w:color w:val="auto"/>
          <w:vertAlign w:val="superscript"/>
        </w:rPr>
        <w:t>1</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$37 billion industry that has exhibited consistent, stable growth across economic cycles. According to Vision Monday, over the period from 2007 to 2019, the industry grew from $26 billion to $37 billion in annual sales, representing a compound annual growth rate (“CAGR”) of 3.2%. The industry experienced only a modest decline during the 2008 to 2009 recession and rebounded with robust post-recession sales growth of 4.0% CAGR from 2009 to 2019, according to Vision Monday. The steady growth of the industry and its resilience to economic cycles is due in large part to the medical, non-discretionary and recurring nature of eye care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-6350</wp:posOffset>
            </wp:positionV>
            <wp:extent cx="5349240" cy="2339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Source: Vision Monday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1714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60" w:firstLine="8"/>
        <w:spacing w:after="0" w:line="218"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i w:val="1"/>
          <w:iCs w:val="1"/>
          <w:color w:val="auto"/>
        </w:rPr>
        <w:t>This section includes the most recently available industry information, primarily as of 2019. We expect industry data for 2020, that would include the impacts of COVID-19, to be available later in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there are four key secular growth trends that will continue to contribute to the stability and growth of the U.S. optical retail industry:</w:t>
      </w:r>
    </w:p>
    <w:p>
      <w:pPr>
        <w:spacing w:after="0" w:line="129" w:lineRule="exact"/>
        <w:rPr>
          <w:sz w:val="20"/>
          <w:szCs w:val="20"/>
          <w:color w:val="auto"/>
        </w:rPr>
      </w:pPr>
    </w:p>
    <w:p>
      <w:pPr>
        <w:jc w:val="both"/>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Aging Population</w:t>
      </w:r>
      <w:r>
        <w:rPr>
          <w:rFonts w:ascii="Arial" w:cs="Arial" w:eastAsia="Arial" w:hAnsi="Arial"/>
          <w:sz w:val="18"/>
          <w:szCs w:val="18"/>
          <w:color w:val="auto"/>
        </w:rPr>
        <w:t>. According to The Vision Council, 76% of adults in the United States used some form of vision correction as of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According to The Vision Council, at age 45, the need for vision correction begins to increase significantly, with approximately 88% of adults in the United States between the ages of 45 and 54 and approximately 89% of adults in the United States aged 55 and older using vision correction.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8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Frequent Replacement Cycle</w:t>
      </w:r>
      <w:r>
        <w:rPr>
          <w:rFonts w:ascii="Arial" w:cs="Arial" w:eastAsia="Arial" w:hAnsi="Arial"/>
          <w:sz w:val="18"/>
          <w:szCs w:val="18"/>
          <w:color w:val="auto"/>
        </w:rPr>
        <w:t>. The repetitive and predictable nature of customer behavior results in a significant volume of recurring revenue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196 million people in the United States using vision correction devices in 2019 received nearly 118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8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Usage of Computer and Mobile Screens</w:t>
      </w:r>
      <w:r>
        <w:rPr>
          <w:rFonts w:ascii="Arial" w:cs="Arial" w:eastAsia="Arial" w:hAnsi="Arial"/>
          <w:sz w:val="18"/>
          <w:szCs w:val="18"/>
          <w:color w:val="auto"/>
        </w:rPr>
        <w:t>. Due to the proliferation of smartphones, laptops, tablets and other electronic devices,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 has experienced a dramatic increase in the amount of time spent viewing electronic screens. According to The Vision Council, about 80% of American adults report using digital devices for more than two hours per day with approximately 70% using two or more devices simultaneously, and approximately 60%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 We believe that remote working and learning arrangements that have been necessitated by the COVID-19 pandemic have led to increased use of electronic screens.</w:t>
      </w:r>
    </w:p>
    <w:p>
      <w:pPr>
        <w:spacing w:after="0" w:line="83" w:lineRule="exact"/>
        <w:rPr>
          <w:rFonts w:ascii="Arial" w:cs="Arial" w:eastAsia="Arial" w:hAnsi="Arial"/>
          <w:sz w:val="18"/>
          <w:szCs w:val="18"/>
          <w:color w:val="auto"/>
        </w:rPr>
      </w:pPr>
    </w:p>
    <w:p>
      <w:pPr>
        <w:jc w:val="both"/>
        <w:ind w:left="660" w:hanging="328"/>
        <w:spacing w:after="0" w:line="290"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Growing Focus on Health and Wellness</w:t>
      </w:r>
      <w:r>
        <w:rPr>
          <w:rFonts w:ascii="Arial" w:cs="Arial" w:eastAsia="Arial" w:hAnsi="Arial"/>
          <w:sz w:val="16"/>
          <w:szCs w:val="16"/>
          <w:color w:val="auto"/>
        </w:rPr>
        <w:t>. The optical retail industry is poised to continue to benefit from expansive trends underlying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1,900 eyeglass frame SKUs, covering all age groups. Offerings include both brand name designers, like Ray-Ban, Guess and Calvin Klein, as well as private label options at attractive prices. Our brand-name frame offerings are manufactured by market leaders and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base offer. We also offer contact lenses and accessories from all major contact lens manufacturers, including our own private label brands (Softmed and Natural Eyes HydraWear, made by CooperVision) that are offered in our America’s Best and Eyeglass World stores. Collectively, our broad product offerings deliver consistent financial results and reduce our reliance on any individual product, style or trend.</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both of our reportable segments, eye exam services are provided by optometrists employed by us or by professional corporations or similar entities owned by eye care practitioners with whom we have contractual arrangements or by independent optometrists with whom we have contracted. In addition, in certain locations, eye exam services may be provided utilizing a remote medicine platform.</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Within our Owned &amp; Host segment, America’s Best offers its Eyecare Club programs primarily to its contact lens customers. As of January 2, 2021, the Eyecare Club had approximately 1.5 million active members. Benefits of the Eyecare Club include two free eye exams per year for the duration of the multi-year membership, 10% off all contact lenses and eyeglasses and other periodic benefits and discounts. Memberships can be purchased in stores or on our America’s Best website.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which customers pay in full at the time they join, facilitates repeat traffic to America’s Best stores for exams and contact lens purchases and builds customer loyalty.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“Revenue from Contracts With Customers” in our audited consolidated financial statements included in Part II. Item 8. of this Form 10-K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developed our marketing strategy based on the in-depth knowledge we have of our customers. Our brands are positioned to stand for low prices and great value, which resonate with our target consumers and leave a lasting impression that is distinct from the competition.</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television is a key channel for connecting with our customers. A significant portion of America’s Best and Eyeglass World’s advertising investments are on traffic-driving television advertisements, which we leverage broadly across multiple stores in each television market to gain a larger share of voice, and, in turn, drive traffic and margins. We continue to benefit from America’s Best national television advertising campaigns, which we believe are cost effective and help raise our brand awareness in both existing and new markets. Additional advertising investments include digital media, search, direct mail, email and local store marketing. We are continually tracking consumer media consumption behaviors and adjusting our media plan accordingly.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 relationship management (“CRM”) system is used to collect customer demographic data. With this information and the third-party data that we use to supplement the customer information, we enhance our customer relationships with communications based on their vision needs and interests to help improve existing customer retention. 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Sourcing and Supplier Relationships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purchase our merchandise from a wide variety of vendors, with a limited number of vendors supplying the majority of our eyeglass lenses and contact lenses.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We extended our agreement with Essilor in November 2018 and the current term runs through May 2023. Thereafter, the agreement will automatically renew on a month-to-month basis unless either party gives 30 days’ prior written notice of termination, and we also have the ability to unilaterally extend the agreement an additional calendar quarter after the proposed termination date. We are collaborative in our vendor negotiations so as to develop a partnership with our vendors and, in time, a sense of loyalty to National Vision. Each of our top 10 vendors has been with us for approximately 10 years, and several of these vendors have been with us since our inception in 1990. We focus on sourcing low-cost products, including discounted well-known frame brands, secondary frame brands, direct import frames and private label contact lenses. By investing in our sourcing operations, we have increased our direct importation of eyeglass frames, which has enabled us to offer high quality frames at low prices while also generating strong gross margins.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Optical Laboratories and Distribution Network</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a highly-efficient mix of four domestic, company-operated processing facilities and two international, outsourced facilities. We have state-of-the-art lens processing capabilities in our four geographically-diverse,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w:t>
      </w:r>
    </w:p>
    <w:p>
      <w:pPr>
        <w:spacing w:after="0" w:line="2" w:lineRule="exact"/>
        <w:rPr>
          <w:sz w:val="20"/>
          <w:szCs w:val="20"/>
          <w:color w:val="auto"/>
        </w:rPr>
      </w:pPr>
    </w:p>
    <w:p>
      <w:pPr>
        <w:jc w:val="both"/>
        <w:ind w:firstLine="8"/>
        <w:spacing w:after="0" w:line="253" w:lineRule="auto"/>
        <w:tabs>
          <w:tab w:leader="none" w:pos="2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All lens orders that are not processed or completed in-store are processed or completed by our centralized laboratory network.</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86,000 square foot distribution center in Lawrenceville, Georgia and a 52,000 square foot distribution center in Columbus, Ohio. We utilize third-party carriers to transport products from these centers to customers and store locations.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aim to maintain a strong and resonating culture guided by our Vision, Mission and Values. We believe everyone deserves to see their best to live their best and our goal is to help people achieve this by making quality eye care and eyewear more affordable and accessible. This purpose is supported by our associates and their values – they are empowered to do what is right, committed to creating happiness every day and energized to serve.</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With an inclusive and people-first culture, we are focused on celebrating and respecting our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January 2, 2021, we had 12,792 full-time and part-time associates. In addition, the professional corporations or similar entities with which we contract employed 1,200 optometrists as of January 2, 2021. We are not a party to any collective bargaining agreements. We have never experienced a strike or work stoppage, and we believe that our relations with our associates and optometrists are good.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campaign “Optometry Gives Me Life” targeted at high school and college students. To mitigate the impact the COVID-19 pandemic and temporary closure of our stores had on our traditional recruiting efforts and hiring cycles, we transitioned to online platforms for job fairs and on-campus events, selectively offered key incentives, such as a student loan repayment program, and educated applicants on the health and safety protocols implemented in our stores.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our associates and optometrists with several opportunities and mechanisms through which they can provide feedback and allow us to continue developing programs for training and growth.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Wellness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health plan, wellness and disease management programs, including personalized programs for diabetes and hypertension, and a financial protection resource, provide the needed resources essential for helping our people care for themselves and their families.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offer free on-demand mental and behavioral health resources, to provide needed guidance when work and personal challenges affect an associate’s overall well-being.</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Shortly after our IPO, we established the National Vision Crisis Relief Fund to help support associates who are facing financial hardship as a result of a natural disaster, family emergency or other unexpected events. Donations made to the Crisis Relief Fund are matched by the Company. Since its creation, over $800,000 have been provided to associates for assistance, with over 90% provided since the beginning of the COVID-19 pandemic.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committed to a diverse and inclusive culture and in 2020, we formed a new Diversity, Equity and Inclusion (“DEI”) department within the Company. The DEI department is supported by our DEI Council, composed of a cross-section of associates and optometrists. In 2020, we focused on reviewing best practices and initiatives and conducted listen and learn sessions with associates and optometrists to solicit feedback and identify opportunity areas. As we move forward in our DEI journey, we are focused on advancing diversity in our recruitment, training, career mentorship and development, employment branding and community service. As a part of these efforts, in 2020, we collaborated with non-profit and educational institutions with the goal of increasing the percentage of Black doctors in the industry, including sponsoring and participating in the first ever “Impact HBCU” event sponsored by Black Eyecare Perspectives with the goal of increasing awareness in the field among HBCU students.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COVID-19 pandemic has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 our customers and patients with everyone’s health and safety in mind.</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also created multiple resources for associates, including frequent and transparent communication tools, additional leave of absence and paid leave options, and centralized support to address COVID-19 questions and concerns, including regarding the availability of vaccines. We paid one-time appreciation bonuses to customer-facing associates, granted additional company holidays in the fourth quarter of fiscal year 2020 and paid benefits for associates furloughed in response to the COVID-19 pandemic. In addition, contributions to our Crisis Relief Fund more than doubled, reflecting the empathetic nature of our community.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Vision Care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managed care business relates to vision care programs and associated benefits (i) sponsored by associates or other groups, (ii) provided by insurers and managed care entities, such as health maintenance organizations to individuals, and (iii) delivered, typically on a fee-for-service or capitated basis, by health care providers, such as ophthalmologists, optometrists and opticians. Our managed care business primarily consists of participation in private managed care programs. While our managed care business has continued to grow, we are underpenetrated in the managed care market relative to the broader optical retail industry, and we believe that this continues to represent a growth opportunity.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point-of-sale system and our back-office electronic data interchange, or EDI, capabilities, we attempt to create a seamless transactional experience for our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their existing EDI claim systems.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optical retail industry is highly competitive. Competition is generally based upon brand name recognition, price, convenience, selection, service and product quality.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compete with online sellers of contact lenses and eyewear. The online sale of contact lenses has steadily increased in particular since the passage of the Fairness to Contact Lens Consumers Act. See “Government Regulation” below for more detail.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which consists of value seeking and lower income consumers, rely on tax refunds to pay for eyewear and eye care. A delay in the issuance of tax refunds can accordingly have a timing impact on our quarterly financial results in the first half of the year. Consumers could also alter how they utilize tax refund proceeds.</w:t>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half of the year results. Our quarterly results may also be affected by the timing of new store openings and store closings, the amount of sales contributed by new and existing stores, the timing of certain holidays, as well as the timing of weather-related store closures.</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Due to the COVID-19 pandemic and the resulting temporary closure of our stores for a portion of the first half of 2020, there have been changes in fiscal year 2020 seasonality and COVID-19 may cause changes beyond 2020 to the seasonality we have historically experienced.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Examples of areas in which we have invested and continue to invest in include software systems to enhance the growth of our omni-channel, customer engagement efforts, remote medicine, cybersecurity programs and our overall security posture and our point-of-sale system. We believe these investments, along with maintenance of our existing information technology capabilities, will provide the flexibility and capacity to accommodate our future growth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Medicine/Optometry and Similar Laws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Our America’s Best operations, which feature a bundled offer of eyeglasses and an eye examination, are particularly implicated by these laws.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 and Regulation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operations are subject to state licensing laws. All states license the practice of ophthalmology and optometry and many states license opticians. The dispensing of prescription eyewear is also regulated in most states in which we do business. In some states, we are required to register our stores.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to Contact Lens Consumers Act (“FCLCA”) and E-commerce Laws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our sales of contact lenses, we must comply with the FCLCA, and its implementing regulations promulgated by The Federal Trade Commission (“FTC”), and the Contact Lens Rule, which establish a national uniform standard in the United States with regard to releasing and verifying contact lens prescriptions. This law and rule require that we verify the prescriptions we receive from our customers prior to selling contact lenses online. A violation of the Contact Lens Rule constitutes an unfair or deceptive act or practice under the FTC Act. In 2020, the FTC adopted changes to the Contact Lens Rule under the FCLCA, that include, among other topics, updates to the “passive verification” requirement, updates to certain other prescription requirements and new requirements regarding automated telephone verification messages.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e-commerce business must comply with various federal and state laws, most notably the FCLCA. Our online business must also be registered in various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Care Regulation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 In addition, states may amend or adopt new laws or regulations regarding data privacy that may be applicable to us, such as the California Consumer Privacy Act of 2018, which went into effect January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Reimbursement by Government Programs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participation in federal reimbursement programs, such as Medicare and Medicaid, subjects us to federal anti-kickback, false claims, self-referral and similar laws.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any third-party payors including commercial plans.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8"/>
          <w:szCs w:val="18"/>
          <w:i w:val="1"/>
          <w:iCs w:val="1"/>
          <w:color w:val="auto"/>
        </w:rPr>
        <w:t xml:space="preserve">qui tam </w:t>
      </w:r>
      <w:r>
        <w:rPr>
          <w:rFonts w:ascii="Arial" w:cs="Arial" w:eastAsia="Arial" w:hAnsi="Arial"/>
          <w:sz w:val="18"/>
          <w:szCs w:val="18"/>
          <w:color w:val="auto"/>
        </w:rPr>
        <w:t>or “whistleblower” lawsuits on behalf of the federal or state government. The Social Security Act also imposes significant penalties for false or</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 Medicare and Medicaid billings.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Food and Drug Administration (“FDA”) Regulation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U.S. Federal Food, Drug and Cosmetic Act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centralized laboratories with the FDA.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or false advertising to consumers.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(“FCPA”)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Data Security Standard (“PCI Standard”)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for any fines and assessments imposed by the credit card companies in the event of a compromise of card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 Regulations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product protection plans for our eyeglasses; in certain states, service contract and similar laws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Safety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optical laboratories in the United States and our in-store laboratories in our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COVID-19-Related Regulations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federal and state laws and regulations have been adopted in response to the COVID-19 pandemic that, among other things, include liability protections for certain businesses. On March 27, 2020, the Coronavirus Aid, Relief, and Economic Security (“CARES”) Act was enacted in response to the COVID-19 pandemic. The CARES Act, among other things, provides tax relief to businesses, including the deferral of certain payroll taxes, relief for retaining employees, accelerating a company’s ability to recover Alternative Minimum Tax (“AMT”) refundable credits and other income tax provisions. We have elected to apply the AMT refundable credit provision and the employee retention credit provisions of the CARES Act. See Note 1. “Business and Significant Accounting Policies” for more details. Additional federal or state laws and regulations may be adopted in the future in response to the pandemic and continued impact of the pandemic.</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also subject to the requirements of the Occupational Safety and Health Administration (OSHA) and other federal and state agencies that address employee health, including from infectious diseases such as COVID-19, and safety. In general, we believe we are meeting state and federal rules and regulations protecting the health and safety of our employees. Based on new or revised regulatory developments, we may be required to increase expenditures in the future to comply with higher industry and regulatory safety standards. However, there are no known new or revised regulations which will require a material increase in our expenditures.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Risk Management</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and the travel restrictions, quarantines, other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global macroeconomic effects of the pandemic may persist for an indefinite period of time, even after the pandemic has subsided.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pandemic and the recommendations of U.S. government and health authorities, our retail stores closed to the public beginning on March 19, 2020. We began reopening our stores to the public on April 27, 2020 and on June 8, 2020, we announced the successful completion of the reopening process. While we expect to be able to continue operations for the duration of the pandemic, our store operations are subject to change based on market conditions and the continued evolution of the pandemic.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resurgence of the COVID-19 pandemic and its continued evolution has impacted and may continue to impact the following areas:</w:t>
      </w:r>
    </w:p>
    <w:p>
      <w:pPr>
        <w:spacing w:after="0" w:line="117" w:lineRule="exact"/>
        <w:rPr>
          <w:sz w:val="20"/>
          <w:szCs w:val="20"/>
          <w:color w:val="auto"/>
        </w:rPr>
      </w:pPr>
    </w:p>
    <w:p>
      <w:pPr>
        <w:ind w:left="66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disruption to our growth strategy, supply chain, delivery of merchandise, professional recruitment, ability to staff stores, typical seasonality, customer demand;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newly enacted state, local and federal healthcare laws in response to COVID-19 and exposure to potential lawsuits; and</w:t>
      </w:r>
    </w:p>
    <w:p>
      <w:pPr>
        <w:spacing w:after="0" w:line="117"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maintain sufficient levels of cash flow from our operations to fund our business and growth strategy and difficulty in obtaining additional financing on terms that are favorable to us;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scope and duration of the pandemic, including the current resurgences in various regions in the United States and globally and other future resurgences, the pace at which government restrictions are lifted or whether additional actions may be taken to contain the virus, the impact on our customers and suppliers, the speed and extent to which markets fully recover from the disruptions caused by the pandemic, and the impact of these factors on our business, will depend on future developments that are highly uncertain and cannot be predicted with confidence. It is possible that changes in economic conditions and steps taken by the federal government and the Federal Reserve in response to the COVID-19 pandemic could lead to higher inflation than we had anticipated, which could in turn lead to an increase in our costs of products and services and other operating expenses. In addition, to the extent COVID-19 adversely affects our operations and global economic conditions more generally, it may also have the effect of heightening many of the other risks described herein.</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that the long-term fundamentals of our business are largely unchanged, and anticipate that our operating results in future fiscal years will begin to reflect a more normal operating environment, the current economic and public health climate has created a high degree of uncertainty. As such, we continue to closely monitor this global health crisis and will continue to reassess our strategy and operational structure on a regular, ongoing basis as the situation evolves. We refer you to “Management’s Discussion and Analysis of Financial Position and Results of Operations” for a more detailed discussion of the potential impact of the COVID-19 pandemic and associated economic disruptions, and the actual operational and financial impacts that we have experienced to date.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growth strategy depends, in large part, on growing our store base and expanding our operations, both in existing and new markets, and operating our new stores successfully. We cannot assure you that our contemplated expansion will be successful. Our costs in some markets are higher due to the supply and demand for real estate sites as well as increased labor and other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stores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and retain an expanded workforce of store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adequate laboratory, distribution facility, information technology and other operational system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technology integration;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 acceptable lease terms at suitable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sufficient levels of inventory at acceptable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 and open our stores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participate in managed care arrangements for new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and satisfy the merchandise and other preferences of our customers.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failure to effectively address challenges such as these could adversely affect our ability to successfully open and operate new stores in a timely and cost-effective manner.</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we cannot assure you that we will achieve our planned growth or, even if we are able to grow our store base as planned, that our new stores will perform as expected.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recruit and retain vision care professionals for our stores could adversely affect our business, financial condition and results of operations.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attract and retain vision care professionals depends on several factors. We compete with other optical retail companies, health systems and group practices for vision care professionals. We, as well as the professional corporations or similar entities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may continue to exceed supply in certain areas for a period of time and that the costs to employ or retain optometrists may increase, potentially materially, from current levels.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 See Item 1. “Business-Government Regulation.”</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professional corporations or similar entities provide for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operational success depends on our ability to develop, maintain and extend relationships with managed vision care companies, vision insurance providers and other third-party payors.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the performance of our host and legacy brands declines or we are unable to maintain our operating relationships with our host and legacy partners, our business, profitability and cash flows may be adversely affected and we may be required to incur impairment charges.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derive significant revenues and operating cash flows from our relationships with our legacy and host partners through our operations of 230 Vision Centers in Walmart stores, 29 Vista Optical locations within Fred Meyer stores and 54 Vista Optical locations on military bases.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Termination of our host and legacy agreements would result in a reduction of our revenues and operating cash flows, which could be material and which could adversely affect our business, financial condition and results of operations including an impairment of the intangible assets.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support the carrying value of the intangible assets at these brands or replace the lost revenues and cash flows.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For example, our current management &amp; services agreement with Walmart presents a variety of risks. The current term of the management &amp; services agreement </w:t>
      </w:r>
      <w:r>
        <w:rPr>
          <w:rFonts w:ascii="Arial" w:cs="Arial" w:eastAsia="Arial" w:hAnsi="Arial"/>
          <w:sz w:val="17"/>
          <w:szCs w:val="17"/>
          <w:color w:val="212529"/>
        </w:rPr>
        <w:t>ends on February 23, 2024.</w:t>
      </w:r>
      <w:r>
        <w:rPr>
          <w:rFonts w:ascii="Arial" w:cs="Arial" w:eastAsia="Arial" w:hAnsi="Arial"/>
          <w:sz w:val="17"/>
          <w:szCs w:val="17"/>
          <w:color w:val="auto"/>
        </w:rPr>
        <w:t xml:space="preserve"> Sales associated with this arrangement with Walmart represented 8.3% of consolidated net revenue in fiscal year 2020, which exposes us to concentration of customer risk. In addition, the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January 2, 2021, the carrying value of goodwill and intangible assets at our host and legacy brands was $24.7 million and $84.9 million, respectively.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During the fourth quarter of fiscal 2018, we fully impaired goodwill at the Military and Fred Meyer brands of approximately $15.1 million. Future changes in the business profitability, expected cash flows, changes in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arrangements we have implemented with optometrists and professional corporations or similar entities owned by eye care practitioners could subject us to scrutiny by federal and state regulatory bodies regarding federal and state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In addition, there are existing state privacy, security and breach notification laws and regulations that apply to both PHI and PII collected by us. These existing laws and regulations may be amended and states may adopt new laws or regulations regarding data privacy (such as the California Consumer Privacy Act of 2018, which became effective in January 2020).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have a material adverse effect on our business, financial condition and results of operations.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federal payment.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Eyeglasses and contact lenses are regulated as medical devices in the United States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managed vision care laws and regulations.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support our expanding business and execute our growth strategy, we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We have and expect to continue to primarily depend on cash flow from operations to fund our business and growth plans. If we do not generate sufficient cash flow from operations, we may need to obtain additional equity or debt financing. Tightening in the credit markets, low liquidity, volatility in the capital markets and a downturn in the economy could result in diminished availability of credit, higher cost of borrowing and lack of confidence in the equity markets,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to our online customers or to Walmart stores and Sam’s Club locations. We operate laboratory facilities in Lawrenceville, Georgia; St. Cloud, Minnesota; Plano, Texas;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source merchandise from suppliers located in China, a significant amount of domestically-purchased merchandise is manufactured in China, and one of our outsourced third-party laboratories is located in China. Historically, tariffs have not materially affected our financial results, and we believe that less than 15% of costs applicable to revenue are subject to tariffs on Chinese imports. Effective September 1, 2019, the U.S. government implemented a 15% tariff on specified products imported into the U.S. from China and effective February 14, 2020, the 15% tariff was reduced to 7.5%. In June 2020, the U.S. government granted a temporary exclusion for plastic and metal frames with a retroactive effective date of September 1, 2019, and such exclusion expired in September 2020. Given the recent change in the U.S. presidential administration, there is uncertainty whether there will be, and the resulting impacts of, any changes to U.S. government trade policy. 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 While it is too early to predict how the China tariffs will impact our business, our financial results may also be impacted by consumers’ fear of a prolonged trade war with China and an economic slowdown.</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associates, acts of terrorism, widespread illness, health concerns regarding infectious diseases, and other unforeseen or catastrophic events, could damage our optical laboratories and/or distribution centers or render them inoperable, making it difficult or impossible for us to process customer orders for an extended period of time. For example, the COVID-19 pandemic has resulted in increased travel restrictions and affected certain companies’ operations globally, which may impact our outsourced laboratory in China and our processing of customer orders.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 and are dependent on a limited number of suppliers.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 selling merchandise to us;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sell their products, including by giving our competitors exclusivity arrangements or limiting our access to certain products;</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allow us to return merchandise purchased from them;</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lengthen their lead times; or</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or expand sales of their products to retail customers directly through their own stores, catalogs or on the Internet and compete with us directly.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For example our product sourcing could be impacted by current and future travel restrictions and/or the shut-down of certain businesses in China or elsewhere due to the COVID-19 pandemic.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former presidential administration advocated for greater restrictions on international trade generally, including with respect to the North American Free Trade Agreement (“NAFTA”) and the World Trade Organization (the “WTO”). In December 2019, the United States, Mexico and Canada signed the amended United States-Mexico-Canada Agreement (the “USMCA”), which replaced NAFTA. In July 2020, the U.S. notified the United Nations of its intention to withdraw from the WTO. While the current presidential administration has rejoined the WTO, it remains difficult to predict what affect the USMCA, the WTO or other trade agreements and organizations will have on our business. If the U.S. were to withdraw from or materially modify any other international trade agreements to which it is a party or if the U.S. imposes significant additional tariffs or other restrictions on imports from China and Mexico, where our outsourced optical laboratories are located and where the majority of our frames are sourced and manufactured, it could have an adverse impact on our business. Any such tariffs, restrictions or other changes could lead to additional costs, delays in shipments, embargoes and other uncertainties that could negatively impact our relationships with our international vendors and labs and materially adversely affect our business, including by requiring us to increase our prices and identify alternative sources for merchandise and labs. See also “</w:t>
      </w:r>
      <w:r>
        <w:rPr>
          <w:rFonts w:ascii="Arial" w:cs="Arial" w:eastAsia="Arial" w:hAnsi="Arial"/>
          <w:sz w:val="17"/>
          <w:szCs w:val="17"/>
          <w:i w:val="1"/>
          <w:iCs w:val="1"/>
          <w:color w:val="auto"/>
        </w:rPr>
        <w:t>We depend on our distribution centers and optical</w:t>
      </w:r>
      <w:r>
        <w:rPr>
          <w:rFonts w:ascii="Arial" w:cs="Arial" w:eastAsia="Arial" w:hAnsi="Arial"/>
          <w:sz w:val="17"/>
          <w:szCs w:val="17"/>
          <w:color w:val="auto"/>
        </w:rPr>
        <w:t xml:space="preserve"> </w:t>
      </w:r>
      <w:r>
        <w:rPr>
          <w:rFonts w:ascii="Arial" w:cs="Arial" w:eastAsia="Arial" w:hAnsi="Arial"/>
          <w:sz w:val="17"/>
          <w:szCs w:val="17"/>
          <w:i w:val="1"/>
          <w:iCs w:val="1"/>
          <w:color w:val="auto"/>
        </w:rPr>
        <w:t>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r>
        <w:rPr>
          <w:rFonts w:ascii="Arial" w:cs="Arial" w:eastAsia="Arial" w:hAnsi="Arial"/>
          <w:sz w:val="17"/>
          <w:szCs w:val="17"/>
          <w:color w:val="auto"/>
        </w:rPr>
        <w:t>.”</w:t>
      </w:r>
    </w:p>
    <w:p>
      <w:pPr>
        <w:spacing w:after="0" w:line="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in the past been subject to the unilateral pricing policies implemented by certain contact lens manufacturers, which policies mandated the minimum prices at which certain contact lenses could be sold to consumers. Such manufacturers could refuse to supply us with their products if they deemed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rely on a limited number of vendors to supply the majority of our eyeglass lenses and contact lenses and are thus exposed to concentration of supplier risk. In particular, we have agreed to exclusively purchase almost all of our spectacle lenses from one supplier. During fiscal year 2020, 89% of lens expenditures were from this vendor and 93% of contact lens expenditures were with three vendors. We are less exposed to a supplier risk for our eyeglass frames as only 52% of frame expenditures were with two vendors.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 For example, effective October 1, 2018, Essilor and Luxottica completed their merger to become EssilorLuxottica, which exacerbates our concentration of supplier risk.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optical retail industry is highly competitive, and if we do not compete successfully, our business may be adversely impacted.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Part I. Item 1. “Business-Competition.”</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advantageously leverage this structure to better compete and certain vertically-integrated organizations with significant market power could potentially utilize this power to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associates and operating our websites.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associates, suppliers and business partners, including Walmart and Sam’s Club. The secure processing, maintenance and transmission of this information is critical to our operations.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systems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associates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Like most corporations, the Company’s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Our business partners may have contractual rights of indemnification against us or seek to terminate our contracts with them in the event that their customer or proprietary business information is released as a result of a breach of our information technology. 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could strain our existing resources and cause the performance of our existing stores to suffer.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our store base grows, we will need to continually evaluate the adequacy of our laboratory, distribution and information technology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For example, we entered into a lease for an additional laboratory facility in 2018 which became operational in the first quarter of 2019.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6"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Increases in compensation, wage pressure and other expenses for vision care professionals, as well as our other associates,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since our expansion in California, we have a national advertising campaign for America’s Best as opposed to only utilizing local advertising campaigns. We cannot provide assurances that a national advertising campaign will be cost-effective or successful or that we will continue such campaigns.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our America’s Best and Eyeglass World store locations, our corporate headquarters, the AC Lens corporate office, the FirstSight corporate office, our laboratories in Georgia, Texas and Utah and our distribution centers. We also lease our Vista Optical locations inside Fred Meyer stores. As a result, we are susceptible to changes in the property rental market and increases in our occupancy costs.</w:t>
      </w:r>
    </w:p>
    <w:p>
      <w:pPr>
        <w:spacing w:after="0" w:line="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All of these factors could have a material adverse impact on our operations.</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Our substantial lease obligations could have significant negative consequences, including:</w:t>
      </w:r>
    </w:p>
    <w:p>
      <w:pPr>
        <w:spacing w:after="0" w:line="63"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that a substantial portion of our available cash be applied to pay our rental obligations, reducing cash available for other purposes and reducing our operating profitability;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Technological advances in vision care, including the development of telemedicine and other new or improved products, as well as future drug development for the correction of vision-related problems, could significantly change how eye exams may be conducted and make our existing products less attractive or even obsolete. Several companies have developed technologies for and some companies are incorporating the remote delivery of eye examinations and eye refractions. We have begun to pilot remote medicine technologies in a limited number of locations to enable the provision of remote eye examinations. If consumers accept the use of these technologies, consumers could become less likely to obtain an in-person eye examination and therefore less likely to shop at our retail locations. We also may not be able to successfully incorporate remote medicine technologies into our business which could make our exam process less attractive to customers.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recessionary conditions, the timing and issuance of tax refunds, governmental instability and natural disasters, may affect consumer purchases, which could reduce demand for our products and materially harm our sales, profitability and financial condition.</w:t>
      </w:r>
    </w:p>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As a result of the COVID-19 pandemic, we temporarily closed our retail stores to the public in the first half of 2020, which had a material adverse impact on our sales and profitability. In addition, from time to time we have temporarily closed certain stores due to hurricanes, natural disasters or civil unrest. Such store closures due to factors that are outside of our control could materially adversely affect our sales and profitability.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our target market, which consists of value seeking and lower income consumers, is sensitive to various factors outside of our control. For example, this population relies on tax refunds to pay for eyewear and eye care. A delay in the issuance of tax refunds can accordingly have a negative impact on our quarterly financial results. Consumers could also alter how they utilize tax refund proceeds. In addition, periods of instability in the government generally, or a renewed emphasis on immigration matters, can also cause this population to either delay or refrain from making such purchases. A continuation of these and similar circumstances could have a material negative impact on our financial performance. Because of the importance of the first half of the fiscal year for us, a significant downward trend in the first half could have a substantial negative impact on our annual financial results.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benefited from U.S. government assistance that we received through the Coronavirus Aid, Relief, and Economic Security (“CARES”) Act in fiscal year 2020. Such assistance under the CARES Act or pursuant to additional relief efforts may not be available in future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may be negatively affected if we are not successful in managing our inventory balances and inventory shrinkage.</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partly dependent on our ability to strategically source a sufficient volume and variety of brand name merchandise at opportunistic pricing. Some of our products are sourced from suppliers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inventory levels fluctuate on a seasonal basis.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seasonal fluctuation. We typically realize a higher portion of net sales during the first half of the fiscal year,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may reduce or eliminate coverage or reimbursement rates of insurance-funded eye exams or eyewear.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e-commerce and omni-channel business faces distinct risks, and our failure to successfully manage it could have a negative impact on our profitability.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79" w:lineRule="exact"/>
        <w:rPr>
          <w:sz w:val="20"/>
          <w:szCs w:val="20"/>
          <w:color w:val="auto"/>
        </w:rPr>
      </w:pPr>
    </w:p>
    <w:p>
      <w:pPr>
        <w:jc w:val="both"/>
        <w:ind w:left="66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in telephone service or power outages;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merchandise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security breach or disruption to these websites or our failure to properly provide the services called for by these agreements.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If we purchase products on a closeout basis, some of these products may be obtained through brokers or intermediaries rather than through manufacturers, which may make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four laboratories in the United States and our in-store laboratories at our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customers, associates,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incur losses arising from our investments in technological innovators in the optical retail industry, which would negatively affect our financial results.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regularly presented with opportunities to invest and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the value of our brand and adversely affect our business.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Ownership of Common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business and financial position, including limiting our business flexibility and preventing us from meeting our debt obligations.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significant amount of indebtedness. As of January 2, 2021, we had approximately $719.9 million of aggregate principal amount of indebtedness associated with our first lien term loan in the aggregate principal amount of $420.0 million (the “Term Loan”) and 2025 Notes outstanding (excluding finance lease obligations). Our leverage could have important consequences for us, including:</w:t>
      </w:r>
    </w:p>
    <w:p>
      <w:pPr>
        <w:spacing w:after="0" w:line="76"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us from capitalizing on business opportunities;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execution of our business strategy, debt service requirements, acquisitions and other general corporate purposes; and</w:t>
      </w: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change in interest rates or discontinuation, reform or replacement of LIBOR and other benchmark rates, or uncertainty related to the potential for any of the foregoing, may adversely affect our business.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January 2, 2021, after inclusion of $317.0 million interest rate swaps fixing a portion of the variable rate debt, $0.4 million, or 0.1%, of our Term Loan was subject to variable rates. In fiscal year 2021, following the maturity of the interest rate swaps, the interest rate collar will hedge some of the variability in Company’s interest rates. A decrease in LIBOR below a certain threshold could require payments to the counterparty of our interest rate collar derivative and could materially reduce our profitability and cash flows. An increase in interest rates, whether because of an increase in market interest rates or a decrease in our creditworthiness, could also increase the cost of servicing our debt and could materially reduce our profitability and cash flows.</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the Financial Conduct Authority (the authority that regulates LIBOR) announced it intends to stop persuading or compelling banks to submit rates for the calculation of LIBOR after 2021. Further, on November 30, 2020 the ICE Benchmark Administration Limited announced its plan to extend the date that most USD-LIBOR values would cease being computed to June 30, 2023. The Alternative Reference Rates Committee and the International Swaps and Derivatives Association have identified the Secured Overnight Financing Rate (“SOFR”) as its preferred alternative rate for USD-LIBOR in debt, derivatives, and other financial contracts. Even if financial instruments are transitioned to alternative benchmarks, such as SOFR, successfully, the new benchmarks are likely to differ from LIBOR, and our interest expense associated with our outstanding indebtedness or any future indebtedness we incur may increase. Further, transitioning to an alternative benchmark rate, such as SOFR, may result in us incurring significant expense and legal risks, as renegotiation and changes to documentation may be required in effecting the transition. Any alternative benchmark rate may be calculated differently than LIBOR and may increase the interest expense associated with our existing or future indebtedness.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restrictions that limit our flexibility in operating our business.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or modify the terms of certain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future and, if we fail to do so, that we will be able to obtain waivers from the lenders and/or amend the covenants.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2025 Notes could dilute the ownership interest of existing stockholders or may otherwise depress the price of our common stock.</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12, 2020, we completed the issuance of 2.50% convertible senior notes due on May 15, 2025 (the “2025 Notes”). The 2025 Notes will be convertible into cash, shares of common stock or a combination of cash and shares of common stock at our election, based on the applicable conversion rate at such time. Prior to February 15, 2025, the 2025 Notes will be convertible at the option of the holders of such notes under certain circumstances as provided in the governing indenture. Based on the initial conversion rate of the 2025 Notes, which is subject to adjustment, the 2025 Notes are convertible into 12.9 million shares of our common stock with a maximum possible issuance of 16.5 million shares. The conversion of some or all of the 2025 Notes could dilute the ownership interests of existing stockholders to the extent we elect to deliver shares of our common stock upon conversion of any of the 2025 Notes. Any sales in the public market of the common stock issuable upon such conversion could adversely affect prevailing market prices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4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our competitors, including 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Ineffective internal controls could have a material adverse effect on our business and stock price, and could result in our financial statements becoming unreliable.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financial results could be harmed and we could fail to meet our financial reporting obligations.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 2⁄3 % of the shares of common stock entitled to vote generally in the election of directors; and</w:t>
      </w:r>
    </w:p>
    <w:p>
      <w:pPr>
        <w:ind w:left="6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 of shares of common stock entitled to vote generally in the election of directors.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lease all of our America’s Best and Eyeglass World retail stores. Our leases generally have noncancelable lease terms of between five and 10 years, with an option to renew for additional terms of one to 10 years or more. Over the past few years, we have been entering into more leases with 10 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8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occupy our host and legacy locations through master agreements with our host partners, which contain standard terms and conditions, such as fixed and percentage-based payments.</w:t>
      </w:r>
    </w:p>
    <w:p>
      <w:pPr>
        <w:sectPr>
          <w:pgSz w:w="11900" w:h="16838" w:orient="portrait"/>
          <w:cols w:equalWidth="0" w:num="1">
            <w:col w:w="11260"/>
          </w:cols>
          <w:pgMar w:left="320" w:top="125" w:right="31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stores by location as of January 2, 2021 is as follows: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91"/>
              </w:rPr>
              <w:t>State</w:t>
            </w:r>
          </w:p>
        </w:tc>
        <w:tc>
          <w:tcPr>
            <w:tcW w:w="11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America’s</w:t>
            </w:r>
          </w:p>
        </w:tc>
        <w:tc>
          <w:tcPr>
            <w:tcW w:w="11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Eyeglass</w:t>
            </w:r>
          </w:p>
        </w:tc>
        <w:tc>
          <w:tcPr>
            <w:tcW w:w="108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Legacy</w:t>
            </w:r>
          </w:p>
        </w:tc>
        <w:tc>
          <w:tcPr>
            <w:tcW w:w="108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29"/>
        </w:trPr>
        <w:tc>
          <w:tcPr>
            <w:tcW w:w="980" w:type="dxa"/>
            <w:vAlign w:val="bottom"/>
            <w:tcBorders>
              <w:left w:val="single" w:sz="8" w:color="auto"/>
            </w:tcBorders>
            <w:vMerge w:val="continue"/>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AK</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AL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AR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AZ</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CA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CO</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CT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DE</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FL</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GA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HI</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IA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ID</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IL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IN</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9"/>
              </w:rPr>
              <w:t>KS</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KY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LA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MD</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ME</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MI</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MN</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MO</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99"/>
              </w:rPr>
              <w:t>MS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6"/>
        </w:trPr>
        <w:tc>
          <w:tcPr>
            <w:tcW w:w="1000" w:type="dxa"/>
            <w:vAlign w:val="bottom"/>
            <w:tcBorders>
              <w:top w:val="single" w:sz="8" w:color="auto"/>
              <w:lef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86"/>
              </w:rPr>
              <w:t>State</w:t>
            </w:r>
          </w:p>
        </w:tc>
        <w:tc>
          <w:tcPr>
            <w:tcW w:w="12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America’s</w:t>
            </w:r>
          </w:p>
        </w:tc>
        <w:tc>
          <w:tcPr>
            <w:tcW w:w="10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Eyeglass</w:t>
            </w:r>
          </w:p>
        </w:tc>
        <w:tc>
          <w:tcPr>
            <w:tcW w:w="108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Legacy</w:t>
            </w:r>
          </w:p>
        </w:tc>
        <w:tc>
          <w:tcPr>
            <w:tcW w:w="108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29"/>
        </w:trPr>
        <w:tc>
          <w:tcPr>
            <w:tcW w:w="1000" w:type="dxa"/>
            <w:vAlign w:val="bottom"/>
            <w:tcBorders>
              <w:left w:val="single" w:sz="8" w:color="auto"/>
            </w:tcBorders>
            <w:vMerge w:val="continue"/>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0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ND</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NE</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NH</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7"/>
              </w:rPr>
              <w:t>NJ</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NM</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NV</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NY</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OH</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OK</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OR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w w:val="89"/>
              </w:rPr>
              <w:t>PA</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RI</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98"/>
              </w:rPr>
              <w:t>SC</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SD</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TN</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TX</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UT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VA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VT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7"/>
              </w:rPr>
              <w:t>WA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WI</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WV</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WY</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sectPr>
          <w:pgSz w:w="11900" w:h="16838" w:orient="portrait"/>
          <w:cols w:equalWidth="0" w:num="2">
            <w:col w:w="5400" w:space="420"/>
            <w:col w:w="5440"/>
          </w:cols>
          <w:pgMar w:left="320" w:top="125" w:right="31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Note: ‘Other’ includes Vista Optical in Fred Meyer stores and on military bases. There is one America’s Best location in Washington, D.C. and one Vista Optical location in Puerto Rico.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lease laboratories in Georgia, Texas and Utah and distribution centers in Georgia and Ohio, and we own our laboratory in Minnesota.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corporate offices are located in leased space in Duluth, Georgia. In addition, we lease office space for our AC Lens corporate office in Columbus, Ohio and office space for our FirstSight corporate office in Upland, California.</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13.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“EYE”.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26, 2021, there were approximately 22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January 2, 2021, we did not purchase any of our equity securities that are registered under Section 12(b) of the Exchange Act.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dividends in the past and have no current plans to pay dividends on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below presents the Company’s cumulative total stockholder returns relative to the performance of the NASDAQ Global Composite Index and the NASDAQ US Benchmark Retail Index commencing October 26, 2017 (the Company’s initial day of trading) through January 2, 2021. All values assume a $100 initial investment at the opening price of the Company’s common stock on NASDAQ and data for the NASDAQ Global Composite Index and the NASDAQ US Benchmark Retail Index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62865</wp:posOffset>
            </wp:positionV>
            <wp:extent cx="5349240" cy="2846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selected financial data and quarterly financial data previously required by Items 301 and 302 of Regulation S-K has been omitted in reliance on SEC Release No. 33-10890, Management’s Discussion and Analysis, Selected Financial Data, and Supplementary Financial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We conduct substantially all of our activities through our indirect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2020” relate to the 53 weeks ended January 2, 2021, references herein to “fiscal year 2019” relate to the 52 weeks ended December 28, 2019 and references herein to “fiscal year 2018” relate to the 52 weeks ended December 29, 2018.</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1,205 retail stores across five brands and 19 consumer websites as of fiscal year end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88"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Owned &amp; Host – As of fiscal year end 2020, our owned brands consisted of 773 America’s Best Contacts and Eyeglasses (“America’s Best”) retail stores and 119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fiscal year end 2020.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3"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Legacy – We manage the operations of, and supply inventory and laboratory processing services to, 230 Vision Centers in Walmart retail locations as of fiscal year end 2020. This strategic relationship with Walmart is in its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w:t>
      </w:r>
      <w:r>
        <w:rPr>
          <w:rFonts w:ascii="Arial" w:cs="Arial" w:eastAsia="Arial" w:hAnsi="Arial"/>
          <w:sz w:val="17"/>
          <w:szCs w:val="17"/>
          <w:color w:val="212529"/>
        </w:rPr>
        <w:t>by three years to February 23, 2024; refer to Note 16.</w:t>
      </w:r>
      <w:r>
        <w:rPr>
          <w:rFonts w:ascii="Arial" w:cs="Arial" w:eastAsia="Arial" w:hAnsi="Arial"/>
          <w:sz w:val="17"/>
          <w:szCs w:val="17"/>
          <w:color w:val="auto"/>
        </w:rPr>
        <w:t xml:space="preserve"> </w:t>
      </w:r>
      <w:r>
        <w:rPr>
          <w:rFonts w:ascii="Arial" w:cs="Arial" w:eastAsia="Arial" w:hAnsi="Arial"/>
          <w:sz w:val="17"/>
          <w:szCs w:val="17"/>
          <w:color w:val="212529"/>
        </w:rPr>
        <w:t xml:space="preserve">“Segment Reporting” included in Part II. Item 8. of this Form 10-K for further information. </w:t>
      </w:r>
      <w:r>
        <w:rPr>
          <w:rFonts w:ascii="Arial" w:cs="Arial" w:eastAsia="Arial" w:hAnsi="Arial"/>
          <w:sz w:val="17"/>
          <w:szCs w:val="17"/>
          <w:color w:val="000000"/>
        </w:rPr>
        <w:t>Under the management &amp; services agreement, our</w:t>
      </w:r>
      <w:r>
        <w:rPr>
          <w:rFonts w:ascii="Arial" w:cs="Arial" w:eastAsia="Arial" w:hAnsi="Arial"/>
          <w:sz w:val="17"/>
          <w:szCs w:val="17"/>
          <w:color w:val="212529"/>
        </w:rPr>
        <w:t xml:space="preserve"> </w:t>
      </w:r>
      <w:r>
        <w:rPr>
          <w:rFonts w:ascii="Arial" w:cs="Arial" w:eastAsia="Arial" w:hAnsi="Arial"/>
          <w:sz w:val="17"/>
          <w:szCs w:val="17"/>
          <w:color w:val="000000"/>
        </w:rPr>
        <w:t>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fiscal year 2020, sales associated with this arrangement represented 8.3% of consolidated net revenue. This exposes us to concentration of customer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8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7.4% of consolidated net revenue.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(“U.S. GAAP”), specifically the change in unearned and deferred revenues during the period. There are no revenue transactions between reportable segments, and there are no other items in the reconciliations other than the effects of unearned and deferred revenue. See Note 16. “Segment Reporting” in our consolidated financial statements included in Part II. Item 8. of this Form 10-K.</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Unearned revenue represents the timing difference of when we collect cash from the customer and 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COVID-19 pandemic and related federal, state and local governmental and healthcare authority guidelines continue to impact our business results and cause business disruption in the U.S. and globally. To date, the COVID-19 pandemic and related healthcare authority actions have directly and indirectly impacted our operations, including the temporary closure of our stores to the public between March and June 2020, consumer behavior, comparable store sales, our associates and optometrists and the overall market. While we experienced stronger comparable store sales growth in the third and fourth quarters of 2020, the comparable store sales growth figure for the fiscal year 2020 reflect the effects of store closures and the pandemic. The COVID-19 pandemic has resulted in, and may continue to result in, state, city or local quarantines, labor stoppages and shortages, changes in consumer purchasing patterns, mandatory or voluntary shut-downs of retail locations, severe market volatility, liquidity disruptions, and overall economic instability, which, in many cases, have had, and could continue to have, material adverse impacts on our business, financial condition and results of operations. The scope and nature of these impacts continue to evolve on a daily basis, including with a resurgence in COVID-19 cases during the latter portion of this fiscal year.</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onset of the COVID-19 pandemic, we have focused on ensuring the health and safety of our associates and customers, securing liquidity, reducing expenses and deferring discretionary capital expenditures. In response to the pandemic, we temporarily closed all of our stores to the public across the U.S. on March 19, 2020 and successfully re-opened all stores with enhanced safety and cleaning protocols by June 8, 2020. We also suspended all non-essential travel for our associates and have implemented a remote work policy for certain corporate associates. The decrease in revenue from our temporary store closures was not offset by proportional decreases in expense, as we continued to incur store occupancy costs even while stores were temporarily closed, costs directly related to adapting the Company’s operations to the COVID-19 pandemic such as personal protective equipment and other supplies needed to operate our stores safely and certain other costs such as compensation, a tangible appreciation bonus paid to our customer-facing doctors and associates, and other administrative expenses, resulting in a negative effect on profitability. Since the beginning of the pandemic, we have also implemented capital spending and expense reduction initiatives, including a temporary pause in new store openings between March and June 2020, reduced near term marketing, a temporary reduction in compensation across the organization until the second quarter of 2020, and worked with a base of vendors and landlords to extend payment terms and modify existing contracts.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17, 2020, as a precautionary measure to preserve financial flexibility during the COVID-19 pandemic, we borrowed the remaining $146.3 million in available funds under our $300.0 million revolving credit facility (the “Revolving Credit Facility”). On May 12, 2020, we completed the issuance of $402.5 million principal amount of 2.50% convertible senior notes due on May 15, 2025 (the “2025 Notes”) and used the net proceeds to repay the full amount outstanding under our Revolving Credit Facility and part of our outstanding borrowings under our Term Loan. We also entered into an amendment (the “Credit Agreement Amendment”) to our Amended and Restated Credit Agreement, dated as of July 18, 2019 (the “Credit Agreement”) to suspend certain financial maintenance covenants until testing at the end of the second fiscal quarter of 2021, allowing us to focus on the prudent management of the business. We also recorded income totaling $11.0 million as a result of the employee retention credits made available under the CARES Act for U.S. associates during fiscal year 2020; recognizing $6.2 million as a reduction to costs of services and plans, $0.4 million as a reduction to costs of products and $4.4 million as a reduction to SG&amp;A during fiscal year 2020.</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monitor the evolving situation as there remain many uncertainties regarding the pandemic and its resurgence through new variants, including its anticipated duration, related healthcare authority guidelines and efficacy of vaccination initiatives, impacts on our domestic labs and our outsourced third party optical laboratories in China and Mexico, and potential disruptions of product deliveries. To date, we have been able to meet customer demand with operations at our laboratories. We source merchandise from suppliers located in China and a significant amount of domestically-purchased merchandise is manufactured in China. We have partnered with our suppliers and third party laboratories to mitigate any potential significant delays in delivery of merchandise. Our e-commerce business remained open to serve our customers during the unprecedented period of temporary store closures. We could experience further material impacts as a result of COVID-19, including, but not limited to, charges from additional asset impairment, deferred tax valuation allowances and further changes in the effectiveness of our hedging instruments. We will continue to evaluate additional measures that we may elect to take as a response to the pandemic, including, where appropriate, future action to reduce store hours and patient appointments or temporarily close stores. There can be no assurance whether or when any such measures will be adopted.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possible that our preparations for the events listed above are not adequate to mitigate their impact, and that these events could further adversely affect our business and results of operations. For a discussion of significant risks that have the potential to cause our actual results to differ materially from our expectations, refer to “Item 1A. Risk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time of year of a particular opening, the amount of store pre-opening costs, labor and occupancy costs in the specified market, level of participation in managed care plans, and location, including whether they are in new or existing markets. We typically incur higher than normal associate costs at the time of a new store opening associated with set-up and other opening costs, including training and development of our store associates. The multi-year maturation process of our stores is influenced by customer purchasing behavior in our industry. Consumers return for eye exams every 20 months on average and a considerable majority of our customers are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technology. We will also be required to hire, train and retain optometric professionals, store management and store personnel, which, together with increased marketing costs, may affect our operating margins. The impact of the COVID-19 pandemic on our multi-year maturation process of our stores, customer purchasing behaviors and patterns remain uncertain and affects and relevant risk exposures may be exacerbated by the immediate and ongoing threat of the COVID-19 pandemic.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 including amount and timing of tax refunds;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strategies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participation in managed care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foot traffic in retail shopping centers where our stores are predominantly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optometrists and other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and timing of weather related store closures;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affects and relevant risk exposures may be exacerbated by the immediate and ongoing threat of the COVID-19 pandemic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managed care business relates to vision care programs and associated benefits which are either: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increasing percentage of our customers receive vision care insurance coverage through managed care payors. Our participation in these programs represent an increasingly significant portion of our overall revenues and represented approximately one third of our overall revenues in fiscal year 2020. While we have relationships with almost all vision care insurers in the United States and with all of the major carriers, currently, a relatively small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number of payors comprise the majority of our managed care revenues, subjecting us to concentration risk. As our participation in managed care programs continues to expand, we have incurred and expect to incur additional costs related to this area of our business. Our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 however the affects and relevant risk exposures may be exacerbated by the immediate and ongoing threat of the COVID-19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During periods of economic downturn and uncertainty, our customers especially benefit from our low prices. Additionally, eye care purchases are predominantly a medical necessity and are considered non-discretionary in nature. Therefore, the overall economic environment and related changes in consumer behavior may have less of an impact on our business than for retailers in other industries; however, the long-term effects of the COVID-19 pandemic on overall economic trends and consumer spending patterns remain uncertain.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and contact lens customers order new lenses every six to 12 months, reflecting the predictability of these recurring purchase behaviors; however, the long-term effects of the COVID-19 pandemic on consumer preferences and recurring purchase behaviors remain uncertain.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marketing, and personnel, including experienced industry executives, and management and merchandising teams to support our long-term growth objectives. We intend to continue to make targeted investments in our infrastructure to support our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due to a worsening COVID-19 pandemic or other factors. We rely on a small number of vendors to supply the majority of our eyeglass lenses and contact lenses, and are thus exposed to supplier concentration risk. In particular, we have agreed to exclusively purchase almost all of our spectacle lenses from one supplier. During fiscal year 2020, 89% of spectacle lens expenditures were from this vendor and 93% of contact lens expenditures were with three vendors. We are less exposed to a supplier risk for our eyeglass frames as only 52% of frame expenditures were with two vendors.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source merchandise from suppliers located in China, a significant amount of our domestically-purchased merchandise is manufactured in China, and one of our outsourced third-party laboratories is located in China. Historically, tariffs have not materially affected our financial results, and we believe that less than 15% of costs applicable to revenue are subject to tariffs on Chinese imports. Effective September 1, 2019, the U.S. government implemented a 15% tariff on specified products imported into the U.S. from China and effective February 14, 2020, the 15% tariff was reduced to 7.5%. The temporary reduction of tariff rates expired in September, 2020. We continue to monitor ongoing political relations between China and the United States.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 In addition, the COVID-19 pandemic could impact our product sourcing if travel restrictions and a shutdown of businesses in China arises due to a resurgence in cases. While it is too early to predict how the China tariffs or the coronavirus will impact our business, our financial results may also be impacted by consumers’ fear of a prolonged trade war with China, a slowdown in sourcing and an economic slowdown.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seasonally larger first half of the fiscal year is attributable primarily to the timing of our customers’ income tax refunds and annual health insurance program start/reset 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the following fiscal period due to our policy of recognizing revenue only after the product has been accepted by the customer. Consumer behavior driven by the COVID-19 pandemic has resulted in a departure from seasonal norms we have experienced in recent years and may continue to disrupt the historical quarterly cadence of our results of operations for an unknown period of time.</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fiscal years 2019 and 2018, approximately 23% of our revenues were recorded in the fourth quarter, but approximately 24% of annual SG&amp;A costs were also recorded in the fourth quarter for those years, due to certain SG&amp;A costs being more fixed in nature. For fiscal year 2020, approximately 29% of our revenue was recorded in the fourth quarter, but approximately 28% of annual SG&amp;A costs were recorded in the fourth quarter. Compared to prior fiscal years, in fiscal year 2020 we experienced stronger comparable store sales growth in the fourth quarter from strong customer demand, including the effect of our stores being temporarily closed to the public earlier in the year. Additionally, SG&amp;A costs, primarily advertising expense, during the second and third quarters of fiscal year 2020 were lower than in the corresponding quarters prior fiscal years due to impacts of the COVID-19 pandemic.</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optical retail industry is highly competitive and fragmented. Competition is generally based upon brand name recognition, price, convenience, selection, service and product quality. We operate within the value segment of the U.S. optical retail industry, which emphasizes price and value. We compete with mass merchants, specialty retail chains, online retailers and independent eye practitioners and opticians. We also compete with large national retailers such as, in alphabetical order, LensCrafters, Pearle Vision and Visionworks. The COVID-19 pandemic may lead to changes in both the number and positioning of our competitors.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Ongoing consolidation activity has created, and further consolidation activity may create, organizations that are involved in virtually every sector of the optical industry, from retail and wholesale to frames, spectacle lenses, and managed vision care. This increased consolidation activity may enable these companies to benefit from purchasing advantages and the ability to leverage management capabilities across a larger business base. Other trends include an increase in private equity-backed consolidation of smaller and mid-size independent practices and the formation of buying groups and similar forms of practice affiliations. The COVID-19 pandemic may lead to increases in consolidation activity and trends.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early in the COVID-19 pandemic, we temporarily paused new store openings during a portion of fiscal year 2020. We opened 57 stores and transitioned five additional Legacy stores to our management during fiscal year 2020. We will continue to monitor and determine our plans for future new store openings based on health, safety and economic conditions.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 Adjusted EBITDA Margin, Adjusted Operating Income, Adjusted Operating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1,418,283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1,426,136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1,269,612</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267,242</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1,711,760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1,724,331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1,536,854</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574,351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511,406</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202,165</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806,519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713,571</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720,590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744,488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687,476</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74,339</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17,630</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r>
      <w:tr>
        <w:trPr>
          <w:trHeight w:val="223"/>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780,932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42,351</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37,283</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end of period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New stores opened during the period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102,401</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36"/>
        </w:trPr>
        <w:tc>
          <w:tcPr>
            <w:tcW w:w="5940" w:type="dxa"/>
            <w:vAlign w:val="bottom"/>
          </w:tcPr>
          <w:p>
            <w:pPr>
              <w:spacing w:after="0" w:line="23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218,307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194,139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169,335</w:t>
            </w:r>
          </w:p>
        </w:tc>
      </w:tr>
    </w:tbl>
    <w:p>
      <w:pPr>
        <w:ind w:left="40"/>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3" w:lineRule="exact"/>
        <w:rPr>
          <w:sz w:val="20"/>
          <w:szCs w:val="20"/>
          <w:color w:val="auto"/>
        </w:rPr>
      </w:pPr>
    </w:p>
    <w:p>
      <w:pPr>
        <w:ind w:left="120" w:hanging="74"/>
        <w:spacing w:after="0"/>
        <w:tabs>
          <w:tab w:leader="none" w:pos="120" w:val="left"/>
        </w:tabs>
        <w:numPr>
          <w:ilvl w:val="0"/>
          <w:numId w:val="2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Adjusted EBITDA no longer excludes new store pre-opening expenses and non-cash rent. Refer to Non-GAAP Financial Measures section below for our presentation of Adjusted EBITDA.</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860" w:type="dxa"/>
            <w:vAlign w:val="bottom"/>
            <w:gridSpan w:val="2"/>
          </w:tcPr>
          <w:p>
            <w:pPr>
              <w:ind w:left="260"/>
              <w:spacing w:after="0"/>
              <w:rPr>
                <w:sz w:val="20"/>
                <w:szCs w:val="20"/>
                <w:color w:val="auto"/>
              </w:rPr>
            </w:pPr>
            <w:r>
              <w:rPr>
                <w:rFonts w:ascii="Arial" w:cs="Arial" w:eastAsia="Arial" w:hAnsi="Arial"/>
                <w:sz w:val="18"/>
                <w:szCs w:val="18"/>
                <w:color w:val="auto"/>
              </w:rPr>
              <w:t>Fiscal Year 2020</w:t>
            </w:r>
          </w:p>
        </w:tc>
        <w:tc>
          <w:tcPr>
            <w:tcW w:w="1860" w:type="dxa"/>
            <w:vAlign w:val="bottom"/>
            <w:gridSpan w:val="2"/>
          </w:tcPr>
          <w:p>
            <w:pPr>
              <w:ind w:left="260"/>
              <w:spacing w:after="0"/>
              <w:rPr>
                <w:sz w:val="20"/>
                <w:szCs w:val="20"/>
                <w:color w:val="auto"/>
              </w:rPr>
            </w:pPr>
            <w:r>
              <w:rPr>
                <w:rFonts w:ascii="Arial" w:cs="Arial" w:eastAsia="Arial" w:hAnsi="Arial"/>
                <w:sz w:val="18"/>
                <w:szCs w:val="18"/>
                <w:color w:val="auto"/>
              </w:rPr>
              <w:t>Fiscal Year 2019</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Fiscal Year 2018</w:t>
            </w: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costs applicable to revenue</w:t>
            </w:r>
          </w:p>
        </w:tc>
        <w:tc>
          <w:tcPr>
            <w:tcW w:w="1740" w:type="dxa"/>
            <w:vAlign w:val="bottom"/>
          </w:tcPr>
          <w:p>
            <w:pPr>
              <w:jc w:val="right"/>
              <w:spacing w:after="0"/>
              <w:rPr>
                <w:sz w:val="20"/>
                <w:szCs w:val="20"/>
                <w:color w:val="auto"/>
              </w:rPr>
            </w:pPr>
            <w:r>
              <w:rPr>
                <w:rFonts w:ascii="Arial" w:cs="Arial" w:eastAsia="Arial" w:hAnsi="Arial"/>
                <w:sz w:val="18"/>
                <w:szCs w:val="18"/>
                <w:color w:val="auto"/>
              </w:rPr>
              <w:t>46.0 %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46.4 %</w:t>
            </w: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jc w:val="right"/>
              <w:spacing w:after="0"/>
              <w:rPr>
                <w:sz w:val="20"/>
                <w:szCs w:val="20"/>
                <w:color w:val="auto"/>
              </w:rPr>
            </w:pPr>
            <w:r>
              <w:rPr>
                <w:rFonts w:ascii="Arial" w:cs="Arial" w:eastAsia="Arial" w:hAnsi="Arial"/>
                <w:sz w:val="18"/>
                <w:szCs w:val="18"/>
                <w:color w:val="auto"/>
              </w:rPr>
              <w:t>49.0 %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50.8 %</w:t>
            </w: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Adjusted EBITDA</w:t>
            </w:r>
          </w:p>
        </w:tc>
        <w:tc>
          <w:tcPr>
            <w:tcW w:w="174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11.0 %</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compared to Fiscal Year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COVID-19 pandemic, our retail stores closed to the public beginning on March 19, 2020. We began reopening our stores to the public on April 27, 2020 and on June 8, 2020, we announced the successful completion of the reopening process. Fiscal year 2020 consists of 53 weeks compared to 52 weeks in fiscal year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2020 compared to fiscal year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ind w:left="40"/>
              <w:spacing w:after="0"/>
              <w:rPr>
                <w:sz w:val="20"/>
                <w:szCs w:val="20"/>
                <w:color w:val="auto"/>
              </w:rPr>
            </w:pPr>
            <w:r>
              <w:rPr>
                <w:rFonts w:ascii="Arial" w:cs="Arial" w:eastAsia="Arial" w:hAnsi="Arial"/>
                <w:sz w:val="14"/>
                <w:szCs w:val="14"/>
                <w:color w:val="auto"/>
                <w:w w:val="97"/>
              </w:rPr>
              <w:t>Comparable store sales growth</w:t>
            </w:r>
            <w:r>
              <w:rPr>
                <w:rFonts w:ascii="Arial" w:cs="Arial" w:eastAsia="Arial" w:hAnsi="Arial"/>
                <w:sz w:val="18"/>
                <w:szCs w:val="18"/>
                <w:color w:val="auto"/>
                <w:w w:val="97"/>
                <w:vertAlign w:val="superscript"/>
              </w:rPr>
              <w:t>(1)</w:t>
            </w:r>
          </w:p>
        </w:tc>
        <w:tc>
          <w:tcPr>
            <w:tcW w:w="1840" w:type="dxa"/>
            <w:vAlign w:val="bottom"/>
            <w:gridSpan w:val="4"/>
          </w:tcPr>
          <w:p>
            <w:pPr>
              <w:ind w:left="40"/>
              <w:spacing w:after="0"/>
              <w:rPr>
                <w:sz w:val="20"/>
                <w:szCs w:val="20"/>
                <w:color w:val="auto"/>
              </w:rPr>
            </w:pPr>
            <w:r>
              <w:rPr>
                <w:rFonts w:ascii="Arial" w:cs="Arial" w:eastAsia="Arial" w:hAnsi="Arial"/>
                <w:sz w:val="14"/>
                <w:szCs w:val="14"/>
                <w:color w:val="auto"/>
              </w:rPr>
              <w:t>Stores open at end of period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line="129" w:lineRule="exact"/>
              <w:rPr>
                <w:sz w:val="20"/>
                <w:szCs w:val="20"/>
                <w:color w:val="auto"/>
              </w:rPr>
            </w:pPr>
            <w:r>
              <w:rPr>
                <w:rFonts w:ascii="Arial" w:cs="Arial" w:eastAsia="Arial" w:hAnsi="Arial"/>
                <w:sz w:val="14"/>
                <w:szCs w:val="14"/>
                <w:i w:val="1"/>
                <w:iCs w:val="1"/>
                <w:color w:val="auto"/>
              </w:rPr>
              <w:t>In thousands, except percentage and store</w:t>
            </w:r>
          </w:p>
        </w:tc>
        <w:tc>
          <w:tcPr>
            <w:tcW w:w="11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Fiscal Year 2020</w:t>
            </w:r>
          </w:p>
        </w:tc>
        <w:tc>
          <w:tcPr>
            <w:tcW w:w="84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Fiscal Year</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Fiscal Year</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color w:val="auto"/>
              </w:rPr>
              <w:t>Fiscal Year 2020</w:t>
            </w: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color w:val="auto"/>
                <w:w w:val="91"/>
              </w:rPr>
              <w:t>Fiscal Year 2019</w:t>
            </w: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i w:val="1"/>
                <w:iCs w:val="1"/>
                <w:color w:val="auto"/>
              </w:rPr>
              <w:t>data</w:t>
            </w:r>
          </w:p>
        </w:tc>
        <w:tc>
          <w:tcPr>
            <w:tcW w:w="1140" w:type="dxa"/>
            <w:vAlign w:val="bottom"/>
            <w:gridSpan w:val="2"/>
            <w:vMerge w:val="continue"/>
          </w:tcPr>
          <w:p>
            <w:pPr>
              <w:spacing w:after="0"/>
              <w:rPr>
                <w:sz w:val="16"/>
                <w:szCs w:val="16"/>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1,131,016</w:t>
            </w:r>
          </w:p>
        </w:tc>
        <w:tc>
          <w:tcPr>
            <w:tcW w:w="860" w:type="dxa"/>
            <w:vAlign w:val="bottom"/>
          </w:tcPr>
          <w:p>
            <w:pPr>
              <w:jc w:val="right"/>
              <w:spacing w:after="0"/>
              <w:rPr>
                <w:sz w:val="20"/>
                <w:szCs w:val="20"/>
                <w:color w:val="auto"/>
              </w:rPr>
            </w:pPr>
            <w:r>
              <w:rPr>
                <w:rFonts w:ascii="Arial" w:cs="Arial" w:eastAsia="Arial" w:hAnsi="Arial"/>
                <w:sz w:val="18"/>
                <w:szCs w:val="18"/>
                <w:color w:val="auto"/>
              </w:rPr>
              <w:t>66.1 %</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w w:val="89"/>
              </w:rPr>
              <w:t>1,108,760</w:t>
            </w:r>
          </w:p>
        </w:tc>
        <w:tc>
          <w:tcPr>
            <w:tcW w:w="620" w:type="dxa"/>
            <w:vAlign w:val="bottom"/>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179,934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178,841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20,428</w:t>
            </w: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23,694</w:t>
            </w:r>
          </w:p>
        </w:tc>
        <w:tc>
          <w:tcPr>
            <w:tcW w:w="6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11,021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13,705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1,342,399</w:t>
            </w:r>
          </w:p>
        </w:tc>
        <w:tc>
          <w:tcPr>
            <w:tcW w:w="860" w:type="dxa"/>
            <w:vAlign w:val="bottom"/>
          </w:tcPr>
          <w:p>
            <w:pPr>
              <w:jc w:val="right"/>
              <w:spacing w:after="0"/>
              <w:rPr>
                <w:sz w:val="20"/>
                <w:szCs w:val="20"/>
                <w:color w:val="auto"/>
              </w:rPr>
            </w:pPr>
            <w:r>
              <w:rPr>
                <w:rFonts w:ascii="Arial" w:cs="Arial" w:eastAsia="Arial" w:hAnsi="Arial"/>
                <w:sz w:val="18"/>
                <w:szCs w:val="18"/>
                <w:color w:val="auto"/>
              </w:rPr>
              <w:t>78.4 %</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w w:val="89"/>
              </w:rPr>
              <w:t>1,325,000</w:t>
            </w:r>
          </w:p>
        </w:tc>
        <w:tc>
          <w:tcPr>
            <w:tcW w:w="620" w:type="dxa"/>
            <w:vAlign w:val="bottom"/>
          </w:tcPr>
          <w:p>
            <w:pPr>
              <w:jc w:val="right"/>
              <w:spacing w:after="0"/>
              <w:rPr>
                <w:sz w:val="20"/>
                <w:szCs w:val="20"/>
                <w:color w:val="auto"/>
              </w:rPr>
            </w:pPr>
            <w:r>
              <w:rPr>
                <w:rFonts w:ascii="Arial" w:cs="Arial" w:eastAsia="Arial" w:hAnsi="Arial"/>
                <w:sz w:val="18"/>
                <w:szCs w:val="18"/>
                <w:color w:val="auto"/>
              </w:rPr>
              <w:t>76.9 %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160,049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234,403</w:t>
            </w:r>
          </w:p>
        </w:tc>
        <w:tc>
          <w:tcPr>
            <w:tcW w:w="860" w:type="dxa"/>
            <w:vAlign w:val="bottom"/>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245,218</w:t>
            </w:r>
          </w:p>
        </w:tc>
        <w:tc>
          <w:tcPr>
            <w:tcW w:w="62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(5,936)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1,711,760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w w:val="89"/>
              </w:rPr>
              <w:t>1,724,331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Comparable Store Sales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(3)</w:t>
            </w: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 2019 includes 52 weeks.</w:t>
      </w:r>
    </w:p>
    <w:p>
      <w:pPr>
        <w:spacing w:after="0" w:line="1" w:lineRule="exact"/>
        <w:rPr>
          <w:sz w:val="20"/>
          <w:szCs w:val="20"/>
          <w:color w:val="auto"/>
        </w:rPr>
      </w:pPr>
    </w:p>
    <w:p>
      <w:pPr>
        <w:jc w:val="both"/>
        <w:ind w:left="340" w:right="66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340" w:right="660" w:hanging="332"/>
        <w:spacing w:after="0" w:line="244"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a decrease of 0.1% from total comparable store sales growth based on consolidated net revenue for fiscal year 2020 and fiscal year 2019, respectively, and (ii) Adjusted Comparable Store Sales Growth includes retail sales to the legacy partner’s customers (rather than the revenues recognized consistent with the management &amp; services agreement with the legacy partner), resulting in a decrease of 0.1% and a decrease of 0.2% from total comparable store sales growth based on consolidated net revenue for the fiscal years 2020 and 2019, respectively.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$1,711.8 million for fiscal year 2020 decreased $12.5 million, or 0.7%, from $1,724.3 million for fiscal year 2019. This decrease was driven by the temporary closure of our stores to the public for a portion of fiscal year 2020 due to the COVID-19 pandemic, and was partially offset by new store sales as well as $32.2 million of net revenue attributable to the 53rd week in fiscal year 2020. Total net revenue was also negatively impacted by changes in unearned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2020, we opened 55 new America’s Best stores, two new Eyeglass World stores, and transitioned five additional Legacy stores to our management. During fiscal year 2020, we closed seven America’s Best stores and one Legacy store as a result of our Legacy partner’s decision to cease its overall operations at the location. The total net new locations in fiscal year 2020 for America’s Best, Eyeglass Word, and Legacy are 48, two and four, respectively. Overall, store count grew 4.7% from the end of fiscal year 2019 to the end of fiscal year 2020.</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Comparable store sales growth and Adjusted Comparable Store Sales Growth for fiscal year 2020 were (5.6)% and (6.1)%, respectively. The decreases in comparable store sales growth and Adjusted Comparable Store Sales Growth were driven by the temporary closure of our stores to the public.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product sales comprised 82.9% and 82.7% of total net revenue for fiscal years 2020 and 2019, respectively. Net product sales decreased $7.9 million, or 0.6% during fiscal year 2020 compared to fiscal year 2019, primarily due to the temporary closure of our stores to the public and lower wholesale fulfillment that was partially offset by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and increased sales of contact lenses. Net sales of services and plans decreased $4.7 million, or 1.6%, primarily due to the temporary closure of our stores to the public.</w:t>
      </w:r>
    </w:p>
    <w:p>
      <w:pPr>
        <w:spacing w:after="0" w:line="89"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$17.4 million, or 1.3% as stronger sales in fiscal year 2020, and in the 53</w:t>
      </w:r>
      <w:r>
        <w:rPr>
          <w:rFonts w:ascii="Arial" w:cs="Arial" w:eastAsia="Arial" w:hAnsi="Arial"/>
          <w:sz w:val="23"/>
          <w:szCs w:val="23"/>
          <w:color w:val="auto"/>
          <w:vertAlign w:val="superscript"/>
        </w:rPr>
        <w:t>rd</w:t>
      </w:r>
      <w:r>
        <w:rPr>
          <w:rFonts w:ascii="Arial" w:cs="Arial" w:eastAsia="Arial" w:hAnsi="Arial"/>
          <w:sz w:val="18"/>
          <w:szCs w:val="18"/>
          <w:i w:val="1"/>
          <w:iCs w:val="1"/>
          <w:color w:val="auto"/>
        </w:rPr>
        <w:t xml:space="preserve"> </w:t>
      </w:r>
      <w:r>
        <w:rPr>
          <w:rFonts w:ascii="Arial" w:cs="Arial" w:eastAsia="Arial" w:hAnsi="Arial"/>
          <w:sz w:val="18"/>
          <w:szCs w:val="18"/>
          <w:color w:val="auto"/>
        </w:rPr>
        <w:t>week,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declines due to the temporary closure of our stores to the public.</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declined $18.0 million, or 11.3%, due to the temporary closure of our stores to the public.</w:t>
      </w:r>
    </w:p>
    <w:p>
      <w:pPr>
        <w:spacing w:after="0" w:line="11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declined $10.8 million, or 4.4%, due to lower wholesale fulfillment, partially offset by growth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online retail business.</w:t>
      </w:r>
    </w:p>
    <w:p>
      <w:pPr>
        <w:spacing w:after="0" w:line="62" w:lineRule="exact"/>
        <w:rPr>
          <w:sz w:val="20"/>
          <w:szCs w:val="20"/>
          <w:color w:val="auto"/>
        </w:rPr>
      </w:pPr>
    </w:p>
    <w:p>
      <w:pPr>
        <w:jc w:val="both"/>
        <w:ind w:left="340"/>
        <w:spacing w:after="0" w:line="281"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for fiscal year 2020 and fiscal year 2019 include increases in deferred revenue of $2.3 million and $5.1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and increases in unearned revenue of $4.8 million and $0.8 million, respectively. The increase in deferred revenue for fiscal year 2020 was driven by growth in eye care club membership sales; we believe that the increases in deferred revenue were limited somewhat by the temporary closure of our stores to the public. The increase in unearned revenue compared to the prior period is due to higher sales in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of the fiscal year. In 53-week fiscal years we have historically experienced higher volumes in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compared to the 52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week.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$786.6 million for fiscal year 2020 decreased $19.9 million, or 2.5%, from $806.5 million for fiscal year 2019. As a percentage of net revenue, costs applicable to revenue decreased from 46.8% for fiscal year 2019 to 46.0% for fiscal year 2020. This decrease as a percentage of net revenue was driven by higher eyeglass margin, partially offset by increased contact lens mix and optometrist costs while our stores were temporarily closed to the public.</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decreased from 40.3% for fiscal year 2019 to 38.9% for fiscal year 2020, driven by higher eyeglass margin, partially offset by increased contact lens mix.</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28.9% for fiscal year 2019 to 28.0%</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2020 driven by higher eyeglass margin, partially offset by increased contact lens mix.</w:t>
      </w:r>
    </w:p>
    <w:p>
      <w:pPr>
        <w:spacing w:after="0" w:line="6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increased from 46.2% for fiscal year 2019 to 47.8%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2020. The increase was primarily driven by increased contact lens mix and a higher mix of non-managed care customer transactions versus 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Decreases in managed care mix increase costs of products as a percentage of net product sales and have a corresponding positive impact on costs of services as a percentage of net sales of services and plans in our Legacy segment.</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of services and plans as a percentage of net sales of services and plans increased from 77.9% for fiscal year 2019 to 80.0% for fiscal year 2020. The increase was primarily driven by optometrist costs incurred during the temporary closure of our stores to the public.</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increased from 83.2%</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2019 to 86.0% for fiscal year 2020. The increase was driven by optometrist and technician costs incurred during the temporary closure of our stores to the public.</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46.3%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2019 to 46.5% for fiscal year 2020. The increase was primarily driven by optometrist costs incurred during the temporary closure of our stores to the public.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SG&amp;A of $720.6 million for fiscal year 2020 decreased $23.9 million, or 3.2%, from fiscal year 2019. As a percentage of net revenue, SG&amp;A decreased from 43.2% for fiscal year 2019 to 42.1% for fiscal year 2020. This decrease as a percentage of net revenue was primarily driven by lower advertising investment partially offset by store and corporate payroll and occupancy costs incurred during the temporary closure of our stores to the public. SG&amp;A for fiscal year 2020 includes $8.6 million of incremental costs directly related to adapting the Company’s operations during the COVID-19 pandemic; of these costs, $0.6 million were reflected as adjustments for the Company’s presentation of non-GAAP measures below.</w:t>
      </w:r>
    </w:p>
    <w:p>
      <w:pPr>
        <w:spacing w:after="0" w:line="6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decreased from 38.4% for fiscal year 2019 to 36.5% for fiscal year 2020.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as a percentage of net revenue was primarily driven by lower advertising investment partially offset by store payroll and occupancy costs incurred during the temporary closure of our stores to the public.</w:t>
      </w:r>
    </w:p>
    <w:p>
      <w:pPr>
        <w:spacing w:after="0" w:line="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35.1% for fiscal year 2019 to 36.5% for fiscal year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store payroll costs incurred during the temporary closure of our stores to the public.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of $91.6 million for fiscal year 2020 increased $4.3 million, or 5.0%, from $87.2 million for fiscal year 2019 primarily driven by new store openings and investments in information technology and doctor equipment. Our property and equipment balance, net, decreased $25.5 million, or 6.9%, during fiscal year 2020, reflective of $76.2 million in purchases of property and equipment, $1.1 million in new finance leases, less $84.2 million in depreciation expense and $18.6 million in impairment and other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$22.0 million for impairment primarily of tangible long-lived assets and ROU assets associated with our retail stores in fiscal year 2020 compared to $8.9 million recognized in fiscal year 2019. Expenses recognized in fiscal year 2020 were related to impairments of long-lived tangible assets at our retail stores and right of use (“ROU”) assets related to our retail stores. The increase in store asset impairment charges during fiscal year 2020 was primarily related to our Owned &amp; Host segment and was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the historical performance of the stores before the temporary closure of our stores to the public; the effect of store closures and uncertainty in store revenues over the remaining useful life of the asset group as a result of the COVID-19 pandemic; and the remaining useful lives of the assets. The asset impairment expense for fiscal year 2020 also includes $1.1 million related to a write-off of certain software assets that were deemed to be obsolete. Asset impairment expenses were recognized in Corporate/Other.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$48.2 million for fiscal year 2020 increased $14.9 million, or 44.7%, from $33.3 million for fiscal year 2019. The increase was primarily driven by losses related to immediate recognition of changes in fair value of ineffective hedges of $4.0 million and charges related to interest payments and amortization of debt discounts related to the 2025 Notes of $17.3 million that were partially offset by a reduction in our Term Loan and Revolving Credit Facility utilization.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income tax provision for fiscal year 2020 reflected our statutory federal and state rate of 25.5%, combined with a discrete benefit of $8.0 million associated primarily with the exercise of stock options. In comparison, the income tax benefit associated with fiscal year 2019, reflected income tax expense at our statutory federal and state rate of 25.5% offset by a $10.1 million income tax benefit resulting from stock option exercises.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compared to Fiscal Year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2019 compared to fiscal year 2018.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color w:val="auto"/>
                <w:w w:val="98"/>
              </w:rPr>
              <w:t>Comparable store sales growth</w:t>
            </w:r>
            <w:r>
              <w:rPr>
                <w:rFonts w:ascii="Arial" w:cs="Arial" w:eastAsia="Arial" w:hAnsi="Arial"/>
                <w:sz w:val="18"/>
                <w:szCs w:val="18"/>
                <w:color w:val="auto"/>
                <w:w w:val="98"/>
                <w:vertAlign w:val="superscript"/>
              </w:rPr>
              <w:t>(1)</w:t>
            </w:r>
          </w:p>
        </w:tc>
        <w:tc>
          <w:tcPr>
            <w:tcW w:w="1840" w:type="dxa"/>
            <w:vAlign w:val="bottom"/>
            <w:gridSpan w:val="4"/>
          </w:tcPr>
          <w:p>
            <w:pPr>
              <w:ind w:left="60"/>
              <w:spacing w:after="0"/>
              <w:rPr>
                <w:sz w:val="20"/>
                <w:szCs w:val="20"/>
                <w:color w:val="auto"/>
              </w:rPr>
            </w:pPr>
            <w:r>
              <w:rPr>
                <w:rFonts w:ascii="Arial" w:cs="Arial" w:eastAsia="Arial" w:hAnsi="Arial"/>
                <w:sz w:val="14"/>
                <w:szCs w:val="14"/>
                <w:color w:val="auto"/>
                <w:w w:val="99"/>
              </w:rPr>
              <w:t>Stores open at end of period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line="129" w:lineRule="exact"/>
              <w:rPr>
                <w:sz w:val="20"/>
                <w:szCs w:val="20"/>
                <w:color w:val="auto"/>
              </w:rPr>
            </w:pPr>
            <w:r>
              <w:rPr>
                <w:rFonts w:ascii="Arial" w:cs="Arial" w:eastAsia="Arial" w:hAnsi="Arial"/>
                <w:sz w:val="14"/>
                <w:szCs w:val="14"/>
                <w:i w:val="1"/>
                <w:iCs w:val="1"/>
                <w:color w:val="auto"/>
              </w:rPr>
              <w:t>In thousands, except percentage and store</w:t>
            </w:r>
          </w:p>
        </w:tc>
        <w:tc>
          <w:tcPr>
            <w:tcW w:w="10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color w:val="auto"/>
              </w:rPr>
              <w:t>Fiscal Year</w:t>
            </w:r>
          </w:p>
        </w:tc>
        <w:tc>
          <w:tcPr>
            <w:tcW w:w="96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Fiscal Year</w:t>
            </w:r>
          </w:p>
        </w:tc>
        <w:tc>
          <w:tcPr>
            <w:tcW w:w="8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99"/>
              </w:rPr>
              <w:t>Fiscal Year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color w:val="auto"/>
              </w:rPr>
              <w:t>Fiscal Year 2019</w:t>
            </w:r>
          </w:p>
        </w:tc>
        <w:tc>
          <w:tcPr>
            <w:tcW w:w="3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Fiscal Year 2018</w:t>
            </w:r>
          </w:p>
        </w:tc>
        <w:tc>
          <w:tcPr>
            <w:tcW w:w="0" w:type="dxa"/>
            <w:vAlign w:val="bottom"/>
          </w:tcPr>
          <w:p>
            <w:pPr>
              <w:spacing w:after="0"/>
              <w:rPr>
                <w:sz w:val="1"/>
                <w:szCs w:val="1"/>
                <w:color w:val="auto"/>
              </w:rPr>
            </w:pPr>
          </w:p>
        </w:tc>
      </w:tr>
      <w:tr>
        <w:trPr>
          <w:trHeight w:val="186"/>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data</w:t>
            </w:r>
          </w:p>
        </w:tc>
        <w:tc>
          <w:tcPr>
            <w:tcW w:w="980" w:type="dxa"/>
            <w:vAlign w:val="bottom"/>
          </w:tcPr>
          <w:p>
            <w:pPr>
              <w:jc w:val="right"/>
              <w:ind w:right="255"/>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98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1,108,760</w:t>
            </w:r>
          </w:p>
        </w:tc>
        <w:tc>
          <w:tcPr>
            <w:tcW w:w="840" w:type="dxa"/>
            <w:vAlign w:val="bottom"/>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971,384</w:t>
            </w:r>
          </w:p>
        </w:tc>
        <w:tc>
          <w:tcPr>
            <w:tcW w:w="840" w:type="dxa"/>
            <w:vAlign w:val="bottom"/>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178,841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163,932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23,694</w:t>
            </w: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23,748</w:t>
            </w:r>
          </w:p>
        </w:tc>
        <w:tc>
          <w:tcPr>
            <w:tcW w:w="84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13,705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14,338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1,325,000</w:t>
            </w:r>
          </w:p>
        </w:tc>
        <w:tc>
          <w:tcPr>
            <w:tcW w:w="840" w:type="dxa"/>
            <w:vAlign w:val="bottom"/>
          </w:tcPr>
          <w:p>
            <w:pPr>
              <w:jc w:val="right"/>
              <w:spacing w:after="0"/>
              <w:rPr>
                <w:sz w:val="20"/>
                <w:szCs w:val="20"/>
                <w:color w:val="auto"/>
              </w:rPr>
            </w:pPr>
            <w:r>
              <w:rPr>
                <w:rFonts w:ascii="Arial" w:cs="Arial" w:eastAsia="Arial" w:hAnsi="Arial"/>
                <w:sz w:val="18"/>
                <w:szCs w:val="18"/>
                <w:color w:val="auto"/>
              </w:rPr>
              <w:t>76.9 %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87"/>
              </w:rPr>
              <w:t>1,173,402</w:t>
            </w:r>
          </w:p>
        </w:tc>
        <w:tc>
          <w:tcPr>
            <w:tcW w:w="840" w:type="dxa"/>
            <w:vAlign w:val="bottom"/>
          </w:tcPr>
          <w:p>
            <w:pPr>
              <w:jc w:val="right"/>
              <w:spacing w:after="0"/>
              <w:rPr>
                <w:sz w:val="20"/>
                <w:szCs w:val="20"/>
                <w:color w:val="auto"/>
              </w:rPr>
            </w:pPr>
            <w:r>
              <w:rPr>
                <w:rFonts w:ascii="Arial" w:cs="Arial" w:eastAsia="Arial" w:hAnsi="Arial"/>
                <w:sz w:val="18"/>
                <w:szCs w:val="18"/>
                <w:color w:val="auto"/>
              </w:rPr>
              <w:t>76.3 %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160,049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154,412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245,218</w:t>
            </w:r>
          </w:p>
        </w:tc>
        <w:tc>
          <w:tcPr>
            <w:tcW w:w="84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212,427</w:t>
            </w:r>
          </w:p>
        </w:tc>
        <w:tc>
          <w:tcPr>
            <w:tcW w:w="84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(5,936)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(3,387)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1,724,331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87"/>
              </w:rPr>
              <w:t>1,536,854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Comparable Store Sales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(3)</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jc w:val="both"/>
        <w:ind w:left="340" w:right="660" w:hanging="332"/>
        <w:spacing w:after="0" w:line="241"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340" w:right="660" w:hanging="332"/>
        <w:spacing w:after="0" w:line="295" w:lineRule="auto"/>
        <w:tabs>
          <w:tab w:leader="none" w:pos="332"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a decrease of 0.8% from total comparable store sales growth based on consolidated net revenue for fiscal year 2019 and fiscal year 2018, respectively, and (ii) Adjusted Comparable Store Sales Growth includes retail sales to the legacy partner’s customers (rather than the revenues recognized consistent with the management &amp; services agreement with the legacy partner), resulting in a decrease of 0.2% from total comparable store sales growth based on consolidated net revenue for each of the fiscal years 2019 and 2018.</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 of $1,724.3 million for fiscal year 2019 increased $187.4 million, or 12.2%, from $1,536.9 million for fiscal year 2018. This increase was driven approximately 41% by new stores, approximately 45% by comparable store sales growth and approximately 14% by order volume in our AC Lens business within the Corporate/Other segment.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 2019, we opened 75 new stores, including 71 new America’s Best stores and four new Eyeglass World stores. Additionally, we closed three America’s Best stores and two Eyeglass World stores, for a total of 68 and two net new America’s Best and Eyeglass World stores, respectively. We closed one Legacy store during fiscal year 2019 as a result of our Legacy partner’s decision to cease its overall operations at the location. Overall, store count grew 6.4% from the end of fiscal year 2018 to the end of fiscal year 2019.</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Comparable store sales growth and Adjusted Comparable Store Sales Growth were 6.5% and 6.2%, respectively, for fiscal year 2019. Comparable store sales growth and Adjusted Comparable Store Sales Growth were driven primarily by increases in average ticket and customer transactions. We believe the increases in net revenue were primarily due to execution of our key strategies, including new store openings and maturation, advertising and expansion of our participation in managed care programs as well as our expanded contact lens distribution business with Walmart.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product sales comprised 82.7% and 82.6% of total net revenue for fiscal years 2019 and 2018, respectively. Net product sales increased $156.5 million, or 12.3% during fiscal year 2019 compared to fiscal year 2018, driven primarily by eyeglass sales and, to a lesser extent, unit growth in our AC Lens contact lens distribution business and contact lens sales. Net sales of services and plans increased $31.0 million, or 11.6%, driven primarily by eye exam sales in our Owned &amp; Host segment, resulting from expanded participation in managed care programs and our store count growth.</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in Legacy segment eye exam revenue and optometrist payroll costs of $3.3 million and $3.6 million, respectively, in fiscal year 2019. A corresponding decrease was recorded in our FirstSight subsidiary within the Corporate/Other segment. Therefore, the change had no impact on consolidated income from operations.</w:t>
      </w:r>
    </w:p>
    <w:p>
      <w:pPr>
        <w:spacing w:after="0" w:line="68"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Owned &amp; Host segment net revenue. </w:t>
      </w:r>
      <w:r>
        <w:rPr>
          <w:rFonts w:ascii="Arial" w:cs="Arial" w:eastAsia="Arial" w:hAnsi="Arial"/>
          <w:sz w:val="16"/>
          <w:szCs w:val="16"/>
          <w:color w:val="auto"/>
        </w:rPr>
        <w:t>Net revenue increased $151.6 million, or 12.9%, due to new store openings and comparable store sales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increased sales across our product categories. The growth was predominantly driven by performance in America’s Best and Eyeglass World.</w:t>
      </w:r>
    </w:p>
    <w:p>
      <w:pPr>
        <w:spacing w:after="0" w:line="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grew $5.6 million, or 3.7%, primarily driven by higher eye exam sales and an increase in average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 decline in customer transactions. The increased eye exam sales were the result of changes to our FirstSight operations required by changes in applicable California law discussed above. The FirstSight operations changes resulted in a favorable impact of approximately 180 basis points in comparable store sales growth in this segment.</w:t>
      </w:r>
    </w:p>
    <w:p>
      <w:pPr>
        <w:spacing w:after="0" w:line="7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$32.8 million, or 15.4%, driven by unit growth in our AC Lens contact lens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our online retail business, which was partially offset by a $3.3 million reduction in sales as a result of the FirstSight operations changes discussed above.</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Reconciliations for fiscal year 2019 and fiscal year 2018 include increases in deferred revenue of $5.1 million and $3.9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an increase in unearned revenue of $0.8 million and a decrease in unearned revenue of $0.5 million, respectively. The increase in deferred revenue for fiscal year 2019 was driven by growth in eye care club membership sales.</w:t>
      </w:r>
    </w:p>
    <w:p>
      <w:pPr>
        <w:spacing w:after="0" w:line="76"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Differences between the changes in unearned revenue for fiscal year 2019 and fiscal year 2018 were primarily the result of calendar influences on sales of prescription eyewear in our stores during approximately the last seven to 10 days of 2019 compared to the preceding years. Unearned revenue was higher at the end of fiscal year 2017 compared to the end of fiscal year 2018 due to sales volume differences caused by shifts in the number of selling days after December 25th. The higher balance of unearned revenue at the beginning of fiscal year 2018 compared to the beginning of fiscal year 2019 resulted in more unearned revenue being recognized during fiscal year 2018 than for fiscal year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Costs applicable to revenue of $806.5 million for fiscal year 2019 increased $92.9 million, or 13.0%, from $713.6 million for fiscal year 2018. As a percentage of net revenue, costs applicable to revenue increased from 46.4% for fiscal year 2018 to 46.8% for fiscal year 2019. This increase as a percentage of net revenue was primarily driven by increased net revenue from AC Lens contact lens distribution business growth. Additionally, higher eyeglass margin and higher mix of exam sales as a result of the Company’s growing managed care business were partially offset by higher optometrist costs due to planned increases in store coverage and to a lesser extent wage pressure in certain geographic markets.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products as a percentage of net product sales was 40.3% for fiscal year 2018 and fiscal year 2019, as costs related to our growing AC Lens business offset higher eyeglass margin. Our AC Lens net revenue grew faster than our store brands revenue during fiscal year 2019, and AC Lens had a higher cost of products as a percentage of net revenue than our other store brands.</w:t>
      </w:r>
    </w:p>
    <w:p>
      <w:pPr>
        <w:spacing w:after="0" w:line="7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29.4% for fiscal year 2018 to 28.9%</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2019 driven by higher eyeglass margin.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increased from 45.2% for fiscal year 2018 to 46.2%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2019. The increase was primarily driven by a higher mix of non-managed care customer transactions. Decreases in managed care mix increase costs of products as a percentage of net product sales and have a corresponding positive impact on costs of services as a percentage of net sales of services and plans in our Legacy segment.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increased from 75.6% for fiscal year 2018 to 77.9% for fiscal year 2019. The increase was primarily driven by higher optometrist costs as described above, partially offset by increased eye exam sales as a result of increased managed care transactions.</w:t>
      </w:r>
    </w:p>
    <w:p>
      <w:pPr>
        <w:spacing w:after="0" w:line="76"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increased from 82.2%</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year 2018 to 83.2% for fiscal year 2019. The increase was driven by higher optometrist costs as described above, partially offset by increased eye exam sales as a result of increased managed care transactions. Eye exams purchased by managed care customers are excluded from our signature two-pair offer at our America’s Best brand, and are therefore recorded as services revenue. See Note 1. “Business and Significant Accounting Policies” in Part II. Item 8. of this Form 10-K for additional information regarding our revenue recognition accounting policy.</w:t>
      </w:r>
    </w:p>
    <w:p>
      <w:pPr>
        <w:spacing w:after="0" w:line="53"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Costs of services and plans as a percentage of net sales of services and plans increased from 40.1%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2018 to 46.3% for fiscal year 2019. The increase was primarily driven by increased optometrist costs, partially offset by increased eye exam sales. The higher optometrist costs and increased eye exam sales were both primarily the result of the FirstSight operations changes discussed above.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SG&amp;A of $744.5 million for fiscal year 2019 increased $57.0 million, or 8.3%, from fiscal year 2018. As a percentage of net revenue, SG&amp;A decreased from 44.7% for fiscal year 2018 to 43.2% for fiscal year 2019. The decrease in SG&amp;A as a percentage of net revenue was primarily due to increased net revenue from our AC Lens contact lens distribution business, store payroll leverage and lower stock-based compensation expense.</w:t>
      </w:r>
    </w:p>
    <w:p>
      <w:pPr>
        <w:spacing w:after="0" w:line="5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decreased from 39.0% for fiscal year 2018 to 38.4% for fiscal year 2019,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store payroll leverage.</w:t>
      </w:r>
    </w:p>
    <w:p>
      <w:pPr>
        <w:spacing w:after="0" w:line="62" w:lineRule="exact"/>
        <w:rPr>
          <w:sz w:val="20"/>
          <w:szCs w:val="20"/>
          <w:color w:val="auto"/>
        </w:rPr>
      </w:pPr>
    </w:p>
    <w:p>
      <w:pPr>
        <w:ind w:right="1160" w:firstLine="324"/>
        <w:spacing w:after="0" w:line="375"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35.0% for fiscal year 2018 to 35.1% for fiscal year 2019.</w:t>
      </w:r>
      <w:r>
        <w:rPr>
          <w:rFonts w:ascii="Arial" w:cs="Arial" w:eastAsia="Arial" w:hAnsi="Arial"/>
          <w:sz w:val="18"/>
          <w:szCs w:val="18"/>
          <w:i w:val="1"/>
          <w:iCs w:val="1"/>
          <w:color w:val="auto"/>
        </w:rPr>
        <w:t xml:space="preserve"> Depreciation and amortization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of $87.2 million for fiscal year 2019 increased $12.9 million, or 17.4%, from $74.3 million for fiscal year 2018 primarily driven by new store openings, as well as investments in optical laboratories, distribution centers and information technology infrastructure, including omni-channel platform related investments. Our property and equipment balance, net, increased $11.7 million, or 3.3%, during fiscal year 2019, reflective of $96.3 million in purchases of property and equipment, $9.7 million in new finance leases, less $79.6 million in depreciation expense and $14.7 million in impairment and other adjustments.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asset impairment expenses of $8.9 million in fiscal year 2019 compared to $17.6 million recognized in fiscal year 2018. Expenses recognized in fiscal year 2019 were related to impairments of long-lived tangible assets at our retail stores and right of use (“ROU”) assets related to our retail stores. During fiscal year 2018, we recognized $11.4 million and $3.7 million of goodwill impairment at our Fred Meyer and Military brands, respectively, which did not recur in the current year, as well as $2.5 million for impairment of tangible long-lived assets at our retail stores. The increase in store asset impairment charges during fiscal year 2019 was primarily related to our Owned &amp; Host segment. Long-lived and ROU asset impairments were driven by lower than projected customer sales volume in certain stores, and were determined using entity-specific assumptions related to our anticipated use of store assets. Asset impairment expenses were recognized in Corporate/Other. See “Critical Accounting Policies and Estimates” below for details regarding specific testing performed on various long-lived assets.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$33.3 million for fiscal year 2019 decreased $4.0 million, or 10.7%, from $37.3 million for fiscal year 2018. Interest expense, net decreased $5.3 million primarily as a result of term loan refinancings and credit rating upgrades in 2019 and 2018, partially offset by $1.3 million in additional interest expense relating to finance lease obligations during the fiscal year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income tax expense for fiscal year 2019 reflected income tax expense at our statutory federal and state rate of 25.5%, offset by a discrete benefit of $10.1 million associated primarily with the exercise of stock options. During fiscal year 2018, our expected combined statutory federal and state rate was reduced by a $25.5 million income tax benefit resulting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w:t>
      </w:r>
      <w:r>
        <w:rPr>
          <w:rFonts w:ascii="Arial" w:cs="Arial" w:eastAsia="Arial" w:hAnsi="Arial"/>
          <w:sz w:val="18"/>
          <w:szCs w:val="18"/>
          <w:color w:val="auto"/>
        </w:rPr>
        <w:t>,</w:t>
      </w:r>
      <w:r>
        <w:rPr>
          <w:rFonts w:ascii="Arial" w:cs="Arial" w:eastAsia="Arial" w:hAnsi="Arial"/>
          <w:sz w:val="18"/>
          <w:szCs w:val="18"/>
          <w:i w:val="1"/>
          <w:iCs w:val="1"/>
          <w:color w:val="auto"/>
        </w:rPr>
        <w:t xml:space="preserve"> Adjusted EBITDA Margin, Adjusted Operating Income, Adjusted Operating Margin and Adjusted Diluted EPS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define EBITDA as net income, plus interest expense, income tax provision (benefit) and depreciation and amortization. We define Adjusted EBITDA as net income, plus interest expense, income tax provision (benefit) and depreciation and amortization, further adjusted to exclude stock compensation expense, debt issuance costs, loss on the extinguishment of debt, asset impairment, litigation settlement, secondary offering expenses, management realignment expenses, long-term incentive plan expenses, and other expenses. We define Adjusted EBITDA Margin as Adjusted EBITDA as a percentage of net revenue. We define Adjusted Operating Income as net income, plus interest expense and income tax provision (benefit), further adjusted to exclude stock compensation expense, debt issuance costs, loss on extinguishment of debt, asset impairment, litigation settlement, secondary offering expenses, management realignment expenses, long-term incentive plan expenses, amortization of acquisition intangibles and other expenses. We define Operating Margin as Adjusted Operating Income as a percentage of net revenue. We define Adjusted Diluted EPS as diluted earnings per share, adjusted for the per share impact of stock compensation expense, debt issuance costs,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of our 2025 Notes when not required under U.S. GAAP to be added back for diluted earnings per share, losses (gains) on change in fair value of derivatives, other expenses, and tax benefit of stock option exercises, less the tax effect of these adjustments.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we introduced Adjusted Operating Income and Adjusted Operating Margin as measures of performance we planned to use in addition to Adjusted EBITDA, Adjusted EBITDA Margin and Adjusted Diluted EPS. We believe Adjusted Operating Income and Adjusted Operating Margin enhance an understanding of our performance by highlighting the results from ongoing operations and the profitability of our business. We continue to evaluate our use of the Company Non-GAAP measures in the context of the development of our business, and may introduce or discontinue certain measures in the future as we deem appropriate.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consistent with our presentation of Adjusted Operating Income, we no longer exclude new store pre-opening expenses and non-cash rent from our presentation of Adjusted EBITDA and Adjusted Diluted EPS. New store pre-opening expenses totaled $2.6 million, $3.3 million and $2.2 million for the fiscal years 2020, 2019 and 2018, respectively; and non-cash rent totaled $2.6 million, $3.2 million and $2.8 million for fiscal years 2020, 2019 and 2018, respectively. The presentation of Adjusted EBITDA and Adjusted Diluted EPS for the fiscal year end 2019 has been recast to reflect these changes. See our Form 8-K filed with the SEC on February 26, 2020, which is incorporated herein by reference, for more information.</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the Company Non-GAAP Measures can vary substantially in size from one period to the next, and certain types of expenses are non-recurring in nature and consequently may not have been incurred in any of the periods presented below. 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or the cash requirements necessary to service interest or principal payments, on our debt;</w:t>
      </w: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expense or the cash necessary to pay income taxes;</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w w:val="88"/>
              </w:rPr>
              <w:t>Fiscal Year 2020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Fiscal Year 2019</w:t>
            </w:r>
          </w:p>
        </w:tc>
        <w:tc>
          <w:tcPr>
            <w:tcW w:w="240" w:type="dxa"/>
            <w:vAlign w:val="bottom"/>
          </w:tcPr>
          <w:p>
            <w:pPr>
              <w:spacing w:after="0"/>
              <w:rPr>
                <w:sz w:val="20"/>
                <w:szCs w:val="20"/>
                <w:color w:val="auto"/>
              </w:rPr>
            </w:pPr>
          </w:p>
        </w:tc>
        <w:tc>
          <w:tcPr>
            <w:tcW w:w="1900" w:type="dxa"/>
            <w:vAlign w:val="bottom"/>
            <w:gridSpan w:val="2"/>
          </w:tcPr>
          <w:p>
            <w:pPr>
              <w:jc w:val="right"/>
              <w:ind w:right="370"/>
              <w:spacing w:after="0"/>
              <w:rPr>
                <w:sz w:val="20"/>
                <w:szCs w:val="20"/>
                <w:color w:val="auto"/>
              </w:rPr>
            </w:pPr>
            <w:r>
              <w:rPr>
                <w:rFonts w:ascii="Arial" w:cs="Arial" w:eastAsia="Arial" w:hAnsi="Arial"/>
                <w:sz w:val="18"/>
                <w:szCs w:val="18"/>
                <w:color w:val="auto"/>
              </w:rPr>
              <w:t>Fiscal Year 2018</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6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48,171</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33,300</w:t>
            </w:r>
          </w:p>
        </w:tc>
        <w:tc>
          <w:tcPr>
            <w:tcW w:w="108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37,283</w:t>
            </w: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10,740</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0.6 %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12,670</w:t>
            </w:r>
          </w:p>
        </w:tc>
        <w:tc>
          <w:tcPr>
            <w:tcW w:w="108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20,939</w:t>
            </w: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22,004</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1.3 %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8,894</w:t>
            </w: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17,630</w:t>
            </w:r>
          </w:p>
        </w:tc>
        <w:tc>
          <w:tcPr>
            <w:tcW w:w="11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2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2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2,830</w:t>
            </w:r>
          </w:p>
        </w:tc>
        <w:tc>
          <w:tcPr>
            <w:tcW w:w="10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7,040</w:t>
            </w:r>
          </w:p>
        </w:tc>
        <w:tc>
          <w:tcPr>
            <w:tcW w:w="110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(h)</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45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0.2 %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Adjusted Operating Income / Adjusted 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134,148</w:t>
            </w:r>
          </w:p>
        </w:tc>
        <w:tc>
          <w:tcPr>
            <w:tcW w:w="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7.8 %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ind w:left="20"/>
        <w:spacing w:after="0" w:line="211" w:lineRule="auto"/>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-80645</wp:posOffset>
            </wp:positionV>
            <wp:extent cx="6686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-80645</wp:posOffset>
            </wp:positionV>
            <wp:extent cx="6686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-80645</wp:posOffset>
            </wp:positionV>
            <wp:extent cx="6686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20"/>
        <w:spacing w:after="0" w:line="201" w:lineRule="auto"/>
        <w:rPr>
          <w:sz w:val="20"/>
          <w:szCs w:val="20"/>
          <w:color w:val="auto"/>
        </w:rPr>
      </w:pPr>
      <w:r>
        <w:rPr>
          <w:rFonts w:ascii="Arial" w:cs="Arial" w:eastAsia="Arial" w:hAnsi="Arial"/>
          <w:sz w:val="14"/>
          <w:szCs w:val="14"/>
          <w:i w:val="1"/>
          <w:iCs w:val="1"/>
          <w:color w:val="auto"/>
        </w:rPr>
        <w:t>Percentages reflect line item as a percentage of net revenue, adjusted for rounding.</w:t>
      </w:r>
    </w:p>
    <w:p>
      <w:pPr>
        <w:ind w:left="20"/>
        <w:spacing w:after="0"/>
        <w:rPr>
          <w:sz w:val="20"/>
          <w:szCs w:val="20"/>
          <w:color w:val="auto"/>
        </w:rPr>
      </w:pPr>
      <w:r>
        <w:rPr>
          <w:rFonts w:ascii="Arial" w:cs="Arial" w:eastAsia="Arial" w:hAnsi="Arial"/>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390"/>
              <w:spacing w:after="0"/>
              <w:rPr>
                <w:sz w:val="20"/>
                <w:szCs w:val="20"/>
                <w:color w:val="auto"/>
              </w:rPr>
            </w:pPr>
            <w:r>
              <w:rPr>
                <w:rFonts w:ascii="Arial" w:cs="Arial" w:eastAsia="Arial" w:hAnsi="Arial"/>
                <w:sz w:val="18"/>
                <w:szCs w:val="18"/>
                <w:color w:val="auto"/>
                <w:w w:val="91"/>
              </w:rPr>
              <w:t>Fiscal Year 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8"/>
                <w:szCs w:val="18"/>
                <w:color w:val="auto"/>
                <w:w w:val="93"/>
              </w:rPr>
              <w:t>Fiscal Year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Fiscal Year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48,171</w:t>
            </w:r>
          </w:p>
        </w:tc>
        <w:tc>
          <w:tcPr>
            <w:tcW w:w="10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33,300</w:t>
            </w:r>
          </w:p>
        </w:tc>
        <w:tc>
          <w:tcPr>
            <w:tcW w:w="108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37,283</w:t>
            </w: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91,585</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87,244</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74,339</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151,033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116,490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9,786</w:t>
            </w:r>
          </w:p>
        </w:tc>
        <w:tc>
          <w:tcPr>
            <w:tcW w:w="108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4,395</w:t>
            </w:r>
          </w:p>
        </w:tc>
        <w:tc>
          <w:tcPr>
            <w:tcW w:w="10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2,155</w:t>
            </w:r>
          </w:p>
        </w:tc>
        <w:tc>
          <w:tcPr>
            <w:tcW w:w="10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2,732</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 Adjusted EBITDA Margin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218,307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194,139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169,335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580" w:type="dxa"/>
            <w:vAlign w:val="bottom"/>
            <w:gridSpan w:val="4"/>
          </w:tcPr>
          <w:p>
            <w:pPr>
              <w:ind w:left="140"/>
              <w:spacing w:after="0" w:line="82" w:lineRule="exact"/>
              <w:rPr>
                <w:sz w:val="20"/>
                <w:szCs w:val="20"/>
                <w:color w:val="auto"/>
              </w:rPr>
            </w:pPr>
            <w:r>
              <w:rPr>
                <w:rFonts w:ascii="Arial" w:cs="Arial" w:eastAsia="Arial" w:hAnsi="Arial"/>
                <w:sz w:val="9"/>
                <w:szCs w:val="9"/>
                <w:i w:val="1"/>
                <w:iCs w:val="1"/>
                <w:color w:val="auto"/>
              </w:rPr>
              <w:t>Note: Fiscal year 2020 includes 53 weeks. Fiscal years 2019 and 2018 include 52 weeks.</w:t>
            </w: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4"/>
          </w:tcPr>
          <w:p>
            <w:pPr>
              <w:ind w:left="140"/>
              <w:spacing w:after="0" w:line="135" w:lineRule="exact"/>
              <w:rPr>
                <w:sz w:val="20"/>
                <w:szCs w:val="20"/>
                <w:color w:val="auto"/>
              </w:rPr>
            </w:pPr>
            <w:r>
              <w:rPr>
                <w:rFonts w:ascii="Arial" w:cs="Arial" w:eastAsia="Arial" w:hAnsi="Arial"/>
                <w:sz w:val="14"/>
                <w:szCs w:val="14"/>
                <w:i w:val="1"/>
                <w:iCs w:val="1"/>
                <w:color w:val="auto"/>
              </w:rPr>
              <w:t>Percentages reflect line item as a percentage of net revenue, adjusted for rounding.</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4"/>
          </w:tcPr>
          <w:p>
            <w:pPr>
              <w:ind w:left="140"/>
              <w:spacing w:after="0"/>
              <w:rPr>
                <w:sz w:val="20"/>
                <w:szCs w:val="20"/>
                <w:color w:val="auto"/>
              </w:rPr>
            </w:pPr>
            <w:r>
              <w:rPr>
                <w:rFonts w:ascii="Arial" w:cs="Arial" w:eastAsia="Arial" w:hAnsi="Arial"/>
                <w:sz w:val="14"/>
                <w:szCs w:val="14"/>
                <w:i w:val="1"/>
                <w:iCs w:val="1"/>
                <w:color w:val="auto"/>
                <w:w w:val="98"/>
              </w:rPr>
              <w:t>Some of the percentage totals in the table above do not foot due to rounding differences.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Fiscal Year 2020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Fiscal Year 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Fiscal Year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Long-term incentive plan expense </w:t>
            </w:r>
            <w:r>
              <w:rPr>
                <w:rFonts w:ascii="Arial" w:cs="Arial" w:eastAsia="Arial" w:hAnsi="Arial"/>
                <w:sz w:val="23"/>
                <w:szCs w:val="23"/>
                <w:color w:val="auto"/>
                <w:vertAlign w:val="superscript"/>
              </w:rPr>
              <w:t>(g)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(h)</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1"/>
              </w:rPr>
              <w:t xml:space="preserve">Amortization of debt discounts and deferred financing costs </w:t>
            </w:r>
            <w:r>
              <w:rPr>
                <w:rFonts w:ascii="Arial" w:cs="Arial" w:eastAsia="Arial" w:hAnsi="Arial"/>
                <w:sz w:val="23"/>
                <w:szCs w:val="23"/>
                <w:color w:val="auto"/>
                <w:w w:val="91"/>
                <w:vertAlign w:val="superscript"/>
              </w:rPr>
              <w:t>(i)</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(j)</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3"/>
                <w:szCs w:val="23"/>
                <w:color w:val="auto"/>
                <w:vertAlign w:val="superscript"/>
              </w:rPr>
              <w:t>(l)</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(m)</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82,793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81,683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79,041</w:t>
            </w:r>
          </w:p>
        </w:tc>
        <w:tc>
          <w:tcPr>
            <w:tcW w:w="0" w:type="dxa"/>
            <w:vAlign w:val="bottom"/>
          </w:tcPr>
          <w:p>
            <w:pPr>
              <w:spacing w:after="0"/>
              <w:rPr>
                <w:sz w:val="1"/>
                <w:szCs w:val="1"/>
                <w:color w:val="auto"/>
              </w:rPr>
            </w:pPr>
          </w:p>
        </w:tc>
      </w:tr>
    </w:tbl>
    <w:p>
      <w:pPr>
        <w:ind w:left="160"/>
        <w:spacing w:after="0" w:line="211" w:lineRule="auto"/>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ind w:left="160"/>
        <w:spacing w:after="0"/>
        <w:rPr>
          <w:sz w:val="20"/>
          <w:szCs w:val="20"/>
          <w:color w:val="auto"/>
        </w:rPr>
      </w:pPr>
      <w:r>
        <w:rPr>
          <w:rFonts w:ascii="Arial" w:cs="Arial" w:eastAsia="Arial" w:hAnsi="Arial"/>
          <w:sz w:val="14"/>
          <w:szCs w:val="14"/>
          <w:i w:val="1"/>
          <w:iCs w:val="1"/>
          <w:color w:val="auto"/>
        </w:rPr>
        <w:t>Some of the totals in the table above do not foot due to rounding differences.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fiscal year 2019, reflects write-off of deferred financing fees related to the extinguishment of debt.</w:t>
      </w:r>
    </w:p>
    <w:p>
      <w:pPr>
        <w:spacing w:after="0" w:line="1" w:lineRule="exact"/>
        <w:rPr>
          <w:rFonts w:ascii="Arial" w:cs="Arial" w:eastAsia="Arial" w:hAnsi="Arial"/>
          <w:sz w:val="14"/>
          <w:szCs w:val="14"/>
          <w:color w:val="auto"/>
        </w:rPr>
      </w:pPr>
    </w:p>
    <w:p>
      <w:pPr>
        <w:ind w:left="420" w:right="640" w:hanging="412"/>
        <w:spacing w:after="0" w:line="241" w:lineRule="auto"/>
        <w:tabs>
          <w:tab w:leader="none" w:pos="417"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 for fiscal years 2019 and 2020; non-cash charges related to impairment of long-lived assets, primarily goodwill in our Military and Fred Meyer brands for fiscal year 2018.</w:t>
      </w:r>
    </w:p>
    <w:p>
      <w:pPr>
        <w:ind w:left="420" w:right="640" w:hanging="412"/>
        <w:spacing w:after="0" w:line="241" w:lineRule="auto"/>
        <w:tabs>
          <w:tab w:leader="none" w:pos="4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13. “Commitments and Contingencies” in our consolidated financial statements included in Part II. Item 8. of this Form 10-K for further details.</w:t>
      </w: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years 2018 and 2019.</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on Form 8-K filed with the SEC on January 10, 2019.</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420" w:right="660" w:hanging="412"/>
        <w:spacing w:after="0" w:line="245" w:lineRule="auto"/>
        <w:tabs>
          <w:tab w:leader="none" w:pos="4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associates who were not participants in the management equity plan for fiscal year 2019. This plan was effective in 2014 following the acquisition of the Company by affiliates of KKR &amp; Co. Inc. (the “KKR Acquisition”). During fiscal year 2018, a $4.6 million cash payout was triggered as a result of the second secondary offering of common stock by KKR and other selling shareholders. The remaining $2.4 million relates to the third secondary offering and was accrued but not paid as of fiscal year end 2018.</w:t>
      </w:r>
    </w:p>
    <w:p>
      <w:pPr>
        <w:spacing w:after="0" w:line="2" w:lineRule="exact"/>
        <w:rPr>
          <w:rFonts w:ascii="Arial" w:cs="Arial" w:eastAsia="Arial" w:hAnsi="Arial"/>
          <w:sz w:val="14"/>
          <w:szCs w:val="14"/>
          <w:color w:val="auto"/>
        </w:rPr>
      </w:pP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420" w:right="660" w:hanging="412"/>
        <w:spacing w:after="0" w:line="24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debt discounts is associated with the amortization of the conversion feature related to the 2025 Notes and amortization of deferred financing costs related to the 2025 Notes, Term Loan and Revolving Credit Facility borrowings. Amortization of debt discount and deferred financing costs in aggregate total $11.9 million, $1.3 million and $1.9 million for the fiscal years 2020, 2019 and 2018, respectively.</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$4.0 million for fiscal year end 2020.</w:t>
      </w:r>
    </w:p>
    <w:p>
      <w:pPr>
        <w:spacing w:after="0" w:line="1" w:lineRule="exact"/>
        <w:rPr>
          <w:rFonts w:ascii="Arial" w:cs="Arial" w:eastAsia="Arial" w:hAnsi="Arial"/>
          <w:sz w:val="14"/>
          <w:szCs w:val="14"/>
          <w:color w:val="auto"/>
        </w:rPr>
      </w:pPr>
    </w:p>
    <w:p>
      <w:pPr>
        <w:jc w:val="both"/>
        <w:ind w:left="420" w:right="640" w:hanging="412"/>
        <w:spacing w:after="0" w:line="260" w:lineRule="auto"/>
        <w:tabs>
          <w:tab w:leader="none" w:pos="412"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$1.8 million and $1.3 million for the fiscal years 2019 and 2018, respectively; the amortization impact adjustments related to the KKR Acquisition, (e.g., fair value of leasehold interests) of $0.4 million, $0.5 million and $0.4 million for the fiscal years 2020, 2019 and 2018, respectively; differences between the timing of expense versus cash payments related to contributions to charitable organizations of $(1.0) million for the fiscal year 2018; costs of severance and relocation of $1.3 million, $2.3 million and $1.0 million, for the fiscal years 2020, 2019 and 2018, respectively; excess payroll taxes related to stock option exercises of $0.7 million, $0.8 million and $1.8 million for fiscal years 2020, 2019 and 2018, respectively; incremental costs directly related to adapting the Company’s operations during the COVID-19 pandemic of $0.6 million for the fiscal year 2020; and other expenses and adjustments totaling $(0.3) million, $1.0 million and $1.3 million for fiscal years 2020, 2019 and 2018, respectively.</w:t>
      </w:r>
    </w:p>
    <w:p>
      <w:pPr>
        <w:ind w:left="420" w:right="660" w:hanging="412"/>
        <w:spacing w:after="0" w:line="24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described in more detail below, on May 5, 2020, we entered into the Credit Agreement Amendment with the lenders under our credit facility in order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In addition, on May 12, 2020, we completed the issuance of the 2025 Notes and we used the net proceeds of this offering to repay the full amount outstanding under our Revolving Credit Facility and part of our outstanding borrowings under our Term Loan. Our primary cash needs are for inventory, payroll, store rent, advertising, capital expenditures associated with new stores and updating existing stores, as well as information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While we have historically exercised prudence in our use of cash, the COVID-19 pandemic has required us to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the Revolving Credit Facility will be sufficient to fund our working capital requirements, liquidity obligations, anticipated capital expenditures and payments due under our existing debt for at least the next 12 months.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modifications to our Term Loan where possible. However, our ability to maintain sufficient liquidity may be affected by numerous factors, many of which are outside of our control.</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2, 2021, we have outstanding a total of $402.5 million aggregate principal of 2025 Notes. The 2025 Notes are senior unsecured obligations, and interest on the 2025 Notes is paid semi-annually. The Company can choose to settle upon conversion in cash, shares or a combination, at a conversion rate of 32.0783 shares of common stock per $1,000 principal amount. Based on the initial conversion rate, the 2025 Notes are convertible into 12.9 million shares of our common stock and we reserved for the possible issuance of 16.5 million shares, which is the maximum amount that could be issued upon conversion. As of January 2, 2021, the “if-converted value” exceeded the principal amount of the 2025 Notes by $182.3 million. See Note 15. “Earnings Per Share” for the treatment of earnings per share in relation to the 2025 Notes.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fiscal year end 2020, we had $373.9 million in cash and cash equivalents and $293.6 million of availability under our Revolving Credit Facility, which includes $6.4 million in outstanding letters of credit.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purchased $76.8 million in capital items during fiscal year 2020. Approximately 80% of our capital spend is related to our expected growth (i.e., new stores, optometric equipment, additional capacity in our optical laboratories and distribution centers, and our IT infrastructure, including omni-channel platform related investments). Our working capital requirements for inventory will increase as we continue to open additional stores. We primarily fund our working capital needs using cash provided by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w w:val="93"/>
              </w:rPr>
              <w:t>Fiscal Year 2018</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234,981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165,081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106,628</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(76,410)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(104,221)</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176,281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w:t>
            </w: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334,852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w:t>
            </w:r>
          </w:p>
        </w:tc>
      </w:tr>
    </w:tbl>
    <w:p>
      <w:pPr>
        <w:ind w:left="20"/>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-92710</wp:posOffset>
            </wp:positionV>
            <wp:extent cx="32918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provided by operating activities increased by $69.9 million to $235.0 million, or 42.3%, during fiscal year 2020 from $165.1 million during fiscal year 2019. The increase in net cash provided by operating activities consisted of an increase in net income of $3.5 million, and an increase in non-cash expense items of $12.0 million including asset impairment charges of $13.1 million, amortization of debt discount and deferred financing costs of $10.6 million, depreciation and amortization of $4.3 million, deferred income tax expense of $2.1 million and losses recognized for the changes in fair value of derivatives of $4.0 million partially offset by a decrease in loss on extinguishment of debt of $9.8 million, decrease of stock compensation expense of $1.9 million, and decrease of $10.5 million in other non-cash expenses.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net working capital and other assets and liabilities contributed an additional $54.5 million in cash compared to fiscal year 2019. Increases in other liabilities contributed $24.3 million in year-over-year cash primarily due to an increase in deferral of employer payroll taxes of $12.8 million as a result of the CARES Act, a $3.9 million increase in year-over-year cash due to timing of unearned revenue, increases in compensation related accruals of $2.2 million due primarily to timing, increases of $3.1 million due to lease concessions and deferrals and other increases in miscellaneous accruals due to timing, partially offset by decreases in accrued advertising and payments of litigation settlements during the year. Increases in accounts payable contributed $26.9 million in year-over-year cash, primarily as a result of increased purchases and replenishing activity due to both store growth and increased sales in December of 2020 as compared to the same period of 2019 and increases in advertising. Decreases in inventory contributed $27.3 million in year-over-year cash, primarily due to no forward buys occurring after the first quarter of 2020.</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Offsetting these items were increases in other assets which used $14.5 million in year-over-year cash, consisting of $8.9 million of cloud hosted software asset development costs, $6.2 million in rent-related items and other prepaid balances. Additionally, accounts receivable balances used $6.8 million in year-over-year cash, primarily reflective of year-over-year increases in outstanding credit card receivables due to higher sales in the last week of 2020 as compared to the same period of 2019 and timing of credit card processing. Changes in deferred revenue contributed $2.8 million less cash when compared to 2019 driven by decreased sales of our eye care club membership and product protection plans.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provided by operating activities increased by $58.5 million to $165.1 million, or 54.8%, during the fiscal year 2019 from $106.6 million during fiscal year 2018. The increase in net cash provided by operating activities consisted of an increase in net income of $9.1 million and an increase in non-cash expense items of $26.4 million including loss on extinguishment of debt of $9.8 million, deferred income tax expense of $17.0 million, depreciation and amortization of $12.3 million, and $4.3 million in other non-cash expenses, partially offset by a decrease of asset impairment charges of $8.7 million and a decrease of stock compensation expense of $8.3 million.</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decreases in net working capital and other assets and liabilities contributed an additional $22.9 million in cash compared to fiscal year 2018. Decreases in other assets contributed $17.1 million in year-over-year cash, primarily due to decreases in prepaid advertising and rent-related items. The year-over-year cash contribution of $12.9 million from inventories in fiscal year 2019 was primarily a result of decreased year-over-year inventory expenditures. The Company commenced a forward inventory purchase program in fiscal year 2018 and continued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program to a lesser extent in fiscal year 2019. Additionally, accounts receivable balances contributed $7.7 million in year-over-year cash, reflective of year-over-year decreases in outstanding credit card receivables, partially offset by increases in our managed care receivables as a result of increased participation in managed care programs which historically have a longer collection cycle than trade and credit card receivables. Increases in deferred revenue contributed an additional $1.3 million in year over-year-cash.</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Offsetting these items were decreases in accounts payable during fiscal year 2019 which used $10.8 million in year-over-year cash, primarily due to timing of payments. In addition, decreases in other liabilities used $5.2 million in year-over-year cash, primarily related to decreases in accrued liabilities related to capital expenditures after the completion of our Texas lab partially offset by increases in payroll related accruals due to timing.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investing activities decreased by $24.2 million, to $76.4 million, during fiscal year 2020 from $100.6 million during fiscal year 2019. The decrease was primarily due to cash conservation measures during the temporary store closure period, which resulted in reduced store openings and lower IT investment for the full year.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investing activities decreased by $3.6 million, to $100.6 million, during fiscal year 2019 from $104.2 million during fiscal year 2018. The decrease was primarily due to capital investments made in fiscal year 2018 for our Texas lab not recurring in fiscal year 2019 as well as timing of new store capital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for) financing activities increased $218.4 million, from $42.1 million use of cash to $176.3 million provision of cash during fiscal year 2020. The increase in cash provided by financing activities was primarily due to lower repayments on long-term debt of $222.6 million and decreased purchases of treasury stock of $25 million, offset by decreases in cash provided by borrowings on long-term debt of $17.8 million and an increase in cash used for payments of debt issuance costs of $9.5 million.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for) financing activities decreased $52.5 million, from $10.4 million provision of cash to $42.1 million use of cash during fiscal year 2019. The change in cash provided by (used for) financing activities was due to the repurchase of shares of common stock of the Company of $25.6 million during fiscal year 2019, a $25.0 million voluntary prepayment of outstanding principal under the Term Loan of its Credit Agreement and lower proceeds from the issuance of common stock as compared to fiscal year 2018.</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Fiscal year 2018 included material debt and equity transactions. In fiscal year 2018, we refinanced our first lien credit agreement, resulting in debt issuance costs of $1.4 million and $200.0 million in proceeds which were used to make $200.0 million in principal payments. Principal payments of $4.3 million, purchases of treasury stock of $1.9 million and payments on capital lease obligations of $1.8 million were offset by $19.8 million in proceeds from exercises of stock options.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amounts owed under our Term Loan and the 2025 Notes and the interest rate on such outstanding amounts, and the amount available for additional borrowing thereunder, as of the end of fiscal year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 data</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5"/>
              </w:rPr>
              <w:t xml:space="preserve">Interest Rate </w:t>
            </w:r>
            <w:r>
              <w:rPr>
                <w:rFonts w:ascii="Arial" w:cs="Arial" w:eastAsia="Arial" w:hAnsi="Arial"/>
                <w:sz w:val="23"/>
                <w:szCs w:val="23"/>
                <w:color w:val="auto"/>
                <w:w w:val="85"/>
                <w:vertAlign w:val="superscript"/>
              </w:rPr>
              <w:t>(2)</w:t>
            </w:r>
          </w:p>
        </w:tc>
        <w:tc>
          <w:tcPr>
            <w:tcW w:w="17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 Outstanding</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7"/>
              </w:rPr>
              <w:t>Amount Available for</w:t>
            </w:r>
          </w:p>
        </w:tc>
        <w:tc>
          <w:tcPr>
            <w:tcW w:w="0" w:type="dxa"/>
            <w:vAlign w:val="bottom"/>
          </w:tcPr>
          <w:p>
            <w:pPr>
              <w:spacing w:after="0"/>
              <w:rPr>
                <w:sz w:val="1"/>
                <w:szCs w:val="1"/>
                <w:color w:val="auto"/>
              </w:rPr>
            </w:pPr>
          </w:p>
        </w:tc>
      </w:tr>
      <w:tr>
        <w:trPr>
          <w:trHeight w:val="230"/>
        </w:trPr>
        <w:tc>
          <w:tcPr>
            <w:tcW w:w="5960" w:type="dxa"/>
            <w:vAlign w:val="bottom"/>
            <w:gridSpan w:val="2"/>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8"/>
              </w:rPr>
              <w:t>Additional Borrowing</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Term Loan, due July 18, 2024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317,375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Revolving Credit Facility, due July 18, 2024</w:t>
            </w:r>
            <w:r>
              <w:rPr>
                <w:rFonts w:ascii="Arial" w:cs="Arial" w:eastAsia="Arial" w:hAnsi="Arial"/>
                <w:sz w:val="23"/>
                <w:szCs w:val="23"/>
                <w:color w:val="auto"/>
                <w:vertAlign w:val="superscript"/>
              </w:rPr>
              <w:t>(1)</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293,600</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719,875</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At January 2, 2021, the amount available under our Revolving Credit Facility reflected a reduction of $6.4 million of letters of credit outstanding.</w:t>
      </w:r>
    </w:p>
    <w:p>
      <w:pPr>
        <w:spacing w:after="0" w:line="13" w:lineRule="exact"/>
        <w:rPr>
          <w:rFonts w:ascii="Arial" w:cs="Arial" w:eastAsia="Arial" w:hAnsi="Arial"/>
          <w:sz w:val="14"/>
          <w:szCs w:val="14"/>
          <w:color w:val="auto"/>
        </w:rPr>
      </w:pPr>
    </w:p>
    <w:p>
      <w:pPr>
        <w:jc w:val="both"/>
        <w:ind w:left="340" w:right="660" w:hanging="332"/>
        <w:spacing w:after="0" w:line="248" w:lineRule="auto"/>
        <w:tabs>
          <w:tab w:leader="none" w:pos="33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interest rate on the Term Loan and Revolving Credit Facility pursuant to the Credit Agreement is at an Applicable Margin of 1.75% for LIBOR Loans with LIBOR to not be lower than 1.00% in any period, and an Applicable Margin of 0.75% for the new term loans that are ABR Loans, as of fiscal year end 2020. The 2025 Notes will pay interest semi-annually in arrears on May 15 and November 15 of each year, commencing on November 15, 2020, at an annual rate of 2.50%.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and Revolving Credit Facility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end 2020, we had $317.4 million of Term Loan outstanding under our credit agreement. As of fiscal year end 2020, we also had $293.6 million of availability under our $300.0 million Revolving Credit Facility, which includes $6.4 million in outstanding letters of credit.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payable on the Term Loan is based on either LIBOR or an alternative borrowing rate plus an additional margin that varies dependent on NVI’s consolidated first lien leverage ratio. The Term Loan will amortize in quarterly installments equal to 2.50% per annum in the first three years of the loan and 5.00% per annum thereafter. As a result of the $75.0 million pay down of the Term Loan and the $25.0 million principal prepayment in 2019; we have no additional mandatory principal payments on the Term Loan until maturity on July 18, 2024.</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our Credit Agreement we must maintain certain covenants based on our financial results. The Credit Agreement also contains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the Credit Agreement as of January 2,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Amendment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5, 2020, we entered into the Credit Agreement Amendment with the lenders under our credit facility in order to amend certain provisions of the Credit Agreement. As set forth in greater detail below, the principal purpose of the Credit Agreement Amendment was to suspend certain financial maintenance covenants contained in the Credit Agreement until testing at the end of the second fiscal quarter of 2021. Capitalized terms used but not defined herein shall have the meanings assigned to such terms in the Credit Agreement and Amendment, as applicable.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Credit Agreement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Credit Agreement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Credit Agreement Amendment NVI has agreed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Credit Agreement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Credit Agreement Amendment, the margins upon which interest is calculated for the term loans were amended to a range of 1.75% to 2.75% (for LIBOR Loans) and 0.75% to 1.75% (for ABR Loans), in each case based on NVI’s Consolidated First Lien Secured Debt to Consolidated EBITDA Ratio at such time, with such margins subject to an increase of 50 basis points in the event that either (i) the Company has not raised at least $135 million in additional proceeds from certain capital markets transactions within 30 days of the date of the Credit Agreement Amendment or (ii) Consolidated EBITDA for the most recently ended four quarters is less than $0.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Notes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May 2020, we completed the issuance of the 2025 Notes. The 2025 Notes were sold only to persons reasonably believed to be qualified institutional buyers in reliance on Rule 144A under the Securities Act of 1933, as amended (the “Securities Act”). The 2025 Notes will pay interest semi-annually in arrears on May 15 and November 15 of each year, commencing on November 15, 2020, at an annual rate of 2.50% and will be convertible into cash, shares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common stock or a combination of cash and shares of common stock, at our election, based on the applicable conversion rate at such time. The 2025 Notes have a maturity date of May 15, 2025. Refer to Note 4. “Long-term Debt” for more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received proceeds from the offering of $390.9 million, net of $11.6 million in underwriter fees and other issuance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stores (owned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47,389</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Laboratories, distribution centers and optometric equipment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23,829</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and 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104,493</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-89535</wp:posOffset>
            </wp:positionV>
            <wp:extent cx="3326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capital expenditures in fiscal year 2021 to be approximately between $100 million and $105 million and to be used primarily in supporting the Company’s growth through investments in new stores and information technology improvements. We expect to fund capital expenditures with cash flows from operations, but may also use existing cash balances or funds available through our Revolving Credit Facility.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fiscal year end 2020, our lease commitments and contractual obligations are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Thereafter</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r>
      <w:tr>
        <w:trPr>
          <w:trHeight w:val="213"/>
        </w:trPr>
        <w:tc>
          <w:tcPr>
            <w:tcW w:w="304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317,375</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2025 Notes</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402,500</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Estimated interest</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80,697</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Noncancelable operating leases</w:t>
            </w:r>
            <w:r>
              <w:rPr>
                <w:rFonts w:ascii="Arial" w:cs="Arial" w:eastAsia="Arial" w:hAnsi="Arial"/>
                <w:sz w:val="21"/>
                <w:szCs w:val="21"/>
                <w:color w:val="auto"/>
                <w:vertAlign w:val="superscript"/>
              </w:rPr>
              <w: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451,088</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(f)</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41,264</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(g)</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62,871</w:t>
            </w:r>
          </w:p>
        </w:tc>
      </w:tr>
      <w:tr>
        <w:trPr>
          <w:trHeight w:val="209"/>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142,747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119,401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102,655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399,293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463,102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128,597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1,355,795</w:t>
            </w:r>
          </w:p>
        </w:tc>
      </w:tr>
      <w:tr>
        <w:trPr>
          <w:trHeight w:val="21"/>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right="660" w:hanging="412"/>
        <w:spacing w:after="0" w:line="250" w:lineRule="auto"/>
        <w:tabs>
          <w:tab w:leader="none" w:pos="41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a result of $75.0 million prepayment of debt principal during 2020, the Company does not owe principal payments on its Term Loan until the July 18, 2024 when the outstanding principal balance of $317.4 million is due.</w:t>
      </w: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principal payment on the 2025 Notes are due on May 15, 2025.</w:t>
      </w:r>
    </w:p>
    <w:p>
      <w:pPr>
        <w:spacing w:after="0" w:line="1" w:lineRule="exact"/>
        <w:rPr>
          <w:rFonts w:ascii="Arial" w:cs="Arial" w:eastAsia="Arial" w:hAnsi="Arial"/>
          <w:sz w:val="14"/>
          <w:szCs w:val="14"/>
          <w:color w:val="auto"/>
        </w:rPr>
      </w:pPr>
    </w:p>
    <w:p>
      <w:pPr>
        <w:ind w:left="420" w:right="660" w:hanging="412"/>
        <w:spacing w:after="0" w:line="254" w:lineRule="auto"/>
        <w:tabs>
          <w:tab w:leader="none" w:pos="417"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 principal payments are required on the Revolving Credit Facility as we have $293.6 million of availability under our $300.0 million Revolving Credit Facility, which includes $6.4 million in outstanding letters of credit</w:t>
      </w:r>
      <w:r>
        <w:rPr>
          <w:rFonts w:ascii="Arial" w:cs="Arial" w:eastAsia="Arial" w:hAnsi="Arial"/>
          <w:sz w:val="17"/>
          <w:szCs w:val="17"/>
          <w:color w:val="auto"/>
        </w:rPr>
        <w:t>.</w:t>
      </w:r>
    </w:p>
    <w:p>
      <w:pPr>
        <w:jc w:val="both"/>
        <w:ind w:left="420" w:right="660" w:hanging="412"/>
        <w:spacing w:after="0" w:line="241"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 based on our current interest elections described in “Liquidity and Capital Resources.” Amounts and timing may be different from our estimated interest payments due to potential voluntary prepayments, borrowings and interest rate fluctuations. Expected obligations on our hedging instruments are excluded from estimated interest presented in the table above.</w:t>
      </w:r>
    </w:p>
    <w:p>
      <w:pPr>
        <w:spacing w:after="0" w:line="1" w:lineRule="exact"/>
        <w:rPr>
          <w:rFonts w:ascii="Arial" w:cs="Arial" w:eastAsia="Arial" w:hAnsi="Arial"/>
          <w:sz w:val="14"/>
          <w:szCs w:val="14"/>
          <w:color w:val="auto"/>
        </w:rPr>
      </w:pPr>
    </w:p>
    <w:p>
      <w:pPr>
        <w:jc w:val="both"/>
        <w:ind w:left="420" w:right="640" w:hanging="412"/>
        <w:spacing w:after="0" w:line="241" w:lineRule="auto"/>
        <w:tabs>
          <w:tab w:leader="none" w:pos="417"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$28.2 million during fiscal year ended 2020.</w:t>
      </w:r>
    </w:p>
    <w:p>
      <w:pPr>
        <w:spacing w:after="0" w:line="1" w:lineRule="exact"/>
        <w:rPr>
          <w:rFonts w:ascii="Arial" w:cs="Arial" w:eastAsia="Arial" w:hAnsi="Arial"/>
          <w:sz w:val="14"/>
          <w:szCs w:val="14"/>
          <w:color w:val="auto"/>
        </w:rPr>
      </w:pPr>
    </w:p>
    <w:p>
      <w:pPr>
        <w:jc w:val="both"/>
        <w:ind w:left="420" w:right="640" w:hanging="412"/>
        <w:spacing w:after="0" w:line="241" w:lineRule="auto"/>
        <w:tabs>
          <w:tab w:leader="none" w:pos="415"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leases classified as finance leases, the finance lease asset is recorded as property and equipment and a corresponding amount is recorded as a long-term debt obligation in the consolidated balance sheets to the lesser of the net present value of minimum lease payments to be made over the lease term or the fair value of the property for leases in existence as of fiscal year end 2019 and at the net present value of the minimum lease payments to be made over the lease term for new finance leases entered into subsequent to fiscal year end 2019. We allocate each lease payment between a reduction of the lease obligation and interest expense using the effective interest method. Finance lease amounts above represent required contractual cash payments in the periods presented.</w:t>
      </w:r>
    </w:p>
    <w:p>
      <w:pPr>
        <w:spacing w:after="0" w:line="1" w:lineRule="exact"/>
        <w:rPr>
          <w:rFonts w:ascii="Arial" w:cs="Arial" w:eastAsia="Arial" w:hAnsi="Arial"/>
          <w:sz w:val="14"/>
          <w:szCs w:val="14"/>
          <w:color w:val="auto"/>
        </w:rPr>
      </w:pPr>
    </w:p>
    <w:p>
      <w:pPr>
        <w:ind w:left="420" w:right="660" w:hanging="412"/>
        <w:spacing w:after="0" w:line="255"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commitments include minimum purchase commitments with certain trade vendors and contractual agreements to purchase goods or services in the ordinary course of business.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has evaluated the accounting policies used in the preparation of the Company’s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P&amp;E and ROU assets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impairment of long-lived tangible and ROU store assets at the store level, which is the lowest level at which independent cash flows can be identified, when events or conditions indicate the carrying value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of forecasted store revenue growth rates and store profitability. The cash flows used in estimating fair value were discounted using market rates from 6.3% to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lease incentives and discount rates for retail space when estimating the fair value of ROU assets. A decrease in the estimated cash flows would lead to a lower fair value measurement, as would a significant increase in the discount rate. These non-recurring fair value measurements are classified as Level 3 measurements in the fair value hierarchy.</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non-store tangible assets, as well as capitalized software costs in use or under development, for impairment if events or changes in circumstances indicate that the carrying value of those assets may not be recoverable.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$341.3 million of property and equipment, net, and ROU assets of $340.1 million as of January 2, 2021. Changes in estimates and assumptions used in our impairment testing of property and equipment could result in future impairment losses, which could be material. Significant judgments and assumptions are required in our impairment evaluations.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and estimated fair value.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indefinite-lived, non-amortizing trademarks and trade names for impairment annually or whenever events or changes in circumstances indicate that those assets may be impaired.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impairment is present if a reporting unit’s carrying value exceeds its fair value, not to exceed the carrying value of goodwill. We consider each of our operating segments to be reporting units. We calculate the fair value of our reporting units using the income approach, which is based on a discounted cash flow analysis and calculates the fair value of reporting units by estimating after-tax cash flows discounted using the Company’s consolidated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payroll expense growth rate and other store expenses growth rate. These assumptions are sensitive to future changes in the business profitability, changes in our business strategy and external market conditions, among other factors. See Note 1. “Business and Significant Accounting Policies” and Note 3. “Goodwill and Intangible Assets” to our consolidated financial statements included in Part II. Item 8. of this Form 10-K for further detail on goodwill impairment.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2, 2021, we had $777.6 million of goodwill, $240.5 million of non-amortizing intangible assets, and $49.5 million of other intangible assets, net of accumulated amortization. Changes in estimates and assumptions used in our impairment testing could result in future impairment losses, which could be material. Significant judgments and assumptions are required in our impairment evaluations.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impairment analysis for goodwill, fair value exceeded carrying value by a substantial margin for all of our reporting units. Future changes in reporting unit’s business profitability, expected cash flows, changes in business strategy and external market conditions, among other factors, could require us to record an impairment charge for goodwill.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Product revenues include sales of prescription and non-prescription eyewear, contact lenses, related accessories to retail customers (including those covered by managed care) and sales of inventory in which our customer is another retail entity. Revenues from services and plans include eye exams, eyecare club membership fees, product protection plans (i.e. warranties), and HMO vision plan fees. Service revenue also includes fees we earn for managing certain Vision Centers and performing laboratory processing services for our legacy partner.</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product protection plans for our eyeglasses and three- or five-year eyecare club memberships in our Owned &amp; Host segment to our contact lens customers. The unamortized portion of amounts we collect in advance for these services and plans are reported as deferred revenue (current and non-current portions).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and generally ranges from approximately seven to 10 days. All unearned revenue at the end of a reporting period is recognized in the next fiscal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net of sales taxes and returns. The returns allowance is based on historical return patterns. Provisions for estimated returns are established and the expected costs continue to be recognized as contra-revenue when the products are sold.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“Business and Significant Accounting Policies” and Note 7. “Revenue from Contracts With Customers” in our audited consolidated financial statements included in Part II. Item 8. of this Form 10-K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lease our stores, laboratories, distribution centers, and corporate offices. These leases generally have noncancelable lease terms of between 5 years and 10 years, with an option to renew for additional terms of 1 year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include tenant improvement allowances (TIAs), which are contractual amounts received or receivable from a lessor for improvements made to leased properties by the Company. Our lease arrangements do not contain any material residual value guarantees or material restrictive covenants. The Company does not consider its management &amp; services agreement with its Legacy partner to contain a lease arrangement.</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fixed rates on the Company’s interest rate swaps, LIBOR margins for issuers of similar credit rating to NVI and effect of collateralization.</w:t>
      </w:r>
    </w:p>
    <w:p>
      <w:pPr>
        <w:spacing w:after="0" w:line="53" w:lineRule="exact"/>
        <w:rPr>
          <w:sz w:val="20"/>
          <w:szCs w:val="20"/>
          <w:color w:val="auto"/>
        </w:rPr>
      </w:pPr>
    </w:p>
    <w:p>
      <w:pPr>
        <w:ind w:right="1580"/>
        <w:spacing w:after="0" w:line="375" w:lineRule="auto"/>
        <w:rPr>
          <w:sz w:val="20"/>
          <w:szCs w:val="20"/>
          <w:color w:val="auto"/>
        </w:rPr>
      </w:pPr>
      <w:r>
        <w:rPr>
          <w:rFonts w:ascii="Arial" w:cs="Arial" w:eastAsia="Arial" w:hAnsi="Arial"/>
          <w:sz w:val="18"/>
          <w:szCs w:val="18"/>
          <w:color w:val="auto"/>
        </w:rPr>
        <w:t xml:space="preserve">See Note 8. “Leases” to our consolidated financial statements included in Part II. Item 8 of this Form 10-K for additional information. </w:t>
      </w:r>
      <w:r>
        <w:rPr>
          <w:rFonts w:ascii="Arial" w:cs="Arial" w:eastAsia="Arial" w:hAnsi="Arial"/>
          <w:sz w:val="18"/>
          <w:szCs w:val="18"/>
          <w:i w:val="1"/>
          <w:iCs w:val="1"/>
          <w:color w:val="auto"/>
        </w:rPr>
        <w:t>Income Taxes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deferred income taxes based on the asset and liability method. The Company must make certain estimates and judgments in determining income tax expense. Judgment is required in determining our provision for income taxes.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complex judgments because the ultimate tax outcomes are uncertain and future events are unpredictable. Our net deferred liability balance as of January 2, 2021 was $80.9 million. Changes in assumptions in our estimates could result in material changes to these balances. See Note 6. “Income Taxes” to our consolidated financial statements included in Part II. Item 8 of this Form 10-K.</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cost of inventory is determined using the weighted average cost method. Inventories at retail stores are comprised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compliance with contact lens vendor return policies, and estimates of future retail sales prices. Shrinkage is estimated and recorded throughout the period as a percentage of cost of sales based on historical results and current inventory levels. Actual shrinkage is recorded throughout the year based upon periodic physical counts. As of January 2, 2021, our total inventory balance was $111.3 million. Changes in our assessment of the inventory carrying value could have a material impact on our financial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2020, the Company issued $402.5 million principal amount of 2.50% convertible senior notes due 2025. In accordance with accounting guidance on embedded conversion features indexed to and settled in equity, the Company valued and bifurcated the conversion option associated with the 2025 Notes from the respective host debt instrument. The carrying amount of the equity component is recorded as a debt discount and represents the difference between the proceeds from the issuance of the Notes and the fair value of the liability component of the Notes. The significant assumptions used in the fair value of the liability component of the Notes were risk-free rate, discount rate based on the Company’s implied credit spread and term of the 2025 Notes, expected volatility of Company’s stock price and dividend yield. The resulting debt discount on the 2025 Notes is amortized to interest expense using the effective interest rate method over the contractual term of the 2025 Notes. In addition, the debt issuance costs related to the issuance of the 2025 Notes were allocated between the liability and equity components based on their relative values. Debt issuance costs attributable to the liability component were recorded as a contra-liability and are presented net against the 2025 Notes balance on the Company’s consolidated balance sheets. These costs are amortized to interest expense using the effective interest method over the term of the 2025 Notes.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recently issued accounting pronouncements, see Note 1. “Business and Significant Accounting Policies” to our consolidated financial statements included in Part II. Item 8 of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market risk exposure from changes in interest rates. When appropriate, we use derivative financial instruments to mitigate the risk from such exposure. A discussion of our accounting policies for derivative financial instruments is included in Note 11. “Fair Value Measurement of Financial Assets and Liabilities” and Note 14 “Interest Rate Derivatives” to our consolidated financial statements included in Part II. Item 8 of this Form 10-K.</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derivative contracts to manage such risk. For contracts that are designated, and highly effective, as cash flow hedges, the net amounts to be paid or received are accrued as interest rates change, and are recognized over the life of the contracts as an adjustment to interest expense from the underlying debt to which the contracts are designated. For contracts that are not designated as cash flow hedges, the gains or losses from changes in fair value are recognized in interest expense, net. The related amounts payable to, or receivable from, the contract counterparties are included in accrued liabilities or accounts receivable in the consolidated balance sheets.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fiscal year 2020, all of our $317.4 million of Term Loan borrowings was subject to variable interest rates, with a weighted average borrowing rate of 5.7%. After inclusion of the notional amount of $317.0 million of interest rate swaps fixing a portion of the variable rate debt, $0.4 million, or 0.1% of our debt, is subject to variable rates. Assuming an increase to market rates of 1.0% as of January 2, 2021, the resulting impact to interest expense related to debt subject to variable rates would be immaterial. Assuming a decrease to market rates of 1.0%, the resulting impact to interest expense related to the interest rate collar would be approximately $11.7 million.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04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420" w:type="dxa"/>
            <w:vAlign w:val="bottom"/>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42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042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Report of Independent Registered Public Accounting Firm</w:t>
              </w:r>
            </w:hyperlink>
          </w:p>
        </w:tc>
        <w:tc>
          <w:tcPr>
            <w:tcW w:w="8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73</w:t>
              </w:r>
            </w:hyperlink>
          </w:p>
        </w:tc>
        <w:tc>
          <w:tcPr>
            <w:tcW w:w="0" w:type="dxa"/>
            <w:vAlign w:val="bottom"/>
          </w:tcPr>
          <w:p>
            <w:pPr>
              <w:spacing w:after="0"/>
              <w:rPr>
                <w:sz w:val="1"/>
                <w:szCs w:val="1"/>
                <w:color w:val="auto"/>
              </w:rPr>
            </w:pPr>
          </w:p>
        </w:tc>
      </w:tr>
      <w:tr>
        <w:trPr>
          <w:trHeight w:val="486"/>
        </w:trPr>
        <w:tc>
          <w:tcPr>
            <w:tcW w:w="1042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 as of January 2, 2021 and December 28, 2019</w:t>
              </w:r>
            </w:hyperlink>
          </w:p>
        </w:tc>
        <w:tc>
          <w:tcPr>
            <w:tcW w:w="80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c>
          <w:tcPr>
            <w:tcW w:w="0" w:type="dxa"/>
            <w:vAlign w:val="bottom"/>
          </w:tcPr>
          <w:p>
            <w:pPr>
              <w:spacing w:after="0"/>
              <w:rPr>
                <w:sz w:val="1"/>
                <w:szCs w:val="1"/>
                <w:color w:val="auto"/>
              </w:rPr>
            </w:pPr>
          </w:p>
        </w:tc>
      </w:tr>
      <w:tr>
        <w:trPr>
          <w:trHeight w:val="432"/>
        </w:trPr>
        <w:tc>
          <w:tcPr>
            <w:tcW w:w="10420" w:type="dxa"/>
            <w:vAlign w:val="bottom"/>
          </w:tcPr>
          <w:p>
            <w:pPr>
              <w:ind w:left="20"/>
              <w:spacing w:after="0"/>
              <w:rPr>
                <w:rFonts w:ascii="Arial" w:cs="Arial" w:eastAsia="Arial" w:hAnsi="Arial"/>
                <w:sz w:val="18"/>
                <w:szCs w:val="18"/>
                <w:u w:val="single" w:color="auto"/>
                <w:color w:val="0000FF"/>
                <w:w w:val="94"/>
              </w:rPr>
            </w:pPr>
            <w:hyperlink w:anchor="page75">
              <w:r>
                <w:rPr>
                  <w:rFonts w:ascii="Arial" w:cs="Arial" w:eastAsia="Arial" w:hAnsi="Arial"/>
                  <w:sz w:val="18"/>
                  <w:szCs w:val="18"/>
                  <w:u w:val="single" w:color="auto"/>
                  <w:color w:val="0000FF"/>
                  <w:w w:val="94"/>
                </w:rPr>
                <w:t>Consolidated Statements of Operations and Comprehensive Income for the Fiscal Years Ended January 2, 2021, December 28, 2019 and</w:t>
              </w:r>
            </w:hyperlink>
          </w:p>
        </w:tc>
        <w:tc>
          <w:tcPr>
            <w:tcW w:w="800" w:type="dxa"/>
            <w:vAlign w:val="bottom"/>
            <w:vMerge w:val="restart"/>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30"/>
        </w:trPr>
        <w:tc>
          <w:tcPr>
            <w:tcW w:w="10420" w:type="dxa"/>
            <w:vAlign w:val="bottom"/>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December 29, 2018</w:t>
              </w:r>
            </w:hyperlink>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10420" w:type="dxa"/>
            <w:vAlign w:val="bottom"/>
          </w:tcPr>
          <w:p>
            <w:pPr>
              <w:ind w:left="20"/>
              <w:spacing w:after="0"/>
              <w:rPr>
                <w:rFonts w:ascii="Arial" w:cs="Arial" w:eastAsia="Arial" w:hAnsi="Arial"/>
                <w:sz w:val="18"/>
                <w:szCs w:val="18"/>
                <w:u w:val="single" w:color="auto"/>
                <w:color w:val="0000FF"/>
                <w:w w:val="93"/>
              </w:rPr>
            </w:pPr>
            <w:hyperlink w:anchor="page76">
              <w:r>
                <w:rPr>
                  <w:rFonts w:ascii="Arial" w:cs="Arial" w:eastAsia="Arial" w:hAnsi="Arial"/>
                  <w:sz w:val="18"/>
                  <w:szCs w:val="18"/>
                  <w:u w:val="single" w:color="auto"/>
                  <w:color w:val="0000FF"/>
                  <w:w w:val="93"/>
                </w:rPr>
                <w:t xml:space="preserve">Consolidated Statements of Stockholders’ Equity for the Fiscal Years Ended </w:t>
              </w:r>
            </w:hyperlink>
            <w:hyperlink w:anchor="page75">
              <w:r>
                <w:rPr>
                  <w:rFonts w:ascii="Arial" w:cs="Arial" w:eastAsia="Arial" w:hAnsi="Arial"/>
                  <w:sz w:val="18"/>
                  <w:szCs w:val="18"/>
                  <w:u w:val="single" w:color="auto"/>
                  <w:color w:val="0000FF"/>
                  <w:w w:val="93"/>
                </w:rPr>
                <w:t>January 2, 2021, December 28, 2019 and December 29, 2018</w:t>
              </w:r>
            </w:hyperlink>
          </w:p>
        </w:tc>
        <w:tc>
          <w:tcPr>
            <w:tcW w:w="80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486"/>
        </w:trPr>
        <w:tc>
          <w:tcPr>
            <w:tcW w:w="1042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 xml:space="preserve">Consolidated Statements of Cash Flows for the Fiscal Years Ended </w:t>
              </w:r>
            </w:hyperlink>
            <w:hyperlink w:anchor="page75">
              <w:r>
                <w:rPr>
                  <w:rFonts w:ascii="Arial" w:cs="Arial" w:eastAsia="Arial" w:hAnsi="Arial"/>
                  <w:sz w:val="18"/>
                  <w:szCs w:val="18"/>
                  <w:u w:val="single" w:color="auto"/>
                  <w:color w:val="0000FF"/>
                </w:rPr>
                <w:t>January 2, 2021, December 28, 2019 and December 29, 2018</w:t>
              </w:r>
            </w:hyperlink>
          </w:p>
        </w:tc>
        <w:tc>
          <w:tcPr>
            <w:tcW w:w="80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486"/>
        </w:trPr>
        <w:tc>
          <w:tcPr>
            <w:tcW w:w="10420" w:type="dxa"/>
            <w:vAlign w:val="bottom"/>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Notes to Consolidated Financial Statements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79</w:t>
              </w:r>
            </w:hyperlink>
          </w:p>
        </w:tc>
        <w:tc>
          <w:tcPr>
            <w:tcW w:w="0" w:type="dxa"/>
            <w:vAlign w:val="bottom"/>
          </w:tcPr>
          <w:p>
            <w:pPr>
              <w:spacing w:after="0"/>
              <w:rPr>
                <w:sz w:val="1"/>
                <w:szCs w:val="1"/>
                <w:color w:val="auto"/>
              </w:rPr>
            </w:pPr>
          </w:p>
        </w:tc>
      </w:tr>
      <w:tr>
        <w:trPr>
          <w:trHeight w:val="486"/>
        </w:trPr>
        <w:tc>
          <w:tcPr>
            <w:tcW w:w="10420" w:type="dxa"/>
            <w:vAlign w:val="bottom"/>
          </w:tcPr>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Schedule I – Condensed Financial Information of Registrant</w:t>
              </w:r>
            </w:hyperlink>
          </w:p>
        </w:tc>
        <w:tc>
          <w:tcPr>
            <w:tcW w:w="80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National Vision Holdings, Inc. and subsidiaries (the “Company”) as of January 2, 2021 and December 28, 2019, the related consolidated statements of operations and comprehensive income, stockholders’ equity, and cash flows, for each of the three years in the period ended January 2, 2021, and the related notes and the schedule listed in the Index at Item 15 (collectively referred to as the “financial statements”). In our opinion, the financial statements present fairly, in all material respects, the financial position of the Company as of January 2, 2021 and December 28, 2019, and the results of its operations and its cash flows for each of the three years in the period ended January 2, 2021, in conformity with accounting principles generally accepted in the United States of America.</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2,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2021,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leases for the year ended December 28, 2019 due to the adoption of Accounting Standards Update No. 2016-02, Leases.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 2025 Notes - Refer to Note 4 to the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2020, the Company issued $402.5 million principal amount of 2.50% convertible senior notes due 2025 (the “2025 Notes”). In accordance with accounting guidance on embedded conversion features indexed to and settled in equity, the Company valued and bifurcated the conversion option associated with the 2025 Notes from the respective host debt instrument. The carrying amount of the equity component is recorded as a debt discount and represents the difference between the proceeds from the issuance of the Notes and the fair value of the liability component of the Notes. The significant assumptions used in the fair value of the liability component of the Notes were the discount rate based on the Company’s implied credit spread and term of the 2025 Notes and the expected volatility of Company’s stock price.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Application of the accounting framework for the 2025 Notes is complex, and the determination of the fair value of the liability component requires the Company to make significant estimates and assumptions relating to the implied credit spread and expected volatility. Therefore, performing audit procedures to evaluate the appropriateness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accounting framework and the reasonableness of the significant estimates and assumptions required a high degree of auditor judgment and an increased extent of effort, including the need to involve our fair value specialists.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audit procedures related to the accounting for the 2025 Notes, including the Company’s judgments and calculations related to the fair value of the liability component, included the following procedures, among others:</w:t>
      </w:r>
    </w:p>
    <w:p>
      <w:pPr>
        <w:spacing w:after="0" w:line="62" w:lineRule="exact"/>
        <w:rPr>
          <w:sz w:val="20"/>
          <w:szCs w:val="20"/>
          <w:color w:val="auto"/>
        </w:rPr>
      </w:pPr>
    </w:p>
    <w:p>
      <w:pPr>
        <w:ind w:left="340" w:hanging="170"/>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Company’s accounting treatment for the recording of the 2025 Notes and the internal controls over the determination of the fair value of the liability component.</w:t>
      </w:r>
    </w:p>
    <w:p>
      <w:pPr>
        <w:spacing w:after="0" w:line="62" w:lineRule="exact"/>
        <w:rPr>
          <w:rFonts w:ascii="Arial" w:cs="Arial" w:eastAsia="Arial" w:hAnsi="Arial"/>
          <w:sz w:val="18"/>
          <w:szCs w:val="18"/>
          <w:color w:val="auto"/>
        </w:rPr>
      </w:pPr>
    </w:p>
    <w:p>
      <w:pPr>
        <w:ind w:left="340" w:right="20" w:hanging="170"/>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debt issuance accounting, we evaluated the Company’s conclusions regarding the accounting treatment applied to the recording of the 2025 Notes.</w:t>
      </w:r>
    </w:p>
    <w:p>
      <w:pPr>
        <w:spacing w:after="0" w:line="62" w:lineRule="exact"/>
        <w:rPr>
          <w:rFonts w:ascii="Arial" w:cs="Arial" w:eastAsia="Arial" w:hAnsi="Arial"/>
          <w:sz w:val="18"/>
          <w:szCs w:val="18"/>
          <w:color w:val="auto"/>
        </w:rPr>
      </w:pPr>
    </w:p>
    <w:p>
      <w:pPr>
        <w:ind w:left="340" w:hanging="170"/>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 and the significant assumptions used to determine the fair value of the liability component, by:</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Testing the source information underlying the fair value of the liability component and the mathematical accuracy of the calculation.</w:t>
      </w:r>
    </w:p>
    <w:p>
      <w:pPr>
        <w:spacing w:after="0" w:line="128" w:lineRule="exact"/>
        <w:rPr>
          <w:rFonts w:ascii="Arial" w:cs="Arial" w:eastAsia="Arial" w:hAnsi="Arial"/>
          <w:sz w:val="17"/>
          <w:szCs w:val="17"/>
          <w:color w:val="auto"/>
        </w:rPr>
      </w:pPr>
    </w:p>
    <w:p>
      <w:pPr>
        <w:ind w:left="980" w:right="20" w:hanging="162"/>
        <w:spacing w:after="0" w:line="277" w:lineRule="auto"/>
        <w:tabs>
          <w:tab w:leader="none" w:pos="9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Developing an independent expectation of certain significant assumptions, including the implied credit spread and expected volatility, and comparing our independent expectation to the Company’s estimate.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7560" w:type="dxa"/>
            <w:vAlign w:val="bottom"/>
            <w:gridSpan w:val="2"/>
          </w:tcPr>
          <w:p>
            <w:pPr>
              <w:jc w:val="center"/>
              <w:ind w:left="361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tcPr>
          <w:p>
            <w:pPr>
              <w:jc w:val="center"/>
              <w:ind w:left="4350"/>
              <w:spacing w:after="0"/>
              <w:rPr>
                <w:sz w:val="20"/>
                <w:szCs w:val="20"/>
                <w:color w:val="auto"/>
              </w:rPr>
            </w:pPr>
            <w:r>
              <w:rPr>
                <w:rFonts w:ascii="Arial" w:cs="Arial" w:eastAsia="Arial" w:hAnsi="Arial"/>
                <w:sz w:val="18"/>
                <w:szCs w:val="18"/>
                <w:b w:val="1"/>
                <w:bCs w:val="1"/>
                <w:color w:val="auto"/>
                <w:w w:val="87"/>
              </w:rPr>
              <w:t>Consolidated Balance Sheets</w:t>
            </w: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60" w:type="dxa"/>
            <w:vAlign w:val="bottom"/>
            <w:gridSpan w:val="2"/>
          </w:tcPr>
          <w:p>
            <w:pPr>
              <w:jc w:val="center"/>
              <w:ind w:left="3610"/>
              <w:spacing w:after="0"/>
              <w:rPr>
                <w:sz w:val="20"/>
                <w:szCs w:val="20"/>
                <w:color w:val="auto"/>
              </w:rPr>
            </w:pPr>
            <w:r>
              <w:rPr>
                <w:rFonts w:ascii="Arial" w:cs="Arial" w:eastAsia="Arial" w:hAnsi="Arial"/>
                <w:sz w:val="18"/>
                <w:szCs w:val="18"/>
                <w:b w:val="1"/>
                <w:bCs w:val="1"/>
                <w:color w:val="auto"/>
                <w:w w:val="90"/>
              </w:rPr>
              <w:t>As of January 2, 2021 and December 28, 2019</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jc w:val="center"/>
              <w:ind w:left="4350"/>
              <w:spacing w:after="0"/>
              <w:rPr>
                <w:sz w:val="20"/>
                <w:szCs w:val="20"/>
                <w:color w:val="auto"/>
              </w:rPr>
            </w:pPr>
            <w:r>
              <w:rPr>
                <w:rFonts w:ascii="Arial" w:cs="Arial" w:eastAsia="Arial" w:hAnsi="Arial"/>
                <w:sz w:val="18"/>
                <w:szCs w:val="18"/>
                <w:i w:val="1"/>
                <w:iCs w:val="1"/>
                <w:color w:val="auto"/>
                <w:w w:val="89"/>
              </w:rPr>
              <w:t>In Thousands, Except Par Value</w:t>
            </w:r>
          </w:p>
        </w:tc>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760" w:type="dxa"/>
            <w:vAlign w:val="bottom"/>
          </w:tcPr>
          <w:p>
            <w:pPr>
              <w:spacing w:after="0"/>
              <w:rPr>
                <w:sz w:val="24"/>
                <w:szCs w:val="24"/>
                <w:color w:val="auto"/>
              </w:rPr>
            </w:pPr>
          </w:p>
        </w:tc>
        <w:tc>
          <w:tcPr>
            <w:tcW w:w="1520" w:type="dxa"/>
            <w:vAlign w:val="bottom"/>
            <w:gridSpan w:val="2"/>
          </w:tcPr>
          <w:p>
            <w:pPr>
              <w:jc w:val="center"/>
              <w:ind w:right="88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35"/>
        </w:trPr>
        <w:tc>
          <w:tcPr>
            <w:tcW w:w="6800" w:type="dxa"/>
            <w:vAlign w:val="bottom"/>
            <w:vMerge w:val="continue"/>
          </w:tcPr>
          <w:p>
            <w:pPr>
              <w:spacing w:after="0"/>
              <w:rPr>
                <w:sz w:val="11"/>
                <w:szCs w:val="11"/>
                <w:color w:val="auto"/>
              </w:rPr>
            </w:pPr>
          </w:p>
        </w:tc>
        <w:tc>
          <w:tcPr>
            <w:tcW w:w="228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1"/>
                <w:szCs w:val="11"/>
                <w:color w:val="auto"/>
              </w:rPr>
            </w:pPr>
          </w:p>
        </w:tc>
        <w:tc>
          <w:tcPr>
            <w:tcW w:w="1920" w:type="dxa"/>
            <w:vAlign w:val="bottom"/>
            <w:vMerge w:val="restart"/>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95"/>
        </w:trPr>
        <w:tc>
          <w:tcPr>
            <w:tcW w:w="6800" w:type="dxa"/>
            <w:vAlign w:val="bottom"/>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373,903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111,274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23"/>
        </w:trPr>
        <w:tc>
          <w:tcPr>
            <w:tcW w:w="6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566,650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49,511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110,309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Long-term debt and finance lease obligations, less current portion and debt discount</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13)</w:t>
            </w: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82,183 and 80,603 shares</w:t>
            </w: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issued as of January 2, 2021 and December 28, 2019, respectively; 81,239 and 79,678</w:t>
            </w:r>
          </w:p>
        </w:tc>
        <w:tc>
          <w:tcPr>
            <w:tcW w:w="7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shares outstanding as of January 2, 2021 and December 28, 2019, respectively</w:t>
            </w:r>
          </w:p>
        </w:tc>
        <w:tc>
          <w:tcPr>
            <w:tcW w:w="7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89"/>
              </w:rPr>
              <w:t>Treasury stock, at cost; 944 and 925 shares as of January 2, 2021 and December 28, 2019,</w:t>
            </w:r>
          </w:p>
        </w:tc>
        <w:tc>
          <w:tcPr>
            <w:tcW w:w="7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 2019 includes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For the Years Ended January 2, 2021, December 28, 2019 and December 29, 2018</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1,418,283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1,426,136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1,269,612</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267,242</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1,711,760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1,724,331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1,536,854</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574,351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511,406</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202,165</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806,519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713,571</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720,590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744,488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687,476</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74,339</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17,630</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r>
      <w:tr>
        <w:trPr>
          <w:trHeight w:val="223"/>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780,932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42,351</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37,283</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75,899</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79,041</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Unrealized gain (loss) on hedge instruments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30,711</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Stockholders’ Equity For the Years Ended January 2, 2021, December 28, 2019 and December 29, 2018 </w:t>
      </w:r>
      <w:r>
        <w:rPr>
          <w:rFonts w:ascii="Arial" w:cs="Arial" w:eastAsia="Arial" w:hAnsi="Arial"/>
          <w:sz w:val="18"/>
          <w:szCs w:val="18"/>
          <w:i w:val="1"/>
          <w:iCs w:val="1"/>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700" w:type="dxa"/>
            <w:vAlign w:val="bottom"/>
            <w:gridSpan w:val="3"/>
          </w:tcPr>
          <w:p>
            <w:pPr>
              <w:jc w:val="right"/>
              <w:ind w:right="19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restart"/>
          </w:tcPr>
          <w:p>
            <w:pPr>
              <w:jc w:val="center"/>
              <w:ind w:right="30"/>
              <w:spacing w:after="0" w:line="176" w:lineRule="exact"/>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4"/>
                <w:szCs w:val="4"/>
                <w:color w:val="auto"/>
              </w:rPr>
            </w:pPr>
          </w:p>
        </w:tc>
        <w:tc>
          <w:tcPr>
            <w:tcW w:w="1320" w:type="dxa"/>
            <w:vAlign w:val="bottom"/>
            <w:vMerge w:val="restart"/>
          </w:tcPr>
          <w:p>
            <w:pPr>
              <w:jc w:val="center"/>
              <w:ind w:right="30"/>
              <w:spacing w:after="0" w:line="176" w:lineRule="exact"/>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4"/>
                <w:szCs w:val="4"/>
                <w:color w:val="auto"/>
              </w:rPr>
            </w:pPr>
          </w:p>
        </w:tc>
        <w:tc>
          <w:tcPr>
            <w:tcW w:w="110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Retained</w:t>
            </w:r>
          </w:p>
        </w:tc>
        <w:tc>
          <w:tcPr>
            <w:tcW w:w="120" w:type="dxa"/>
            <w:vAlign w:val="bottom"/>
          </w:tcPr>
          <w:p>
            <w:pPr>
              <w:spacing w:after="0"/>
              <w:rPr>
                <w:sz w:val="4"/>
                <w:szCs w:val="4"/>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Treasury</w:t>
            </w:r>
          </w:p>
        </w:tc>
        <w:tc>
          <w:tcPr>
            <w:tcW w:w="120" w:type="dxa"/>
            <w:vAlign w:val="bottom"/>
          </w:tcPr>
          <w:p>
            <w:pPr>
              <w:spacing w:after="0"/>
              <w:rPr>
                <w:sz w:val="4"/>
                <w:szCs w:val="4"/>
                <w:color w:val="auto"/>
              </w:rPr>
            </w:pPr>
          </w:p>
        </w:tc>
        <w:tc>
          <w:tcPr>
            <w:tcW w:w="1160" w:type="dxa"/>
            <w:vAlign w:val="bottom"/>
            <w:vMerge w:val="restart"/>
          </w:tcPr>
          <w:p>
            <w:pPr>
              <w:jc w:val="center"/>
              <w:ind w:right="7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820" w:type="dxa"/>
            <w:vAlign w:val="bottom"/>
            <w:vMerge w:val="restart"/>
          </w:tcPr>
          <w:p>
            <w:pPr>
              <w:jc w:val="right"/>
              <w:ind w:right="9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5"/>
                <w:szCs w:val="15"/>
                <w:color w:val="auto"/>
              </w:rPr>
            </w:pPr>
          </w:p>
        </w:tc>
        <w:tc>
          <w:tcPr>
            <w:tcW w:w="9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Paid-In</w:t>
            </w:r>
          </w:p>
        </w:tc>
        <w:tc>
          <w:tcPr>
            <w:tcW w:w="160" w:type="dxa"/>
            <w:vAlign w:val="bottom"/>
          </w:tcPr>
          <w:p>
            <w:pPr>
              <w:spacing w:after="0"/>
              <w:rPr>
                <w:sz w:val="15"/>
                <w:szCs w:val="15"/>
                <w:color w:val="auto"/>
              </w:rPr>
            </w:pPr>
          </w:p>
        </w:tc>
        <w:tc>
          <w:tcPr>
            <w:tcW w:w="13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Loss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Earnings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30, 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654,600</w:t>
            </w:r>
          </w:p>
        </w:tc>
        <w:tc>
          <w:tcPr>
            <w:tcW w:w="0" w:type="dxa"/>
            <w:vAlign w:val="bottom"/>
          </w:tcPr>
          <w:p>
            <w:pPr>
              <w:spacing w:after="0"/>
              <w:rPr>
                <w:sz w:val="1"/>
                <w:szCs w:val="1"/>
                <w:color w:val="auto"/>
              </w:rPr>
            </w:pPr>
          </w:p>
        </w:tc>
      </w:tr>
      <w:tr>
        <w:trPr>
          <w:trHeight w:val="175"/>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Cumulative effect of change in accounting</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19,030</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principle</w:t>
            </w: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Balances at December 31, 2017 - as adjusted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631,798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673,630</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19,766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Unrealized gain (loss) on hedge instruments,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tax</w:t>
            </w: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29,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Cumulative effect of change in accounting</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principle</w:t>
            </w: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Balances at December 30, 2018 - as adjusted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2,357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15,067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(25,646)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Unrealized gain (loss) on hedge instruments,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tax</w:t>
            </w: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Cumulative effect of change in accounting</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principle</w:t>
            </w: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Balances at December 29, 2019 - as adjusted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Conversion option related to convertible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senior notes, net of allocated costs and tax</w:t>
            </w: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w w:val="94"/>
              </w:rPr>
              <w:t>Unrealized gain (loss) on hedge instruments,</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Balances at January 2,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January 2, 2021, December 28, 2019 and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Fiscal Year 2020</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Fiscal Year 2019</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color w:val="auto"/>
                <w:w w:val="94"/>
              </w:rPr>
              <w:t>Fiscal Year 2018</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36,277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32,798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23,653</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91,585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87,244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74,339</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17,630</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(19,340)</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20,939</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3,868</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Credit loss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(14,649)</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(28,739)</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(7,011)</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7,934</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12,597</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106,628</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(104,493)</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(100,631)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(104,221)</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(591,925)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(204,275)</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19,802</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(25,646)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(1,928)</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10,397</w:t>
            </w:r>
          </w:p>
        </w:tc>
      </w:tr>
      <w:tr>
        <w:trPr>
          <w:trHeight w:val="206"/>
        </w:trPr>
        <w:tc>
          <w:tcPr>
            <w:tcW w:w="632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334,852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12,804</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5,194</w:t>
            </w:r>
          </w:p>
        </w:tc>
      </w:tr>
      <w:tr>
        <w:trPr>
          <w:trHeight w:val="206"/>
        </w:trPr>
        <w:tc>
          <w:tcPr>
            <w:tcW w:w="632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17,998</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0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33,935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33,469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for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14,078</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acquired under finance leases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14,303</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Right of use assets acquired under operating leases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issuance of common shares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Non-cash purchase of treasury stock</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(446)</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wholly owned subsidiaries. We are a leading value retailer of eyeglasses and contact lenses in the United States. We operated 1,205 and 1,151 retail optical locations in the United States and its territories as of the fiscal years ended January 2, 2021 and December 28, 2019, respectively, through our five store brands, including America’s Best Contacts and Eyeglasses (“America’s Best”), Eyeglass World, Vista Optical locations on select U.S. Army/Air Force military bases (“Military”) and within select Fred Meyer (“Fred Meyer”) stores, and our management &amp; services arrangement with Walmart (“Legacy”).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contact lenses and optical accessory products to retail customers through proprietary retail web sites and web sites on behalf of certain independent retailers and insurance companies. We also distribute contact lenses to Walmart and Sam’s Club store locations.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operate a specialized health maintenance organization (“HMO”) that is licensed as a single-service health plan under California law. The HMO issues individual vision plans in connection with our America’s Best operations in California, and provides, or arranges for the provision of, optometric services at the offices next to certain Walmart stores throughout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operate on a retail fiscal calendar that results in a given fiscal year consisting of a 52- or 53-week period ending on the Saturday closest to December</w:t>
      </w:r>
    </w:p>
    <w:p>
      <w:pPr>
        <w:spacing w:after="0" w:line="46"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 52-week fiscal year, each quarter contains 13 weeks of operations; in a 53-week fiscal year, each of the first, second and third quarters include</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weeks of operations and the fourth quarter includes 14 weeks of operations.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References herein to “fiscal year 2020,” relate to the 53 weeks ended January 2, 2021, and references to “fiscal year 2019,” and “fiscal year 2018,” relate to the 52 weeks ended December 28, 2019 and December 29, 2018, respectively. Unless otherwise stated, references to years in this report relate to fiscal years rather than calendar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Public Offerings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 2018, we completed three underwritten public offerings in which KKR, Berkshire and certain management stockholders (“selling stockholders”) sold an aggregate of 42,914,852 shares of the Company’s common stock. The Company did not receive any proceeds from the offerings. However, the second and third offerings resulted in certain incentive compensation expenses relating to vesting of performance-based stock options and a payout under a non-executive long-term incentive plan.</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7, 2019, the Company entered into an Underwriting Agreement by and among the Company, KKR Vision Aggregator L.P. (the “Selling Stockholder”), and Goldman Sachs &amp; Co. LLC, as underwriter (the “Underwriter”), relating to an underwritten offering of 9,149,908 shares of the Company’s common stock, par value $0.01 per share. The offering was completed on August 12, 2019. In connection with the offering, our Board of Directors authorized, and the Company completed, a repurchase of 819,134 shares out of the 9,149,908 shares of common stock subject to the offering from the Underwriter at $30.52 per share, which was the price the Underwriter purchased the shares from the Selling Stockholder in the offering. The Company did not receive any proceeds from the offering. As a result of this underwritten offering and concurrent share repurchase, the Selling Stockholder no longer owned any shares of our common stock.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secondary offering constituted a vesting event whereby a final portion of the performance-based options vested and the remaining portion of unvested performance options awarded under the 2014 Stock Incentive Plan was forfeited. As a result of the offering, we incurred $4.2 million of non-cash stock-based compensation expense and additionally recorded $2.8 million in long-term cash incentive compensation expense and $0.4 million in offering related SG&amp;A expenses for fiscal year end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has elected to apply the AMT refundable credit provision of the CARES Act and has reclassified $1.3 million of AMT credits from Deferred income taxes, net as of December 28, 2019 to Prepaid expenses and other assets as of January 2, 2021. The CARES Act also includes a technical correction wherein qualified improvement property placed in service in 2018 and after is eligible for 100% bonus depreciation. This provision of the CARES Act resulted in an increase in our NOL carry-forwards with an offsetting increase in our gross deferred tax liability relating to property and equipment of approximately $25.0 million ($6.4 million tax impact) as of January 2, 2021. In addition, as a result of the employee retention credits made available under the CARES Act for U.S. associates the Company recognized $0.4 million as a reduction to costs of products, $6.2 million as a reduction to costs of services and plans, and $4.4 million as a reduction to SG&amp;A during fiscal year 2020. The Company recognizes government grants for which there is a reasonable assurance of compliance with grant conditions and receipt of credits. We believe there is a reasonable assurance that the Company will comply with the relevant conditions of the employee retention credit provision of the CARES Act, and that we will receive the credits for which we have applied. We elected to offset credits recognized under the CARES against payroll taxes that would otherwise be payable. We will continue to assess our treatment of the CARES Act to the extent additional guidance and regulations are issued, the further applicability of the CARES Act to the Company, and the potential impacts on our business.</w:t>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CARES Act, the Consolidated Appropriations Act, 2021, H.R. 133 was signed into law on December 27, 2020 and, among other things, allows for 100% deductibility of meals and entertainment expenses for the tax years ending in 2021 and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consists of currency and demand deposits with financial institutions and money market funds. We consider all highly liquid investments with an original maturity of three months or less at the date of purchase to be cash equivalents.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SG&amp;A expenses in the Company’s consolidated statements of operations, were approximately $0.7 million, $8.2 million and $7.1 million for the fiscal years 2020, 2019 and 2018, respectively. See Note 7 “Revenues from Contracts with Customers” for further details on the allowance for expected credit losses.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2. “Details of Certain Balance Sheet Accounts” for further details.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inventory consists primarily of contact lenses, eyeglass frames and unprocessed eyeglass lenses. A significant portion of our inventory is supplied by a small number of key vendors. During fiscal year 2020, 93% of contact lens expenditures were with three vendors and 89% of lens expenditures were with one vendor. This exposes us to vendor concentration risk. We are less exposed to a supplier risk for our eyeglass frames as only 52% of frame expenditures were with two vendors.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We capitalize major replacements and remodeling, and recognize expenditures for maintenance and repairs in SG&amp;A.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w w:val="97"/>
              </w:rPr>
              <w:t>We depreciate P&amp;E for financial accounting purposes using the straight-line method over the following estimated useful lives:</w:t>
            </w:r>
          </w:p>
        </w:tc>
        <w:tc>
          <w:tcPr>
            <w:tcW w:w="1500" w:type="dxa"/>
            <w:vAlign w:val="bottom"/>
          </w:tcPr>
          <w:p>
            <w:pPr>
              <w:spacing w:after="0"/>
              <w:rPr>
                <w:sz w:val="20"/>
                <w:szCs w:val="20"/>
                <w:color w:val="auto"/>
              </w:rPr>
            </w:pPr>
          </w:p>
        </w:tc>
      </w:tr>
      <w:tr>
        <w:trPr>
          <w:trHeight w:val="122"/>
        </w:trPr>
        <w:tc>
          <w:tcPr>
            <w:tcW w:w="97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500" w:type="dxa"/>
            <w:vAlign w:val="bottom"/>
          </w:tcPr>
          <w:p>
            <w:pPr>
              <w:jc w:val="right"/>
              <w:spacing w:after="0"/>
              <w:rPr>
                <w:sz w:val="20"/>
                <w:szCs w:val="20"/>
                <w:color w:val="auto"/>
              </w:rPr>
            </w:pPr>
            <w:r>
              <w:rPr>
                <w:rFonts w:ascii="Arial" w:cs="Arial" w:eastAsia="Arial" w:hAnsi="Arial"/>
                <w:sz w:val="18"/>
                <w:szCs w:val="18"/>
                <w:color w:val="auto"/>
              </w:rPr>
              <w:t>3 - 7 years</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Information technology hardware and software </w:t>
            </w:r>
            <w:r>
              <w:rPr>
                <w:rFonts w:ascii="Arial" w:cs="Arial" w:eastAsia="Arial" w:hAnsi="Arial"/>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50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Leasehold improvements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r>
      <w:tr>
        <w:trPr>
          <w:trHeight w:val="224"/>
        </w:trPr>
        <w:tc>
          <w:tcPr>
            <w:tcW w:w="974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P&amp;E under capital leases </w:t>
            </w:r>
            <w:r>
              <w:rPr>
                <w:rFonts w:ascii="Arial" w:cs="Arial" w:eastAsia="Arial" w:hAnsi="Arial"/>
                <w:sz w:val="23"/>
                <w:szCs w:val="23"/>
                <w:color w:val="auto"/>
                <w:vertAlign w:val="superscript"/>
              </w:rPr>
              <w:t>(b)</w:t>
            </w:r>
          </w:p>
        </w:tc>
        <w:tc>
          <w:tcPr>
            <w:tcW w:w="15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182"/>
        </w:trPr>
        <w:tc>
          <w:tcPr>
            <w:tcW w:w="9740" w:type="dxa"/>
            <w:vAlign w:val="bottom"/>
          </w:tcPr>
          <w:p>
            <w:pPr>
              <w:ind w:left="20"/>
              <w:spacing w:after="0"/>
              <w:rPr>
                <w:sz w:val="20"/>
                <w:szCs w:val="20"/>
                <w:color w:val="auto"/>
              </w:rPr>
            </w:pPr>
            <w:r>
              <w:rPr>
                <w:rFonts w:ascii="Arial" w:cs="Arial" w:eastAsia="Arial" w:hAnsi="Arial"/>
                <w:sz w:val="14"/>
                <w:szCs w:val="14"/>
                <w:color w:val="auto"/>
              </w:rPr>
              <w:t>____________</w:t>
            </w:r>
          </w:p>
        </w:tc>
        <w:tc>
          <w:tcPr>
            <w:tcW w:w="1500" w:type="dxa"/>
            <w:vAlign w:val="bottom"/>
          </w:tcPr>
          <w:p>
            <w:pPr>
              <w:spacing w:after="0"/>
              <w:rPr>
                <w:sz w:val="15"/>
                <w:szCs w:val="15"/>
                <w:color w:val="auto"/>
              </w:rPr>
            </w:pPr>
          </w:p>
        </w:tc>
      </w:tr>
    </w:tbl>
    <w:p>
      <w:pPr>
        <w:spacing w:after="0" w:line="61" w:lineRule="exact"/>
        <w:rPr>
          <w:sz w:val="20"/>
          <w:szCs w:val="20"/>
          <w:color w:val="auto"/>
        </w:rPr>
      </w:pPr>
    </w:p>
    <w:p>
      <w:pPr>
        <w:ind w:left="360" w:right="40" w:hanging="334"/>
        <w:spacing w:after="0" w:line="236" w:lineRule="auto"/>
        <w:tabs>
          <w:tab w:leader="none" w:pos="357"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20" w:lineRule="exact"/>
        <w:rPr>
          <w:rFonts w:ascii="Arial" w:cs="Arial" w:eastAsia="Arial" w:hAnsi="Arial"/>
          <w:sz w:val="14"/>
          <w:szCs w:val="14"/>
          <w:color w:val="auto"/>
        </w:rPr>
      </w:pPr>
    </w:p>
    <w:p>
      <w:pPr>
        <w:ind w:left="360" w:right="260" w:hanging="334"/>
        <w:spacing w:after="0" w:line="236" w:lineRule="auto"/>
        <w:tabs>
          <w:tab w:leader="none" w:pos="3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is impaired. Our annual testing date for impairment of goodwill and indefinite-lived intangible assets is the first day of the fourth fiscal quarter, which for fiscal years 2020 and 2019 was September 27, 2020, and September 29, 2019, respectively.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Finite-lived, amortizing intangible assets primarily consist of our contracts and relationships with certain retailers and our customer database tool. We amortize finite-lived intangible assets on a straight-line basis over their estimated useful lives, ranging from four to 23 years. Amortization expense associated with finite-lived intangible assets is included in depreciation and amortization in the accompanying consolidated statements of operations.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impaired if a reporting unit’s carrying value exceeds its fair value, not to exceed the carrying value of goodwill. We consider each of our operating segments to be reporting units. We estimate the fair value of our reporting units using the income approach, which is based on a discounted cash flow analysis and calculate the fair value of reporting units by estimating after-tax cash flows discounted using a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cost of sales, payroll expense growth rate and other store expenses growth rate. These assumptions are sensitive to future changes in the business profitability, changes in our business strategy and external market conditions, among other factors. A decrease to the long term revenue growth rate assumption or an increase to the expense growth rate assumptions could require us to record goodwill impairment charges.</w:t>
      </w:r>
    </w:p>
    <w:p>
      <w:pPr>
        <w:spacing w:after="0" w:line="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and estimated fair value.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relief-from-royalty method to estimate fair value of our trademarks and tradenames, which involves estimating a royalty rate based on comparable licensing arrangements, applying that rate to the revenue projections for the subject asset, and then estimating fair value using a discounted cash flow analysis. We record an impairment charge as the excess of carrying value over estimated fair value.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See Note 3. “Goodwill and Intangible Assets” for further detail on impairment of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an investment in a private start-up company whose principal business is licensing software to eyeglass retailers. The carrying value of our equity method investment is $0 as of the end of the fiscal year 2020. See Note 10. “Equity in Net Assets of Non-Consolidated Investee,” for further discussion relating to this investment.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 (Non-Recurring Basis)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Non-financial assets such as P&amp;E,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 and Loan Discounts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in connection with long-term debt which are paid directly to the Company’s lenders and to third parties are presented as reductions to our long-term debt balance, except for the costs related to our revolving credit facility (the “Revolving Credit Facility”) which are presented as assets. These costs are amortized over the term of the related financing agreement and included in interest expense in the accompanying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Self-insurance liabilities are recorded in Other payables and accrued expenses (current portion) and Other liabilities (non-current portion) on an undiscounted basis in the accompanying consolidated balance sheets.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reinsure worker’s compensation and medical claims above our retention levels with a highly rated financial institution that can be expected to fully perform under the terms of the arrangement. Estimated recoveries from reinsurance in the amount of $1.1 million (current portion) are included in Prepaid expenses and other current assets for both fiscal year end 2020 and fiscal year end 2019, and Other assets in the amounts of $2.3 million and $2.4 million (non-current portion) as of fiscal year end 2020 and fiscal year end 2019, respectively, in the accompanying consolidated balance sheets. The accrued obligation for self-insurance programs was $8.7 million and $8.4 million (current portion) and $7.0 million and $7.3 million (non-current portion) as of fiscal year end 2020 and fiscal year end 2019,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uses interest rate derivatives to manage the exposure of its LIBOR-based debt to fluctuations in interest rates. We designate certain of our interest rate derivatives as cash flow hedges and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was based on information that is model-driven and whose inputs were observable (Level 2 inputs). We do not hold or enter into financial instruments for trading or speculative purposes.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gain or loss resulting from fair value adjustments for highly effective cash flow hedges is recorded in Accumulated other comprehensive loss (“AOCL”) in the accompanying consolidated balance sheets until the hedged item is recognized as interest expense in the consolidated statements of operations. The gain or loss resulting from fair value adjustments of derivatives not deemed to be highly effective cash flow hedges is recognized in interest expense immediately. We perform periodic assessments of the effectiveness of our derivative contracts designated as hedges, including the possibility of counterparty default.</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do not have any credit risk-related contingent features or collateral requirements associated with our derivative contracts. See Note 14. “Interest Rate Derivatives” for further details.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hedging instruments. See Note 18. “Accumulated Other Comprehensive Loss” for details of reclassifications out of AOCL.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Product revenues include sales of prescription and non-prescription eyewear, contact lenses, related accessories to retail customers (including those covered by managed care) and sales of inventory in which our customer is another retail entity. Revenues from services and plans include eye exams, eyecare club membership fees, product protection plans (i.e. warranties) and HMO vision plan fees. Service revenue also includes fees we earn for managing certain Vision Centers and performing laboratory processing services for our legacy partner.</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range from approximately seven to 10 days; all unearned revenue at the end of a reporting period is recognized in the next fiscal period.</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Revenue is recognized net of sales taxes and returns and include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5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$7.5 million during the fiscal year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“Revenue from Contracts With Customers” for further details of our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club memberships, HMO vision plan fees, eyecare practitioner and eye exam technician payroll, taxes and benefits and optometric and other service costs. Depreciation and amortization are excluded from costs applicable to revenue and are presented separately on the accompanying consolidated statements of operations.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component of the Company’s procurement program, the Company frequently enters into contracts with its vendors that provide for payments of rebates or other allowances. These vendor payments are reflected in the carrying value of the inventory when earned or as progress is made toward earning the rebate or allowance and as a component of cost of products as the inventory is sold. Rebates that have been earned but not yet received are recognized as an increase to Accounts receivable, net or a reduction to Accounts payable, depending on the nature of the agreement with the vendor, until the rebate has been received.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includes store associate (including optician) payroll, taxes and benefits, occupancy and other store expenses, advertising and promotion, field services,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60"/>
        <w:spacing w:after="0" w:line="375" w:lineRule="auto"/>
        <w:rPr>
          <w:sz w:val="20"/>
          <w:szCs w:val="20"/>
          <w:color w:val="auto"/>
        </w:rPr>
      </w:pPr>
      <w:r>
        <w:rPr>
          <w:rFonts w:ascii="Arial" w:cs="Arial" w:eastAsia="Arial" w:hAnsi="Arial"/>
          <w:sz w:val="18"/>
          <w:szCs w:val="18"/>
          <w:color w:val="auto"/>
        </w:rPr>
        <w:t xml:space="preserve">Advertising expenses were $86.5 million, $113.3 million and $107.5 million for fiscal years 2020, 2019 and 2018, respectively. </w:t>
      </w:r>
      <w:r>
        <w:rPr>
          <w:rFonts w:ascii="Arial" w:cs="Arial" w:eastAsia="Arial" w:hAnsi="Arial"/>
          <w:sz w:val="18"/>
          <w:szCs w:val="18"/>
          <w:i w:val="1"/>
          <w:iCs w:val="1"/>
          <w:color w:val="auto"/>
        </w:rPr>
        <w:t>Leases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lease our stores, laboratories, distribution centers, and corporate offices. These leases generally have noncancelable lease terms of between 5 years and 10 years, with an option to renew for additional terms of 1 year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fixed rates on the Company’s interest rate swaps, LIBOR margins for issuers of similar credit rating to NVI and effect of collateralization.</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finance lease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measure stock-based compensation cost, which consists of grants of stock options, restricted stock units (“RSUs”), performance stock units (“PSUs”), performance stock options and restricted stock awards (“RSAs”) to associates and non-associate directors, based on the estimated grant date fair value of the awards. We recognize compensation expense for all awards over the requisite service period using a straight-line recognition method. Additionally, for awards that are subject to performance conditions, we recognize compensation expense once achievement of the conditions is considered to be probable. We account for forfeitures as they occur. See Note 5. “Stock Incentive Plan” for further details related to our stock-based compensation plans.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impairment of long-lived tangible and right of use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The cash flows used in estimating fair value were discounted using market rates from 6.3% to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 A decrease in the estimated cash flows would lead to a lower fair value measurement, as would an increase in the discount rate. These non-recurring fair value measurements are classified as Level 3 measurements in the fair value hierarchy.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impairments of $22.0 million, $8.9 million and $2.5 million in fiscal years 2020, 2019 and 2018, respectively. These impairment charges were primarily related to our long-lived tangible store assets classified as held and used, and were primarily driven by lower than projected customer sales volume in certain stores; we also considered the historical performance of the stores before the temporary store closures in response to the COVID-19 pandemic, the effect of store closures and uncertainty in store revenues over the remaining useful life of the asset group as a result of the COVID-19 pandemic. The estimated remaining fair value of the assets impaired during fiscal year 2020 was $30.6 million and the estimated remaining fair value of the assets impaired during fiscal year 2019 was $16.6 million; the estimated remaining fair values include amounts estimated at various dates during the related fiscal years. Substantially all of the remaining fair value of the impaired store assets in fiscal year 2020 represent the fair value of ROU assets.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non-store long-lived assets, including capitalized software costs in use or under development, for impairment if events or changes in circumstances indicate that the carrying value of those assets may not be recoverable. The asset impairments recognized in fiscal year 2020 includes $1.1 million related to a write-off of certain capitalized software costs that were deemed to be obsolete due to a decision to cease further development. During fiscal years 2019 and 2018 there was no impairment of non-store long-lived assets or capitalized software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for further details.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(“FASB”) issued ASU No. 2016-02,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This new guidance establishes a ROU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model that requires a lessee to record a ROU asset and a lease liability on the balance sheet for all leases with terms longer than 12 months. Leases are classified as either finance or operating, with such classification affecting the pattern of expense recognition in the statement of operations. </w:t>
      </w:r>
      <w:r>
        <w:rPr>
          <w:rFonts w:ascii="Arial" w:cs="Arial" w:eastAsia="Arial" w:hAnsi="Arial"/>
          <w:sz w:val="18"/>
          <w:szCs w:val="18"/>
          <w:color w:val="252525"/>
        </w:rPr>
        <w:t>Disclosure of</w:t>
      </w:r>
      <w:r>
        <w:rPr>
          <w:rFonts w:ascii="Arial" w:cs="Arial" w:eastAsia="Arial" w:hAnsi="Arial"/>
          <w:sz w:val="18"/>
          <w:szCs w:val="18"/>
          <w:color w:val="auto"/>
        </w:rPr>
        <w:t xml:space="preserve"> </w:t>
      </w:r>
      <w:r>
        <w:rPr>
          <w:rFonts w:ascii="Arial" w:cs="Arial" w:eastAsia="Arial" w:hAnsi="Arial"/>
          <w:sz w:val="18"/>
          <w:szCs w:val="18"/>
          <w:color w:val="252525"/>
        </w:rPr>
        <w:t>key information about leasing arrangements is also required.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2016-02, as amended, as of December 30, 2018 (the first day of fiscal year 2019), using the modified retrospective transition approach without adjusting the comparative periods presented. We elected the package of practical expedients permitted under the transition guidance within the new standard, which allowed us to carry forward historical lease classification for leases in existence as of the adoption date, to not assess whether any expired or existing contracts are leases or contain leases and to not assess whether unamortized initial direct costs for existing leases meet the definition of initial direct costs. In addition, we elected the practical expedients to not separate lease components from non-lease components and to not apply this new guidance to leases with terms of less than 12 months.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adoption, we recorded operating lease liabilities of approximately $339.6 million as of December 30, 2018. The Company treated TIAs and deferred rent of $24.3 million and $11.9 million, respectively, as of December 30,</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2018 as reductions of lease payments and prepaid rent of $5.8 million as of December 30, 2018 as an increase in lease payments used to measure ROU assets and recorded $308.5 million of lease ROU assets upon adoption. The difference between the additional lease assets and lease liabilities net of the deferred tax impact was $0.5 million, which was recorded as an adjustment to fiscal year 2019 opening retained earnings. Adoption of this new guidance did not result in significant changes to our results of operations or cash flows. See Note 8. “Leases” for additional information.</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Other Comprehensive Income. </w:t>
      </w:r>
      <w:r>
        <w:rPr>
          <w:rFonts w:ascii="Arial" w:cs="Arial" w:eastAsia="Arial" w:hAnsi="Arial"/>
          <w:sz w:val="17"/>
          <w:szCs w:val="17"/>
          <w:color w:val="auto"/>
        </w:rPr>
        <w:t>In February 2018, the FASB issued Accounting Standards Update ASU 2018-02,</w:t>
      </w:r>
      <w:r>
        <w:rPr>
          <w:rFonts w:ascii="Arial" w:cs="Arial" w:eastAsia="Arial" w:hAnsi="Arial"/>
          <w:sz w:val="17"/>
          <w:szCs w:val="17"/>
          <w:i w:val="1"/>
          <w:iCs w:val="1"/>
          <w:color w:val="auto"/>
        </w:rPr>
        <w:t xml:space="preserve"> Income Statement–Reporting Comprehensive Income (Topic 220): Reclassification of Certain Tax Effects from Accumulated Other Comprehensive Income (“ASU 2018-02”)</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allows for an optional reclassification from accumulated other comprehensive income or loss to retained earnings for stranded tax effects as a result of the newly enacted federal corporate income tax rate under the 2017 Tax Cuts and Jobs Act enacted into law on December 22, 2017 (the “Tax Legislation”). This guidance is effective for interim and annual periods beginning after December 15, 2018, with early adoption permitted. We adopted the guidance during the first quarter of fiscal year 2019, and did not reclassify the stranded income tax benefit resulting from adoption of the Tax Legislation from AOCL into earnings. There were no other impacts to the Company’s financial condition, result of operations, or cash flows.</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252525"/>
        </w:rPr>
        <w:t xml:space="preserve">Cloud Computing. </w:t>
      </w:r>
      <w:r>
        <w:rPr>
          <w:rFonts w:ascii="Arial" w:cs="Arial" w:eastAsia="Arial" w:hAnsi="Arial"/>
          <w:sz w:val="16"/>
          <w:szCs w:val="16"/>
          <w:color w:val="000000"/>
        </w:rPr>
        <w:t>In August 2018, the FASB issued ASU No. 2018-15,</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Customer’s Accounting for Implementation Costs Incurred in a Cloud Computing</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 xml:space="preserve">Arrangement That Is a Service Contract. </w:t>
      </w:r>
      <w:r>
        <w:rPr>
          <w:rFonts w:ascii="Arial" w:cs="Arial" w:eastAsia="Arial" w:hAnsi="Arial"/>
          <w:sz w:val="16"/>
          <w:szCs w:val="16"/>
          <w:color w:val="000000"/>
        </w:rPr>
        <w:t>This new guidance aligns the requirements for capitalizing implementation costs incurred in a hosting</w:t>
      </w:r>
      <w:r>
        <w:rPr>
          <w:rFonts w:ascii="Arial" w:cs="Arial" w:eastAsia="Arial" w:hAnsi="Arial"/>
          <w:sz w:val="16"/>
          <w:szCs w:val="16"/>
          <w:i w:val="1"/>
          <w:iCs w:val="1"/>
          <w:color w:val="000000"/>
        </w:rPr>
        <w:t xml:space="preserve"> </w:t>
      </w:r>
      <w:r>
        <w:rPr>
          <w:rFonts w:ascii="Arial" w:cs="Arial" w:eastAsia="Arial" w:hAnsi="Arial"/>
          <w:sz w:val="16"/>
          <w:szCs w:val="16"/>
          <w:color w:val="000000"/>
        </w:rPr>
        <w:t>arrangement that is a service contract with the requirements for capitalizing implementation costs incurred to develop or obtain internal-use software (and hosting arrangements that include an internal-use software license). We obtain a variety of software solutions and tools through cloud computing arrangements. This new guidance is effective for fiscal years beginning after December 15, 2019, and for interim periods within those fiscal years and may be adopted on a prospective or retrospective basis. We adopted the accounting standard on a prospective basis in the first quarter of 2020. The adoption of this guidance did not have a material impact on the Company’s financial condition, results of operations, or cash flows.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requires an 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2016-13 as of December 29, 2019 (the first day of fiscal year 2020), using the modified retrospective approach without adjusting the comparative periods presented. Upon adoption, the Company recorded a $0.7 million increase to the allowance for credit losses as a result of increases in our allowance for credit losses of notes receivable. Refer to Note 11. “Equity in Assets of Non-Consolidated Investee” for more information on our non-consolidated investee’s secured convertible promissory note. After adjusting for deferred taxes, we recorded a $0.5 million decrease in Retained earnings through a cumulative-effect adjustment. Adoption of this new guidance did not have a material impact on the Company’s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 xml:space="preserve"> Facilitation of the Effects of Reference Rate Reform on Financial Reporting </w:t>
      </w:r>
      <w:r>
        <w:rPr>
          <w:rFonts w:ascii="Arial" w:cs="Arial" w:eastAsia="Arial" w:hAnsi="Arial"/>
          <w:sz w:val="16"/>
          <w:szCs w:val="16"/>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substantial portion of our debt is subject to interest payments that are indexed to LIBOR; additionally, we are party to multiple interest rate derivatives based on LIBOR. We are currently evaluating the effect of this guidance and have not applied the provisions of this guidance during the current fiscal year.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Convertible Instruments and Contracts in an Entity’s Own Equity. </w:t>
      </w:r>
      <w:r>
        <w:rPr>
          <w:rFonts w:ascii="Arial" w:cs="Arial" w:eastAsia="Arial" w:hAnsi="Arial"/>
          <w:sz w:val="16"/>
          <w:szCs w:val="16"/>
          <w:color w:val="auto"/>
        </w:rPr>
        <w:t>In August 2020, the FASB issued ASU No. 2020-06,</w:t>
      </w:r>
      <w:r>
        <w:rPr>
          <w:rFonts w:ascii="Arial" w:cs="Arial" w:eastAsia="Arial" w:hAnsi="Arial"/>
          <w:sz w:val="16"/>
          <w:szCs w:val="16"/>
          <w:i w:val="1"/>
          <w:iCs w:val="1"/>
          <w:color w:val="auto"/>
        </w:rPr>
        <w:t xml:space="preserve">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6"/>
          <w:szCs w:val="16"/>
          <w:color w:val="auto"/>
        </w:rPr>
        <w:t>(“ASU 2020-06”). This new guidance simplifies and adds disclosure requirements for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with early adoption possible for fiscal years, and for interim periods within those fiscal years, beginning after December 15, 2020. We plan to early adopt the accounting standard in the first quarter of 2021. Upon adoption we expect this guidance to result in a reclassification of conversion feature balances from additional paid-in capital to debt and to decrease reported non-cash interest expense for the convertible senior notes (the “2025 Notes”). We currently expect the net impact of the reclassification will be an increase to long term debt of approximately $83 million, a decrease to deferred tax liabilities of approximately $19 million, a decrease to additional paid-in capital of $71 million and an increase to retained earnings of approximately $7 million on the consolidated balance sheet as of January 3, 2021. We also expect incremental reductions to interest expense in post-adoption periods compared pre-adoption periods. Ultimate decisions regarding the timing of adoption, as well as the quantification of the effects of adoption on the financial statements, are subject to further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88"/>
              </w:rPr>
              <w:t>December 28, 2019</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Trade receivables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28,405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28,635</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88"/>
              </w:rPr>
              <w:t>December 28, 2019</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55,473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65,179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62,377</w:t>
            </w:r>
          </w:p>
        </w:tc>
        <w:tc>
          <w:tcPr>
            <w:tcW w:w="0" w:type="dxa"/>
            <w:vAlign w:val="bottom"/>
          </w:tcPr>
          <w:p>
            <w:pPr>
              <w:spacing w:after="0"/>
              <w:rPr>
                <w:sz w:val="1"/>
                <w:szCs w:val="1"/>
                <w:color w:val="auto"/>
              </w:rPr>
            </w:pPr>
          </w:p>
        </w:tc>
      </w:tr>
      <w:tr>
        <w:trPr>
          <w:trHeight w:val="224"/>
        </w:trPr>
        <w:tc>
          <w:tcPr>
            <w:tcW w:w="68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111,274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0</wp:posOffset>
            </wp:positionV>
            <wp:extent cx="2820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20" w:right="420" w:firstLine="6"/>
        <w:spacing w:after="0" w:line="236" w:lineRule="auto"/>
        <w:tabs>
          <w:tab w:leader="none" w:pos="2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-188595</wp:posOffset>
            </wp:positionV>
            <wp:extent cx="2820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88"/>
              </w:rPr>
              <w:t>December 28, 2019</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Land and building</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188,593</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Information technology hardware and software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115,283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220,720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213,124</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Right of use assets under finance leases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36,437</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638,732</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(271,965)</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88"/>
              </w:rPr>
              <w:t>December 28, 2019</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Associate compensation and benefits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51,081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28,347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8,084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Litigation settlements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concessions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60" w:hanging="234"/>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CARES Act deferred employer payroll taxes in the amount of $12.8 million as of January 2, 2021.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-653415</wp:posOffset>
            </wp:positionV>
            <wp:extent cx="2820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240" w:type="dxa"/>
            <w:vAlign w:val="bottom"/>
            <w:tcBorders>
              <w:top w:val="single" w:sz="8" w:color="0000FF"/>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56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1240" w:type="dxa"/>
            <w:vAlign w:val="bottom"/>
            <w:vMerge w:val="continue"/>
          </w:tcPr>
          <w:p>
            <w:pPr>
              <w:spacing w:after="0"/>
              <w:rPr>
                <w:sz w:val="19"/>
                <w:szCs w:val="19"/>
                <w:color w:val="auto"/>
              </w:rPr>
            </w:pPr>
          </w:p>
        </w:tc>
        <w:tc>
          <w:tcPr>
            <w:tcW w:w="55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Fair value of derivative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2018, as a result of our annual goodwill impairment test, we fully impaired the remaining carrying value of goodwill at Fred Meyer and Military of $11.4 million and $3.7 million, respectively. Management lowered the revenue growth rate assumptions at Fred Meyer and Military resulting in the fair values at these reporting units to be lower than their carrying values. The lower revenue growth rate assumptions at Fred Meyer and Military were primarily the result of recent sales underperformance resulting from decreases in projected customer transaction volume.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impairment of the Company’s goodwill balances for 2020 and 2019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left="1050"/>
              <w:spacing w:after="0"/>
              <w:rPr>
                <w:sz w:val="20"/>
                <w:szCs w:val="20"/>
                <w:color w:val="auto"/>
              </w:rPr>
            </w:pPr>
            <w:r>
              <w:rPr>
                <w:rFonts w:ascii="Arial" w:cs="Arial" w:eastAsia="Arial" w:hAnsi="Arial"/>
                <w:sz w:val="18"/>
                <w:szCs w:val="18"/>
                <w:color w:val="auto"/>
                <w:w w:val="92"/>
              </w:rPr>
              <w:t>As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January 2, 2021</w:t>
            </w:r>
          </w:p>
        </w:tc>
        <w:tc>
          <w:tcPr>
            <w:tcW w:w="120" w:type="dxa"/>
            <w:vAlign w:val="bottom"/>
          </w:tcPr>
          <w:p>
            <w:pPr>
              <w:spacing w:after="0"/>
              <w:rPr>
                <w:sz w:val="19"/>
                <w:szCs w:val="19"/>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color w:val="auto"/>
              </w:rPr>
              <w:t>December 28, 2019</w:t>
            </w:r>
          </w:p>
        </w:tc>
        <w:tc>
          <w:tcPr>
            <w:tcW w:w="0" w:type="dxa"/>
            <w:vAlign w:val="bottom"/>
          </w:tcPr>
          <w:p>
            <w:pPr>
              <w:spacing w:after="0"/>
              <w:rPr>
                <w:sz w:val="1"/>
                <w:szCs w:val="1"/>
                <w:color w:val="auto"/>
              </w:rPr>
            </w:pPr>
          </w:p>
        </w:tc>
      </w:tr>
      <w:tr>
        <w:trPr>
          <w:trHeight w:val="169"/>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ind w:right="280"/>
              <w:spacing w:after="0" w:line="169" w:lineRule="exact"/>
              <w:rPr>
                <w:sz w:val="20"/>
                <w:szCs w:val="20"/>
                <w:color w:val="auto"/>
              </w:rPr>
            </w:pPr>
            <w:r>
              <w:rPr>
                <w:rFonts w:ascii="Arial" w:cs="Arial" w:eastAsia="Arial" w:hAnsi="Arial"/>
                <w:sz w:val="18"/>
                <w:szCs w:val="18"/>
                <w:color w:val="auto"/>
                <w:w w:val="90"/>
              </w:rPr>
              <w:t>Gross Carrying</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ind w:right="280"/>
              <w:spacing w:after="0" w:line="169" w:lineRule="exact"/>
              <w:rPr>
                <w:sz w:val="20"/>
                <w:szCs w:val="20"/>
                <w:color w:val="auto"/>
              </w:rPr>
            </w:pPr>
            <w:r>
              <w:rPr>
                <w:rFonts w:ascii="Arial" w:cs="Arial" w:eastAsia="Arial" w:hAnsi="Arial"/>
                <w:sz w:val="18"/>
                <w:szCs w:val="18"/>
                <w:color w:val="auto"/>
                <w:w w:val="90"/>
              </w:rPr>
              <w:t>Gross Carrying</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29"/>
        </w:trPr>
        <w:tc>
          <w:tcPr>
            <w:tcW w:w="5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Impairment</w:t>
            </w: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9"/>
                <w:szCs w:val="19"/>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Impairment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&amp; Host Segment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Legacy Segment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Besides the goodwill impairments noted above, no other intangible asset impairment was identified during fiscal years 2020,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6"/>
              </w:rPr>
              <w:t>Indefinite-lived intangible assets by major asset class are as follows:</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524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 and trade names:</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America’s Best</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200,547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200,547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Eyeglass World</w:t>
            </w:r>
          </w:p>
        </w:tc>
        <w:tc>
          <w:tcPr>
            <w:tcW w:w="1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560" w:type="dxa"/>
            <w:vAlign w:val="bottom"/>
            <w:vMerge w:val="restart"/>
          </w:tcPr>
          <w:p>
            <w:pPr>
              <w:jc w:val="right"/>
              <w:ind w:right="990"/>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2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maintain our trademarks; renewals will take place as needed.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Finite-lived, amortizing intangible assets by major asset class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1"/>
              </w:rPr>
              <w:t>As of January 2, 2021</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ind w:left="980"/>
              <w:spacing w:after="0"/>
              <w:rPr>
                <w:sz w:val="20"/>
                <w:szCs w:val="20"/>
                <w:color w:val="auto"/>
              </w:rPr>
            </w:pPr>
            <w:r>
              <w:rPr>
                <w:rFonts w:ascii="Arial" w:cs="Arial" w:eastAsia="Arial" w:hAnsi="Arial"/>
                <w:sz w:val="18"/>
                <w:szCs w:val="18"/>
                <w:color w:val="auto"/>
              </w:rPr>
              <w:t>As of December 28, 2019</w:t>
            </w:r>
          </w:p>
        </w:tc>
        <w:tc>
          <w:tcPr>
            <w:tcW w:w="0" w:type="dxa"/>
            <w:vAlign w:val="bottom"/>
          </w:tcPr>
          <w:p>
            <w:pPr>
              <w:spacing w:after="0"/>
              <w:rPr>
                <w:sz w:val="1"/>
                <w:szCs w:val="1"/>
                <w:color w:val="auto"/>
              </w:rPr>
            </w:pPr>
          </w:p>
        </w:tc>
      </w:tr>
      <w:tr>
        <w:trPr>
          <w:trHeight w:val="169"/>
        </w:trPr>
        <w:tc>
          <w:tcPr>
            <w:tcW w:w="2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gridSpan w:val="2"/>
          </w:tcPr>
          <w:p>
            <w:pPr>
              <w:jc w:val="right"/>
              <w:ind w:right="30"/>
              <w:spacing w:after="0" w:line="169" w:lineRule="exact"/>
              <w:rPr>
                <w:sz w:val="20"/>
                <w:szCs w:val="20"/>
                <w:color w:val="auto"/>
              </w:rPr>
            </w:pPr>
            <w:r>
              <w:rPr>
                <w:rFonts w:ascii="Arial" w:cs="Arial" w:eastAsia="Arial" w:hAnsi="Arial"/>
                <w:sz w:val="18"/>
                <w:szCs w:val="18"/>
                <w:color w:val="auto"/>
                <w:w w:val="94"/>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Accumulated</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94"/>
              </w:rPr>
              <w:t>Remaining Life</w:t>
            </w:r>
          </w:p>
        </w:tc>
        <w:tc>
          <w:tcPr>
            <w:tcW w:w="120" w:type="dxa"/>
            <w:vAlign w:val="bottom"/>
          </w:tcPr>
          <w:p>
            <w:pPr>
              <w:spacing w:after="0"/>
              <w:rPr>
                <w:sz w:val="14"/>
                <w:szCs w:val="14"/>
                <w:color w:val="auto"/>
              </w:rPr>
            </w:pPr>
          </w:p>
        </w:tc>
        <w:tc>
          <w:tcPr>
            <w:tcW w:w="1420" w:type="dxa"/>
            <w:vAlign w:val="bottom"/>
            <w:gridSpan w:val="3"/>
          </w:tcPr>
          <w:p>
            <w:pPr>
              <w:ind w:left="60"/>
              <w:spacing w:after="0" w:line="169" w:lineRule="exact"/>
              <w:rPr>
                <w:sz w:val="20"/>
                <w:szCs w:val="20"/>
                <w:color w:val="auto"/>
              </w:rPr>
            </w:pPr>
            <w:r>
              <w:rPr>
                <w:rFonts w:ascii="Arial" w:cs="Arial" w:eastAsia="Arial" w:hAnsi="Arial"/>
                <w:sz w:val="18"/>
                <w:szCs w:val="18"/>
                <w:color w:val="auto"/>
              </w:rPr>
              <w:t>Gross Carrying</w:t>
            </w:r>
          </w:p>
        </w:tc>
        <w:tc>
          <w:tcPr>
            <w:tcW w:w="160" w:type="dxa"/>
            <w:vAlign w:val="bottom"/>
          </w:tcPr>
          <w:p>
            <w:pPr>
              <w:spacing w:after="0"/>
              <w:rPr>
                <w:sz w:val="14"/>
                <w:szCs w:val="14"/>
                <w:color w:val="auto"/>
              </w:rPr>
            </w:pP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4"/>
              </w:rPr>
              <w:t>Accumulated</w:t>
            </w:r>
          </w:p>
        </w:tc>
        <w:tc>
          <w:tcPr>
            <w:tcW w:w="1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94"/>
              </w:rPr>
              <w:t>Remaining Life</w:t>
            </w:r>
          </w:p>
        </w:tc>
        <w:tc>
          <w:tcPr>
            <w:tcW w:w="0" w:type="dxa"/>
            <w:vAlign w:val="bottom"/>
          </w:tcPr>
          <w:p>
            <w:pPr>
              <w:spacing w:after="0"/>
              <w:rPr>
                <w:sz w:val="1"/>
                <w:szCs w:val="1"/>
                <w:color w:val="auto"/>
              </w:rPr>
            </w:pPr>
          </w:p>
        </w:tc>
      </w:tr>
      <w:tr>
        <w:trPr>
          <w:trHeight w:val="229"/>
        </w:trPr>
        <w:tc>
          <w:tcPr>
            <w:tcW w:w="2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Amortization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99"/>
              </w:rPr>
              <w:t>Amortization</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and relationships: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Legacy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40,154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34,247</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Fred Meyer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14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Customer database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extended our relationship with Walmart in fiscal year 2020. Refer to Note 16. “Segment Reporting” for more information. Our current agreement with Fred Meyer expires on December 31, 2021; we intend to maintain our intangible assets and renewals will take place as needed.</w:t>
      </w:r>
    </w:p>
    <w:p>
      <w:pPr>
        <w:spacing w:after="0" w:line="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i w:val="1"/>
                <w:i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2022</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2024</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jc w:val="right"/>
              <w:ind w:right="305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680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2, 2021</w:t>
            </w:r>
          </w:p>
        </w:tc>
        <w:tc>
          <w:tcPr>
            <w:tcW w:w="240" w:type="dxa"/>
            <w:vAlign w:val="bottom"/>
          </w:tcPr>
          <w:p>
            <w:pPr>
              <w:spacing w:after="0"/>
              <w:rPr>
                <w:sz w:val="19"/>
                <w:szCs w:val="19"/>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Term Loan, due July 18, 2024</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317,375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392,375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before debt discount</w:t>
            </w: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719,875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540,375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536,396</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525,896</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33,296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completed the issuance of the 2025 Notes, pursuant to an indenture between the Company and U.S. Bank, dated as of May 12, 2020 (the “Indenture”). The 2025 Notes were sold only to persons reasonably believed to be qualified institutional buyers in reliance on Rule 144A under the Securities Act of 1933, as amended (the “Securities Act”). The 2025 Notes will pay interest semi-annually in arrears on May 15 and November 15 of each year, commencing on November 15, 2020, at an annual rate of 2.50% and will be convertible into cash, shares of common stock or a combination of cash and shares of common stock, at our election, based on the applicable conversion rate at such time.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received proceeds from the offering of $390.9 million, net of $11.6 million in underwriter fees and other issuance costs. We used $294.3 million of the net proceeds from the offering to repay all outstanding amounts under the Revolving Credit Facility and $75.0 million to partially repay the first lien term loan in an aggregate principal amount of $420.0 million (the “Term Loan”). We intend to use the remainder of the net proceeds for general corporate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15, 2025, the 2025 Notes will be convertible at the option of the holder only under the following circumstances:</w:t>
      </w:r>
    </w:p>
    <w:p>
      <w:pPr>
        <w:spacing w:after="0" w:line="117" w:lineRule="exact"/>
        <w:rPr>
          <w:sz w:val="20"/>
          <w:szCs w:val="20"/>
          <w:color w:val="auto"/>
        </w:rPr>
      </w:pPr>
    </w:p>
    <w:p>
      <w:pPr>
        <w:jc w:val="both"/>
        <w:ind w:firstLine="8"/>
        <w:spacing w:after="0" w:line="259" w:lineRule="auto"/>
        <w:tabs>
          <w:tab w:leader="none" w:pos="2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78" w:lineRule="exact"/>
        <w:rPr>
          <w:rFonts w:ascii="Arial" w:cs="Arial" w:eastAsia="Arial" w:hAnsi="Arial"/>
          <w:sz w:val="18"/>
          <w:szCs w:val="18"/>
          <w:color w:val="auto"/>
        </w:rPr>
      </w:pPr>
    </w:p>
    <w:p>
      <w:pPr>
        <w:jc w:val="both"/>
        <w:ind w:firstLine="8"/>
        <w:spacing w:after="0" w:line="259" w:lineRule="auto"/>
        <w:tabs>
          <w:tab w:leader="none" w:pos="2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described in the Indenture;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Company calls such Notes for redemption.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February 15, 2025 until 5:00 p.m., New York City time, on the second Scheduled Trading Day (as defined in the Indenture) immediately before the maturity date, the 2025 Notes will be convertible at the option of the holder at any time.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2025 Notes will initially be convertible at a conversion rate of 32.0783 shares of common stock per $1,000 principal amount of 2025 Notes, which is equivalent to an initial conversion price of approximately $31.17 per share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common stock. The conversion rate is subject to adjustment upon certain events. The Company can choose to settle upon conversion in cash, shares or a combination. Based on the initial conversion rate, the 2025 Notes are convertible into 12.9 million shares of our common stock and we reserved for the possible issuance of 16.5 million shares, which is the maximum amount that could be issued upon conversion. As of January 2, 2021, the 2025 Notes can be converted by holders based on condition (i) above. The “if-converted value” exceeded the principal amount of the 2025 Notes by $182.3 million. See Note 15. “Earnings Per Share” for the treatment of earnings per share in relation to the 2025 Notes.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accounting guidance on embedded conversion features indexed to and settled in equity, the Company valued and bifurcated the conversion option associated with the 2025 Notes from the respective host debt instrument, which is referred to as debt discount, and initially recorded the post-tax conversion option of $73.5 million ($95.2 million pre-tax) for the 2025 Notes in stockholders’ equity. The resulting debt discount on the 2025 Notes is amortized to interest expense using the effective interest rate method over the contractual term of the 2025 Notes. The Company allocated post-tax debt issuance costs of $2.2 million ($2.7 million pre-tax) to the equity component and the remaining debt issuance costs of $8.9 million are amortized to interest expense under the effective interest rate method at 9.1% over the contractual term of the 2025 Notes. We recognized $17.3 million in interest expense for the interest coupon and amortization of debt discount and issuance costs during fiscal 2020. As of January 2, 2021, the remaining period for the unamortized debt discount balance was approximately four and a half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2019, the credit agreement, dated as of October 9, 2018 (the “Existing Credit Agreement”) was amended and restated to establish a new Term Loan of $420.0 million to repay all principal, interest fees and other amounts outstanding under the Existing Credit Agreement immediately and establish a new Revolving Credit Facility in an aggregate principal amount of $300.0 million, including a $20.0 million letter of credit sublimit. In connection with the principal repayments of our existing debt, the Company wrote off associated deferred debt issuance costs of $6.0 million and associated unamortized debt discount of $3.8 million, in the third quarter of 2019.</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17, 2020, as a precautionary measure to preserve financial flexibility during the COVID-19 pandemic, we borrowed the remaining $146.3 million in available funds under our Revolving Credit Facility. On May 5, 2020, certain of the Company’s subsidiaries entered into an agreement (the “Credit Agreement Amendment”) with the lenders to amend certain provisions of the Amended and Restated Credit Agreement, dated as of July 18, 2019 (as amended by the Credit Agreement Amendment, the “Credit Agreement”), by and among Nautilus Acquisition Holdings, Inc. (“Holdings”), National Vision, Inc. (“NVI”), the other subsidiaries of the Company party thereto, as guarantors, each lender party thereto and Bank of America, N.A., in its capacity as administrative agent and as collateral agent. Capitalized terms used but not defined herein shall have the meanings assigned to such terms in the Credit Agreement and Amendment, as applicable.</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Credit Agreement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As set forth in greater detail below, the Amendment suspends certain financial maintenance covenants contained in the Credit Agreement until testing at the end of the second fiscal quarter of 2021. Based on our current plans and management operational assumptions, we anticipate we will be in compliance with these amended covenants.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Credit Agreement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Credit Agreement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Credit Agreement Amendment NVI has agreed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Credit Agreement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Credit Agreement Amendment, the margins upon which interest is calculated for the term loans were amended to a range of 1.75% to 2.75% (for LIBOR Loans) and 0.75% to 1.75% (for ABR Loans), in each case based on NVI’s Consolidated First Lien Secured Debt to Consolidated EBITDA Ratio at such time, with such margins subject to an increase of 50 basis points in the event that either (i) the Company has not raised at least $135 million in additional proceeds from certain capital markets transactions within 30 days of the date of the Credit Agreement Amendment or (ii) Consolidated EBITDA for the most recently ended four quarters is less than $0.</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12, 2020, we fully repaid the $294.3 million outstanding under our Revolving Credit Facility and partially repaid $75 million on the Term Loan. As a result of the repayments made in 2020 and the $25.0 million principal prepayment in 2019, the Company has no additional mandatory principal payments on the Term Loan until maturity on July 18, 2024 and no amounts outstanding under the Revolving Credit Facility. The borrowing capacity remaining as of January 2, 2021 was $293.6 million due to a reduction of $6.4 million for letters of credit outstanding. As a result of the repayment of the outstanding balance on our Revolving Credit Facility, the Company reclassified a proportionate share of unamortized debt issuance costs to Other assets.</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Amendment also contains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January 2,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rPr>
              <w:t>Scheduled annual maturities of debt are as follows:</w:t>
            </w: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896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7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20" w:type="dxa"/>
            <w:vAlign w:val="bottom"/>
          </w:tcPr>
          <w:p>
            <w:pPr>
              <w:spacing w:after="0"/>
              <w:rPr>
                <w:sz w:val="19"/>
                <w:szCs w:val="19"/>
                <w:color w:val="auto"/>
              </w:rPr>
            </w:pPr>
          </w:p>
        </w:tc>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317,375</w:t>
            </w: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719,875</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provided equity-based compensation awards to its associates under three plans. 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that may be issued under the plan is 4,000,000. The plan authorizes the grant of stock options, stock appreciation rights, RSAs, RSUs, PSUs, other equity-based awards and other cash-based awards to our associates, directors, officers, consultants and advisers. The Vision Holding Corp. 2013 Amended and Restated Stock Incentive Plans provided for the issuance of stock options to directors, certain associates and consultants of Vision Holding Corp., its subsidiaries and affiliates.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awards under these plans have a contractual life of 10 years.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stock compensation expense under the Company’s plans, which is included in SG&amp;A in the accompanying statements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Fiscal Year 2020</w:t>
            </w:r>
          </w:p>
        </w:tc>
        <w:tc>
          <w:tcPr>
            <w:tcW w:w="22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Fiscal Year 2019</w:t>
            </w:r>
          </w:p>
        </w:tc>
        <w:tc>
          <w:tcPr>
            <w:tcW w:w="20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w w:val="96"/>
              </w:rPr>
              <w:t>Fiscal Year 2018</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Associate stock purchase plan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 based compensation expense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After-tax share based compensation expense</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Stock options</w:t>
            </w:r>
          </w:p>
        </w:tc>
        <w:tc>
          <w:tcPr>
            <w:tcW w:w="2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RSUs and PSUs</w:t>
            </w:r>
          </w:p>
        </w:tc>
        <w:tc>
          <w:tcPr>
            <w:tcW w:w="200" w:type="dxa"/>
            <w:vAlign w:val="bottom"/>
          </w:tcPr>
          <w:p>
            <w:pPr>
              <w:spacing w:after="0"/>
              <w:rPr>
                <w:sz w:val="24"/>
                <w:szCs w:val="24"/>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RSAs</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line="176" w:lineRule="exact"/>
              <w:rPr>
                <w:sz w:val="20"/>
                <w:szCs w:val="20"/>
                <w:color w:val="auto"/>
              </w:rPr>
            </w:pPr>
            <w:r>
              <w:rPr>
                <w:rFonts w:ascii="Arial" w:cs="Arial" w:eastAsia="Arial" w:hAnsi="Arial"/>
                <w:sz w:val="18"/>
                <w:szCs w:val="18"/>
                <w:color w:val="auto"/>
                <w:w w:val="96"/>
              </w:rPr>
              <w:t>Expected remaining weighted-average period of expense recognition (in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options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service-based stock option activity, including service-based options under the Vision Holding Corp. Amended and Restated 2013 Equity Incentive Plan, the 2014 Stock Incentive Plan, and the 2017 Omnibus Incentive Plan.</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w w:val="96"/>
              </w:rPr>
              <w:t>Number of Options</w:t>
            </w:r>
          </w:p>
        </w:tc>
        <w:tc>
          <w:tcPr>
            <w:tcW w:w="100" w:type="dxa"/>
            <w:vAlign w:val="bottom"/>
          </w:tcPr>
          <w:p>
            <w:pPr>
              <w:spacing w:after="0"/>
              <w:rPr>
                <w:sz w:val="15"/>
                <w:szCs w:val="15"/>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8"/>
                <w:szCs w:val="18"/>
                <w:color w:val="auto"/>
              </w:rPr>
              <w:t>Weighted Average</w:t>
            </w:r>
          </w:p>
        </w:tc>
        <w:tc>
          <w:tcPr>
            <w:tcW w:w="16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Remaining</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Contractual Life</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(In Thousands)</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Exercise Price ($)</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at December 28,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1,906,158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160,574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(823,685)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January 2,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1,193,986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Vested and exercisable at January 2, 2021</w:t>
            </w:r>
          </w:p>
        </w:tc>
        <w:tc>
          <w:tcPr>
            <w:tcW w:w="1580" w:type="dxa"/>
            <w:vAlign w:val="bottom"/>
          </w:tcPr>
          <w:p>
            <w:pPr>
              <w:jc w:val="right"/>
              <w:spacing w:after="0"/>
              <w:rPr>
                <w:sz w:val="20"/>
                <w:szCs w:val="20"/>
                <w:color w:val="auto"/>
              </w:rPr>
            </w:pPr>
            <w:r>
              <w:rPr>
                <w:rFonts w:ascii="Arial" w:cs="Arial" w:eastAsia="Arial" w:hAnsi="Arial"/>
                <w:sz w:val="18"/>
                <w:szCs w:val="18"/>
                <w:color w:val="auto"/>
              </w:rPr>
              <w:t>665,781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average grant date fair value of service-based options granted during fiscal years 2020 and 2019 was $13.71 and $13.67, respectively. There were no grants of service-based options during fiscal year 2018. The fair value of service-based options vested during fiscal years 2020, 2019 and 2018 was $3.3 million, $5.7 million, and $5.9 million respectively. The aggregate intrinsic value of service-based options exercised during fiscal years 2020, 2019 and 2018 was $22.5 million, $21.4 million, and $45.7 million, respectively.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service-based options was estimated using the Black-Scholes-Merton option pricing model. The following is a summary of the assumptions used in this model for service-based options: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2019</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 to 55.81%</w:t>
            </w: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 to 37.10%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Expected term range (in years)</w:t>
            </w:r>
          </w:p>
        </w:tc>
        <w:tc>
          <w:tcPr>
            <w:tcW w:w="22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5.75 to 6.50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risk-free interest rate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 to 1.13%</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to 2.94%</w:t>
            </w:r>
          </w:p>
        </w:tc>
      </w:tr>
    </w:tbl>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expected term was based on the mid-point between the weighted average time to vesting and the contractual time to maturity. Since all options granted in the 2014 Stock Incentive Plan were issued prior to the IPO, expected volatility was based on the volatility of comparable publicly traded companies. The volatility assumption subsequent to the IPO was calculated using daily closing prices of the stock. The risk free interest rate was based on the U.S. Treasury yield curve. The dividend yield was based on our expectation of not paying dividends on the common stock of NVHI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performance-based stock option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Aggregate Intrinsic</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Options</w:t>
            </w:r>
          </w:p>
        </w:tc>
        <w:tc>
          <w:tcPr>
            <w:tcW w:w="100" w:type="dxa"/>
            <w:vAlign w:val="bottom"/>
          </w:tcPr>
          <w:p>
            <w:pPr>
              <w:spacing w:after="0"/>
              <w:rPr>
                <w:sz w:val="15"/>
                <w:szCs w:val="15"/>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8"/>
                <w:szCs w:val="18"/>
                <w:color w:val="auto"/>
              </w:rPr>
              <w:t>Weighted Average</w:t>
            </w: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Remaining</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Contractual Life</w:t>
            </w: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9"/>
              </w:rPr>
              <w:t>Value (In Thousands)</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Exercise Price ($)</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December 28,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1,603,848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(705,414)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Outstanding options at January 2, 2021</w:t>
            </w:r>
          </w:p>
        </w:tc>
        <w:tc>
          <w:tcPr>
            <w:tcW w:w="1560" w:type="dxa"/>
            <w:vAlign w:val="bottom"/>
          </w:tcPr>
          <w:p>
            <w:pPr>
              <w:jc w:val="right"/>
              <w:spacing w:after="0"/>
              <w:rPr>
                <w:sz w:val="20"/>
                <w:szCs w:val="20"/>
                <w:color w:val="auto"/>
              </w:rPr>
            </w:pPr>
            <w:r>
              <w:rPr>
                <w:rFonts w:ascii="Arial" w:cs="Arial" w:eastAsia="Arial" w:hAnsi="Arial"/>
                <w:sz w:val="18"/>
                <w:szCs w:val="18"/>
                <w:color w:val="auto"/>
              </w:rPr>
              <w:t>854,956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34,018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at January 2,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854,956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no grants of performance-based options during fiscal years 2020, 2019, and 2018. The fair value of performance-based options vested during fiscal years 2020, 2019 and 2018 was $1.4 million, $4.4 million and $16.1 million, respectively. The aggregate intrinsic value of performance-based options exercised during fiscal years 2020, 2019, and 2018 was $20.0 million, $29.9 million, and $70.2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RSU, PSU and RSA awards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Weighted average</w:t>
            </w:r>
          </w:p>
        </w:tc>
        <w:tc>
          <w:tcPr>
            <w:tcW w:w="144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Weighted average</w:t>
            </w:r>
          </w:p>
        </w:tc>
        <w:tc>
          <w:tcPr>
            <w:tcW w:w="14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Weighted average</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420" w:type="dxa"/>
            <w:vAlign w:val="bottom"/>
            <w:vMerge w:val="restart"/>
          </w:tcPr>
          <w:p>
            <w:pPr>
              <w:ind w:left="520"/>
              <w:spacing w:after="0"/>
              <w:rPr>
                <w:sz w:val="20"/>
                <w:szCs w:val="20"/>
                <w:color w:val="auto"/>
              </w:rPr>
            </w:pPr>
            <w:r>
              <w:rPr>
                <w:rFonts w:ascii="Arial" w:cs="Arial" w:eastAsia="Arial" w:hAnsi="Arial"/>
                <w:sz w:val="18"/>
                <w:szCs w:val="18"/>
                <w:color w:val="auto"/>
              </w:rPr>
              <w:t>RSUs</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grant date fair</w:t>
            </w:r>
          </w:p>
        </w:tc>
        <w:tc>
          <w:tcPr>
            <w:tcW w:w="1440" w:type="dxa"/>
            <w:vAlign w:val="bottom"/>
            <w:vMerge w:val="restart"/>
          </w:tcPr>
          <w:p>
            <w:pPr>
              <w:jc w:val="right"/>
              <w:ind w:right="430"/>
              <w:spacing w:after="0"/>
              <w:rPr>
                <w:sz w:val="20"/>
                <w:szCs w:val="20"/>
                <w:color w:val="auto"/>
              </w:rPr>
            </w:pPr>
            <w:r>
              <w:rPr>
                <w:rFonts w:ascii="Arial" w:cs="Arial" w:eastAsia="Arial" w:hAnsi="Arial"/>
                <w:sz w:val="18"/>
                <w:szCs w:val="18"/>
                <w:color w:val="auto"/>
              </w:rPr>
              <w:t>PSUs</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grant date fair</w:t>
            </w:r>
          </w:p>
        </w:tc>
        <w:tc>
          <w:tcPr>
            <w:tcW w:w="1440" w:type="dxa"/>
            <w:vAlign w:val="bottom"/>
            <w:vMerge w:val="restart"/>
          </w:tcPr>
          <w:p>
            <w:pPr>
              <w:jc w:val="right"/>
              <w:ind w:right="410"/>
              <w:spacing w:after="0"/>
              <w:rPr>
                <w:sz w:val="20"/>
                <w:szCs w:val="20"/>
                <w:color w:val="auto"/>
              </w:rPr>
            </w:pPr>
            <w:r>
              <w:rPr>
                <w:rFonts w:ascii="Arial" w:cs="Arial" w:eastAsia="Arial" w:hAnsi="Arial"/>
                <w:sz w:val="18"/>
                <w:szCs w:val="18"/>
                <w:color w:val="auto"/>
              </w:rPr>
              <w:t>RSAs</w:t>
            </w: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1"/>
              </w:rPr>
              <w:t>grant date fair</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value ($)</w:t>
            </w:r>
          </w:p>
        </w:tc>
        <w:tc>
          <w:tcPr>
            <w:tcW w:w="1440" w:type="dxa"/>
            <w:vAlign w:val="bottom"/>
            <w:vMerge w:val="continue"/>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value ($)</w:t>
            </w:r>
          </w:p>
        </w:tc>
        <w:tc>
          <w:tcPr>
            <w:tcW w:w="1440" w:type="dxa"/>
            <w:vAlign w:val="bottom"/>
            <w:vMerge w:val="continue"/>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value ($)</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Outstanding at December 28,</w:t>
            </w:r>
          </w:p>
        </w:tc>
        <w:tc>
          <w:tcPr>
            <w:tcW w:w="1420" w:type="dxa"/>
            <w:vAlign w:val="bottom"/>
            <w:tcBorders>
              <w:top w:val="single" w:sz="8" w:color="auto"/>
            </w:tcBorders>
            <w:vMerge w:val="restart"/>
            <w:shd w:val="clear" w:color="auto" w:fill="CCEEFF"/>
          </w:tcPr>
          <w:p>
            <w:pPr>
              <w:ind w:left="760"/>
              <w:spacing w:after="0"/>
              <w:rPr>
                <w:sz w:val="20"/>
                <w:szCs w:val="20"/>
                <w:color w:val="auto"/>
              </w:rPr>
            </w:pPr>
            <w:r>
              <w:rPr>
                <w:rFonts w:ascii="Arial" w:cs="Arial" w:eastAsia="Arial" w:hAnsi="Arial"/>
                <w:sz w:val="18"/>
                <w:szCs w:val="18"/>
                <w:color w:val="auto"/>
                <w:w w:val="98"/>
              </w:rPr>
              <w:t>376,145</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113,014</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2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ind w:left="760"/>
              <w:spacing w:after="0"/>
              <w:rPr>
                <w:sz w:val="20"/>
                <w:szCs w:val="20"/>
                <w:color w:val="auto"/>
              </w:rPr>
            </w:pPr>
            <w:r>
              <w:rPr>
                <w:rFonts w:ascii="Arial" w:cs="Arial" w:eastAsia="Arial" w:hAnsi="Arial"/>
                <w:sz w:val="18"/>
                <w:szCs w:val="18"/>
                <w:color w:val="auto"/>
                <w:w w:val="98"/>
              </w:rPr>
              <w:t>162,468</w:t>
            </w:r>
          </w:p>
        </w:tc>
        <w:tc>
          <w:tcPr>
            <w:tcW w:w="144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125,387</w:t>
            </w:r>
          </w:p>
        </w:tc>
        <w:tc>
          <w:tcPr>
            <w:tcW w:w="144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19,583</w:t>
            </w:r>
          </w:p>
        </w:tc>
        <w:tc>
          <w:tcPr>
            <w:tcW w:w="1460" w:type="dxa"/>
            <w:vAlign w:val="bottom"/>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(52,466)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2"/>
              </w:rPr>
              <w:t>(31,656)</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(18,217)</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Outstanding at January 2, 2021</w:t>
            </w:r>
          </w:p>
        </w:tc>
        <w:tc>
          <w:tcPr>
            <w:tcW w:w="14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8"/>
              </w:rPr>
              <w:t>454,491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220,184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years 2020 and 2019, we granted 162,468 and 373,082 shares of RSUs, respectively. RSUs include 11,233 RSUs that vest in two equal installments on the first and second anniversaries of the grant date, 216,400 RSUs that vest in three equal installments on the first, second and third anniversaries of the grant date, and 226,858 RSUs that vest in three installments on the second, third and fourth anniversaries of the grant date. The RSUs outstanding as of January 2, 2021 have $20.6 million intrinsic value and remaining weighted average requisite service period of 2.36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2020 and 2019, we granted an aggregate of 125,387 and 116,046 PSUs, respectively. The PSUs granted in fiscal 2020 and 2019 are settled after the end of the performance period (i.e., cliff vesting), which begins on the first day of the grant year and ends on the last day of our fiscal years 2022 and 2021, respectively and are based on the Company’s achievement of certain performance targets. The performance stock units outstanding as of January 2, 2021 have $10.0 million intrinsic value and remaining weighted average requisite service period of 1.75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(RSAs)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years 2020 and 2019, we granted an aggregate of 19,583 and 13,712 RSAs, respectively, to certain directors. These RSAs outstanding include 2,399 awards that vest proportionally over three years and 19,583 awards that vest one year from grant date. As of fiscal year end 2020, the intrinsic value of the awards was $1.0 million, the remaining requisite service period was 0.50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 Stock Purchase Plan (ASPP)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ASPP, eligible associates receive a 10% discount from the market trading value of common stock of the Company at the time of purchase. Participants may contribute to the ASPP, not to exceed $25,000 under the ASPP in any calendar year. As of January 2, 2021, the amount of shares held by eligible participants through the ASPP was not material.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6. Income taxes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5960" w:type="dxa"/>
            <w:vAlign w:val="bottom"/>
          </w:tcPr>
          <w:p>
            <w:pPr>
              <w:spacing w:after="0"/>
              <w:rPr>
                <w:sz w:val="20"/>
                <w:szCs w:val="20"/>
                <w:color w:val="auto"/>
              </w:rPr>
            </w:pPr>
            <w:r>
              <w:rPr>
                <w:rFonts w:ascii="Arial" w:cs="Arial" w:eastAsia="Arial" w:hAnsi="Arial"/>
                <w:sz w:val="18"/>
                <w:szCs w:val="18"/>
                <w:color w:val="auto"/>
              </w:rPr>
              <w:t>The income tax provision (benefit) consists of:</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5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0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Deferred income tax:</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r>
      <w:tr>
        <w:trPr>
          <w:trHeight w:val="229"/>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income tax provision (benefit) differs from the amounts computed by multiplying earnings before income taxes by the statutory federal income tax rate as shown in the following table: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Fiscal Year 2020</w:t>
            </w:r>
          </w:p>
        </w:tc>
        <w:tc>
          <w:tcPr>
            <w:tcW w:w="1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Fiscal Year 2019</w:t>
            </w:r>
          </w:p>
        </w:tc>
        <w:tc>
          <w:tcPr>
            <w:tcW w:w="18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w w:val="94"/>
              </w:rPr>
              <w:t>Fiscal Year 2018</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State income tax provision, net of federal income tax</w:t>
            </w:r>
          </w:p>
        </w:tc>
        <w:tc>
          <w:tcPr>
            <w:tcW w:w="18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tax asset valuation allowance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equity-based compensation deductions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(25,544)</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(18,785)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income tax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6.2 %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 Staff Accounting Bulletin No. 118, Income Tax Accounting Implications of the Tax Legislation, the Company recognized provisional effects of the enactment of the 2017 Tax Legislation for which measurement could be reasonably estimated as of fiscal year end 2018. As of fiscal year end 2018, the Company recorded adjustments to the provisional estimates related to depreciation expense. The adjustments to the provisional estimates of December 30, 2017 did not materially impact the effective tax rate of the Company during fiscal year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7"/>
                <w:szCs w:val="17"/>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As of</w:t>
            </w:r>
          </w:p>
        </w:tc>
        <w:tc>
          <w:tcPr>
            <w:tcW w:w="320" w:type="dxa"/>
            <w:vAlign w:val="bottom"/>
          </w:tcPr>
          <w:p>
            <w:pPr>
              <w:spacing w:after="0"/>
              <w:rPr>
                <w:sz w:val="17"/>
                <w:szCs w:val="17"/>
                <w:color w:val="auto"/>
              </w:rPr>
            </w:pPr>
          </w:p>
        </w:tc>
        <w:tc>
          <w:tcPr>
            <w:tcW w:w="2140" w:type="dxa"/>
            <w:vAlign w:val="bottom"/>
          </w:tcPr>
          <w:p>
            <w:pPr>
              <w:jc w:val="right"/>
              <w:ind w:right="9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59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January 2, 2021</w:t>
            </w:r>
          </w:p>
        </w:tc>
        <w:tc>
          <w:tcPr>
            <w:tcW w:w="320" w:type="dxa"/>
            <w:vAlign w:val="bottom"/>
          </w:tcPr>
          <w:p>
            <w:pPr>
              <w:spacing w:after="0"/>
              <w:rPr>
                <w:sz w:val="19"/>
                <w:szCs w:val="19"/>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December 28, 2019</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NOL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10,841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interest expense carry-forwards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AMT payment and employment credits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Accrued expenses and reserves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equity and other investments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Stock option compensation</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on hedging instruments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48,027</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deferred tax assets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44,322</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(73,590)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(74,529)</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debt discount</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fiscal year end 2020, we had available U.S. federal NOL carry-forwards aggregating to $46.9 million that can be utilized to reduce future federal income taxes. The Company has $44.5 million of carry-forward losses that do not expire and $0.8 million of carry-forward losses expiring at the end of fiscal year 2037, respectively. In addition, we have NOL carry-forwards in varying amounts and with varying expiration dates in various states in which we operate. We believe it is more likely than not that we will realize a tax benefit for these NOL’s in the future except for $4.2 million of NOL carry-forwards on our professional corporations where we recognized a full valuation allowance as of fiscal year end 2020. As of fiscal year end 2020, the Company has gross deferred tax assets of $100.8 million related to operating lease liabilities and gross deferred tax liabilities of $86.3 million related to ROU assets. These amounts are presented net in Other deferred tax assets as of fiscal year end 2020.</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fiscal year end 2020, previously reported Federal AMT carry-forward credits of $1.3 million were requested to be refunded in accordance with the CARES Act. Non-expiring federal and state AMT carry-forward credits and employment credits totaling $3.5 million are available to offset certain future taxes.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$1.9 million deferred income tax asset on losses associated with our equity method non-consolidated investee and a $0.2 million deferred income tax asset for capital losses associated with the impairment of an investment recorded during fiscal year 2018. We do not expect to generate significant capital gains from these investments, or other sources, in the near future. Therefore, we believe it is more likely than not that we will not realize a tax benefit for the majority of these deferred income tax assets, and accordingly we have established a full valuation allowance for the amount deemed unrealizable.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utilization of NOL carry-forwards to reduce or eliminate subsequent years’ tax obligations, our federal and a substantial number of our state income tax returns for fiscal years 2001 through 2020 remain open for examination by the tax authorities.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w:t>
      </w:r>
    </w:p>
    <w:p>
      <w:pPr>
        <w:spacing w:after="0" w:line="2" w:lineRule="exact"/>
        <w:rPr>
          <w:sz w:val="20"/>
          <w:szCs w:val="20"/>
          <w:color w:val="auto"/>
        </w:rPr>
      </w:pPr>
    </w:p>
    <w:p>
      <w:pPr>
        <w:jc w:val="both"/>
        <w:ind w:right="20" w:firstLine="8"/>
        <w:spacing w:after="0" w:line="277" w:lineRule="auto"/>
        <w:tabs>
          <w:tab w:leader="none" w:pos="199"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sales of prescription and non-prescription eyewear, contact lenses and related accessories to retail customers in transactions where the retail customer uses a managed-care payor; and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&amp;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are recognized at the point of sale which occurs immediately after the exam is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our non-reportable Corporate/Other segment are attributable to wholly owned subsidiaries AC Lens and FirstSight Vision Services Inc. (“FirstSight”). AC Lens sells contact lenses and optical accessory products to retail customers through e-commerce, and recognizes revenue when products have been delivered to the customer. AC Lens also distributes contact lenses at its cost to Walmart and Sam’s Club under fee for services arrangements. This revenue is recorded on a gross basis as AC Lens is the principal in the arrangement since AC Lens controls the products in those transactions before the products are transferred to the customer.</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FirstSight issues individual vision plans in connection with our America’s Best operations in California, and provides or arranges for the provision of optometric services at certain optometric offices next to Walmart and Sam’s Club stores in California.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Within our Owned &amp; Host segment, services and plans revenues include revenues from product protection plans (i.e. warranties), eyecare club memberships and HMO vision plan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We offer three- or five-year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because our right to payment corresponds directly with the value of the management services provided to our legacy partner.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revenues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1"/>
              </w:rPr>
              <w:t>Fiscal Year 2018</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1,578,379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1,397,801</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139,053</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16.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The following table summarizes the activity of allowance for expected credit losses for the fiscal year end 2020.</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Fiscal Year 2020</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December 28, 2019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Current-period provision for expected credit losses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r>
      <w:tr>
        <w:trPr>
          <w:trHeight w:val="248"/>
        </w:trPr>
        <w:tc>
          <w:tcPr>
            <w:tcW w:w="8980" w:type="dxa"/>
            <w:vAlign w:val="bottom"/>
          </w:tcPr>
          <w:p>
            <w:pPr>
              <w:ind w:left="20"/>
              <w:spacing w:after="0"/>
              <w:rPr>
                <w:sz w:val="20"/>
                <w:szCs w:val="20"/>
                <w:color w:val="auto"/>
              </w:rPr>
            </w:pPr>
            <w:r>
              <w:rPr>
                <w:rFonts w:ascii="Arial" w:cs="Arial" w:eastAsia="Arial" w:hAnsi="Arial"/>
                <w:sz w:val="18"/>
                <w:szCs w:val="18"/>
                <w:color w:val="auto"/>
              </w:rPr>
              <w:t>Ending balance as of January 2, 2021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20" w:firstLine="6"/>
        <w:spacing w:after="0" w:line="218" w:lineRule="auto"/>
        <w:tabs>
          <w:tab w:leader="none" w:pos="170" w:val="left"/>
        </w:tabs>
        <w:numPr>
          <w:ilvl w:val="0"/>
          <w:numId w:val="41"/>
        </w:numPr>
        <w:rPr>
          <w:rFonts w:ascii="Arial" w:cs="Arial" w:eastAsia="Arial" w:hAnsi="Arial"/>
          <w:sz w:val="17"/>
          <w:szCs w:val="17"/>
          <w:color w:val="auto"/>
          <w:vertAlign w:val="superscript"/>
        </w:rPr>
      </w:pPr>
      <w:r>
        <w:rPr>
          <w:rFonts w:ascii="Arial" w:cs="Arial" w:eastAsia="Arial" w:hAnsi="Arial"/>
          <w:sz w:val="13"/>
          <w:szCs w:val="13"/>
          <w:color w:val="auto"/>
        </w:rPr>
        <w:t>As part of our adoption of ASU 2016-13, we adjusted the allowance for certain amounts recognized in prior periods that no longer represented an allowance for credit losses. The adjustment was immaterial to the financial results of current and prior periods. See Note 2. “Details of Certain Balance Sheet Accounts”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14319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lease arrangements frequently include TIAs, which are contractual amounts received from a lessor for improvements made to leased properties by the Company. For operating leases, TIAs are treated as a reduction of the lease payments used to measure the ROU assets in the accompanying consolidated balance sheet as of fiscal year 2020 and are amortized as a reduction in rental expense over the life of the respective leases.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rent or sublease certain parts of our stores to third parties. Our sublease portfolio consists mainly of operating leases with our ophthalmologists and optometrists within our stores.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began seeking relief from our landlords while our stores were temporarily closed to the public. On April 10, 2020, the Financial Accounting Standards Board staff issued a question-and-answer document providing guidance for lease concessions provided to lessees in response to the effects of COVID-19. Such guidance allows lessees to make an election to account for lease concessions as though the enforceable rights and obligations existed in the original lease. This election is only available when the concessions do not result in a substantial increase in the obligations of the lessee.</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of 2020, we reached rent concession agreements where certain of these concession arrangements included lease payment and term extensions between three and 12 months. The Company has elected to account for lease concessions and deferrals resulting directly from the COVID-19 pandemic as though the enforceable rights and obligations to the deferrals existed in the respective contracts at lease inception and will not account for the concessions as lease modifications, unless the concession results in a substantial increase in the Company’s obligations. The majority of leases where we received a concession did not result in a substantial increase in our obligations. Lease concessions of $3.1 million were recorded in Other payables and accrued expenses as of January 2, 2021. See Note 2. “Details of Certain Balance Sheet Accounts” for further details.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280" w:type="dxa"/>
            <w:vAlign w:val="bottom"/>
          </w:tcPr>
          <w:p>
            <w:pPr>
              <w:spacing w:after="0"/>
              <w:rPr>
                <w:sz w:val="17"/>
                <w:szCs w:val="17"/>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124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January 2, 2021</w:t>
            </w:r>
          </w:p>
        </w:tc>
        <w:tc>
          <w:tcPr>
            <w:tcW w:w="280" w:type="dxa"/>
            <w:vAlign w:val="bottom"/>
          </w:tcPr>
          <w:p>
            <w:pPr>
              <w:spacing w:after="0"/>
              <w:rPr>
                <w:sz w:val="19"/>
                <w:szCs w:val="19"/>
                <w:color w:val="auto"/>
              </w:rPr>
            </w:pPr>
          </w:p>
        </w:tc>
        <w:tc>
          <w:tcPr>
            <w:tcW w:w="2100" w:type="dxa"/>
            <w:vAlign w:val="bottom"/>
          </w:tcPr>
          <w:p>
            <w:pPr>
              <w:jc w:val="right"/>
              <w:ind w:right="390"/>
              <w:spacing w:after="0"/>
              <w:rPr>
                <w:sz w:val="20"/>
                <w:szCs w:val="20"/>
                <w:color w:val="auto"/>
              </w:rPr>
            </w:pPr>
            <w:r>
              <w:rPr>
                <w:rFonts w:ascii="Arial" w:cs="Arial" w:eastAsia="Arial" w:hAnsi="Arial"/>
                <w:sz w:val="18"/>
                <w:szCs w:val="18"/>
                <w:color w:val="auto"/>
              </w:rPr>
              <w:t>December 28, 2019</w:t>
            </w:r>
          </w:p>
        </w:tc>
        <w:tc>
          <w:tcPr>
            <w:tcW w:w="0" w:type="dxa"/>
            <w:vAlign w:val="bottom"/>
          </w:tcPr>
          <w:p>
            <w:pPr>
              <w:spacing w:after="0"/>
              <w:rPr>
                <w:sz w:val="1"/>
                <w:szCs w:val="1"/>
                <w:color w:val="auto"/>
              </w:rPr>
            </w:pPr>
          </w:p>
        </w:tc>
      </w:tr>
      <w:tr>
        <w:trPr>
          <w:trHeight w:val="210"/>
        </w:trPr>
        <w:tc>
          <w:tcPr>
            <w:tcW w:w="1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5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Classification</w:t>
            </w:r>
          </w:p>
        </w:tc>
        <w:tc>
          <w:tcPr>
            <w:tcW w:w="38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20" w:type="dxa"/>
            <w:vAlign w:val="bottom"/>
          </w:tcPr>
          <w:p>
            <w:pPr>
              <w:ind w:left="28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5120" w:type="dxa"/>
            <w:vAlign w:val="bottom"/>
            <w:shd w:val="clear" w:color="auto" w:fill="CCEEFF"/>
          </w:tcPr>
          <w:p>
            <w:pPr>
              <w:ind w:left="28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w:t>
            </w:r>
          </w:p>
        </w:tc>
        <w:tc>
          <w:tcPr>
            <w:tcW w:w="5120" w:type="dxa"/>
            <w:vAlign w:val="bottom"/>
            <w:tcBorders>
              <w:bottom w:val="single" w:sz="8" w:color="CCEEFF"/>
            </w:tcBorders>
          </w:tcPr>
          <w:p>
            <w:pPr>
              <w:ind w:left="280"/>
              <w:spacing w:after="0" w:line="23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3"/>
                <w:szCs w:val="23"/>
                <w:color w:val="auto"/>
                <w:vertAlign w:val="superscript"/>
              </w:rPr>
              <w:t>(b)</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leased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376,218</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40" w:type="dxa"/>
            <w:vAlign w:val="bottom"/>
          </w:tcPr>
          <w:p>
            <w:pPr>
              <w:spacing w:after="0"/>
              <w:rPr>
                <w:sz w:val="15"/>
                <w:szCs w:val="15"/>
                <w:color w:val="auto"/>
              </w:rPr>
            </w:pPr>
          </w:p>
        </w:tc>
        <w:tc>
          <w:tcPr>
            <w:tcW w:w="5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Finance</w:t>
            </w:r>
          </w:p>
        </w:tc>
        <w:tc>
          <w:tcPr>
            <w:tcW w:w="5120" w:type="dxa"/>
            <w:vAlign w:val="bottom"/>
          </w:tcPr>
          <w:p>
            <w:pPr>
              <w:ind w:left="280"/>
              <w:spacing w:after="0" w:line="176" w:lineRule="exact"/>
              <w:rPr>
                <w:sz w:val="20"/>
                <w:szCs w:val="20"/>
                <w:color w:val="auto"/>
              </w:rPr>
            </w:pPr>
            <w:r>
              <w:rPr>
                <w:rFonts w:ascii="Arial" w:cs="Arial" w:eastAsia="Arial" w:hAnsi="Arial"/>
                <w:sz w:val="18"/>
                <w:szCs w:val="18"/>
                <w:color w:val="auto"/>
              </w:rPr>
              <w:t>Current maturities of long-term debt and finance lease</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vMerge w:val="restart"/>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1240" w:type="dxa"/>
            <w:vAlign w:val="bottom"/>
            <w:vMerge w:val="continue"/>
          </w:tcPr>
          <w:p>
            <w:pPr>
              <w:spacing w:after="0"/>
              <w:rPr>
                <w:sz w:val="19"/>
                <w:szCs w:val="19"/>
                <w:color w:val="auto"/>
              </w:rPr>
            </w:pPr>
          </w:p>
        </w:tc>
        <w:tc>
          <w:tcPr>
            <w:tcW w:w="5120" w:type="dxa"/>
            <w:vAlign w:val="bottom"/>
          </w:tcPr>
          <w:p>
            <w:pPr>
              <w:ind w:left="280"/>
              <w:spacing w:after="0"/>
              <w:rPr>
                <w:sz w:val="20"/>
                <w:szCs w:val="20"/>
                <w:color w:val="auto"/>
              </w:rPr>
            </w:pPr>
            <w:r>
              <w:rPr>
                <w:rFonts w:ascii="Arial" w:cs="Arial" w:eastAsia="Arial" w:hAnsi="Arial"/>
                <w:sz w:val="18"/>
                <w:szCs w:val="18"/>
                <w:color w:val="auto"/>
              </w:rPr>
              <w:t>obligations</w:t>
            </w:r>
          </w:p>
        </w:tc>
        <w:tc>
          <w:tcPr>
            <w:tcW w:w="38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5120" w:type="dxa"/>
            <w:vAlign w:val="bottom"/>
            <w:shd w:val="clear" w:color="auto" w:fill="CCEEFF"/>
          </w:tcPr>
          <w:p>
            <w:pPr>
              <w:ind w:left="280"/>
              <w:spacing w:after="0" w:line="23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3"/>
                <w:szCs w:val="23"/>
                <w:color w:val="auto"/>
                <w:vertAlign w:val="superscript"/>
              </w:rPr>
              <w:t>(c)</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20" w:type="dxa"/>
            <w:vAlign w:val="bottom"/>
          </w:tcPr>
          <w:p>
            <w:pPr>
              <w:ind w:left="280"/>
              <w:spacing w:after="0"/>
              <w:rPr>
                <w:sz w:val="20"/>
                <w:szCs w:val="20"/>
                <w:color w:val="auto"/>
              </w:rPr>
            </w:pPr>
            <w:r>
              <w:rPr>
                <w:rFonts w:ascii="Arial" w:cs="Arial" w:eastAsia="Arial" w:hAnsi="Arial"/>
                <w:sz w:val="18"/>
                <w:szCs w:val="18"/>
                <w:b w:val="1"/>
                <w:bCs w:val="1"/>
                <w:color w:val="auto"/>
              </w:rPr>
              <w:t>Other non-current liabilities: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51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Long-term debt and finance lease obligations, less current</w:t>
            </w:r>
          </w:p>
        </w:tc>
        <w:tc>
          <w:tcPr>
            <w:tcW w:w="380" w:type="dxa"/>
            <w:vAlign w:val="bottom"/>
            <w:shd w:val="clear" w:color="auto" w:fill="CCEEFF"/>
          </w:tcPr>
          <w:p>
            <w:pPr>
              <w:spacing w:after="0"/>
              <w:rPr>
                <w:sz w:val="15"/>
                <w:szCs w:val="15"/>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portion and debt discount</w:t>
            </w:r>
          </w:p>
        </w:tc>
        <w:tc>
          <w:tcPr>
            <w:tcW w:w="38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w:t>
            </w:r>
          </w:p>
        </w:tc>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Non-current operating lease obligations</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417,002</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right="260"/>
        <w:spacing w:after="0" w:line="236"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$12.4 million and $8.3 million as of January 2, 2021 and December 28, 2019, respectively.</w:t>
      </w:r>
    </w:p>
    <w:p>
      <w:pPr>
        <w:spacing w:after="0" w:line="1" w:lineRule="exact"/>
        <w:rPr>
          <w:rFonts w:ascii="Arial" w:cs="Arial" w:eastAsia="Arial" w:hAnsi="Arial"/>
          <w:sz w:val="14"/>
          <w:szCs w:val="14"/>
          <w:color w:val="auto"/>
        </w:rPr>
      </w:pPr>
    </w:p>
    <w:p>
      <w:pPr>
        <w:ind w:firstLine="8"/>
        <w:spacing w:after="0" w:line="260" w:lineRule="auto"/>
        <w:tabs>
          <w:tab w:leader="none" w:pos="209" w:val="left"/>
        </w:tabs>
        <w:numPr>
          <w:ilvl w:val="0"/>
          <w:numId w:val="42"/>
        </w:numPr>
        <w:rPr>
          <w:rFonts w:ascii="Arial" w:cs="Arial" w:eastAsia="Arial" w:hAnsi="Arial"/>
          <w:sz w:val="13"/>
          <w:szCs w:val="13"/>
          <w:color w:val="auto"/>
        </w:rPr>
      </w:pPr>
      <w:r>
        <w:rPr>
          <w:rFonts w:ascii="Arial" w:cs="Arial" w:eastAsia="Arial" w:hAnsi="Arial"/>
          <w:sz w:val="13"/>
          <w:szCs w:val="13"/>
          <w:color w:val="auto"/>
        </w:rPr>
        <w:t>TIA of $36.0 million and $35.2 million are treated as reductions of lease payments used to measure ROU assets as of January 2, 2021 and December 28, 2019, respectively. Deferred rent of $17.5 million and $15.0 million are treated as reductions of lease payments used to measure ROU assets as of January 2, 2021 and December 28, 2019, respectively.</w:t>
      </w:r>
    </w:p>
    <w:p>
      <w:pPr>
        <w:ind w:left="200" w:hanging="192"/>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$3.8 million and $5.9 million as of January 2, 2021 and December 28, 2019,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78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4"/>
                <w:szCs w:val="24"/>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2020</w:t>
            </w:r>
          </w:p>
        </w:tc>
        <w:tc>
          <w:tcPr>
            <w:tcW w:w="340" w:type="dxa"/>
            <w:vAlign w:val="bottom"/>
          </w:tcPr>
          <w:p>
            <w:pPr>
              <w:spacing w:after="0"/>
              <w:rPr>
                <w:sz w:val="24"/>
                <w:szCs w:val="24"/>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2019</w:t>
            </w: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6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79,387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73,971</w:t>
            </w: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26,466</w:t>
            </w:r>
          </w:p>
        </w:tc>
      </w:tr>
      <w:tr>
        <w:trPr>
          <w:trHeight w:val="229"/>
        </w:trPr>
        <w:tc>
          <w:tcPr>
            <w:tcW w:w="6380" w:type="dxa"/>
            <w:vAlign w:val="bottom"/>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57"/>
        </w:trPr>
        <w:tc>
          <w:tcPr>
            <w:tcW w:w="6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finance lease assets</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r>
      <w:tr>
        <w:trPr>
          <w:trHeight w:val="257"/>
        </w:trPr>
        <w:tc>
          <w:tcPr>
            <w:tcW w:w="6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 net: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Interest on finance lease liabilities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3,573</w:t>
            </w:r>
          </w:p>
        </w:tc>
      </w:tr>
      <w:tr>
        <w:trPr>
          <w:trHeight w:val="270"/>
        </w:trPr>
        <w:tc>
          <w:tcPr>
            <w:tcW w:w="63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spacing w:after="0"/>
              <w:rPr>
                <w:sz w:val="23"/>
                <w:szCs w:val="23"/>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105,498</w:t>
            </w:r>
          </w:p>
        </w:tc>
      </w:tr>
    </w:tbl>
    <w:p>
      <w:pPr>
        <w:spacing w:after="0" w:line="8" w:lineRule="exact"/>
        <w:rPr>
          <w:sz w:val="20"/>
          <w:szCs w:val="20"/>
          <w:color w:val="auto"/>
        </w:rPr>
      </w:pPr>
    </w:p>
    <w:p>
      <w:pPr>
        <w:ind w:left="260" w:hanging="234"/>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41" w:lineRule="exact"/>
        <w:rPr>
          <w:rFonts w:ascii="Arial" w:cs="Arial" w:eastAsia="Arial" w:hAnsi="Arial"/>
          <w:sz w:val="14"/>
          <w:szCs w:val="14"/>
          <w:color w:val="auto"/>
        </w:rPr>
      </w:pPr>
    </w:p>
    <w:p>
      <w:pPr>
        <w:ind w:left="260" w:right="20" w:hanging="234"/>
        <w:spacing w:after="0" w:line="236" w:lineRule="auto"/>
        <w:tabs>
          <w:tab w:leader="none" w:pos="2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20" w:lineRule="exact"/>
        <w:rPr>
          <w:rFonts w:ascii="Arial" w:cs="Arial" w:eastAsia="Arial" w:hAnsi="Arial"/>
          <w:sz w:val="14"/>
          <w:szCs w:val="14"/>
          <w:color w:val="auto"/>
        </w:rPr>
      </w:pPr>
    </w:p>
    <w:p>
      <w:pPr>
        <w:ind w:left="260" w:hanging="234"/>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ophthalmologists and optometrists who are independent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-432435</wp:posOffset>
            </wp:positionV>
            <wp:extent cx="30861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880" w:type="dxa"/>
            <w:vAlign w:val="bottom"/>
          </w:tcPr>
          <w:p>
            <w:pPr>
              <w:jc w:val="center"/>
              <w:ind w:left="510"/>
              <w:spacing w:after="0"/>
              <w:rPr>
                <w:sz w:val="20"/>
                <w:szCs w:val="20"/>
                <w:color w:val="auto"/>
              </w:rPr>
            </w:pPr>
            <w:r>
              <w:rPr>
                <w:rFonts w:ascii="Arial" w:cs="Arial" w:eastAsia="Arial" w:hAnsi="Arial"/>
                <w:sz w:val="18"/>
                <w:szCs w:val="18"/>
                <w:color w:val="auto"/>
                <w:w w:val="97"/>
              </w:rPr>
              <w:t>As of</w:t>
            </w:r>
          </w:p>
        </w:tc>
        <w:tc>
          <w:tcPr>
            <w:tcW w:w="920" w:type="dxa"/>
            <w:vAlign w:val="bottom"/>
          </w:tcPr>
          <w:p>
            <w:pPr>
              <w:spacing w:after="0"/>
              <w:rPr>
                <w:sz w:val="17"/>
                <w:szCs w:val="17"/>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140" w:type="dxa"/>
            <w:vAlign w:val="bottom"/>
            <w:gridSpan w:val="2"/>
            <w:vMerge w:val="continue"/>
          </w:tcPr>
          <w:p>
            <w:pPr>
              <w:spacing w:after="0"/>
              <w:rPr>
                <w:sz w:val="19"/>
                <w:szCs w:val="19"/>
                <w:color w:val="auto"/>
              </w:rPr>
            </w:pPr>
          </w:p>
        </w:tc>
        <w:tc>
          <w:tcPr>
            <w:tcW w:w="1880" w:type="dxa"/>
            <w:vAlign w:val="bottom"/>
          </w:tcPr>
          <w:p>
            <w:pPr>
              <w:jc w:val="center"/>
              <w:ind w:left="530"/>
              <w:spacing w:after="0"/>
              <w:rPr>
                <w:sz w:val="20"/>
                <w:szCs w:val="20"/>
                <w:color w:val="auto"/>
              </w:rPr>
            </w:pPr>
            <w:r>
              <w:rPr>
                <w:rFonts w:ascii="Arial" w:cs="Arial" w:eastAsia="Arial" w:hAnsi="Arial"/>
                <w:sz w:val="18"/>
                <w:szCs w:val="18"/>
                <w:color w:val="auto"/>
                <w:w w:val="88"/>
              </w:rPr>
              <w:t>January 2, 2021</w:t>
            </w:r>
          </w:p>
        </w:tc>
        <w:tc>
          <w:tcPr>
            <w:tcW w:w="920" w:type="dxa"/>
            <w:vAlign w:val="bottom"/>
          </w:tcPr>
          <w:p>
            <w:pPr>
              <w:spacing w:after="0"/>
              <w:rPr>
                <w:sz w:val="19"/>
                <w:szCs w:val="19"/>
                <w:color w:val="auto"/>
              </w:rPr>
            </w:pPr>
          </w:p>
        </w:tc>
        <w:tc>
          <w:tcPr>
            <w:tcW w:w="2300" w:type="dxa"/>
            <w:vAlign w:val="bottom"/>
          </w:tcPr>
          <w:p>
            <w:pPr>
              <w:jc w:val="right"/>
              <w:ind w:right="450"/>
              <w:spacing w:after="0"/>
              <w:rPr>
                <w:sz w:val="20"/>
                <w:szCs w:val="20"/>
                <w:color w:val="auto"/>
              </w:rPr>
            </w:pPr>
            <w:r>
              <w:rPr>
                <w:rFonts w:ascii="Arial" w:cs="Arial" w:eastAsia="Arial" w:hAnsi="Arial"/>
                <w:sz w:val="18"/>
                <w:szCs w:val="18"/>
                <w:color w:val="auto"/>
              </w:rPr>
              <w:t>December 28, 2019</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88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77</w:t>
            </w:r>
          </w:p>
        </w:tc>
        <w:tc>
          <w:tcPr>
            <w:tcW w:w="23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4.7 %</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6"/>
        </w:trPr>
        <w:tc>
          <w:tcPr>
            <w:tcW w:w="6140" w:type="dxa"/>
            <w:vAlign w:val="bottom"/>
            <w:gridSpan w:val="2"/>
          </w:tcPr>
          <w:p>
            <w:pPr>
              <w:ind w:left="20"/>
              <w:spacing w:after="0" w:line="236"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8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12.3 %</w:t>
            </w:r>
          </w:p>
        </w:tc>
        <w:tc>
          <w:tcPr>
            <w:tcW w:w="2300" w:type="dxa"/>
            <w:vAlign w:val="bottom"/>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bl>
    <w:p>
      <w:pPr>
        <w:jc w:val="both"/>
        <w:ind w:left="260" w:right="20" w:hanging="234"/>
        <w:spacing w:after="0" w:line="235" w:lineRule="auto"/>
        <w:tabs>
          <w:tab w:leader="none" w:pos="257"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discount rate used to determine the lease assets and lease liabilities was derived upon considering (i) incremental borrowing rates on our term loan and revolving credit facility; (ii) fixed rates we pay on our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61" w:lineRule="exact"/>
        <w:rPr>
          <w:rFonts w:ascii="Arial" w:cs="Arial" w:eastAsia="Arial" w:hAnsi="Arial"/>
          <w:sz w:val="13"/>
          <w:szCs w:val="13"/>
          <w:color w:val="auto"/>
        </w:rPr>
      </w:pPr>
    </w:p>
    <w:p>
      <w:pPr>
        <w:ind w:left="260" w:right="20" w:hanging="234"/>
        <w:spacing w:after="0" w:line="236" w:lineRule="auto"/>
        <w:tabs>
          <w:tab w:leader="none" w:pos="252"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Fiscal Year 2020</w:t>
            </w: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Fiscal Year 2019</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Cash paid for amounts included in the measurement of lease liabilities</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940" w:type="dxa"/>
            <w:vAlign w:val="bottom"/>
            <w:gridSpan w:val="2"/>
          </w:tcPr>
          <w:p>
            <w:pPr>
              <w:jc w:val="right"/>
              <w:ind w:right="16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84,913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75,330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January 2,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8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2022</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77,874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2024</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60,998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9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Operating lease payments include $60.8 million related to options to extend lease terms that are reasonably certain of being exercised.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present value of lease liabilities excludes $26.4 million of legally binding minimum lease payments for leases signed but not yet commenced.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KKR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years 2019 and 2018, KKR Capital Markets LLC acted as a lead arranger with respect to debt issuance and refinancing transactions, and received $1.0 million and $1.2 million in fees, respectively, in connection therewith.</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“Description of Business and Basis of Presentation-Secondary Public Offerings” for details on a common stock offering in 2019 through which KKR ceased to be a related 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 Net Assets of Non-Consolidated Investee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invests in technological innovators across the optical retail industry. One of these investments is a nonconsolidated investee (the “investee”) in which an equity ownership interest is maintained and for which the equity method of accounting is used due to our ability to exert significant influence over decisions relating to our investee’s operations and financial affairs. We hold a 24% equity interest in our investee as of fiscal year end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and expenses of the investee are not consolidated into our financial statements; rather, our proportionate share of the earnings or losses of the investee is reflected as equity income or loss in Other expense (income), net in the Company’s consolidated statements of operations. We have determined that we should not consolidate our investee because, although it is a variable interest entity, we are not the primary beneficiary. After adjusting the carrying value of our interest in the investee’s reported net losses, there is no remaining equity investment balance associated with this investee as of January 2, 2021.</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investee’s fiscal year ends on December 31 of each year. The investee recognized no material transactions on the days between its fiscal year end and our fiscal year end for all periods presented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Summarized balance sheet information for our investee is as follows: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As of January 2,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w w:val="96"/>
              </w:rPr>
              <w:t>As of December 28, 2019</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Summarized income statement information for our investee is as follows:</w:t>
            </w: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auto"/>
              </w:rPr>
              <w:t>Fiscal Year 2020</w:t>
            </w:r>
          </w:p>
        </w:tc>
        <w:tc>
          <w:tcPr>
            <w:tcW w:w="180" w:type="dxa"/>
            <w:vAlign w:val="bottom"/>
          </w:tcPr>
          <w:p>
            <w:pPr>
              <w:spacing w:after="0"/>
              <w:rPr>
                <w:sz w:val="22"/>
                <w:szCs w:val="22"/>
                <w:color w:val="auto"/>
              </w:rPr>
            </w:pPr>
          </w:p>
        </w:tc>
        <w:tc>
          <w:tcPr>
            <w:tcW w:w="1600" w:type="dxa"/>
            <w:vAlign w:val="bottom"/>
            <w:gridSpan w:val="5"/>
          </w:tcPr>
          <w:p>
            <w:pPr>
              <w:ind w:left="60"/>
              <w:spacing w:after="0"/>
              <w:rPr>
                <w:sz w:val="20"/>
                <w:szCs w:val="20"/>
                <w:color w:val="auto"/>
              </w:rPr>
            </w:pPr>
            <w:r>
              <w:rPr>
                <w:rFonts w:ascii="Arial" w:cs="Arial" w:eastAsia="Arial" w:hAnsi="Arial"/>
                <w:sz w:val="18"/>
                <w:szCs w:val="18"/>
                <w:color w:val="auto"/>
              </w:rPr>
              <w:t>Fiscal Year 2019</w:t>
            </w:r>
          </w:p>
        </w:tc>
        <w:tc>
          <w:tcPr>
            <w:tcW w:w="180" w:type="dxa"/>
            <w:vAlign w:val="bottom"/>
          </w:tcPr>
          <w:p>
            <w:pPr>
              <w:spacing w:after="0"/>
              <w:rPr>
                <w:sz w:val="22"/>
                <w:szCs w:val="22"/>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Fiscal Year 2018</w:t>
            </w: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6,046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ind w:left="940"/>
              <w:spacing w:after="0"/>
              <w:rPr>
                <w:sz w:val="20"/>
                <w:szCs w:val="20"/>
                <w:color w:val="auto"/>
              </w:rPr>
            </w:pPr>
            <w:r>
              <w:rPr>
                <w:rFonts w:ascii="Arial" w:cs="Arial" w:eastAsia="Arial" w:hAnsi="Arial"/>
                <w:sz w:val="18"/>
                <w:szCs w:val="18"/>
                <w:color w:val="auto"/>
                <w:w w:val="94"/>
              </w:rPr>
              <w:t>(5,739)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Our share of net loss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4"/>
              </w:rPr>
              <w:t>(1,383)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(1) We did not record our share of the 2020 net loss as there is no obligation to absorb losses in excess of the equity investment.</w:t>
      </w: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we are a licensee of our investee. Upon adoption of ASU 2016-13 in 2020, the Company wrote-off the carrying value of the secured convertible promissory note held by the Company for estimated credit losses. In April 2020, the Company converted the promissory note to an equity investment.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equity investment has a carrying value of zero as of January 2, 2021. Interest income associated with the note was immaterial for the 2019 fiscal year.</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and transactions related to our non-consolidated investee included in our consolidated balance sheets and statements of operations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Pr>
          <w:p>
            <w:pPr>
              <w:jc w:val="center"/>
              <w:ind w:left="290"/>
              <w:spacing w:after="0"/>
              <w:rPr>
                <w:sz w:val="20"/>
                <w:szCs w:val="20"/>
                <w:color w:val="auto"/>
              </w:rPr>
            </w:pPr>
            <w:r>
              <w:rPr>
                <w:rFonts w:ascii="Arial" w:cs="Arial" w:eastAsia="Arial" w:hAnsi="Arial"/>
                <w:sz w:val="18"/>
                <w:szCs w:val="18"/>
                <w:color w:val="auto"/>
                <w:w w:val="97"/>
              </w:rPr>
              <w:t>As of</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vMerge w:val="continue"/>
          </w:tcPr>
          <w:p>
            <w:pPr>
              <w:spacing w:after="0"/>
              <w:rPr>
                <w:sz w:val="19"/>
                <w:szCs w:val="19"/>
                <w:color w:val="auto"/>
              </w:rPr>
            </w:pPr>
          </w:p>
        </w:tc>
        <w:tc>
          <w:tcPr>
            <w:tcW w:w="17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9"/>
              </w:rPr>
              <w:t>January 2, 2021</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8"/>
              </w:rPr>
              <w:t>December 28, 2019</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0" w:type="dxa"/>
            <w:vAlign w:val="bottom"/>
          </w:tcPr>
          <w:p>
            <w:pPr>
              <w:ind w:left="140"/>
              <w:spacing w:after="0" w:line="23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color w:val="auto"/>
                <w:vertAlign w:val="superscript"/>
              </w:rPr>
              <w:t>(1)</w:t>
            </w:r>
          </w:p>
        </w:tc>
        <w:tc>
          <w:tcPr>
            <w:tcW w:w="1780" w:type="dxa"/>
            <w:vAlign w:val="bottom"/>
          </w:tcPr>
          <w:p>
            <w:pPr>
              <w:jc w:val="right"/>
              <w:ind w:right="159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92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(1) Other assets represent a loan receivable from our investee.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Licensing fees (SG&amp;A)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 of Financial Assets and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23" w:lineRule="exact"/>
        <w:rPr>
          <w:rFonts w:ascii="Arial" w:cs="Arial" w:eastAsia="Arial" w:hAnsi="Arial"/>
          <w:sz w:val="18"/>
          <w:szCs w:val="18"/>
          <w:color w:val="auto"/>
        </w:rPr>
      </w:pPr>
    </w:p>
    <w:p>
      <w:pPr>
        <w:jc w:val="both"/>
        <w:ind w:left="660" w:right="18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Arial" w:cs="Arial" w:eastAsia="Arial" w:hAnsi="Arial"/>
          <w:sz w:val="18"/>
          <w:szCs w:val="18"/>
          <w:color w:val="auto"/>
        </w:rPr>
      </w:pPr>
    </w:p>
    <w:p>
      <w:pPr>
        <w:jc w:val="both"/>
        <w:ind w:left="660" w:right="160" w:hanging="328"/>
        <w:spacing w:after="0" w:line="255"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8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carrying amount of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credit 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Long-lived and Right of Use (“ROU”) Store Assets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non-recurring fair value measurements associated with these tangible long-lived and ROU store assets are classified as Level 3 measurements in the fair value hierarchy. Refer to Note 1. “Description of Business and Basis of Presentation”.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borrowings under the Term Loan and Revolving Credit Facility utilize variable interest rate setting mechanisms such as LIBOR, the fair values of these borrowings are deemed to approximate the carrying values. We also considered the effect of our own credit risk on the fair values of our Term Loan and Revolving Credit Facility. Refer to Note 4. “Long-term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- 2025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$402.5 million in aggregate principal amount of 2.50% convertible senior notes due on May 15, 2025 issued and outstanding as of January 2, 2021. The estimated fair value of the 2025 Notes was approximately $655.3 million as of January 2, 2021. The estimated fair value of the 2025 Notes is based on the prices the 2025 Notes have traded in the market as of January 2, 2021, as well as overall market conditions on the date of valuation, stated coupon rates, the number of coupon payments each year and the maturity dates, and represents a Level 2 measurement. Refer to Note 4. “Long-term Debt” for more information on the 2025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See Note 14. “Interest Rate Derivatives” for further details.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312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12. Deferred Revenue</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gridSpan w:val="3"/>
          </w:tcPr>
          <w:p>
            <w:pPr>
              <w:spacing w:after="0"/>
              <w:rPr>
                <w:sz w:val="20"/>
                <w:szCs w:val="20"/>
                <w:color w:val="auto"/>
              </w:rPr>
            </w:pPr>
            <w:r>
              <w:rPr>
                <w:rFonts w:ascii="Arial" w:cs="Arial" w:eastAsia="Arial" w:hAnsi="Arial"/>
                <w:sz w:val="18"/>
                <w:szCs w:val="18"/>
                <w:color w:val="auto"/>
                <w:w w:val="95"/>
              </w:rPr>
              <w:t>The following depicts a roll-forward of deferred revenue: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ind w:left="1040"/>
              <w:spacing w:after="0"/>
              <w:rPr>
                <w:sz w:val="20"/>
                <w:szCs w:val="20"/>
                <w:color w:val="auto"/>
              </w:rPr>
            </w:pPr>
            <w:r>
              <w:rPr>
                <w:rFonts w:ascii="Arial" w:cs="Arial" w:eastAsia="Arial" w:hAnsi="Arial"/>
                <w:sz w:val="18"/>
                <w:szCs w:val="18"/>
                <w:color w:val="auto"/>
              </w:rPr>
              <w:t>Fiscal Year 2020</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Product Protection Plans</w:t>
            </w:r>
          </w:p>
        </w:tc>
        <w:tc>
          <w:tcPr>
            <w:tcW w:w="340" w:type="dxa"/>
            <w:vAlign w:val="bottom"/>
          </w:tcPr>
          <w:p>
            <w:pPr>
              <w:spacing w:after="0"/>
              <w:rPr>
                <w:sz w:val="14"/>
                <w:szCs w:val="14"/>
                <w:color w:val="auto"/>
              </w:rPr>
            </w:pPr>
          </w:p>
        </w:tc>
        <w:tc>
          <w:tcPr>
            <w:tcW w:w="1720" w:type="dxa"/>
            <w:vAlign w:val="bottom"/>
            <w:gridSpan w:val="2"/>
          </w:tcPr>
          <w:p>
            <w:pPr>
              <w:jc w:val="center"/>
              <w:ind w:right="540"/>
              <w:spacing w:after="0" w:line="169" w:lineRule="exact"/>
              <w:rPr>
                <w:sz w:val="20"/>
                <w:szCs w:val="20"/>
                <w:color w:val="auto"/>
              </w:rPr>
            </w:pPr>
            <w:r>
              <w:rPr>
                <w:rFonts w:ascii="Arial" w:cs="Arial" w:eastAsia="Arial" w:hAnsi="Arial"/>
                <w:sz w:val="18"/>
                <w:szCs w:val="18"/>
                <w:color w:val="auto"/>
                <w:w w:val="87"/>
              </w:rPr>
              <w:t>Eye Care</w:t>
            </w:r>
          </w:p>
        </w:tc>
        <w:tc>
          <w:tcPr>
            <w:tcW w:w="160" w:type="dxa"/>
            <w:vAlign w:val="bottom"/>
          </w:tcPr>
          <w:p>
            <w:pPr>
              <w:spacing w:after="0"/>
              <w:rPr>
                <w:sz w:val="14"/>
                <w:szCs w:val="14"/>
                <w:color w:val="auto"/>
              </w:rPr>
            </w:pPr>
          </w:p>
        </w:tc>
        <w:tc>
          <w:tcPr>
            <w:tcW w:w="1900" w:type="dxa"/>
            <w:vAlign w:val="bottom"/>
            <w:gridSpan w:val="4"/>
            <w:vMerge w:val="restart"/>
          </w:tcPr>
          <w:p>
            <w:pPr>
              <w:ind w:left="80"/>
              <w:spacing w:after="0"/>
              <w:rPr>
                <w:sz w:val="20"/>
                <w:szCs w:val="20"/>
                <w:color w:val="auto"/>
              </w:rPr>
            </w:pPr>
            <w:r>
              <w:rPr>
                <w:rFonts w:ascii="Arial" w:cs="Arial" w:eastAsia="Arial" w:hAnsi="Arial"/>
                <w:sz w:val="18"/>
                <w:szCs w:val="18"/>
                <w:color w:val="auto"/>
              </w:rPr>
              <w:t>HMO Memberships</w:t>
            </w:r>
          </w:p>
        </w:tc>
        <w:tc>
          <w:tcPr>
            <w:tcW w:w="440" w:type="dxa"/>
            <w:vAlign w:val="bottom"/>
          </w:tcPr>
          <w:p>
            <w:pPr>
              <w:spacing w:after="0"/>
              <w:rPr>
                <w:sz w:val="14"/>
                <w:szCs w:val="14"/>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20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Clubs</w:t>
            </w:r>
          </w:p>
        </w:tc>
        <w:tc>
          <w:tcPr>
            <w:tcW w:w="160" w:type="dxa"/>
            <w:vAlign w:val="bottom"/>
          </w:tcPr>
          <w:p>
            <w:pPr>
              <w:spacing w:after="0"/>
              <w:rPr>
                <w:sz w:val="19"/>
                <w:szCs w:val="19"/>
                <w:color w:val="auto"/>
              </w:rPr>
            </w:pPr>
          </w:p>
        </w:tc>
        <w:tc>
          <w:tcPr>
            <w:tcW w:w="1900" w:type="dxa"/>
            <w:vAlign w:val="bottom"/>
            <w:gridSpan w:val="4"/>
            <w:vMerge w:val="continue"/>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116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0"/>
              </w:rPr>
              <w:t>46,486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Sold</w:t>
            </w: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63,535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center"/>
              <w:ind w:left="850"/>
              <w:spacing w:after="0"/>
              <w:rPr>
                <w:sz w:val="20"/>
                <w:szCs w:val="20"/>
                <w:color w:val="auto"/>
              </w:rPr>
            </w:pPr>
            <w:r>
              <w:rPr>
                <w:rFonts w:ascii="Arial" w:cs="Arial" w:eastAsia="Arial" w:hAnsi="Arial"/>
                <w:sz w:val="18"/>
                <w:szCs w:val="18"/>
                <w:color w:val="auto"/>
                <w:w w:val="90"/>
              </w:rPr>
              <w:t>47,445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w:t>
            </w:r>
          </w:p>
        </w:tc>
        <w:tc>
          <w:tcPr>
            <w:tcW w:w="1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2"/>
              </w:rPr>
              <w:t>(48,351)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End of year</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34,147</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0"/>
              </w:rPr>
              <w:t>45,580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33,810</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850"/>
              <w:spacing w:after="0"/>
              <w:rPr>
                <w:sz w:val="20"/>
                <w:szCs w:val="20"/>
                <w:color w:val="auto"/>
              </w:rPr>
            </w:pPr>
            <w:r>
              <w:rPr>
                <w:rFonts w:ascii="Arial" w:cs="Arial" w:eastAsia="Arial" w:hAnsi="Arial"/>
                <w:sz w:val="18"/>
                <w:szCs w:val="18"/>
                <w:color w:val="auto"/>
                <w:w w:val="90"/>
              </w:rPr>
              <w:t>25,089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0"/>
              </w:rPr>
              <w:t>20,491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34,147</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center"/>
              <w:ind w:left="850"/>
              <w:spacing w:after="0"/>
              <w:rPr>
                <w:sz w:val="20"/>
                <w:szCs w:val="20"/>
                <w:color w:val="auto"/>
              </w:rPr>
            </w:pPr>
            <w:r>
              <w:rPr>
                <w:rFonts w:ascii="Arial" w:cs="Arial" w:eastAsia="Arial" w:hAnsi="Arial"/>
                <w:sz w:val="18"/>
                <w:szCs w:val="18"/>
                <w:color w:val="auto"/>
                <w:w w:val="90"/>
              </w:rPr>
              <w:t>45,580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ind w:left="1040"/>
              <w:spacing w:after="0"/>
              <w:rPr>
                <w:sz w:val="20"/>
                <w:szCs w:val="20"/>
                <w:color w:val="auto"/>
              </w:rPr>
            </w:pPr>
            <w:r>
              <w:rPr>
                <w:rFonts w:ascii="Arial" w:cs="Arial" w:eastAsia="Arial" w:hAnsi="Arial"/>
                <w:sz w:val="18"/>
                <w:szCs w:val="18"/>
                <w:color w:val="auto"/>
              </w:rPr>
              <w:t>Fiscal Year 2019</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Product Protection Plans</w:t>
            </w:r>
          </w:p>
        </w:tc>
        <w:tc>
          <w:tcPr>
            <w:tcW w:w="340" w:type="dxa"/>
            <w:vAlign w:val="bottom"/>
          </w:tcPr>
          <w:p>
            <w:pPr>
              <w:spacing w:after="0"/>
              <w:rPr>
                <w:sz w:val="14"/>
                <w:szCs w:val="14"/>
                <w:color w:val="auto"/>
              </w:rPr>
            </w:pPr>
          </w:p>
        </w:tc>
        <w:tc>
          <w:tcPr>
            <w:tcW w:w="1720" w:type="dxa"/>
            <w:vAlign w:val="bottom"/>
            <w:gridSpan w:val="2"/>
          </w:tcPr>
          <w:p>
            <w:pPr>
              <w:jc w:val="center"/>
              <w:ind w:right="540"/>
              <w:spacing w:after="0" w:line="169" w:lineRule="exact"/>
              <w:rPr>
                <w:sz w:val="20"/>
                <w:szCs w:val="20"/>
                <w:color w:val="auto"/>
              </w:rPr>
            </w:pPr>
            <w:r>
              <w:rPr>
                <w:rFonts w:ascii="Arial" w:cs="Arial" w:eastAsia="Arial" w:hAnsi="Arial"/>
                <w:sz w:val="18"/>
                <w:szCs w:val="18"/>
                <w:color w:val="auto"/>
                <w:w w:val="87"/>
              </w:rPr>
              <w:t>Eye Care</w:t>
            </w:r>
          </w:p>
        </w:tc>
        <w:tc>
          <w:tcPr>
            <w:tcW w:w="160" w:type="dxa"/>
            <w:vAlign w:val="bottom"/>
          </w:tcPr>
          <w:p>
            <w:pPr>
              <w:spacing w:after="0"/>
              <w:rPr>
                <w:sz w:val="14"/>
                <w:szCs w:val="14"/>
                <w:color w:val="auto"/>
              </w:rPr>
            </w:pPr>
          </w:p>
        </w:tc>
        <w:tc>
          <w:tcPr>
            <w:tcW w:w="1900" w:type="dxa"/>
            <w:vAlign w:val="bottom"/>
            <w:gridSpan w:val="4"/>
            <w:vMerge w:val="restart"/>
          </w:tcPr>
          <w:p>
            <w:pPr>
              <w:ind w:left="80"/>
              <w:spacing w:after="0"/>
              <w:rPr>
                <w:sz w:val="20"/>
                <w:szCs w:val="20"/>
                <w:color w:val="auto"/>
              </w:rPr>
            </w:pPr>
            <w:r>
              <w:rPr>
                <w:rFonts w:ascii="Arial" w:cs="Arial" w:eastAsia="Arial" w:hAnsi="Arial"/>
                <w:sz w:val="18"/>
                <w:szCs w:val="18"/>
                <w:color w:val="auto"/>
              </w:rPr>
              <w:t>HMO Memberships</w:t>
            </w:r>
          </w:p>
        </w:tc>
        <w:tc>
          <w:tcPr>
            <w:tcW w:w="440" w:type="dxa"/>
            <w:vAlign w:val="bottom"/>
          </w:tcPr>
          <w:p>
            <w:pPr>
              <w:spacing w:after="0"/>
              <w:rPr>
                <w:sz w:val="14"/>
                <w:szCs w:val="14"/>
                <w:color w:val="auto"/>
              </w:rPr>
            </w:pPr>
          </w:p>
        </w:tc>
        <w:tc>
          <w:tcPr>
            <w:tcW w:w="148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20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Clubs</w:t>
            </w:r>
          </w:p>
        </w:tc>
        <w:tc>
          <w:tcPr>
            <w:tcW w:w="160" w:type="dxa"/>
            <w:vAlign w:val="bottom"/>
          </w:tcPr>
          <w:p>
            <w:pPr>
              <w:spacing w:after="0"/>
              <w:rPr>
                <w:sz w:val="19"/>
                <w:szCs w:val="19"/>
                <w:color w:val="auto"/>
              </w:rPr>
            </w:pPr>
          </w:p>
        </w:tc>
        <w:tc>
          <w:tcPr>
            <w:tcW w:w="1900" w:type="dxa"/>
            <w:vAlign w:val="bottom"/>
            <w:gridSpan w:val="4"/>
            <w:vMerge w:val="continue"/>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116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28,775</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0"/>
              </w:rPr>
              <w:t>43,488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Sold</w:t>
            </w: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center"/>
              <w:ind w:left="850"/>
              <w:spacing w:after="0"/>
              <w:rPr>
                <w:sz w:val="20"/>
                <w:szCs w:val="20"/>
                <w:color w:val="auto"/>
              </w:rPr>
            </w:pPr>
            <w:r>
              <w:rPr>
                <w:rFonts w:ascii="Arial" w:cs="Arial" w:eastAsia="Arial" w:hAnsi="Arial"/>
                <w:sz w:val="18"/>
                <w:szCs w:val="18"/>
                <w:color w:val="auto"/>
                <w:w w:val="90"/>
              </w:rPr>
              <w:t>52,438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w:t>
            </w:r>
          </w:p>
        </w:tc>
        <w:tc>
          <w:tcPr>
            <w:tcW w:w="1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2"/>
              </w:rPr>
              <w:t>(49,440)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End of year</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30,911</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0"/>
              </w:rPr>
              <w:t>46,486</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30,547</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850"/>
              <w:spacing w:after="0"/>
              <w:rPr>
                <w:sz w:val="20"/>
                <w:szCs w:val="20"/>
                <w:color w:val="auto"/>
              </w:rPr>
            </w:pPr>
            <w:r>
              <w:rPr>
                <w:rFonts w:ascii="Arial" w:cs="Arial" w:eastAsia="Arial" w:hAnsi="Arial"/>
                <w:sz w:val="18"/>
                <w:szCs w:val="18"/>
                <w:color w:val="auto"/>
                <w:w w:val="90"/>
              </w:rPr>
              <w:t>25,320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0"/>
              </w:rPr>
              <w:t>21,166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30,911</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center"/>
              <w:ind w:left="850"/>
              <w:spacing w:after="0"/>
              <w:rPr>
                <w:sz w:val="20"/>
                <w:szCs w:val="20"/>
                <w:color w:val="auto"/>
              </w:rPr>
            </w:pPr>
            <w:r>
              <w:rPr>
                <w:rFonts w:ascii="Arial" w:cs="Arial" w:eastAsia="Arial" w:hAnsi="Arial"/>
                <w:sz w:val="18"/>
                <w:szCs w:val="18"/>
                <w:color w:val="auto"/>
                <w:w w:val="90"/>
              </w:rPr>
              <w:t>46,486</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320" w:type="dxa"/>
            <w:vAlign w:val="bottom"/>
            <w:gridSpan w:val="13"/>
          </w:tcPr>
          <w:p>
            <w:pPr>
              <w:spacing w:after="0"/>
              <w:rPr>
                <w:sz w:val="20"/>
                <w:szCs w:val="20"/>
                <w:color w:val="auto"/>
              </w:rPr>
            </w:pPr>
            <w:r>
              <w:rPr>
                <w:rFonts w:ascii="Arial" w:cs="Arial" w:eastAsia="Arial" w:hAnsi="Arial"/>
                <w:sz w:val="18"/>
                <w:szCs w:val="18"/>
                <w:color w:val="auto"/>
                <w:w w:val="99"/>
              </w:rPr>
              <w:t>Deferred revenue recorded as of fiscal year end 2020 is expected to be reflected in future operating results as follows: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i w:val="1"/>
                <w:i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2024</w:t>
            </w: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 2021, the Company had contractual commitments of approximately $62.9 million consisting of agreements for merchandise purchases, technology and advertising.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783"/>
        </w:trPr>
        <w:tc>
          <w:tcPr>
            <w:tcW w:w="68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Fiscal Year 2020</w:t>
            </w:r>
          </w:p>
        </w:tc>
        <w:tc>
          <w:tcPr>
            <w:tcW w:w="300" w:type="dxa"/>
            <w:vAlign w:val="bottom"/>
          </w:tcPr>
          <w:p>
            <w:pPr>
              <w:spacing w:after="0"/>
              <w:rPr>
                <w:sz w:val="24"/>
                <w:szCs w:val="24"/>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Fiscal Year 2019</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Accrued obligation</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28,415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33,014</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(32,875)</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End of year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r>
      <w:tr>
        <w:trPr>
          <w:trHeight w:val="21"/>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a 401(k) plan into which associates may defer a portion of their wages. We match a portion of such deferred wages. The expense for the plan was $5.3 million, $5.3 million and $4.2 million in the fiscal years ended 2020, 2019 and 2018, respectively. Expense associated with our 401(k) plan is presented in SG&amp;A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 second amended complaint. On April 24, 2020, the plaintiffs filed a third amended complaint. FirstSight filed a motion to dismiss the third amended complaint on May 8, 2020. </w:t>
      </w:r>
      <w:r>
        <w:rPr>
          <w:rFonts w:ascii="Arial" w:cs="Arial" w:eastAsia="Arial" w:hAnsi="Arial"/>
          <w:sz w:val="17"/>
          <w:szCs w:val="17"/>
          <w:color w:val="1F497D"/>
        </w:rPr>
        <w:t>O</w:t>
      </w:r>
      <w:r>
        <w:rPr>
          <w:rFonts w:ascii="Arial" w:cs="Arial" w:eastAsia="Arial" w:hAnsi="Arial"/>
          <w:sz w:val="17"/>
          <w:szCs w:val="17"/>
          <w:color w:val="auto"/>
        </w:rPr>
        <w:t>n February 4, 2021, the district court granted FirstSight’s motion in part and denied it in part. FirstSight’s answer to the remaining claims was filed February 18, 2021. We believe that the claims alleged are without merit and intend to continue to defend the litigation vigorously.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2017, a complaint was filed against us and other defendants alleging, on behalf of a proposed class of consumers who purchased contact lenses online, that 1-800 Contacts, Inc. entered into a series of agreements with the other defendants, including our wholly-owned subsidiary, Arlington Contact Lens Service, Inc.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 On May 15, 2020, the plaintiffs filed a motion seeking preliminary approval of their settlement with the remaining defendant, 1-800 Contacts, Inc., as well as conditional certification of the class and approval of the plan of distribution of settlement funds. This motion was granted by the court on June 3, 2020. The court held a hearing on plaintiffs’ motion for final approval of class action settlements, approval of the plan of distribution, and final certification of the settlement classes on October 20, 2020. There were no objections and the court entered final judgment and order of dismissal following the hearing. Based on that order, we deposited the final 50% of the settlement amount, $3.5 million, into the designated escrow account to be distributed subject to and in accordance with the settlement agreement.</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2019, we were served with a lawsuit by a former associate who alleged, on behalf of himself and a proposed class, several violations of California wage and hour laws and sought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The parties participated in mediation on February 19, 2020, but a resolution of the matter was not reached at that time. On February 27, 2020, following mediation, the parties agreed to a settlement of all claims alleged by the named claimant on behalf of himself and all putative class members and other aggrieved associates. The Company will pay $3.5 million as the gross settlement fund in connection with this settlement. This settlement was preliminarily approved by the court on April 29, 2020. A final approval hearing was conducted by the court on October 27, 2020. The court approved the settlement according to the terms of the parties’ agreement and final judgment and order of dismissal was then entered. The Company deposited the settlement amount, or $3.5 million, into the designated account pursuant to the terms of the settlement agreement.</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the Company agreed to enter into a pre-litigation settlement with six former associates who asserted, on behalf of themselves and a proposed class, violations of the Fair Labor Standards Act and of California wage and hour laws. In order to avoid the burden, expense and uncertainty of litigation, and without admitting liability, the Company agreed to a settlement with the named claimants and all participating class members for a maximum settlement amount of $895,000. This settlement is subject to approval by a tribunal following a fairness hearing.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Interest Rate Derivatives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party to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the first quarter of 2020, in accordance with the original agreements with the counterparties, the notional amount of one swap decreased from $105.0 million to $70.0 million. The aggregate notional amount of the interest rate swaps was $395.0 million and $430.0 million for the year ended January 2, 2021 and December 28, 2019, respectively. There were no other changes in the terms of the agreements. Also, during the first quarter of 2020, the Company entered into a forward-starting interest rate collar that will hedge variability of cash flows of LIBOR-indexed debt interest payments from March 13, 2021 to July 18, 2024, following the maturity of the interest rate swap agreements, with an aggregate notional amount of $375 million. See Note</w:t>
      </w:r>
    </w:p>
    <w:p>
      <w:pPr>
        <w:spacing w:after="0" w:line="2" w:lineRule="exact"/>
        <w:rPr>
          <w:sz w:val="20"/>
          <w:szCs w:val="20"/>
          <w:color w:val="auto"/>
        </w:rPr>
      </w:pPr>
    </w:p>
    <w:p>
      <w:pPr>
        <w:ind w:left="5480" w:right="5180" w:hanging="5472"/>
        <w:spacing w:after="0" w:line="1027" w:lineRule="auto"/>
        <w:tabs>
          <w:tab w:leader="none" w:pos="2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“Fair Value Measurement of Financial Assets and Liabilities” for further details.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2020, as a result of the partial repayment of the Company’s LIBOR based debt balances, certain forecasted hedged transactions were deemed not probable of occurring. The Company subsequently discontinued hedge accounting on $78.0 million of interest rate swap notional and $58.0 million of interest rate collar notional, reclassifying net unrealized losses of approximately $2.5 million from AOCL to interest expense, net during fiscal year 2020. Additionally, due to changes in the interest rates applicable to the Company’s Term Loan and Revolving Credit Facility, the interest rate collar ceased to be a highly effective hedge. Losses on the change in fair value of the interest rate collar of approximately $2.6 million were recorded in interest expense, net during fiscal year 2020. Interest expense, net related to derivatives considered to be highly effective hedges for fiscal year 2020 was $7.7 million.</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the cash flows of interest rate swap derivatives designated as hedges are expected to be highly effective in offsetting the changes in interest payments on a principal balance equal to the designated derivative’s notional amount, attributable to the hedged risk. Cash flows related to derivatives qualifying as hedges are included in the same section of the Consolidated Statements of Cash Flows as the underlying assets and liabilities being hedged. Cash flows during fiscal year 2020 related to derivatives not qualifying as hedges were included in the operating section of the Consolidated Statements of Cash Flows and were immaterial. As of January 2, 2021, the Company expects to reclassify approximately $2.5 million of unrealized losses on derivative instruments, net of tax, from AOCL into earnings in the next 12 months as the derivative instruments mature. See Note 18. “Accumulated Other Comprehensive Loss” for further details.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4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Sheet Classification</w:t>
            </w:r>
          </w:p>
        </w:tc>
        <w:tc>
          <w:tcPr>
            <w:tcW w:w="30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17"/>
                <w:szCs w:val="17"/>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3620" w:type="dxa"/>
            <w:vAlign w:val="bottom"/>
            <w:vMerge w:val="continue"/>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January 2, 2021</w:t>
            </w:r>
          </w:p>
        </w:tc>
        <w:tc>
          <w:tcPr>
            <w:tcW w:w="220" w:type="dxa"/>
            <w:vAlign w:val="bottom"/>
          </w:tcPr>
          <w:p>
            <w:pPr>
              <w:spacing w:after="0"/>
              <w:rPr>
                <w:sz w:val="19"/>
                <w:szCs w:val="19"/>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28, 2019</w:t>
            </w: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Derivatives designated as hedging instruments</w:t>
            </w:r>
          </w:p>
        </w:tc>
        <w:tc>
          <w:tcPr>
            <w:tcW w:w="3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 ASC 815</w:t>
            </w: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swaps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7060" w:type="dxa"/>
            <w:vAlign w:val="bottom"/>
            <w:gridSpan w:val="3"/>
          </w:tcPr>
          <w:p>
            <w:pPr>
              <w:ind w:left="20"/>
              <w:spacing w:after="0"/>
              <w:rPr>
                <w:sz w:val="20"/>
                <w:szCs w:val="20"/>
                <w:color w:val="auto"/>
              </w:rPr>
            </w:pPr>
            <w:r>
              <w:rPr>
                <w:rFonts w:ascii="Arial" w:cs="Arial" w:eastAsia="Arial" w:hAnsi="Arial"/>
                <w:sz w:val="18"/>
                <w:szCs w:val="18"/>
                <w:color w:val="auto"/>
              </w:rPr>
              <w:t>Total derivative liabilities designated as hedging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Derivatives not designated as hedging</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under ASC 815</w:t>
            </w: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swap</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collar</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rate collar</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derivative liabilities not designated as hedging instruments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ind w:left="1860"/>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6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$402.5 million of aggregate principal amount of 2025 Notes. Potential shares of common stock are excluded from the computation of diluted EPS if their effect is anti-dilutive.</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fourth quarter of the fiscal year 2020, we intended to settle the principal amount of the outstanding 2025 Notes in cash and, therefore, used the treasury stock method for calculating any potential dilutive effect of the conversion spread on diluted net income per share, if applicable. Under the treasury stock method, the shares underlying the conversion option of the 2025 Notes will have an impact on our diluted EPS when net income is reported and when the average market price of our common stock for the period exceeds the conversion price of $31.17 per share. Beginning with the fourth quarter of the current fiscal year, we are no longer asserting cash settlement of the principal amount of the outstanding 2025 Notes, therefore share settlement is now presumed. Thus, on a prospective basis we will apply the if-converted method for calculating any potential dilutive effect of the conversion of the outstanding 2025 Notes on Diluted EPS, if applicable. If the if-converted method is anti-dilutive, the anti-dilutive share count for the 2025 notes will represent the maximum number of shares of common stock issuable upon conversion. See Note 4. “Long-term Debt” for more information on the 2025 Notes.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the basic and diluted EPS calculations is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EPS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Weighted average shares outstanding for basic EPS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75,899</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dilutive securities: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2025 Notes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for diluted EPS</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79,041</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7"/>
              </w:rPr>
              <w:t>Anti-dilutive options, RSUs outstanding, and 2025 Notes excluded from EPS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660" w:hanging="328"/>
        <w:spacing w:after="0" w:line="254"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primarily feature independent optometrists to perform eye exams and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9"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Legacy - The Company manages the operations of, and supplies inventory and lab processing services to, 230 Legacy retail Vision Centers.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for the finished eyeglasses and frames expected to be sold to our Legacy partner’s customers. We lease space from our Legacy partner within or adjacent to each of the locations we manage and use this space for providing optometric examination services. Sales of services and plans in our Legacy segment consist of fees earned for managing the operations of our Legacy partner and revenues associated with the provision of eye exams for our managed care customers. Revenues associated with managing operations of our Legacy partner were $33.4 million, $35.5 million and $34.7 million for fiscal years ended 2020, 2019 and 2018, respectively. Our management &amp; services agreement also allows our Legacy partner to collect penalties if the Vision Centers do not generate a requisite amount of revenues. No such penalties have been assessed under our current arrangement.</w:t>
      </w:r>
    </w:p>
    <w:p>
      <w:pPr>
        <w:spacing w:after="0" w:line="77"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On January 22, 2020, we entered into an amendment to our management &amp; services agreement with Walmart which provided for a six month extension of the term and added five additional Vision Centers in Walmart stores to the agreement in fiscal year 2020.</w:t>
      </w:r>
    </w:p>
    <w:p>
      <w:pPr>
        <w:spacing w:after="0" w:line="6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July 17, 2020, NVI and Walmart entered into a further amendment to the management &amp; services agreement, to extend the current term and economics of the agreement by three years, to February 23, 2024, and provide that the agreement will automatically renew for an additional three year term unless, no later than seven months prior to the end of the term, one party gives the other party written notice of non-renewal. In addition, the amendment deleted certain provisions that are no longer applicable and updated certain administrative provisions. All other terms and conditions of the agreement remain in effect.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Revenues from the Corporate/Other segments are attributable to the AC Lens and FirstSight operating segments. AC Lens primarily sells contact lenses and optical accessory products to retail customers through e-commerce. AC Lens also distributes contact lenses to certain Walmart and Sam’s Club under fee for services arrangements. FirstSight sells single service health plans in connection with the operations of America’s Best operations in California, and arranges for the provision of optometric services at the offices next to Walmart and Sam’s Club stores throughout California. None of those segments met the quantitative thresholds for determining reportable segments for any of the periods presented.</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“Reconciliations” category represents other adjustments to reportable segment results necessary for the presentation of consolidated financial results in accordance with U.S. GAAP for the two reportable segments.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litigation settlement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fiscal year 2020, revenues from Walmart, recognized in our Legacy segment and Corporate/Other category, represent $268.6 million of our total net revenue, subjecting us to customer concentration risk. We incurred $8.6 million of costs during fiscal year 2020, directly related to adapting the Company’s operations to the COVID-19 pandemic such as personal protective equipment and other supplies needed to operate our stores safely and certain other costs such as compensation, a tangible appreciation bonus paid to our customer-facing doctors and associates, and other administrative expenses. These incremental expenses related to the COVID-19 pandemic are not allocated to the reportable segments, but are included in the Corporate/Other category.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Fiscal Year 2020</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244,650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518,126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67,229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Arial" w:cs="Arial" w:eastAsia="Arial" w:hAnsi="Arial"/>
                <w:sz w:val="18"/>
                <w:szCs w:val="18"/>
                <w:color w:val="auto"/>
                <w:w w:val="90"/>
              </w:rPr>
              <w:t>Fiscal Year 2019</w:t>
            </w: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1,076,315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517,668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74,001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215,053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87,244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right"/>
              <w:ind w:right="63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3"/>
              </w:rPr>
              <w:t>Fiscal Year 2018</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Legacy</w:t>
            </w:r>
          </w:p>
        </w:tc>
        <w:tc>
          <w:tcPr>
            <w:tcW w:w="1380" w:type="dxa"/>
            <w:vAlign w:val="bottom"/>
            <w:gridSpan w:val="5"/>
          </w:tcPr>
          <w:p>
            <w:pPr>
              <w:jc w:val="right"/>
              <w:ind w:right="10"/>
              <w:spacing w:after="0"/>
              <w:rPr>
                <w:sz w:val="20"/>
                <w:szCs w:val="20"/>
                <w:color w:val="auto"/>
              </w:rPr>
            </w:pPr>
            <w:r>
              <w:rPr>
                <w:rFonts w:ascii="Arial" w:cs="Arial" w:eastAsia="Arial" w:hAnsi="Arial"/>
                <w:sz w:val="18"/>
                <w:szCs w:val="18"/>
                <w:color w:val="auto"/>
                <w:w w:val="96"/>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ind w:right="170"/>
              <w:spacing w:after="0"/>
              <w:rPr>
                <w:sz w:val="20"/>
                <w:szCs w:val="20"/>
                <w:color w:val="auto"/>
              </w:rPr>
            </w:pPr>
            <w:r>
              <w:rPr>
                <w:rFonts w:ascii="Arial" w:cs="Arial" w:eastAsia="Arial" w:hAnsi="Arial"/>
                <w:sz w:val="18"/>
                <w:szCs w:val="18"/>
                <w:color w:val="auto"/>
                <w:w w:val="97"/>
              </w:rPr>
              <w:t>Reconciliations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103,890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208,875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492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1,269,612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267,242</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1,536,854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46,986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183,459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511,406</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186,990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713,571</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687,476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17,630</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Debt issuance cost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3"/>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(169,647)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74,339</w:t>
            </w: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6"/>
              </w:rPr>
              <w:t>Consolidated Net Product Revenue Information</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3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9"/>
          </w:tcPr>
          <w:p>
            <w:pPr>
              <w:spacing w:after="0"/>
              <w:rPr>
                <w:sz w:val="20"/>
                <w:szCs w:val="20"/>
                <w:color w:val="auto"/>
              </w:rPr>
            </w:pPr>
            <w:r>
              <w:rPr>
                <w:rFonts w:ascii="Arial" w:cs="Arial" w:eastAsia="Arial" w:hAnsi="Arial"/>
                <w:sz w:val="18"/>
                <w:szCs w:val="18"/>
                <w:color w:val="auto"/>
              </w:rPr>
              <w:t>The following table presents our consolidated net product revenue information:</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Fiscal Year 2020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8"/>
              </w:rPr>
              <w:t>Fiscal Year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0"/>
              </w:rPr>
              <w:t>Fiscal Year 2018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Product Sales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Eyeglasses and sunglasses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946,025</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947,729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851,328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Contact lenses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466,262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471,042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Accessories and other</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product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1,418,283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1,426,136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1,269,612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Restricted Cash</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Fiscal Year 2020</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Fiscal Year 2019</w:t>
            </w: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w w:val="90"/>
              </w:rPr>
              <w:t>Fiscal Year 2018</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18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4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fiscal years 2020, 2019 and 2018, respectively:</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hedging activity</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Balance at beginning of fiscal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center"/>
              <w:ind w:left="830"/>
              <w:spacing w:after="0"/>
              <w:rPr>
                <w:sz w:val="20"/>
                <w:szCs w:val="20"/>
                <w:color w:val="auto"/>
              </w:rPr>
            </w:pPr>
            <w:r>
              <w:rPr>
                <w:rFonts w:ascii="Arial" w:cs="Arial" w:eastAsia="Arial" w:hAnsi="Arial"/>
                <w:sz w:val="18"/>
                <w:szCs w:val="18"/>
                <w:color w:val="auto"/>
                <w:w w:val="94"/>
              </w:rPr>
              <w:t>(2,810)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(9,868)</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 before reclassification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4"/>
              </w:rPr>
              <w:t>(5,814)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850"/>
              <w:spacing w:after="0"/>
              <w:rPr>
                <w:sz w:val="20"/>
                <w:szCs w:val="20"/>
                <w:color w:val="auto"/>
              </w:rPr>
            </w:pPr>
            <w:r>
              <w:rPr>
                <w:rFonts w:ascii="Arial" w:cs="Arial" w:eastAsia="Arial" w:hAnsi="Arial"/>
                <w:sz w:val="18"/>
                <w:szCs w:val="18"/>
                <w:color w:val="auto"/>
                <w:w w:val="88"/>
              </w:rPr>
              <w:t>1,489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reclassified from AOCL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8"/>
              </w:rPr>
              <w:t>4,464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r>
      <w:tr>
        <w:trPr>
          <w:trHeight w:val="229"/>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effect of amount reclassified from AOCL</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4"/>
              </w:rPr>
              <w:t>(1,143)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r>
      <w:tr>
        <w:trPr>
          <w:trHeight w:val="223"/>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current period other comprehensive income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4"/>
              </w:rPr>
              <w:t>(1,004)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Balance at end of fiscal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4"/>
              </w:rPr>
              <w:t>(3,814)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14.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60" w:type="dxa"/>
            <w:vAlign w:val="bottom"/>
          </w:tcPr>
          <w:p>
            <w:pPr>
              <w:spacing w:after="0"/>
              <w:rPr>
                <w:sz w:val="24"/>
                <w:szCs w:val="24"/>
                <w:color w:val="auto"/>
              </w:rPr>
            </w:pPr>
          </w:p>
        </w:tc>
        <w:tc>
          <w:tcPr>
            <w:tcW w:w="898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98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w w:val="90"/>
              </w:rPr>
              <w:t>National Vision Holdings, Inc. and Subsidiaries (Parent Company Only)</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780" w:type="dxa"/>
            <w:vAlign w:val="bottom"/>
          </w:tcPr>
          <w:p>
            <w:pPr>
              <w:jc w:val="center"/>
              <w:ind w:left="4250"/>
              <w:spacing w:after="0"/>
              <w:rPr>
                <w:sz w:val="20"/>
                <w:szCs w:val="20"/>
                <w:color w:val="auto"/>
              </w:rPr>
            </w:pPr>
            <w:r>
              <w:rPr>
                <w:rFonts w:ascii="Arial" w:cs="Arial" w:eastAsia="Arial" w:hAnsi="Arial"/>
                <w:sz w:val="18"/>
                <w:szCs w:val="18"/>
                <w:b w:val="1"/>
                <w:bCs w:val="1"/>
                <w:color w:val="auto"/>
                <w:w w:val="86"/>
              </w:rPr>
              <w:t>Condensed Balance Sheets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780" w:type="dxa"/>
            <w:vAlign w:val="bottom"/>
          </w:tcPr>
          <w:p>
            <w:pPr>
              <w:jc w:val="center"/>
              <w:ind w:left="4250"/>
              <w:spacing w:after="0"/>
              <w:rPr>
                <w:sz w:val="20"/>
                <w:szCs w:val="20"/>
                <w:color w:val="auto"/>
              </w:rPr>
            </w:pPr>
            <w:r>
              <w:rPr>
                <w:rFonts w:ascii="Arial" w:cs="Arial" w:eastAsia="Arial" w:hAnsi="Arial"/>
                <w:sz w:val="18"/>
                <w:szCs w:val="18"/>
                <w:i w:val="1"/>
                <w:iCs w:val="1"/>
                <w:color w:val="auto"/>
                <w:w w:val="89"/>
              </w:rPr>
              <w:t>In Thousands, Except Par Value</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color w:val="auto"/>
              </w:rPr>
              <w:t>As of January 2, 2021</w:t>
            </w:r>
          </w:p>
        </w:tc>
        <w:tc>
          <w:tcPr>
            <w:tcW w:w="120" w:type="dxa"/>
            <w:vAlign w:val="bottom"/>
          </w:tcPr>
          <w:p>
            <w:pPr>
              <w:spacing w:after="0"/>
              <w:rPr>
                <w:sz w:val="24"/>
                <w:szCs w:val="24"/>
                <w:color w:val="auto"/>
              </w:rPr>
            </w:pPr>
          </w:p>
        </w:tc>
        <w:tc>
          <w:tcPr>
            <w:tcW w:w="2040" w:type="dxa"/>
            <w:vAlign w:val="bottom"/>
          </w:tcPr>
          <w:p>
            <w:pPr>
              <w:jc w:val="right"/>
              <w:ind w:right="70"/>
              <w:spacing w:after="0"/>
              <w:rPr>
                <w:sz w:val="20"/>
                <w:szCs w:val="20"/>
                <w:color w:val="auto"/>
              </w:rPr>
            </w:pPr>
            <w:r>
              <w:rPr>
                <w:rFonts w:ascii="Arial" w:cs="Arial" w:eastAsia="Arial" w:hAnsi="Arial"/>
                <w:sz w:val="18"/>
                <w:szCs w:val="18"/>
                <w:color w:val="auto"/>
                <w:w w:val="91"/>
              </w:rPr>
              <w:t>As of December 28, 2019</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subsidiary</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804,443</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804,763</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$0.01 par value; 200,000 shares authorized; 82,183 and 80,603 shares issued</w:t>
            </w: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January 2, 2021 and December 28, 2019, respectively; 81,239 and 79,678 shares</w:t>
            </w:r>
          </w:p>
        </w:tc>
        <w:tc>
          <w:tcPr>
            <w:tcW w:w="16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outstanding as of January 2, 2021 and December 28, 2019, respectively</w:t>
            </w:r>
          </w:p>
        </w:tc>
        <w:tc>
          <w:tcPr>
            <w:tcW w:w="16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780" w:type="dxa"/>
            <w:vAlign w:val="bottom"/>
          </w:tcPr>
          <w:p>
            <w:pPr>
              <w:ind w:left="20"/>
              <w:spacing w:after="0" w:line="176" w:lineRule="exact"/>
              <w:rPr>
                <w:sz w:val="20"/>
                <w:szCs w:val="20"/>
                <w:color w:val="auto"/>
              </w:rPr>
            </w:pPr>
            <w:r>
              <w:rPr>
                <w:rFonts w:ascii="Arial" w:cs="Arial" w:eastAsia="Arial" w:hAnsi="Arial"/>
                <w:sz w:val="18"/>
                <w:szCs w:val="18"/>
                <w:color w:val="auto"/>
                <w:w w:val="92"/>
              </w:rPr>
              <w:t>Treasury stock, at cost; 944 and 925 shares as of January 2, 2021 and December 28, 2019,</w:t>
            </w:r>
          </w:p>
        </w:tc>
        <w:tc>
          <w:tcPr>
            <w:tcW w:w="16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1,270,270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805,352</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 2019 includes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Cost applicable to revenue</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net income of subsidiaries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of subsidiaries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23,827</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23,653</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hedge instruments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r>
      <w:tr>
        <w:trPr>
          <w:trHeight w:val="22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30"/>
        </w:trPr>
        <w:tc>
          <w:tcPr>
            <w:tcW w:w="40" w:type="dxa"/>
            <w:vAlign w:val="bottom"/>
          </w:tcPr>
          <w:p>
            <w:pPr>
              <w:spacing w:after="0"/>
              <w:rPr>
                <w:sz w:val="24"/>
                <w:szCs w:val="24"/>
                <w:color w:val="auto"/>
              </w:rPr>
            </w:pPr>
          </w:p>
        </w:tc>
        <w:tc>
          <w:tcPr>
            <w:tcW w:w="7920" w:type="dxa"/>
            <w:vAlign w:val="bottom"/>
            <w:gridSpan w:val="6"/>
          </w:tcPr>
          <w:p>
            <w:pPr>
              <w:jc w:val="center"/>
              <w:ind w:left="315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952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0"/>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8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8"/>
              </w:rPr>
              <w:t>Condensed Statements of Cash Flows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0" w:type="dxa"/>
            <w:vAlign w:val="bottom"/>
            <w:gridSpan w:val="2"/>
          </w:tcPr>
          <w:p>
            <w:pPr>
              <w:jc w:val="center"/>
              <w:ind w:left="1050"/>
              <w:spacing w:after="0"/>
              <w:rPr>
                <w:sz w:val="20"/>
                <w:szCs w:val="20"/>
                <w:color w:val="auto"/>
              </w:rPr>
            </w:pPr>
            <w:r>
              <w:rPr>
                <w:rFonts w:ascii="Arial" w:cs="Arial" w:eastAsia="Arial" w:hAnsi="Arial"/>
                <w:sz w:val="18"/>
                <w:szCs w:val="18"/>
                <w:i w:val="1"/>
                <w:iCs w:val="1"/>
                <w:color w:val="auto"/>
                <w:w w:val="89"/>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2019</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2018</w:t>
            </w:r>
          </w:p>
        </w:tc>
      </w:tr>
      <w:tr>
        <w:trPr>
          <w:trHeight w:val="210"/>
        </w:trPr>
        <w:tc>
          <w:tcPr>
            <w:tcW w:w="4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6"/>
              </w:rPr>
              <w:t>Net cash provided by (used for) operating activities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25,455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Investment in subsidiary</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(19,802)</w:t>
            </w:r>
          </w:p>
        </w:tc>
      </w:tr>
      <w:tr>
        <w:trPr>
          <w:trHeight w:val="223"/>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cash provided by (used for) investing activities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w:t>
            </w:r>
          </w:p>
        </w:tc>
      </w:tr>
      <w:tr>
        <w:trPr>
          <w:trHeight w:val="230"/>
        </w:trPr>
        <w:tc>
          <w:tcPr>
            <w:tcW w:w="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Proceeds from stock option exercises and associate stock purchase plan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w:t>
            </w:r>
          </w:p>
        </w:tc>
      </w:tr>
      <w:tr>
        <w:trPr>
          <w:trHeight w:val="229"/>
        </w:trPr>
        <w:tc>
          <w:tcPr>
            <w:tcW w:w="4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Proceeds from issuance of convertible notes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debt issuance costs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Purchase of treasury stock</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provided by (used for) financing activities</w:t>
            </w:r>
          </w:p>
        </w:tc>
        <w:tc>
          <w:tcPr>
            <w:tcW w:w="2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19,802</w:t>
            </w:r>
          </w:p>
        </w:tc>
      </w:tr>
      <w:tr>
        <w:trPr>
          <w:trHeight w:val="223"/>
        </w:trPr>
        <w:tc>
          <w:tcPr>
            <w:tcW w:w="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1"/>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years 2019 and 2018 include 52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the Company issued $402.5 million principal amount of 2.50% convertible senior notes due 2025. The 2025 Notes will pay interest semi-annually in arrears on May 15 and November 15 of each year, commencing on November 15, 2020, at an annual rate of 2.50% and will be convertible into cash, shares of common stock or a combination of cash and shares of common stock, at our election, based on the applicable conversion rate at such time. NVHI contributed the proceeds from of the 2025 Notes to NVI as additional investments during the fiscal year 2020. See Note 4. “Long-term Debt” to the NVHI consolidated financial statements for details of the 2025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the </w:t>
      </w:r>
      <w:r>
        <w:rPr>
          <w:rFonts w:ascii="Arial" w:cs="Arial" w:eastAsia="Arial" w:hAnsi="Arial"/>
          <w:sz w:val="18"/>
          <w:szCs w:val="18"/>
          <w:i w:val="1"/>
          <w:iCs w:val="1"/>
          <w:color w:val="auto"/>
        </w:rPr>
        <w:t>Credit Agreement</w:t>
      </w:r>
      <w:r>
        <w:rPr>
          <w:rFonts w:ascii="Arial" w:cs="Arial" w:eastAsia="Arial" w:hAnsi="Arial"/>
          <w:sz w:val="18"/>
          <w:szCs w:val="18"/>
          <w:color w:val="auto"/>
        </w:rPr>
        <w:t xml:space="preserve"> section included in Note 4. “Long-term Debt” to the NVHI consolidated financial statements, NVI used proceeds from the 2025 Notes to fully repay the outstanding amount on its Revolving Credit Facility of $294.3 million and partially repaid $75 million on the Term Loan. As of January 2, 2021, NVI had $317.4 million of principal amount of long-term debt outstanding under its Term Loan and no outstanding balance under its $300.0 million Revolving Credit Facility, which includes $6.4 million in outstanding letters of credit.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Credit Agreement Amendment, provided no event of default has occurred and is continuing, NVI is permitted to pay dividends to NVHI with certain restrictions as stated in the Credit Agreement Amendment.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January 2, 2021. Based on that evaluation, the CEO and the CFO have concluded that, as of January 2, 2021,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63" w:lineRule="exact"/>
        <w:rPr>
          <w:sz w:val="20"/>
          <w:szCs w:val="20"/>
          <w:color w:val="auto"/>
        </w:rPr>
      </w:pPr>
    </w:p>
    <w:p>
      <w:pPr>
        <w:ind w:left="660" w:hanging="328"/>
        <w:spacing w:after="0" w:line="25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with the participation of our CEO and CFO, has assessed the effectiveness of the Company’s internal control over financial reporting as of January 2, 2021 in accordance with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Based on this assessment, management concluded that the Company maintained effective internal control over financial reporting as of January 2, 2021. The Company’s independent registered public accounting firm, Deloitte &amp; Touche LLP, as auditors of our consolidated financial statements as of and for the year ended January 2, 2021, has issued their attestation report on management’s internal control over financial reporting which is set forth below.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National Vision Holdings, Inc. and subsidiaries (the “Company”) as of January 2,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2,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2, 2021, of the Company and our report dated March 2, 2021, expressed an unqualified opinion on those financial statements</w:t>
      </w:r>
      <w:r>
        <w:rPr>
          <w:rFonts w:ascii="Arial" w:cs="Arial" w:eastAsia="Arial" w:hAnsi="Arial"/>
          <w:sz w:val="18"/>
          <w:szCs w:val="18"/>
          <w:i w:val="1"/>
          <w:i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as of March 3,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Age</w:t>
            </w:r>
          </w:p>
        </w:tc>
        <w:tc>
          <w:tcPr>
            <w:tcW w:w="5420" w:type="dxa"/>
            <w:vAlign w:val="bottom"/>
          </w:tcPr>
          <w:p>
            <w:pPr>
              <w:ind w:left="20"/>
              <w:spacing w:after="0"/>
              <w:rPr>
                <w:sz w:val="20"/>
                <w:szCs w:val="20"/>
                <w:color w:val="auto"/>
              </w:rPr>
            </w:pPr>
            <w:r>
              <w:rPr>
                <w:rFonts w:ascii="Arial" w:cs="Arial" w:eastAsia="Arial" w:hAnsi="Arial"/>
                <w:sz w:val="18"/>
                <w:szCs w:val="18"/>
                <w:color w:val="auto"/>
              </w:rPr>
              <w:t>Position</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 Reade Fahs</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Patrick R. Moore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Ravi Acharya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Technology Officer</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Joan Blackwood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Marketing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Jared Brandman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Bill Clark</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People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Melissa Rasmussen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Accounting Officer</w:t>
            </w:r>
          </w:p>
        </w:tc>
      </w:tr>
    </w:tbl>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L. Reade Fahs </w:t>
      </w:r>
      <w:r>
        <w:rPr>
          <w:rFonts w:ascii="Arial" w:cs="Arial" w:eastAsia="Arial" w:hAnsi="Arial"/>
          <w:sz w:val="17"/>
          <w:szCs w:val="17"/>
          <w:color w:val="auto"/>
        </w:rPr>
        <w:t>has served as the Chief Executive Officer of NVI since January 2003, having joined NVI in April 2002 as the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Patrick R. Moore </w:t>
      </w:r>
      <w:r>
        <w:rPr>
          <w:rFonts w:ascii="Arial" w:cs="Arial" w:eastAsia="Arial" w:hAnsi="Arial"/>
          <w:sz w:val="16"/>
          <w:szCs w:val="16"/>
          <w:color w:val="auto"/>
        </w:rPr>
        <w:t>has served as the Senior Vice President, Chief Financial Officer of NVI since September 2014, and was appointed the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degree in Mechanical Engineering, as well as an MBA degree from the University of Alabama. Mr. Moore also attended the Stanford Executive program in 2002.</w:t>
      </w:r>
    </w:p>
    <w:p>
      <w:pPr>
        <w:spacing w:after="0" w:line="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Ravi Acharya </w:t>
      </w:r>
      <w:r>
        <w:rPr>
          <w:rFonts w:ascii="Arial" w:cs="Arial" w:eastAsia="Arial" w:hAnsi="Arial"/>
          <w:sz w:val="18"/>
          <w:szCs w:val="18"/>
          <w:color w:val="auto"/>
        </w:rPr>
        <w:t>has served as the Senior Vice President, Chief Technology Officer of National Vision Holdings, Inc. since March 2020. Previously,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2015 until March 2019, Mr. Acharya served as the Divisional CIO and Vice President of eCommerce for Medtronic’s global Diabetes business unit and led direct-to-consumer and e-Commerce technology-driven solutions across multiple industries at companies including Equifax, Sears and Capgemini. Mr. Acharya earned an MBA from the Kellogg School of Management at Northwestern University and a B.S. in Electrical Engineering from the Illinois Institute of Technology.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Joan Blackwood </w:t>
      </w:r>
      <w:r>
        <w:rPr>
          <w:rFonts w:ascii="Arial" w:cs="Arial" w:eastAsia="Arial" w:hAnsi="Arial"/>
          <w:sz w:val="18"/>
          <w:szCs w:val="18"/>
          <w:color w:val="auto"/>
        </w:rPr>
        <w:t>has served as the Senior Vice President, Chief Marketing Officer of National Vision Holdings, Inc. since December 2019.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Vision, Ms. Blackwood served most recently as the Chief Marketing Officer of the University of Phoenix from February 2015 until December 2019 and served as the Chief Marketing Officer for Zumba Fitness from May 2013 until October 2014. Prior to Zumba Fitness, Ms. Blackwood held chief marketing officer roles at 1-800-Contacts/Glasses.com and Monster Worldwide. Ms. Blackwood holds a B.A. degree in Journalism from Indiana University.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Jared Brandman </w:t>
      </w:r>
      <w:r>
        <w:rPr>
          <w:rFonts w:ascii="Arial" w:cs="Arial" w:eastAsia="Arial" w:hAnsi="Arial"/>
          <w:sz w:val="18"/>
          <w:szCs w:val="18"/>
          <w:color w:val="auto"/>
        </w:rPr>
        <w:t>has served as the Senior Vice President, General Counsel and Secretary of National Vision Holdings, Inc. since February 2019.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Brandman joined National Vision in 2017 as Vice President, Assistant General Counsel and Assistant Secretary. Prior to joining the Company, Mr. Brandman was Securities Counsel for The Coca-Cola Company from 2010 to 2017. Mr. Brandman holds a B.A. degree in organizational studies from the University of Michigan and a J.D. degree from Emory University School of Law.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Bill Clark </w:t>
      </w:r>
      <w:r>
        <w:rPr>
          <w:rFonts w:ascii="Arial" w:cs="Arial" w:eastAsia="Arial" w:hAnsi="Arial"/>
          <w:sz w:val="18"/>
          <w:szCs w:val="18"/>
          <w:color w:val="auto"/>
        </w:rPr>
        <w:t>has served as the Senior Vice President, Chief People Officer of National Vision Holdings, Inc. since June 2019. Prior to joining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Vision, he served as Senior Vice 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Melissa Rasmussen </w:t>
      </w:r>
      <w:r>
        <w:rPr>
          <w:rFonts w:ascii="Arial" w:cs="Arial" w:eastAsia="Arial" w:hAnsi="Arial"/>
          <w:sz w:val="16"/>
          <w:szCs w:val="16"/>
          <w:color w:val="auto"/>
        </w:rPr>
        <w:t>has served as the Senior Vice President, Chief Accounting Officer of National Vision Holdings, Inc. since July 2019. Ms. Rasmussen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National Vision after spending 21 years at Lexmark International, Inc., where she was most recently Vice President and Corporate Controller from November 2016 to July 2019. From February 2012 to November 2016, Ms. Rasmussen served as Director of SEC Reporting and Corporate Consolidation for Lexmark. Prior to that, she held numerous finance and accounting leadership roles, including North America Controller and Global Consolidation Manager. Ms. Rasmussen holds a B.S. degree in Accounting from the University of Kentucky and is a certified public accountant.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additional information required by this item will be included in our definitive proxy statement for the 2021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10300" w:type="dxa"/>
            <w:vAlign w:val="bottom"/>
            <w:gridSpan w:val="5"/>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900" w:type="dxa"/>
            <w:vAlign w:val="bottom"/>
          </w:tcPr>
          <w:p>
            <w:pPr>
              <w:spacing w:after="0"/>
              <w:rPr>
                <w:sz w:val="20"/>
                <w:szCs w:val="20"/>
                <w:color w:val="auto"/>
              </w:rPr>
            </w:pPr>
          </w:p>
        </w:tc>
      </w:tr>
      <w:tr>
        <w:trPr>
          <w:trHeight w:val="648"/>
        </w:trPr>
        <w:tc>
          <w:tcPr>
            <w:tcW w:w="1030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4"/>
                <w:szCs w:val="24"/>
                <w:color w:val="auto"/>
              </w:rPr>
            </w:pPr>
          </w:p>
        </w:tc>
      </w:tr>
      <w:tr>
        <w:trPr>
          <w:trHeight w:val="324"/>
        </w:trPr>
        <w:tc>
          <w:tcPr>
            <w:tcW w:w="10300" w:type="dxa"/>
            <w:vAlign w:val="bottom"/>
            <w:gridSpan w:val="5"/>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00" w:type="dxa"/>
            <w:vAlign w:val="bottom"/>
          </w:tcPr>
          <w:p>
            <w:pPr>
              <w:spacing w:after="0"/>
              <w:rPr>
                <w:sz w:val="24"/>
                <w:szCs w:val="24"/>
                <w:color w:val="auto"/>
              </w:rPr>
            </w:pPr>
          </w:p>
        </w:tc>
      </w:tr>
      <w:tr>
        <w:trPr>
          <w:trHeight w:val="432"/>
        </w:trPr>
        <w:tc>
          <w:tcPr>
            <w:tcW w:w="10300" w:type="dxa"/>
            <w:vAlign w:val="bottom"/>
            <w:gridSpan w:val="5"/>
          </w:tcPr>
          <w:p>
            <w:pPr>
              <w:spacing w:after="0"/>
              <w:rPr>
                <w:sz w:val="20"/>
                <w:szCs w:val="20"/>
                <w:color w:val="auto"/>
              </w:rPr>
            </w:pPr>
            <w:r>
              <w:rPr>
                <w:rFonts w:ascii="Arial" w:cs="Arial" w:eastAsia="Arial" w:hAnsi="Arial"/>
                <w:sz w:val="18"/>
                <w:szCs w:val="18"/>
                <w:color w:val="auto"/>
              </w:rPr>
              <w:t>The following documents are filed as a part of this report:</w:t>
            </w:r>
          </w:p>
        </w:tc>
        <w:tc>
          <w:tcPr>
            <w:tcW w:w="90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0260" w:type="dxa"/>
            <w:vAlign w:val="bottom"/>
            <w:gridSpan w:val="4"/>
          </w:tcPr>
          <w:p>
            <w:pPr>
              <w:ind w:left="700"/>
              <w:spacing w:after="0"/>
              <w:rPr>
                <w:sz w:val="20"/>
                <w:szCs w:val="20"/>
                <w:color w:val="auto"/>
              </w:rPr>
            </w:pPr>
            <w:r>
              <w:rPr>
                <w:rFonts w:ascii="Arial" w:cs="Arial" w:eastAsia="Arial" w:hAnsi="Arial"/>
                <w:sz w:val="18"/>
                <w:szCs w:val="18"/>
                <w:color w:val="auto"/>
              </w:rPr>
              <w:t>(1) Consolidated financial statements</w:t>
            </w:r>
          </w:p>
        </w:tc>
        <w:tc>
          <w:tcPr>
            <w:tcW w:w="90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10260" w:type="dxa"/>
            <w:vAlign w:val="bottom"/>
            <w:gridSpan w:val="4"/>
          </w:tcPr>
          <w:p>
            <w:pPr>
              <w:ind w:left="1400"/>
              <w:spacing w:after="0"/>
              <w:rPr>
                <w:rFonts w:ascii="Arial" w:cs="Arial" w:eastAsia="Arial" w:hAnsi="Arial"/>
                <w:sz w:val="18"/>
                <w:szCs w:val="18"/>
                <w:color w:val="auto"/>
              </w:rPr>
            </w:pPr>
            <w:r>
              <w:rPr>
                <w:rFonts w:ascii="Arial" w:cs="Arial" w:eastAsia="Arial" w:hAnsi="Arial"/>
                <w:sz w:val="18"/>
                <w:szCs w:val="18"/>
                <w:color w:val="auto"/>
              </w:rPr>
              <w:t xml:space="preserve">For the following consolidated financial information included herein, see Part II. Item 8.on Page </w:t>
            </w:r>
            <w:hyperlink w:anchor="page72">
              <w:r>
                <w:rPr>
                  <w:rFonts w:ascii="Arial" w:cs="Arial" w:eastAsia="Arial" w:hAnsi="Arial"/>
                  <w:sz w:val="18"/>
                  <w:szCs w:val="18"/>
                  <w:u w:val="single" w:color="auto"/>
                  <w:color w:val="0000FF"/>
                </w:rPr>
                <w:t>72</w:t>
              </w:r>
            </w:hyperlink>
          </w:p>
        </w:tc>
        <w:tc>
          <w:tcPr>
            <w:tcW w:w="90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29"/>
        </w:trPr>
        <w:tc>
          <w:tcPr>
            <w:tcW w:w="40" w:type="dxa"/>
            <w:vAlign w:val="bottom"/>
          </w:tcPr>
          <w:p>
            <w:pPr>
              <w:spacing w:after="0"/>
              <w:rPr>
                <w:sz w:val="19"/>
                <w:szCs w:val="19"/>
                <w:color w:val="auto"/>
              </w:rPr>
            </w:pPr>
          </w:p>
        </w:tc>
        <w:tc>
          <w:tcPr>
            <w:tcW w:w="10260" w:type="dxa"/>
            <w:vAlign w:val="bottom"/>
            <w:gridSpan w:val="4"/>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 xml:space="preserve">Consolidated Balance Sheets as of </w:t>
              </w:r>
            </w:hyperlink>
            <w:hyperlink w:anchor="page75">
              <w:r>
                <w:rPr>
                  <w:rFonts w:ascii="Arial" w:cs="Arial" w:eastAsia="Arial" w:hAnsi="Arial"/>
                  <w:sz w:val="18"/>
                  <w:szCs w:val="18"/>
                  <w:u w:val="single" w:color="auto"/>
                  <w:color w:val="0000FF"/>
                </w:rPr>
                <w:t>January 2, 2021 and December 28, 2019</w:t>
              </w:r>
            </w:hyperlink>
          </w:p>
        </w:tc>
        <w:tc>
          <w:tcPr>
            <w:tcW w:w="90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r>
      <w:tr>
        <w:trPr>
          <w:trHeight w:val="190"/>
        </w:trPr>
        <w:tc>
          <w:tcPr>
            <w:tcW w:w="40" w:type="dxa"/>
            <w:vAlign w:val="bottom"/>
          </w:tcPr>
          <w:p>
            <w:pPr>
              <w:spacing w:after="0"/>
              <w:rPr>
                <w:sz w:val="16"/>
                <w:szCs w:val="16"/>
                <w:color w:val="auto"/>
              </w:rPr>
            </w:pPr>
          </w:p>
        </w:tc>
        <w:tc>
          <w:tcPr>
            <w:tcW w:w="10260" w:type="dxa"/>
            <w:vAlign w:val="bottom"/>
            <w:gridSpan w:val="4"/>
          </w:tcPr>
          <w:p>
            <w:pPr>
              <w:spacing w:after="0" w:line="190" w:lineRule="exact"/>
              <w:rPr>
                <w:rFonts w:ascii="Arial" w:cs="Arial" w:eastAsia="Arial" w:hAnsi="Arial"/>
                <w:sz w:val="18"/>
                <w:szCs w:val="18"/>
                <w:color w:val="0000FF"/>
                <w:w w:val="94"/>
              </w:rPr>
            </w:pPr>
            <w:hyperlink w:anchor="page75">
              <w:r>
                <w:rPr>
                  <w:rFonts w:ascii="Arial" w:cs="Arial" w:eastAsia="Arial" w:hAnsi="Arial"/>
                  <w:sz w:val="18"/>
                  <w:szCs w:val="18"/>
                  <w:u w:val="single" w:color="auto"/>
                  <w:color w:val="0000FF"/>
                  <w:w w:val="94"/>
                </w:rPr>
                <w:t>Consolidated Statements of Operations and Comprehensive income for the fiscal years ended</w:t>
              </w:r>
              <w:r>
                <w:rPr>
                  <w:rFonts w:ascii="Arial" w:cs="Arial" w:eastAsia="Arial" w:hAnsi="Arial"/>
                  <w:sz w:val="18"/>
                  <w:szCs w:val="18"/>
                  <w:color w:val="0000FF"/>
                  <w:w w:val="94"/>
                </w:rPr>
                <w:t xml:space="preserve"> January 2, 2021, December 28, 2019 and</w:t>
              </w:r>
            </w:hyperlink>
          </w:p>
        </w:tc>
        <w:tc>
          <w:tcPr>
            <w:tcW w:w="900" w:type="dxa"/>
            <w:vAlign w:val="bottom"/>
          </w:tcPr>
          <w:p>
            <w:pPr>
              <w:spacing w:after="0"/>
              <w:rPr>
                <w:sz w:val="16"/>
                <w:szCs w:val="16"/>
                <w:color w:val="auto"/>
              </w:rPr>
            </w:pPr>
          </w:p>
        </w:tc>
      </w:tr>
      <w:tr>
        <w:trPr>
          <w:trHeight w:val="155"/>
        </w:trPr>
        <w:tc>
          <w:tcPr>
            <w:tcW w:w="40" w:type="dxa"/>
            <w:vAlign w:val="bottom"/>
          </w:tcPr>
          <w:p>
            <w:pPr>
              <w:spacing w:after="0"/>
              <w:rPr>
                <w:sz w:val="13"/>
                <w:szCs w:val="13"/>
                <w:color w:val="auto"/>
              </w:rPr>
            </w:pPr>
          </w:p>
        </w:tc>
        <w:tc>
          <w:tcPr>
            <w:tcW w:w="6780" w:type="dxa"/>
            <w:vAlign w:val="bottom"/>
            <w:gridSpan w:val="2"/>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December 29, 2018</w:t>
              </w:r>
            </w:hyperlink>
          </w:p>
        </w:tc>
        <w:tc>
          <w:tcPr>
            <w:tcW w:w="294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line="156" w:lineRule="exact"/>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76</w:t>
              </w:r>
            </w:hyperlink>
          </w:p>
        </w:tc>
      </w:tr>
      <w:tr>
        <w:trPr>
          <w:trHeight w:val="20"/>
        </w:trPr>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10260" w:type="dxa"/>
            <w:vAlign w:val="bottom"/>
            <w:gridSpan w:val="4"/>
          </w:tcPr>
          <w:p>
            <w:pPr>
              <w:spacing w:after="0"/>
              <w:rPr>
                <w:rFonts w:ascii="Arial" w:cs="Arial" w:eastAsia="Arial" w:hAnsi="Arial"/>
                <w:sz w:val="18"/>
                <w:szCs w:val="18"/>
                <w:u w:val="single" w:color="auto"/>
                <w:color w:val="0000FF"/>
                <w:w w:val="93"/>
              </w:rPr>
            </w:pPr>
            <w:hyperlink w:anchor="page76">
              <w:r>
                <w:rPr>
                  <w:rFonts w:ascii="Arial" w:cs="Arial" w:eastAsia="Arial" w:hAnsi="Arial"/>
                  <w:sz w:val="18"/>
                  <w:szCs w:val="18"/>
                  <w:u w:val="single" w:color="auto"/>
                  <w:color w:val="0000FF"/>
                  <w:w w:val="93"/>
                </w:rPr>
                <w:t xml:space="preserve">Consolidated Statements of Stockholders’ Equity for the fiscal years ended </w:t>
              </w:r>
            </w:hyperlink>
            <w:hyperlink w:anchor="page75">
              <w:r>
                <w:rPr>
                  <w:rFonts w:ascii="Arial" w:cs="Arial" w:eastAsia="Arial" w:hAnsi="Arial"/>
                  <w:sz w:val="18"/>
                  <w:szCs w:val="18"/>
                  <w:u w:val="single" w:color="auto"/>
                  <w:color w:val="0000FF"/>
                  <w:w w:val="93"/>
                </w:rPr>
                <w:t>January 2, 2021, December 28, 2019 and December 29, 2018</w:t>
              </w:r>
            </w:hyperlink>
          </w:p>
        </w:tc>
        <w:tc>
          <w:tcPr>
            <w:tcW w:w="90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77</w:t>
              </w:r>
            </w:hyperlink>
          </w:p>
        </w:tc>
      </w:tr>
      <w:tr>
        <w:trPr>
          <w:trHeight w:val="230"/>
        </w:trPr>
        <w:tc>
          <w:tcPr>
            <w:tcW w:w="40" w:type="dxa"/>
            <w:vAlign w:val="bottom"/>
          </w:tcPr>
          <w:p>
            <w:pPr>
              <w:spacing w:after="0"/>
              <w:rPr>
                <w:sz w:val="19"/>
                <w:szCs w:val="19"/>
                <w:color w:val="auto"/>
              </w:rPr>
            </w:pPr>
          </w:p>
        </w:tc>
        <w:tc>
          <w:tcPr>
            <w:tcW w:w="10260" w:type="dxa"/>
            <w:vAlign w:val="bottom"/>
            <w:gridSpan w:val="4"/>
          </w:tcPr>
          <w:p>
            <w:pPr>
              <w:spacing w:after="0"/>
              <w:rPr>
                <w:rFonts w:ascii="Arial" w:cs="Arial" w:eastAsia="Arial" w:hAnsi="Arial"/>
                <w:sz w:val="18"/>
                <w:szCs w:val="18"/>
                <w:u w:val="single" w:color="auto"/>
                <w:color w:val="0000FF"/>
                <w:w w:val="99"/>
              </w:rPr>
            </w:pPr>
            <w:hyperlink w:anchor="page77">
              <w:r>
                <w:rPr>
                  <w:rFonts w:ascii="Arial" w:cs="Arial" w:eastAsia="Arial" w:hAnsi="Arial"/>
                  <w:sz w:val="18"/>
                  <w:szCs w:val="18"/>
                  <w:u w:val="single" w:color="auto"/>
                  <w:color w:val="0000FF"/>
                  <w:w w:val="99"/>
                </w:rPr>
                <w:t xml:space="preserve">Consolidated Statements of Cash Flows for the fiscal years ended </w:t>
              </w:r>
            </w:hyperlink>
            <w:hyperlink w:anchor="page75">
              <w:r>
                <w:rPr>
                  <w:rFonts w:ascii="Arial" w:cs="Arial" w:eastAsia="Arial" w:hAnsi="Arial"/>
                  <w:sz w:val="18"/>
                  <w:szCs w:val="18"/>
                  <w:u w:val="single" w:color="auto"/>
                  <w:color w:val="0000FF"/>
                  <w:w w:val="99"/>
                </w:rPr>
                <w:t>January 2, 2021, December 28, 2019 and December 29, 2018</w:t>
              </w:r>
            </w:hyperlink>
          </w:p>
        </w:tc>
        <w:tc>
          <w:tcPr>
            <w:tcW w:w="90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78</w:t>
              </w:r>
            </w:hyperlink>
          </w:p>
        </w:tc>
      </w:tr>
      <w:tr>
        <w:trPr>
          <w:trHeight w:val="229"/>
        </w:trPr>
        <w:tc>
          <w:tcPr>
            <w:tcW w:w="40" w:type="dxa"/>
            <w:vAlign w:val="bottom"/>
          </w:tcPr>
          <w:p>
            <w:pPr>
              <w:spacing w:after="0"/>
              <w:rPr>
                <w:sz w:val="19"/>
                <w:szCs w:val="19"/>
                <w:color w:val="auto"/>
              </w:rPr>
            </w:pPr>
          </w:p>
        </w:tc>
        <w:tc>
          <w:tcPr>
            <w:tcW w:w="10260" w:type="dxa"/>
            <w:vAlign w:val="bottom"/>
            <w:gridSpan w:val="4"/>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Notes to Consolidated Financial Statements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79</w:t>
              </w:r>
            </w:hyperlink>
          </w:p>
        </w:tc>
      </w:tr>
      <w:tr>
        <w:trPr>
          <w:trHeight w:val="230"/>
        </w:trPr>
        <w:tc>
          <w:tcPr>
            <w:tcW w:w="40" w:type="dxa"/>
            <w:vAlign w:val="bottom"/>
          </w:tcPr>
          <w:p>
            <w:pPr>
              <w:spacing w:after="0"/>
              <w:rPr>
                <w:sz w:val="20"/>
                <w:szCs w:val="20"/>
                <w:color w:val="auto"/>
              </w:rPr>
            </w:pPr>
          </w:p>
        </w:tc>
        <w:tc>
          <w:tcPr>
            <w:tcW w:w="10260" w:type="dxa"/>
            <w:vAlign w:val="bottom"/>
            <w:gridSpan w:val="4"/>
          </w:tcPr>
          <w:p>
            <w:pPr>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Schedule I – Condensed Financial Information of Registrant</w:t>
              </w:r>
            </w:hyperlink>
          </w:p>
        </w:tc>
        <w:tc>
          <w:tcPr>
            <w:tcW w:w="90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114</w:t>
              </w:r>
            </w:hyperlink>
          </w:p>
        </w:tc>
      </w:tr>
    </w:tbl>
    <w:p>
      <w:pPr>
        <w:spacing w:after="0" w:line="26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 Financial statement Schedule I as filed in Part II. Item 8. of this Form 10-K:</w:t>
      </w: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23" w:lineRule="exact"/>
        <w:rPr>
          <w:sz w:val="20"/>
          <w:szCs w:val="20"/>
          <w:color w:val="auto"/>
        </w:rPr>
      </w:pPr>
    </w:p>
    <w:p>
      <w:pPr>
        <w:ind w:left="1440" w:right="1180"/>
        <w:spacing w:after="0" w:line="224" w:lineRule="auto"/>
        <w:rPr>
          <w:sz w:val="20"/>
          <w:szCs w:val="20"/>
          <w:color w:val="auto"/>
        </w:rPr>
      </w:pPr>
      <w:r>
        <w:rPr>
          <w:rFonts w:ascii="Arial" w:cs="Arial" w:eastAsia="Arial" w:hAnsi="Arial"/>
          <w:sz w:val="18"/>
          <w:szCs w:val="18"/>
          <w:color w:val="auto"/>
        </w:rPr>
        <w:t>All other financial schedules have been omitted because the required information is not presented in amounts sufficient to require submission of the schedule, or because the information required is included in the Consolidated Financial Statements, including notes thereto.</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30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1740" w:type="dxa"/>
            <w:vAlign w:val="bottom"/>
            <w:gridSpan w:val="4"/>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
          </w:tcPr>
          <w:p>
            <w:pPr>
              <w:ind w:left="3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auto"/>
            </w:tcBorders>
            <w:gridSpan w:val="2"/>
          </w:tcPr>
          <w:p>
            <w:pPr>
              <w:ind w:left="20"/>
              <w:spacing w:after="0" w:line="169" w:lineRule="exact"/>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3.1</w:t>
              </w:r>
            </w:hyperlink>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50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w w:val="92"/>
              </w:rPr>
              <w:t>Second Amended and Restated Certificate of Incorporation of National Vision Holdings, Inc. - incorporated herein by reference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October 31, 2017</w:t>
            </w:r>
          </w:p>
        </w:tc>
        <w:tc>
          <w:tcPr>
            <w:tcW w:w="0" w:type="dxa"/>
            <w:vAlign w:val="bottom"/>
          </w:tcPr>
          <w:p>
            <w:pPr>
              <w:spacing w:after="0"/>
              <w:rPr>
                <w:sz w:val="1"/>
                <w:szCs w:val="1"/>
                <w:color w:val="auto"/>
              </w:rPr>
            </w:pPr>
          </w:p>
        </w:tc>
      </w:tr>
      <w:tr>
        <w:trPr>
          <w:trHeight w:val="176"/>
        </w:trPr>
        <w:tc>
          <w:tcPr>
            <w:tcW w:w="520" w:type="dxa"/>
            <w:vAlign w:val="bottom"/>
            <w:gridSpan w:val="2"/>
          </w:tcPr>
          <w:p>
            <w:pPr>
              <w:ind w:left="20"/>
              <w:spacing w:after="0" w:line="176" w:lineRule="exact"/>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3.2</w:t>
              </w:r>
            </w:hyperlink>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Second Amended and Restated Bylaws of National Vision Holdings, Inc. - incorporated herein by reference to Exhibit 3.2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October 31, 2017</w:t>
            </w:r>
          </w:p>
        </w:tc>
        <w:tc>
          <w:tcPr>
            <w:tcW w:w="0" w:type="dxa"/>
            <w:vAlign w:val="bottom"/>
          </w:tcPr>
          <w:p>
            <w:pPr>
              <w:spacing w:after="0"/>
              <w:rPr>
                <w:sz w:val="1"/>
                <w:szCs w:val="1"/>
                <w:color w:val="auto"/>
              </w:rPr>
            </w:pPr>
          </w:p>
        </w:tc>
      </w:tr>
      <w:tr>
        <w:trPr>
          <w:trHeight w:val="230"/>
        </w:trPr>
        <w:tc>
          <w:tcPr>
            <w:tcW w:w="520" w:type="dxa"/>
            <w:vAlign w:val="bottom"/>
            <w:gridSpan w:val="2"/>
          </w:tcPr>
          <w:p>
            <w:pPr>
              <w:ind w:left="20"/>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4.1</w:t>
              </w:r>
            </w:hyperlink>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Description of Securities of the Registrant</w:t>
            </w:r>
          </w:p>
        </w:tc>
        <w:tc>
          <w:tcPr>
            <w:tcW w:w="0" w:type="dxa"/>
            <w:vAlign w:val="bottom"/>
          </w:tcPr>
          <w:p>
            <w:pPr>
              <w:spacing w:after="0"/>
              <w:rPr>
                <w:sz w:val="1"/>
                <w:szCs w:val="1"/>
                <w:color w:val="auto"/>
              </w:rPr>
            </w:pPr>
          </w:p>
        </w:tc>
      </w:tr>
      <w:tr>
        <w:trPr>
          <w:trHeight w:val="216"/>
        </w:trPr>
        <w:tc>
          <w:tcPr>
            <w:tcW w:w="520" w:type="dxa"/>
            <w:vAlign w:val="bottom"/>
            <w:gridSpan w:val="2"/>
          </w:tcPr>
          <w:p>
            <w:pPr>
              <w:ind w:left="20"/>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4.2</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5"/>
              </w:rPr>
              <w:t xml:space="preserve">Indenture, dated as of May 12, 2020, between National Vision Holdings, Inc. and U.S. Bank National Association, as trustee </w:t>
            </w:r>
            <w:r>
              <w:rPr>
                <w:rFonts w:ascii="Arial" w:cs="Arial" w:eastAsia="Arial" w:hAnsi="Arial"/>
                <w:sz w:val="18"/>
                <w:szCs w:val="18"/>
                <w:color w:val="212529"/>
                <w:w w:val="95"/>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incorporated herein by reference to Exhibit 4.1 to the Company’s Current Report on Form 8-K filed on May 12, 2020</w:t>
            </w:r>
          </w:p>
        </w:tc>
        <w:tc>
          <w:tcPr>
            <w:tcW w:w="0" w:type="dxa"/>
            <w:vAlign w:val="bottom"/>
          </w:tcPr>
          <w:p>
            <w:pPr>
              <w:spacing w:after="0"/>
              <w:rPr>
                <w:sz w:val="1"/>
                <w:szCs w:val="1"/>
                <w:color w:val="auto"/>
              </w:rPr>
            </w:pPr>
          </w:p>
        </w:tc>
      </w:tr>
      <w:tr>
        <w:trPr>
          <w:trHeight w:val="189"/>
        </w:trPr>
        <w:tc>
          <w:tcPr>
            <w:tcW w:w="520" w:type="dxa"/>
            <w:vAlign w:val="bottom"/>
            <w:gridSpan w:val="2"/>
          </w:tcPr>
          <w:p>
            <w:pPr>
              <w:ind w:left="20"/>
              <w:spacing w:after="0" w:line="189" w:lineRule="exact"/>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4.3</w:t>
              </w:r>
            </w:hyperlink>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89" w:lineRule="exact"/>
              <w:rPr>
                <w:sz w:val="20"/>
                <w:szCs w:val="20"/>
                <w:color w:val="auto"/>
              </w:rPr>
            </w:pPr>
            <w:r>
              <w:rPr>
                <w:rFonts w:ascii="Arial" w:cs="Arial" w:eastAsia="Arial" w:hAnsi="Arial"/>
                <w:sz w:val="18"/>
                <w:szCs w:val="18"/>
                <w:color w:val="auto"/>
                <w:w w:val="98"/>
              </w:rPr>
              <w:t xml:space="preserve">Form of 2.50% Convertible Senior Note due 2025 </w:t>
            </w:r>
            <w:r>
              <w:rPr>
                <w:rFonts w:ascii="Arial" w:cs="Arial" w:eastAsia="Arial" w:hAnsi="Arial"/>
                <w:sz w:val="18"/>
                <w:szCs w:val="18"/>
                <w:color w:val="212529"/>
                <w:w w:val="98"/>
              </w:rPr>
              <w:t>-</w:t>
            </w:r>
            <w:r>
              <w:rPr>
                <w:rFonts w:ascii="Arial" w:cs="Arial" w:eastAsia="Arial" w:hAnsi="Arial"/>
                <w:sz w:val="18"/>
                <w:szCs w:val="18"/>
                <w:color w:val="auto"/>
                <w:w w:val="98"/>
              </w:rPr>
              <w:t xml:space="preserve"> incorporated herein by reference to Exhibit A within Exhibit 4.1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May 12, 2020</w:t>
            </w:r>
          </w:p>
        </w:tc>
        <w:tc>
          <w:tcPr>
            <w:tcW w:w="0" w:type="dxa"/>
            <w:vAlign w:val="bottom"/>
          </w:tcPr>
          <w:p>
            <w:pPr>
              <w:spacing w:after="0"/>
              <w:rPr>
                <w:sz w:val="1"/>
                <w:szCs w:val="1"/>
                <w:color w:val="auto"/>
              </w:rPr>
            </w:pPr>
          </w:p>
        </w:tc>
      </w:tr>
      <w:tr>
        <w:trPr>
          <w:trHeight w:val="176"/>
        </w:trPr>
        <w:tc>
          <w:tcPr>
            <w:tcW w:w="520" w:type="dxa"/>
            <w:vAlign w:val="bottom"/>
            <w:gridSpan w:val="2"/>
          </w:tcPr>
          <w:p>
            <w:pPr>
              <w:ind w:left="20"/>
              <w:spacing w:after="0" w:line="176" w:lineRule="exact"/>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10.1</w:t>
              </w:r>
            </w:hyperlink>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Joinder and Amendment and Restatement Agreement, including as Exhibit A thereto, the Amended and Restated Credit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Agreement, dated as of July 18, 2019, by and among Nautilus Acquisition Holdings, Inc., National Vision, Inc., certain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subsidiaries of National Vision, Inc., as guarantors, Goldman Sachs Bank USA, as former administrative agent and collateral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2"/>
              </w:rPr>
              <w:t>agent, Bank of America, N.A., as new administrative agent and collateral agent, and the lenders from time to time party thereto -</w:t>
            </w:r>
          </w:p>
        </w:tc>
        <w:tc>
          <w:tcPr>
            <w:tcW w:w="0" w:type="dxa"/>
            <w:vAlign w:val="bottom"/>
          </w:tcPr>
          <w:p>
            <w:pPr>
              <w:spacing w:after="0"/>
              <w:rPr>
                <w:sz w:val="1"/>
                <w:szCs w:val="1"/>
                <w:color w:val="auto"/>
              </w:rPr>
            </w:pPr>
          </w:p>
        </w:tc>
      </w:tr>
      <w:tr>
        <w:trPr>
          <w:trHeight w:val="230"/>
        </w:trPr>
        <w:tc>
          <w:tcPr>
            <w:tcW w:w="520" w:type="dxa"/>
            <w:vAlign w:val="bottom"/>
            <w:gridSpan w:val="2"/>
            <w:vMerge w:val="restart"/>
          </w:tcPr>
          <w:p>
            <w:pPr>
              <w:ind w:left="2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10.2</w:t>
              </w:r>
            </w:hyperlink>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7"/>
              </w:rPr>
              <w:t>incorporated herein by reference to Exhibit 10.1 to the Company’s Quarterly Report on Form 10-Q filed on August 6, 2019</w:t>
            </w:r>
          </w:p>
        </w:tc>
        <w:tc>
          <w:tcPr>
            <w:tcW w:w="0" w:type="dxa"/>
            <w:vAlign w:val="bottom"/>
          </w:tcPr>
          <w:p>
            <w:pPr>
              <w:spacing w:after="0"/>
              <w:rPr>
                <w:sz w:val="1"/>
                <w:szCs w:val="1"/>
                <w:color w:val="auto"/>
              </w:rPr>
            </w:pPr>
          </w:p>
        </w:tc>
      </w:tr>
      <w:tr>
        <w:trPr>
          <w:trHeight w:val="214"/>
        </w:trPr>
        <w:tc>
          <w:tcPr>
            <w:tcW w:w="5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3"/>
              </w:rPr>
              <w:t xml:space="preserve">Amendment No. 1, dated as of May 5, 2020, to the Amended and Restated Credit Agreement, dated as of July 18, 2019 </w:t>
            </w:r>
            <w:r>
              <w:rPr>
                <w:rFonts w:ascii="Arial" w:cs="Arial" w:eastAsia="Arial" w:hAnsi="Arial"/>
                <w:sz w:val="18"/>
                <w:szCs w:val="18"/>
                <w:color w:val="212529"/>
                <w:w w:val="93"/>
              </w:rPr>
              <w:t>by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212529"/>
                <w:w w:val="92"/>
              </w:rPr>
              <w:t>among Nautilus Acquisition Holdings, Inc., National Vision, Inc., certain subsidiaries of National Vision, Inc., as guarantors, Bank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212529"/>
                <w:w w:val="96"/>
              </w:rPr>
              <w:t>of America, N.A., as administrative agent and collateral agent, and the lenders from time to time party thereto -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212529"/>
              </w:rPr>
              <w:t>herein by reference to Exhibit 10.1 to the Company’s Quarterly Report on Form 10-Q filed on May 7, 2020</w:t>
            </w:r>
          </w:p>
        </w:tc>
        <w:tc>
          <w:tcPr>
            <w:tcW w:w="0" w:type="dxa"/>
            <w:vAlign w:val="bottom"/>
          </w:tcPr>
          <w:p>
            <w:pPr>
              <w:spacing w:after="0"/>
              <w:rPr>
                <w:sz w:val="1"/>
                <w:szCs w:val="1"/>
                <w:color w:val="auto"/>
              </w:rPr>
            </w:pPr>
          </w:p>
        </w:tc>
      </w:tr>
      <w:tr>
        <w:trPr>
          <w:trHeight w:val="189"/>
        </w:trPr>
        <w:tc>
          <w:tcPr>
            <w:tcW w:w="520" w:type="dxa"/>
            <w:vAlign w:val="bottom"/>
            <w:gridSpan w:val="2"/>
          </w:tcPr>
          <w:p>
            <w:pPr>
              <w:ind w:left="20"/>
              <w:spacing w:after="0" w:line="189" w:lineRule="exact"/>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10.3</w:t>
              </w:r>
            </w:hyperlink>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89" w:lineRule="exact"/>
              <w:rPr>
                <w:sz w:val="20"/>
                <w:szCs w:val="20"/>
                <w:color w:val="auto"/>
              </w:rPr>
            </w:pPr>
            <w:r>
              <w:rPr>
                <w:rFonts w:ascii="Arial" w:cs="Arial" w:eastAsia="Arial" w:hAnsi="Arial"/>
                <w:sz w:val="18"/>
                <w:szCs w:val="18"/>
                <w:color w:val="auto"/>
                <w:w w:val="94"/>
              </w:rPr>
              <w:t>First Lien Guarantee, dated as of March 13, 2014, by the guarantors party thereto - incorporated herein by reference to Exhibit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10.6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520" w:type="dxa"/>
            <w:vAlign w:val="bottom"/>
            <w:gridSpan w:val="2"/>
          </w:tcPr>
          <w:p>
            <w:pPr>
              <w:ind w:left="20"/>
              <w:spacing w:after="0" w:line="176" w:lineRule="exact"/>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10.4</w:t>
              </w:r>
            </w:hyperlink>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2"/>
              </w:rPr>
              <w:t>First Lien Security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4"/>
              </w:rPr>
              <w:t>Vision Holdings Corp., National Vision, Inc., subsidiary grantors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incorporated herein by reference to Exhibit 10.7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520" w:type="dxa"/>
            <w:vAlign w:val="bottom"/>
            <w:gridSpan w:val="2"/>
          </w:tcPr>
          <w:p>
            <w:pPr>
              <w:ind w:left="20"/>
              <w:spacing w:after="0" w:line="176" w:lineRule="exact"/>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10.5</w:t>
              </w:r>
            </w:hyperlink>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First Lien Pledge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4"/>
              </w:rPr>
              <w:t>Vision Holdings Corp., National Vision, Inc. subsidiary pledgors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incorporated herein by reference to Exhibit 10.8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3"/>
          </w:tcPr>
          <w:p>
            <w:pPr>
              <w:spacing w:after="0" w:line="176" w:lineRule="exact"/>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10.6†</w:t>
              </w:r>
            </w:hyperlink>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National Vision Holdings, Inc. 2017 Omnibus Incentive Plan - incorporated herein by reference to Exhibit 10.2 to the Company’s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Current Report on Form 8-K filed on October 31,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3"/>
          </w:tcPr>
          <w:p>
            <w:pPr>
              <w:spacing w:after="0" w:line="176" w:lineRule="exact"/>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10.7†</w:t>
              </w:r>
            </w:hyperlink>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Form of Restricted Stock Agreement for Non-Employee Directors under the 2017 Omnibus Incentive Plan - incorporated herein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by reference to Exhibit 10.15 to the Company’s Amendment No. 2 to Form S-1 Registration Statement filed on October 16,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3"/>
          </w:tcPr>
          <w:p>
            <w:pPr>
              <w:spacing w:after="0" w:line="176" w:lineRule="exact"/>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10.8†</w:t>
              </w:r>
            </w:hyperlink>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4"/>
              </w:rPr>
              <w:t>Form of Stock Option Agreement under the 2017 Omnibus Incentive Plan, as adopted February 2019 - incorporated herein by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10.2 to the Company’s Quarterly Report on Form 10-Q filed on May 9,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3"/>
          </w:tcPr>
          <w:p>
            <w:pPr>
              <w:spacing w:after="0" w:line="176" w:lineRule="exact"/>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10.9†</w:t>
              </w:r>
            </w:hyperlink>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0"/>
              </w:rPr>
              <w:t>Form of Restricted Stock Unit Agreement under the 2017 Omnibus Incentive Plan, as adopted February 2019 - incorporated herein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by reference to Exhibit 10.3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3"/>
          </w:tcPr>
          <w:p>
            <w:pPr>
              <w:spacing w:after="0" w:line="190"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Form of Performance Stock Unit Agreement under the 2017 Omnibus Incentive Plan, as adopted February 2019 - incorporated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10.4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3"/>
          </w:tcPr>
          <w:p>
            <w:pPr>
              <w:spacing w:after="0" w:line="190"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Form of Performance Stock Unit Agreement under the 2017 Omnibus Incentive Plan, as adopted February 2020 – incorporated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10.3 to the Company’s Quarterly Report on Form 10-Q filed on May 7, 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gridSpan w:val="3"/>
          </w:tcPr>
          <w:p>
            <w:pPr>
              <w:spacing w:after="0" w:line="189" w:lineRule="exact"/>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10.12†</w:t>
              </w:r>
            </w:hyperlink>
          </w:p>
        </w:tc>
        <w:tc>
          <w:tcPr>
            <w:tcW w:w="9500" w:type="dxa"/>
            <w:vAlign w:val="bottom"/>
            <w:gridSpan w:val="3"/>
          </w:tcPr>
          <w:p>
            <w:pPr>
              <w:ind w:left="20"/>
              <w:spacing w:after="0" w:line="189" w:lineRule="exact"/>
              <w:rPr>
                <w:sz w:val="20"/>
                <w:szCs w:val="20"/>
                <w:color w:val="auto"/>
              </w:rPr>
            </w:pPr>
            <w:r>
              <w:rPr>
                <w:rFonts w:ascii="Arial" w:cs="Arial" w:eastAsia="Arial" w:hAnsi="Arial"/>
                <w:sz w:val="18"/>
                <w:szCs w:val="18"/>
                <w:color w:val="auto"/>
                <w:w w:val="93"/>
              </w:rPr>
              <w:t>Form of Restricted Stock Agreement for Non-Employee Directors under the 2017 Omnibus Incentive Plan, as adopted February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4"/>
              </w:rPr>
              <w:t>2019 - incorporated herein by reference to Exhibit 10.5 to the Company’s Quarterly Report on Form 10-Q filed on May 9,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3"/>
          </w:tcPr>
          <w:p>
            <w:pPr>
              <w:spacing w:after="0" w:line="176" w:lineRule="exact"/>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10.13†</w:t>
              </w:r>
            </w:hyperlink>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2014 Stock Incentive Plan for Key Employees of National Vision Holdings, Inc. (formerly known as Nautilus Parent, Inc.) and its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6"/>
              </w:rPr>
              <w:t>Subsidiaries - incorporated herein by reference to Exhibit 10.16 to the Company’s Form S-1 Registration Statement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September 29, 2017</w:t>
            </w:r>
          </w:p>
        </w:tc>
        <w:tc>
          <w:tcPr>
            <w:tcW w:w="0" w:type="dxa"/>
            <w:vAlign w:val="bottom"/>
          </w:tcPr>
          <w:p>
            <w:pPr>
              <w:spacing w:after="0"/>
              <w:rPr>
                <w:sz w:val="1"/>
                <w:szCs w:val="1"/>
                <w:color w:val="auto"/>
              </w:rPr>
            </w:pPr>
          </w:p>
        </w:tc>
      </w:tr>
      <w:tr>
        <w:trPr>
          <w:trHeight w:val="72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2"/>
          </w:tcPr>
          <w:p>
            <w:pPr>
              <w:ind w:left="3740"/>
              <w:spacing w:after="0"/>
              <w:rPr>
                <w:sz w:val="20"/>
                <w:szCs w:val="20"/>
                <w:color w:val="auto"/>
              </w:rPr>
            </w:pPr>
            <w:r>
              <w:rPr>
                <w:rFonts w:ascii="Arial" w:cs="Arial" w:eastAsia="Arial" w:hAnsi="Arial"/>
                <w:sz w:val="18"/>
                <w:szCs w:val="18"/>
                <w:color w:val="auto"/>
              </w:rPr>
              <w:t>123</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152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9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1500" w:type="dxa"/>
            <w:vAlign w:val="bottom"/>
            <w:gridSpan w:val="2"/>
          </w:tcPr>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10.14†</w:t>
              </w:r>
            </w:hyperlink>
          </w:p>
        </w:tc>
        <w:tc>
          <w:tcPr>
            <w:tcW w:w="9720" w:type="dxa"/>
            <w:vAlign w:val="bottom"/>
          </w:tcPr>
          <w:p>
            <w:pPr>
              <w:ind w:left="240"/>
              <w:spacing w:after="0"/>
              <w:rPr>
                <w:sz w:val="20"/>
                <w:szCs w:val="20"/>
                <w:color w:val="auto"/>
              </w:rPr>
            </w:pPr>
            <w:r>
              <w:rPr>
                <w:rFonts w:ascii="Arial" w:cs="Arial" w:eastAsia="Arial" w:hAnsi="Arial"/>
                <w:sz w:val="18"/>
                <w:szCs w:val="18"/>
                <w:color w:val="auto"/>
                <w:w w:val="96"/>
              </w:rPr>
              <w:t>Amendment No. 1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8"/>
              </w:rPr>
              <w:t>Nautilus Parent, Inc.) and its Subsidiaries - incorporated herein by reference to Exhibit 10.17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10.15†</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6"/>
              </w:rPr>
              <w:t>Amendment No. 2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8"/>
              </w:rPr>
              <w:t>Nautilus Parent, Inc.) and its Subsidiaries - incorporated herein by reference to Exhibit 10.18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10.16†</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7"/>
              </w:rPr>
              <w:t>Form of Stock Option Agreement under the 2014 Stock Incentive Plan for Key Employees of National Vision Holdings,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rPr>
              <w:t>(formerly known as Nautilus Parent, Inc.) and its Subsidiaries - incorporated herein by reference to Exhibit 10.19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10.17†</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3"/>
              </w:rPr>
              <w:t>Form of Management Stockholder’s Agreement - incorporated herein by reference to Exhibit 10.20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10.18†</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1"/>
              </w:rPr>
              <w:t>National Vision, Inc. Severance Plan, as amended and restated as of March 15, 2017 - incorporated herein by reference to Exhibit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10.24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10.19†</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2"/>
              </w:rPr>
              <w:t>National Vision, Inc. Severance Plan Summary Plan Description (Executives), effective as of July 21, 2011 - incorporated herein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by reference to Exhibit 10.25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10.20†</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7"/>
              </w:rPr>
              <w:t>National Vision Holdings, Inc. Executive Severance Plan - incorporated by reference to Exhibit 10.1 filed to the Company’s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Current Report on Form 8-K filed on December 18,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10.21‡</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3"/>
              </w:rPr>
              <w:t>Letter Agreement between National Vision, Inc. and Essilor of America, Inc., dated as of May 25, 2011 - incorporated herein by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reference to Exhibit 10.29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10.22‡</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4"/>
              </w:rPr>
              <w:t>Letter of Amendment between National Vision, Inc. and Essilor of America, Inc., dated as of December 2, 2014 - incorporated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herein by reference to Exhibit 10.30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10.23‡</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3"/>
              </w:rPr>
              <w:t>Letter Agreement between National Vision, Inc. and Essilor of America, Inc. dated as of March 9, 2018 - incorporated herein by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reference to Exhibit 10.1 to the Company’s Form 10-Q filed on May 15,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10.24‡</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1"/>
              </w:rPr>
              <w:t xml:space="preserve">Letter Agreement between National Vision, Inc. and Essilor of America, Inc., dated as of November 12, 2018 </w:t>
            </w:r>
            <w:r>
              <w:rPr>
                <w:rFonts w:ascii="Arial" w:cs="Arial" w:eastAsia="Arial" w:hAnsi="Arial"/>
                <w:sz w:val="18"/>
                <w:szCs w:val="18"/>
                <w:color w:val="0000FF"/>
                <w:w w:val="91"/>
              </w:rPr>
              <w:t>-</w:t>
            </w:r>
            <w:r>
              <w:rPr>
                <w:rFonts w:ascii="Arial" w:cs="Arial" w:eastAsia="Arial" w:hAnsi="Arial"/>
                <w:sz w:val="18"/>
                <w:szCs w:val="18"/>
                <w:color w:val="auto"/>
                <w:w w:val="91"/>
              </w:rPr>
              <w:t xml:space="preserve"> incorporated herein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by reference to Exhibit 10.36 to the Company’s Form 10-K filed on February 27, 2019</w:t>
            </w:r>
          </w:p>
        </w:tc>
        <w:tc>
          <w:tcPr>
            <w:tcW w:w="0" w:type="dxa"/>
            <w:vAlign w:val="bottom"/>
          </w:tcPr>
          <w:p>
            <w:pPr>
              <w:spacing w:after="0"/>
              <w:rPr>
                <w:sz w:val="1"/>
                <w:szCs w:val="1"/>
                <w:color w:val="auto"/>
              </w:rPr>
            </w:pPr>
          </w:p>
        </w:tc>
      </w:tr>
      <w:tr>
        <w:trPr>
          <w:trHeight w:val="176"/>
        </w:trPr>
        <w:tc>
          <w:tcPr>
            <w:tcW w:w="520" w:type="dxa"/>
            <w:vAlign w:val="bottom"/>
            <w:gridSpan w:val="2"/>
          </w:tcPr>
          <w:p>
            <w:pPr>
              <w:ind w:left="20"/>
              <w:spacing w:after="0" w:line="176" w:lineRule="exact"/>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10.25</w:t>
              </w:r>
            </w:hyperlink>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2"/>
              </w:rPr>
              <w:t>Letter Agreement by and between National Vision, Inc. and Wal-Mart Stores, Inc. re: Management &amp; Services Agreement, 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1"/>
              </w:rPr>
              <w:t>as of January 11, 2017 - incorporated herein by reference to Exhibit 10.32 to the Company’s Form S-1 Registration Statement 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10.26‡</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3"/>
              </w:rPr>
              <w:t>Management &amp; Services Agreement by and between National Vision, Inc. and Wal-Mart Stores, Inc., dated as of May 1, 2012 -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3"/>
              </w:rPr>
              <w:t>incorporated herein by reference to Exhibit 10.31 to the Company’s Form S-1 Registration Statement filed on October 16,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10.27‡</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0"/>
              </w:rPr>
              <w:t>Amendment 3 to the Management and Services Agreement between Walmart, Inc. and National Vision, Inc. effective as of January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4"/>
              </w:rPr>
              <w:t>23, 2020 -incorporated herein by reference to Exhibit 10.1 to the Company’s Current Report on Form 8-K filed on January 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gridSpan w:val="2"/>
            <w:vMerge w:val="restart"/>
          </w:tcPr>
          <w:p>
            <w:pPr>
              <w:spacing w:after="0"/>
              <w:rPr>
                <w:rFonts w:ascii="Arial" w:cs="Arial" w:eastAsia="Arial" w:hAnsi="Arial"/>
                <w:sz w:val="18"/>
                <w:szCs w:val="18"/>
                <w:color w:val="0000FF"/>
              </w:rPr>
            </w:pPr>
            <w:hyperlink r:id="rId193">
              <w:r>
                <w:rPr>
                  <w:rFonts w:ascii="Arial" w:cs="Arial" w:eastAsia="Arial" w:hAnsi="Arial"/>
                  <w:sz w:val="18"/>
                  <w:szCs w:val="18"/>
                  <w:color w:val="0000FF"/>
                </w:rPr>
                <w:t>10.</w:t>
              </w:r>
            </w:hyperlink>
            <w:r>
              <w:rPr>
                <w:rFonts w:ascii="Arial" w:cs="Arial" w:eastAsia="Arial" w:hAnsi="Arial"/>
                <w:sz w:val="18"/>
                <w:szCs w:val="18"/>
                <w:u w:val="single" w:color="auto"/>
                <w:color w:val="0000FF"/>
              </w:rPr>
              <w:t>28‡</w:t>
            </w:r>
          </w:p>
        </w:tc>
        <w:tc>
          <w:tcPr>
            <w:tcW w:w="9720" w:type="dxa"/>
            <w:vAlign w:val="bottom"/>
          </w:tcPr>
          <w:p>
            <w:pPr>
              <w:ind w:left="2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9720" w:type="dxa"/>
            <w:vAlign w:val="bottom"/>
          </w:tcPr>
          <w:p>
            <w:pPr>
              <w:ind w:left="240"/>
              <w:spacing w:after="0" w:line="168" w:lineRule="exact"/>
              <w:rPr>
                <w:sz w:val="20"/>
                <w:szCs w:val="20"/>
                <w:color w:val="auto"/>
              </w:rPr>
            </w:pPr>
            <w:r>
              <w:rPr>
                <w:rFonts w:ascii="Arial" w:cs="Arial" w:eastAsia="Arial" w:hAnsi="Arial"/>
                <w:sz w:val="18"/>
                <w:szCs w:val="18"/>
                <w:color w:val="auto"/>
                <w:w w:val="92"/>
              </w:rPr>
              <w:t>Amendment 4 to the Management &amp; Services Agreement between Walmart Inc. and National Vision, Inc., effective as of July 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100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5"/>
              </w:rPr>
              <w:t>2020 - incorporated herein by reference to Exhibit 10.1 to the Company’s Current Report on Form 8-K filed on July 20, 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10.29‡</w:t>
              </w:r>
            </w:hyperlink>
          </w:p>
        </w:tc>
        <w:tc>
          <w:tcPr>
            <w:tcW w:w="9720" w:type="dxa"/>
            <w:vAlign w:val="bottom"/>
          </w:tcPr>
          <w:p>
            <w:pPr>
              <w:ind w:left="240"/>
              <w:spacing w:after="0" w:line="189" w:lineRule="exact"/>
              <w:rPr>
                <w:sz w:val="20"/>
                <w:szCs w:val="20"/>
                <w:color w:val="auto"/>
              </w:rPr>
            </w:pPr>
            <w:r>
              <w:rPr>
                <w:rFonts w:ascii="Arial" w:cs="Arial" w:eastAsia="Arial" w:hAnsi="Arial"/>
                <w:sz w:val="18"/>
                <w:szCs w:val="18"/>
                <w:color w:val="auto"/>
                <w:w w:val="99"/>
              </w:rPr>
              <w:t>Amended and Restated Supplier Agreement between National Vision, Inc. and Walmart, dated as of January 17, 2017 -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1"/>
              </w:rPr>
              <w:t>incorporated herein by reference to Exhibit 10.33 to the Company’s Form S-1 Registration Statement filed on September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10.30†</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5"/>
              </w:rPr>
              <w:t>Option Agreement for Patrick R. Moore under the 2017 Omnibus Incentive Plan - incorporated herein by reference to Exhibit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10.34 to the Company’s Amendment No. 2 to Form S-1 Registration Statement filed on October 16,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10.31†</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2"/>
              </w:rPr>
              <w:t>Restricted Stock Award Agreement for David M. Tehle under the 2014 Stock Incentive Plan for Key Employees of National Vision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2"/>
              </w:rPr>
              <w:t>Holdings, Inc. (formerly known as Nautilus Parent, Inc.) and its Subsidiaries - incorporated herein by reference to Exhibit 10.35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the Company’s Amendment No. 2 to Form S-1 Registration Statement filed on October 16,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10.32†</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4"/>
              </w:rPr>
              <w:t>Form of Director Indemnification Agreement - incorporated herein by reference to Exhibit 10.36 to the Company’s Amendment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No. 2 to Form S-1 Registration Statement filed on October 16,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2"/>
          </w:tcPr>
          <w:p>
            <w:pPr>
              <w:spacing w:after="0" w:line="176" w:lineRule="exact"/>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10.33†</w:t>
              </w:r>
            </w:hyperlink>
          </w:p>
        </w:tc>
        <w:tc>
          <w:tcPr>
            <w:tcW w:w="9720" w:type="dxa"/>
            <w:vAlign w:val="bottom"/>
          </w:tcPr>
          <w:p>
            <w:pPr>
              <w:ind w:left="240"/>
              <w:spacing w:after="0" w:line="176" w:lineRule="exact"/>
              <w:rPr>
                <w:sz w:val="20"/>
                <w:szCs w:val="20"/>
                <w:color w:val="auto"/>
              </w:rPr>
            </w:pPr>
            <w:r>
              <w:rPr>
                <w:rFonts w:ascii="Arial" w:cs="Arial" w:eastAsia="Arial" w:hAnsi="Arial"/>
                <w:sz w:val="18"/>
                <w:szCs w:val="18"/>
                <w:color w:val="auto"/>
                <w:w w:val="92"/>
              </w:rPr>
              <w:t>Form of Director Stockholder’s Agreement - incorporated herein by reference to Exhibit 10.1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Form 8-K filed on January 23, 2018</w:t>
            </w:r>
          </w:p>
        </w:tc>
        <w:tc>
          <w:tcPr>
            <w:tcW w:w="0" w:type="dxa"/>
            <w:vAlign w:val="bottom"/>
          </w:tcPr>
          <w:p>
            <w:pPr>
              <w:spacing w:after="0"/>
              <w:rPr>
                <w:sz w:val="1"/>
                <w:szCs w:val="1"/>
                <w:color w:val="auto"/>
              </w:rPr>
            </w:pPr>
          </w:p>
        </w:tc>
      </w:tr>
      <w:tr>
        <w:trPr>
          <w:trHeight w:val="72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720" w:type="dxa"/>
            <w:vAlign w:val="bottom"/>
          </w:tcPr>
          <w:p>
            <w:pPr>
              <w:ind w:left="39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9700" w:type="dxa"/>
            <w:vAlign w:val="bottom"/>
          </w:tcPr>
          <w:p>
            <w:pPr>
              <w:spacing w:after="0"/>
              <w:rPr>
                <w:sz w:val="20"/>
                <w:szCs w:val="20"/>
                <w:color w:val="auto"/>
              </w:rPr>
            </w:pPr>
          </w:p>
        </w:tc>
      </w:tr>
      <w:tr>
        <w:trPr>
          <w:trHeight w:val="729"/>
        </w:trPr>
        <w:tc>
          <w:tcPr>
            <w:tcW w:w="1520" w:type="dxa"/>
            <w:vAlign w:val="bottom"/>
          </w:tcPr>
          <w:p>
            <w:pPr>
              <w:ind w:left="20"/>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10.34†</w:t>
              </w:r>
            </w:hyperlink>
          </w:p>
        </w:tc>
        <w:tc>
          <w:tcPr>
            <w:tcW w:w="9700" w:type="dxa"/>
            <w:vAlign w:val="bottom"/>
          </w:tcPr>
          <w:p>
            <w:pPr>
              <w:ind w:left="240"/>
              <w:spacing w:after="0"/>
              <w:rPr>
                <w:sz w:val="20"/>
                <w:szCs w:val="20"/>
                <w:color w:val="auto"/>
              </w:rPr>
            </w:pPr>
            <w:r>
              <w:rPr>
                <w:rFonts w:ascii="Arial" w:cs="Arial" w:eastAsia="Arial" w:hAnsi="Arial"/>
                <w:sz w:val="18"/>
                <w:szCs w:val="18"/>
                <w:color w:val="auto"/>
                <w:w w:val="93"/>
              </w:rPr>
              <w:t>Vision Holding Corp. Amended and Restated 2013 Equity Incentive Plan - incorporated herein by reference to Exhibit 4.4 to the</w:t>
            </w:r>
          </w:p>
        </w:tc>
      </w:tr>
      <w:tr>
        <w:trPr>
          <w:trHeight w:val="229"/>
        </w:trPr>
        <w:tc>
          <w:tcPr>
            <w:tcW w:w="15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Company’s Form S-8 Registration Statement filed on October 26, 2017</w:t>
            </w:r>
          </w:p>
        </w:tc>
      </w:tr>
      <w:tr>
        <w:trPr>
          <w:trHeight w:val="230"/>
        </w:trPr>
        <w:tc>
          <w:tcPr>
            <w:tcW w:w="1520" w:type="dxa"/>
            <w:vAlign w:val="bottom"/>
          </w:tcPr>
          <w:p>
            <w:pPr>
              <w:ind w:left="2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21.1</w:t>
              </w:r>
            </w:hyperlink>
          </w:p>
        </w:tc>
        <w:tc>
          <w:tcPr>
            <w:tcW w:w="9700" w:type="dxa"/>
            <w:vAlign w:val="bottom"/>
          </w:tcPr>
          <w:p>
            <w:pPr>
              <w:ind w:left="240"/>
              <w:spacing w:after="0"/>
              <w:rPr>
                <w:sz w:val="20"/>
                <w:szCs w:val="20"/>
                <w:color w:val="auto"/>
              </w:rPr>
            </w:pPr>
            <w:r>
              <w:rPr>
                <w:rFonts w:ascii="Arial" w:cs="Arial" w:eastAsia="Arial" w:hAnsi="Arial"/>
                <w:sz w:val="18"/>
                <w:szCs w:val="18"/>
                <w:color w:val="auto"/>
              </w:rPr>
              <w:t>Subsidiaries of National Vision Holdings, Inc.</w:t>
            </w:r>
          </w:p>
        </w:tc>
      </w:tr>
      <w:tr>
        <w:trPr>
          <w:trHeight w:val="229"/>
        </w:trPr>
        <w:tc>
          <w:tcPr>
            <w:tcW w:w="1520" w:type="dxa"/>
            <w:vAlign w:val="bottom"/>
          </w:tcPr>
          <w:p>
            <w:pPr>
              <w:ind w:left="2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23.1</w:t>
              </w:r>
            </w:hyperlink>
          </w:p>
        </w:tc>
        <w:tc>
          <w:tcPr>
            <w:tcW w:w="970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r>
        <w:trPr>
          <w:trHeight w:val="176"/>
        </w:trPr>
        <w:tc>
          <w:tcPr>
            <w:tcW w:w="1520" w:type="dxa"/>
            <w:vAlign w:val="bottom"/>
          </w:tcPr>
          <w:p>
            <w:pPr>
              <w:ind w:left="20"/>
              <w:spacing w:after="0" w:line="176" w:lineRule="exact"/>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31.1</w:t>
              </w:r>
            </w:hyperlink>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(furnished</w:t>
            </w:r>
          </w:p>
        </w:tc>
      </w:tr>
      <w:tr>
        <w:trPr>
          <w:trHeight w:val="229"/>
        </w:trPr>
        <w:tc>
          <w:tcPr>
            <w:tcW w:w="15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herewith)</w:t>
            </w:r>
          </w:p>
        </w:tc>
      </w:tr>
      <w:tr>
        <w:trPr>
          <w:trHeight w:val="176"/>
        </w:trPr>
        <w:tc>
          <w:tcPr>
            <w:tcW w:w="1520" w:type="dxa"/>
            <w:vAlign w:val="bottom"/>
          </w:tcPr>
          <w:p>
            <w:pPr>
              <w:ind w:left="20"/>
              <w:spacing w:after="0" w:line="176" w:lineRule="exact"/>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31.2</w:t>
              </w:r>
            </w:hyperlink>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7"/>
              </w:rPr>
              <w:t>Certification of Periodic Report by Chief Financial Officer under Section 302 of the Sarbanes-Oxley Act of 2002 (furnished</w:t>
            </w:r>
          </w:p>
        </w:tc>
      </w:tr>
      <w:tr>
        <w:trPr>
          <w:trHeight w:val="229"/>
        </w:trPr>
        <w:tc>
          <w:tcPr>
            <w:tcW w:w="15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herewith)</w:t>
            </w:r>
          </w:p>
        </w:tc>
      </w:tr>
      <w:tr>
        <w:trPr>
          <w:trHeight w:val="176"/>
        </w:trPr>
        <w:tc>
          <w:tcPr>
            <w:tcW w:w="1520" w:type="dxa"/>
            <w:vAlign w:val="bottom"/>
          </w:tcPr>
          <w:p>
            <w:pPr>
              <w:ind w:left="20"/>
              <w:spacing w:after="0" w:line="176" w:lineRule="exact"/>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32.1</w:t>
              </w:r>
            </w:hyperlink>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w:t>
            </w:r>
          </w:p>
        </w:tc>
      </w:tr>
      <w:tr>
        <w:trPr>
          <w:trHeight w:val="229"/>
        </w:trPr>
        <w:tc>
          <w:tcPr>
            <w:tcW w:w="15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Oxley Act of 2002 (furnished herewith)</w:t>
            </w:r>
          </w:p>
        </w:tc>
      </w:tr>
      <w:tr>
        <w:trPr>
          <w:trHeight w:val="176"/>
        </w:trPr>
        <w:tc>
          <w:tcPr>
            <w:tcW w:w="1520" w:type="dxa"/>
            <w:vAlign w:val="bottom"/>
          </w:tcPr>
          <w:p>
            <w:pPr>
              <w:ind w:left="20"/>
              <w:spacing w:after="0" w:line="176" w:lineRule="exact"/>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32.2</w:t>
              </w:r>
            </w:hyperlink>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w:t>
            </w:r>
          </w:p>
        </w:tc>
      </w:tr>
      <w:tr>
        <w:trPr>
          <w:trHeight w:val="229"/>
        </w:trPr>
        <w:tc>
          <w:tcPr>
            <w:tcW w:w="15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Oxley Act of 2002 (furnished herewith)</w:t>
            </w:r>
          </w:p>
        </w:tc>
      </w:tr>
      <w:tr>
        <w:trPr>
          <w:trHeight w:val="176"/>
        </w:trPr>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w:t>
            </w:r>
          </w:p>
        </w:tc>
      </w:tr>
      <w:tr>
        <w:trPr>
          <w:trHeight w:val="229"/>
        </w:trPr>
        <w:tc>
          <w:tcPr>
            <w:tcW w:w="152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embedded within Inline XBRL document</w:t>
            </w: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101.SCH</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520" w:type="dxa"/>
            <w:vAlign w:val="bottom"/>
          </w:tcPr>
          <w:p>
            <w:pPr>
              <w:ind w:left="20"/>
              <w:spacing w:after="0"/>
              <w:rPr>
                <w:sz w:val="20"/>
                <w:szCs w:val="20"/>
                <w:color w:val="auto"/>
              </w:rPr>
            </w:pPr>
            <w:r>
              <w:rPr>
                <w:rFonts w:ascii="Arial" w:cs="Arial" w:eastAsia="Arial" w:hAnsi="Arial"/>
                <w:sz w:val="18"/>
                <w:szCs w:val="18"/>
                <w:color w:val="auto"/>
              </w:rPr>
              <w:t>101.CAL</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101.DEF</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520" w:type="dxa"/>
            <w:vAlign w:val="bottom"/>
          </w:tcPr>
          <w:p>
            <w:pPr>
              <w:ind w:left="20"/>
              <w:spacing w:after="0"/>
              <w:rPr>
                <w:sz w:val="20"/>
                <w:szCs w:val="20"/>
                <w:color w:val="auto"/>
              </w:rPr>
            </w:pPr>
            <w:r>
              <w:rPr>
                <w:rFonts w:ascii="Arial" w:cs="Arial" w:eastAsia="Arial" w:hAnsi="Arial"/>
                <w:sz w:val="18"/>
                <w:szCs w:val="18"/>
                <w:color w:val="auto"/>
              </w:rPr>
              <w:t>101.LAB</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101.PRE</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176"/>
        </w:trPr>
        <w:tc>
          <w:tcPr>
            <w:tcW w:w="152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4"/>
              </w:rPr>
              <w:t>The cover page of the Company’s Annual Report on Form 10-K for the year ended January 2, 2021, formatted in Inline XBRL</w:t>
            </w:r>
          </w:p>
        </w:tc>
      </w:tr>
      <w:tr>
        <w:trPr>
          <w:trHeight w:val="230"/>
        </w:trPr>
        <w:tc>
          <w:tcPr>
            <w:tcW w:w="1520" w:type="dxa"/>
            <w:vAlign w:val="bottom"/>
          </w:tcPr>
          <w:p>
            <w:pPr>
              <w:spacing w:after="0"/>
              <w:rPr>
                <w:sz w:val="20"/>
                <w:szCs w:val="20"/>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(included within the Exhibit 101 attachments)</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8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4"/>
          <w:szCs w:val="14"/>
          <w:color w:val="auto"/>
        </w:rPr>
        <w:t>Identifies exhibits that consist of a management contract or compensatory plan or arrangement.</w:t>
      </w:r>
    </w:p>
    <w:p>
      <w:pPr>
        <w:spacing w:after="0" w:line="7" w:lineRule="exact"/>
        <w:rPr>
          <w:sz w:val="20"/>
          <w:szCs w:val="20"/>
          <w:color w:val="auto"/>
        </w:rPr>
      </w:pPr>
    </w:p>
    <w:p>
      <w:pPr>
        <w:ind w:left="180" w:right="640" w:hanging="172"/>
        <w:spacing w:after="0" w:line="239" w:lineRule="auto"/>
        <w:tabs>
          <w:tab w:leader="none" w:pos="270" w:val="left"/>
        </w:tabs>
        <w:numPr>
          <w:ilvl w:val="0"/>
          <w:numId w:val="52"/>
        </w:numPr>
        <w:rPr>
          <w:rFonts w:ascii="Arial" w:cs="Arial" w:eastAsia="Arial" w:hAnsi="Arial"/>
          <w:sz w:val="16"/>
          <w:szCs w:val="16"/>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53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L. Reade Fahs</w:t>
      </w:r>
    </w:p>
    <w:p>
      <w:pPr>
        <w:spacing w:after="0" w:line="2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5340"/>
        <w:spacing w:after="0"/>
        <w:tabs>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2021</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1620"/>
              <w:spacing w:after="0"/>
              <w:rPr>
                <w:sz w:val="20"/>
                <w:szCs w:val="20"/>
                <w:color w:val="auto"/>
              </w:rPr>
            </w:pPr>
            <w:r>
              <w:rPr>
                <w:rFonts w:ascii="Arial" w:cs="Arial" w:eastAsia="Arial" w:hAnsi="Arial"/>
                <w:sz w:val="18"/>
                <w:szCs w:val="18"/>
                <w:b w:val="1"/>
                <w:bCs w:val="1"/>
                <w:color w:val="auto"/>
              </w:rPr>
              <w:t>Signature</w:t>
            </w:r>
          </w:p>
        </w:tc>
        <w:tc>
          <w:tcPr>
            <w:tcW w:w="4740" w:type="dxa"/>
            <w:vAlign w:val="bottom"/>
          </w:tcPr>
          <w:p>
            <w:pPr>
              <w:ind w:left="2500"/>
              <w:spacing w:after="0"/>
              <w:rPr>
                <w:sz w:val="20"/>
                <w:szCs w:val="20"/>
                <w:color w:val="auto"/>
              </w:rPr>
            </w:pPr>
            <w:r>
              <w:rPr>
                <w:rFonts w:ascii="Arial" w:cs="Arial" w:eastAsia="Arial" w:hAnsi="Arial"/>
                <w:sz w:val="18"/>
                <w:szCs w:val="18"/>
                <w:b w:val="1"/>
                <w:bCs w:val="1"/>
                <w:color w:val="auto"/>
              </w:rPr>
              <w:t>Title</w:t>
            </w:r>
          </w:p>
        </w:tc>
        <w:tc>
          <w:tcPr>
            <w:tcW w:w="210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Date</w:t>
            </w:r>
          </w:p>
        </w:tc>
      </w:tr>
      <w:tr>
        <w:trPr>
          <w:trHeight w:val="66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 Reade Fahs</w:t>
            </w:r>
          </w:p>
        </w:tc>
        <w:tc>
          <w:tcPr>
            <w:tcW w:w="474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L. Reade Fahs</w:t>
            </w:r>
          </w:p>
        </w:tc>
        <w:tc>
          <w:tcPr>
            <w:tcW w:w="474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c>
          <w:tcPr>
            <w:tcW w:w="474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Patrick R. Moore</w:t>
            </w:r>
          </w:p>
        </w:tc>
        <w:tc>
          <w:tcPr>
            <w:tcW w:w="4740" w:type="dxa"/>
            <w:vAlign w:val="bottom"/>
          </w:tcPr>
          <w:p>
            <w:pPr>
              <w:ind w:left="220"/>
              <w:spacing w:after="0"/>
              <w:rPr>
                <w:sz w:val="20"/>
                <w:szCs w:val="20"/>
                <w:color w:val="auto"/>
              </w:rPr>
            </w:pPr>
            <w:r>
              <w:rPr>
                <w:rFonts w:ascii="Arial" w:cs="Arial" w:eastAsia="Arial" w:hAnsi="Arial"/>
                <w:sz w:val="18"/>
                <w:szCs w:val="18"/>
                <w:i w:val="1"/>
                <w:iCs w:val="1"/>
                <w:color w:val="auto"/>
              </w:rPr>
              <w:t>(Principal Financial Officer)</w:t>
            </w: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Rasmussen</w:t>
            </w:r>
          </w:p>
        </w:tc>
        <w:tc>
          <w:tcPr>
            <w:tcW w:w="4740" w:type="dxa"/>
            <w:vAlign w:val="bottom"/>
          </w:tcPr>
          <w:p>
            <w:pPr>
              <w:ind w:left="220"/>
              <w:spacing w:after="0"/>
              <w:rPr>
                <w:sz w:val="20"/>
                <w:szCs w:val="20"/>
                <w:color w:val="auto"/>
              </w:rPr>
            </w:pPr>
            <w:r>
              <w:rPr>
                <w:rFonts w:ascii="Arial" w:cs="Arial" w:eastAsia="Arial" w:hAnsi="Arial"/>
                <w:sz w:val="18"/>
                <w:szCs w:val="18"/>
                <w:color w:val="auto"/>
              </w:rPr>
              <w:t>Senior Vice President, Chief Accounting Officer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Melissa Rasmussen</w:t>
            </w:r>
          </w:p>
        </w:tc>
        <w:tc>
          <w:tcPr>
            <w:tcW w:w="4740" w:type="dxa"/>
            <w:vAlign w:val="bottom"/>
          </w:tcPr>
          <w:p>
            <w:pPr>
              <w:ind w:left="220"/>
              <w:spacing w:after="0"/>
              <w:rPr>
                <w:sz w:val="20"/>
                <w:szCs w:val="20"/>
                <w:color w:val="auto"/>
              </w:rPr>
            </w:pPr>
            <w:r>
              <w:rPr>
                <w:rFonts w:ascii="Arial" w:cs="Arial" w:eastAsia="Arial" w:hAnsi="Arial"/>
                <w:sz w:val="18"/>
                <w:szCs w:val="18"/>
                <w:i w:val="1"/>
                <w:iCs w:val="1"/>
                <w:color w:val="auto"/>
              </w:rPr>
              <w:t>(Principal Accounting Officer)</w:t>
            </w: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 Armario</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Jose Armario</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Heather R. Cianfrocco</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Heather R. Cianfrocco</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Virginia A. Hepner</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Virginia A. Hepner</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S. Johnson</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Susan S. Johnson</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Naomi Kelman</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Naomi Kelman</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Randolph Peeler</w:t>
            </w:r>
          </w:p>
        </w:tc>
        <w:tc>
          <w:tcPr>
            <w:tcW w:w="4740" w:type="dxa"/>
            <w:vAlign w:val="bottom"/>
          </w:tcPr>
          <w:p>
            <w:pPr>
              <w:ind w:left="220"/>
              <w:spacing w:after="0"/>
              <w:rPr>
                <w:sz w:val="20"/>
                <w:szCs w:val="20"/>
                <w:color w:val="auto"/>
              </w:rPr>
            </w:pPr>
            <w:r>
              <w:rPr>
                <w:rFonts w:ascii="Arial" w:cs="Arial" w:eastAsia="Arial" w:hAnsi="Arial"/>
                <w:sz w:val="18"/>
                <w:szCs w:val="18"/>
                <w:color w:val="auto"/>
              </w:rPr>
              <w:t>Chairman and 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 Randolph Peeler</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V. Taylor, Jr.</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Thomas V. Taylor, Jr.</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9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M. Tehle</w:t>
            </w:r>
          </w:p>
        </w:tc>
        <w:tc>
          <w:tcPr>
            <w:tcW w:w="47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ind w:left="950"/>
              <w:spacing w:after="0"/>
              <w:rPr>
                <w:sz w:val="20"/>
                <w:szCs w:val="20"/>
                <w:color w:val="auto"/>
              </w:rPr>
            </w:pPr>
            <w:r>
              <w:rPr>
                <w:rFonts w:ascii="Arial" w:cs="Arial" w:eastAsia="Arial" w:hAnsi="Arial"/>
                <w:sz w:val="18"/>
                <w:szCs w:val="18"/>
                <w:color w:val="auto"/>
                <w:w w:val="92"/>
              </w:rPr>
              <w:t>March 3, 2021</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David M. Tehle</w:t>
            </w:r>
          </w:p>
        </w:tc>
        <w:tc>
          <w:tcPr>
            <w:tcW w:w="474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125"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0"/>
          <w:szCs w:val="20"/>
          <w:color w:val="auto"/>
        </w:rPr>
        <w:t>Exhibit 4.1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references below to “National Vision Holdings, Inc.,” “National Vision,” the “Company,” “we,” “our” or “us” refer to National Vision Holdings, Inc., a Delaware corporation, and not to its subsidiaries. As of January 2, 2021, National Vision had one class of securities registered under Section 12 of the Securities Exchange Act of 1934, as amended: common stock, par value $0.01 per share.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Second Amended and Restated Certificate of Incorporation, as amended (our “certificate of incorporation”) and our Second Amended and Restated Bylaws (our “bylaws”), which are each incorporated by reference as an exhibit to the Annual Report on Form 10-K of which this Exhibit is a part. We encourage you to read our certificate of incorporation and bylaws, and the applicable provisions of the Delaware General Corporation Law ("DGCL")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$0.01 per share, and 50,000,000 shares of preferred stock, par value $0.01 per share.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authorizes our board of directors (the “Board of Directors”) to establish one or more series of preferred stock (including convertible preferred stock). Unless required by law or by NASDAQ, the authorized shares of preferred stock will be available for issuance without further action by shareholders. Our Board of Directors is able to determine, with respect to any series of preferred stock, the terms and rights of that series. As of January 2, 2021, there were no outstanding series of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Voting and Other Rights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our common stock are entitled to one vote for each share held of record on all matters on which stockholders are entitled to vote generally, including the election or removal of directors, subject to certain limitations. For example, except as required by law, holders of our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or pursuant to the DGCL.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The rights, powers, preferences and privileges of holders of our common stock will be subject to those of the holders of any shares of our preferred stock we may authorize and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2" w:right="339" w:bottom="1440" w:gutter="0" w:footer="0" w:header="0"/>
        </w:sectPr>
      </w:pPr>
    </w:p>
    <w:bookmarkStart w:id="127" w:name="page128"/>
    <w:bookmarkEnd w:id="127"/>
    <w:p>
      <w:pPr>
        <w:jc w:val="both"/>
        <w:spacing w:after="0" w:line="275"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and the rights, if any, of the holders of any outstanding series of preferred stock or any class or series of stock having a preference over or the right to participate with the common stock with respect to the payment of dividends.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Certain Provisions of Delaware Law</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certificate of incorporation and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11" w:lineRule="exact"/>
        <w:rPr>
          <w:sz w:val="20"/>
          <w:szCs w:val="20"/>
          <w:color w:val="auto"/>
        </w:rPr>
      </w:pPr>
    </w:p>
    <w:p>
      <w:pPr>
        <w:ind w:left="660" w:hanging="328"/>
        <w:spacing w:after="0" w:line="258" w:lineRule="auto"/>
        <w:tabs>
          <w:tab w:leader="none" w:pos="6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hanging="328"/>
        <w:spacing w:after="0" w:line="260" w:lineRule="auto"/>
        <w:tabs>
          <w:tab w:leader="none" w:pos="6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128" w:name="page129"/>
    <w:bookmarkEnd w:id="128"/>
    <w:p>
      <w:pPr>
        <w:jc w:val="both"/>
        <w:ind w:left="660" w:hanging="328"/>
        <w:spacing w:after="0" w:line="259" w:lineRule="auto"/>
        <w:tabs>
          <w:tab w:leader="none" w:pos="6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provides that Kohlberg Kravis Roberts &amp; Co. L.P. and Berkshire Partners LLC (collectively, the “Sponsors”), and their affiliates and any of their respective direct or indirect transferees and any group as to which such persons are a party do not constitute “interested stockholders” for purposes of this provision.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 Vacancies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DGCL, unless otherwise provided in our certificate of incorporation, directors serving on a classified board may be removed by the stockholders only for cause. Our certificate of incorporation and bylaws provide that directors may only be removed for cause and only by the affirmative vote of holders of at least 66 2⁄3% in voting power of all the then outstanding shares of stock entitled to vote generally in the election of directors, voting together as a single class. In addition, our certificate of incorporation and our bylaws also provide that, subject to the rights granted to one or more series of preferred stock then outstanding,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Stockholder Meetings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special meetings of our stockholders may be called at any time only by or at the direction of the Board of Directors or the chairman of the Board of Directors. Our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Advance Notification of Director Nominations and Stockholder Proposals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precludes stockholder action by written consent.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Provisions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certificate of incorporation and bylaws provide that the Board of Directors is expressly authorized to make, alter, amend, change, add to, rescind or repeal, in whole or in part, our bylaws without a stockholder vote in any matter not inconsistent with</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895" w:right="339" w:bottom="1440" w:gutter="0" w:footer="0" w:header="0"/>
          <w:type w:val="continuous"/>
        </w:sectPr>
      </w:pPr>
    </w:p>
    <w:bookmarkStart w:id="129" w:name="page130"/>
    <w:bookmarkEnd w:id="129"/>
    <w:p>
      <w:pPr>
        <w:jc w:val="both"/>
        <w:spacing w:after="0" w:line="263" w:lineRule="auto"/>
        <w:rPr>
          <w:sz w:val="20"/>
          <w:szCs w:val="20"/>
          <w:color w:val="auto"/>
        </w:rPr>
      </w:pPr>
      <w:r>
        <w:rPr>
          <w:rFonts w:ascii="Arial" w:cs="Arial" w:eastAsia="Arial" w:hAnsi="Arial"/>
          <w:sz w:val="18"/>
          <w:szCs w:val="18"/>
          <w:color w:val="auto"/>
        </w:rPr>
        <w:t>the laws of the State of Delaware or our certificate of incorporation. Any amendment, alteration, change, addition, rescission or repeal of our bylaws by our stockholders requires the affirmative vote of the holders of at least 66 2⁄3% in voting power of all the then-outstanding shares of stock entitled to vote generally in the election of directors, voting together as a single class.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provisions in our certificate of incorporation may be amended, altered, repealed or rescinded only by the affirmative vote of the holders of at least 66 2⁄3% in the voting power of all outstanding shares of stock entitled to vote generally in the election of directors, voting together as a single class:</w:t>
      </w:r>
    </w:p>
    <w:p>
      <w:pPr>
        <w:spacing w:after="0" w:line="151" w:lineRule="exact"/>
        <w:rPr>
          <w:sz w:val="20"/>
          <w:szCs w:val="20"/>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 requiring a 66 2⁄3% supermajority vote for stockholders to amend our bylaws;</w:t>
      </w:r>
    </w:p>
    <w:p>
      <w:pPr>
        <w:spacing w:after="0" w:line="23"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 2⁄3% supermajority vote.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130" w:name="page131"/>
    <w:bookmarkEnd w:id="130"/>
    <w:p>
      <w:pPr>
        <w:jc w:val="both"/>
        <w:spacing w:after="0" w:line="269" w:lineRule="auto"/>
        <w:rPr>
          <w:sz w:val="20"/>
          <w:szCs w:val="20"/>
          <w:color w:val="auto"/>
        </w:rPr>
      </w:pPr>
      <w:r>
        <w:rPr>
          <w:rFonts w:ascii="Arial" w:cs="Arial" w:eastAsia="Arial" w:hAnsi="Arial"/>
          <w:sz w:val="17"/>
          <w:szCs w:val="17"/>
          <w:color w:val="auto"/>
        </w:rPr>
        <w:t>Our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certificate of incorporation or our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20" w:type="dxa"/>
            <w:vAlign w:val="bottom"/>
            <w:tcBorders>
              <w:top w:val="single" w:sz="8" w:color="auto"/>
              <w:left w:val="single" w:sz="8" w:color="auto"/>
              <w:right w:val="single" w:sz="8" w:color="auto"/>
            </w:tcBorders>
            <w:shd w:val="clear" w:color="auto" w:fill="969696"/>
          </w:tcPr>
          <w:p>
            <w:pPr>
              <w:spacing w:after="0"/>
              <w:rPr>
                <w:sz w:val="16"/>
                <w:szCs w:val="16"/>
                <w:color w:val="auto"/>
              </w:rPr>
            </w:pPr>
          </w:p>
        </w:tc>
        <w:tc>
          <w:tcPr>
            <w:tcW w:w="2080" w:type="dxa"/>
            <w:vAlign w:val="bottom"/>
            <w:tcBorders>
              <w:top w:val="single" w:sz="8" w:color="auto"/>
              <w:right w:val="single" w:sz="8" w:color="auto"/>
            </w:tcBorders>
            <w:shd w:val="clear" w:color="auto" w:fill="969696"/>
          </w:tcPr>
          <w:p>
            <w:pPr>
              <w:jc w:val="center"/>
              <w:spacing w:after="0" w:line="189" w:lineRule="exact"/>
              <w:rPr>
                <w:sz w:val="20"/>
                <w:szCs w:val="20"/>
                <w:color w:val="auto"/>
              </w:rPr>
            </w:pPr>
            <w:r>
              <w:rPr>
                <w:rFonts w:ascii="Arial" w:cs="Arial" w:eastAsia="Arial" w:hAnsi="Arial"/>
                <w:sz w:val="18"/>
                <w:szCs w:val="18"/>
                <w:b w:val="1"/>
                <w:bCs w:val="1"/>
                <w:color w:val="auto"/>
                <w:w w:val="88"/>
              </w:rPr>
              <w:t>Jurisdiction of</w:t>
            </w:r>
          </w:p>
        </w:tc>
        <w:tc>
          <w:tcPr>
            <w:tcW w:w="0" w:type="dxa"/>
            <w:vAlign w:val="bottom"/>
          </w:tcPr>
          <w:p>
            <w:pPr>
              <w:spacing w:after="0"/>
              <w:rPr>
                <w:sz w:val="1"/>
                <w:szCs w:val="1"/>
                <w:color w:val="auto"/>
              </w:rPr>
            </w:pPr>
          </w:p>
        </w:tc>
      </w:tr>
      <w:tr>
        <w:trPr>
          <w:trHeight w:val="176"/>
        </w:trPr>
        <w:tc>
          <w:tcPr>
            <w:tcW w:w="7120" w:type="dxa"/>
            <w:vAlign w:val="bottom"/>
            <w:tcBorders>
              <w:left w:val="single" w:sz="8" w:color="auto"/>
              <w:right w:val="single" w:sz="8" w:color="auto"/>
            </w:tcBorders>
            <w:vMerge w:val="restart"/>
            <w:shd w:val="clear" w:color="auto" w:fill="969696"/>
          </w:tcPr>
          <w:p>
            <w:pPr>
              <w:ind w:left="3080"/>
              <w:spacing w:after="0"/>
              <w:rPr>
                <w:sz w:val="20"/>
                <w:szCs w:val="20"/>
                <w:color w:val="auto"/>
              </w:rPr>
            </w:pPr>
            <w:r>
              <w:rPr>
                <w:rFonts w:ascii="Arial" w:cs="Arial" w:eastAsia="Arial" w:hAnsi="Arial"/>
                <w:sz w:val="18"/>
                <w:szCs w:val="18"/>
                <w:b w:val="1"/>
                <w:bCs w:val="1"/>
                <w:color w:val="auto"/>
              </w:rPr>
              <w:t>Entity Name</w:t>
            </w:r>
          </w:p>
        </w:tc>
        <w:tc>
          <w:tcPr>
            <w:tcW w:w="2080" w:type="dxa"/>
            <w:vAlign w:val="bottom"/>
            <w:tcBorders>
              <w:right w:val="single" w:sz="8" w:color="auto"/>
            </w:tcBorders>
            <w:shd w:val="clear" w:color="auto" w:fill="969696"/>
          </w:tcPr>
          <w:p>
            <w:pPr>
              <w:jc w:val="center"/>
              <w:spacing w:after="0" w:line="176" w:lineRule="exact"/>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29"/>
        </w:trPr>
        <w:tc>
          <w:tcPr>
            <w:tcW w:w="7120" w:type="dxa"/>
            <w:vAlign w:val="bottom"/>
            <w:tcBorders>
              <w:left w:val="single" w:sz="8" w:color="auto"/>
              <w:bottom w:val="single" w:sz="8" w:color="auto"/>
              <w:right w:val="single" w:sz="8" w:color="auto"/>
            </w:tcBorders>
            <w:vMerge w:val="continue"/>
            <w:shd w:val="clear" w:color="auto" w:fill="969696"/>
          </w:tcPr>
          <w:p>
            <w:pPr>
              <w:spacing w:after="0"/>
              <w:rPr>
                <w:sz w:val="19"/>
                <w:szCs w:val="19"/>
                <w:color w:val="auto"/>
              </w:rPr>
            </w:pPr>
          </w:p>
        </w:tc>
        <w:tc>
          <w:tcPr>
            <w:tcW w:w="2080" w:type="dxa"/>
            <w:vAlign w:val="bottom"/>
            <w:tcBorders>
              <w:bottom w:val="single" w:sz="8" w:color="auto"/>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Nautilus Acquisition Holdings,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183"/>
        </w:trPr>
        <w:tc>
          <w:tcPr>
            <w:tcW w:w="712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7"/>
              </w:rPr>
              <w:t>National Vision, Inc. (dba Eyeglass World, America’s Best Contacts and Eyeglasses, Vision</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29"/>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Center and Vista Optical)</w:t>
            </w:r>
          </w:p>
        </w:tc>
        <w:tc>
          <w:tcPr>
            <w:tcW w:w="2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Arlington Contact Lens Service, Inc. (dba AC Lens)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NVAL Healthcare Systems,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FirstSight Vision Services, Inc. (dba FirstSight)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Vision Administrators,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 Vision Associates, Ltd.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Opti-Vision Finance Services, LLC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VC IV, LLC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Czech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Slovak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Slovakia</w:t>
            </w:r>
          </w:p>
        </w:tc>
        <w:tc>
          <w:tcPr>
            <w:tcW w:w="0" w:type="dxa"/>
            <w:vAlign w:val="bottom"/>
          </w:tcPr>
          <w:p>
            <w:pPr>
              <w:spacing w:after="0"/>
              <w:rPr>
                <w:sz w:val="1"/>
                <w:szCs w:val="1"/>
                <w:color w:val="auto"/>
              </w:rPr>
            </w:pPr>
          </w:p>
        </w:tc>
      </w:tr>
    </w:tbl>
    <w:p>
      <w:pPr>
        <w:sectPr>
          <w:pgSz w:w="11900" w:h="16838" w:orient="portrait"/>
          <w:cols w:equalWidth="0" w:num="1">
            <w:col w:w="10200"/>
          </w:cols>
          <w:pgMar w:left="1360" w:top="61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 333- 228382 on Form S-3 and in Registration Statement Nos. 333-221131 and 333-225611 on Form S-8 of our reports dated March 2, 2021, relating to the financial statements of National Vision Holdings, Inc. and the effectiveness of National Vision Holdings, Inc.'s internal control over financial reporting appearing in this Annual Report on Form 10-K for the year ended January 2,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ectPr>
          <w:pgSz w:w="11900" w:h="16838" w:orient="portrait"/>
          <w:cols w:equalWidth="0" w:num="1">
            <w:col w:w="11240"/>
          </w:cols>
          <w:pgMar w:left="320" w:top="89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32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14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National Vision Holdings, Inc. (the “Company”) on Form 10-K for the fiscal year ended January 2, 2021, as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192"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32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connection with the Annual Report of National Vision Holdings, Inc. (the “Company”) on Form 10-K for the fiscal year ended January 2, 2021, as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Roman"/>
      <w:start w:val="2"/>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7"/>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
      <w:numFmt w:val="bullet"/>
      <w:start w:val="1"/>
    </w:lvl>
    <w:lvl w:ilvl="1">
      <w:lvlJc w:val="left"/>
      <w:lvlText w:val="◦"/>
      <w:numFmt w:val="bullet"/>
      <w:start w:val="1"/>
    </w:lvl>
  </w:abstractNum>
  <w:abstractNum w:abstractNumId="33">
    <w:nsid w:val="542289EC"/>
    <w:multiLevelType w:val="hybridMultilevel"/>
    <w:lvl w:ilvl="0">
      <w:lvlJc w:val="left"/>
      <w:lvlText w:val="%1."/>
      <w:numFmt w:val="decimal"/>
      <w:start w:val="31"/>
    </w:lvl>
  </w:abstractNum>
  <w:abstractNum w:abstractNumId="34">
    <w:nsid w:val="6DE91B18"/>
    <w:multiLevelType w:val="hybridMultilevel"/>
    <w:lvl w:ilvl="0">
      <w:lvlJc w:val="left"/>
      <w:lvlText w:val="%1"/>
      <w:numFmt w:val="decimal"/>
      <w:start w:val="13"/>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lowerRoman"/>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161" Type="http://schemas.openxmlformats.org/officeDocument/2006/relationships/hyperlink" Target="http://www.sec.gov/Archives/edgar/data/1710155/000156761917002270/s001582x19_ex3-1.htm" TargetMode="External"/><Relationship Id="rId162" Type="http://schemas.openxmlformats.org/officeDocument/2006/relationships/hyperlink" Target="http://www.sec.gov/Archives/edgar/data/1710155/000156761917002270/s001582x19_ex3-2.htm" TargetMode="External"/><Relationship Id="rId163" Type="http://schemas.openxmlformats.org/officeDocument/2006/relationships/hyperlink" Target="https://www.sec.gov/Archives/edgar/data/1710155/000171015520000038/a41-indentureexhibit.htm" TargetMode="External"/><Relationship Id="rId164" Type="http://schemas.openxmlformats.org/officeDocument/2006/relationships/hyperlink" Target="http://www.sec.gov/Archives/edgar/data/1710155/000171015519000053/a101-revisednvix2019re.htm" TargetMode="External"/><Relationship Id="rId165" Type="http://schemas.openxmlformats.org/officeDocument/2006/relationships/hyperlink" Target="https://www.sec.gov/Archives/edgar/data/1710155/000171015520000032/a101amendedandrestated.htm" TargetMode="External"/><Relationship Id="rId166" Type="http://schemas.openxmlformats.org/officeDocument/2006/relationships/hyperlink" Target="http://www.sec.gov/Archives/edgar/data/1710155/000156761917002082/s001582x7_ex10-6.htm" TargetMode="External"/><Relationship Id="rId167" Type="http://schemas.openxmlformats.org/officeDocument/2006/relationships/hyperlink" Target="http://www.sec.gov/Archives/edgar/data/1710155/000156761917002082/s001582x7_ex10-7.htm" TargetMode="External"/><Relationship Id="rId168" Type="http://schemas.openxmlformats.org/officeDocument/2006/relationships/hyperlink" Target="http://www.sec.gov/Archives/edgar/data/1710155/000156761917002082/s001582x7_ex10-8.htm" TargetMode="External"/><Relationship Id="rId169" Type="http://schemas.openxmlformats.org/officeDocument/2006/relationships/hyperlink" Target="http://www.sec.gov/Archives/edgar/data/1710155/000156761917002270/s001582x19_ex10-2.htm" TargetMode="External"/><Relationship Id="rId170" Type="http://schemas.openxmlformats.org/officeDocument/2006/relationships/hyperlink" Target="http://www.sec.gov/Archives/edgar/data/1710155/000156761917002184/s001582x10_ex10-15.htm" TargetMode="External"/><Relationship Id="rId171" Type="http://schemas.openxmlformats.org/officeDocument/2006/relationships/hyperlink" Target="http://www.sec.gov/Archives/edgar/data/1710155/000171015519000027/exhibit102-2019stockoption.htm" TargetMode="External"/><Relationship Id="rId172" Type="http://schemas.openxmlformats.org/officeDocument/2006/relationships/hyperlink" Target="http://www.sec.gov/Archives/edgar/data/1710155/000171015519000027/exhibit103-restrictedstock.htm" TargetMode="External"/><Relationship Id="rId173" Type="http://schemas.openxmlformats.org/officeDocument/2006/relationships/hyperlink" Target="http://www.sec.gov/Archives/edgar/data/1710155/000171015519000027/exhibit104-performancestoc.htm" TargetMode="External"/><Relationship Id="rId174" Type="http://schemas.openxmlformats.org/officeDocument/2006/relationships/hyperlink" Target="https://www.sec.gov/Archives/edgar/data/1710155/000171015520000032/a103-performancestocku.htm" TargetMode="External"/><Relationship Id="rId175" Type="http://schemas.openxmlformats.org/officeDocument/2006/relationships/hyperlink" Target="http://www.sec.gov/Archives/edgar/data/1710155/000171015519000027/exhibit105-nonemployeedire.htm" TargetMode="External"/><Relationship Id="rId176" Type="http://schemas.openxmlformats.org/officeDocument/2006/relationships/hyperlink" Target="http://www.sec.gov/Archives/edgar/data/1710155/000156761917002082/s001582x7_ex10-16.htm" TargetMode="External"/><Relationship Id="rId179" Type="http://schemas.openxmlformats.org/officeDocument/2006/relationships/hyperlink" Target="http://www.sec.gov/Archives/edgar/data/1710155/000156761917002082/s001582x7_ex10-17.htm" TargetMode="External"/><Relationship Id="rId180" Type="http://schemas.openxmlformats.org/officeDocument/2006/relationships/hyperlink" Target="http://www.sec.gov/Archives/edgar/data/1710155/000156761917002082/s001582x7_ex10-18.htm" TargetMode="External"/><Relationship Id="rId181" Type="http://schemas.openxmlformats.org/officeDocument/2006/relationships/hyperlink" Target="http://www.sec.gov/Archives/edgar/data/1710155/000156761917002082/s001582x7_ex10-19.htm" TargetMode="External"/><Relationship Id="rId182" Type="http://schemas.openxmlformats.org/officeDocument/2006/relationships/hyperlink" Target="http://www.sec.gov/Archives/edgar/data/1710155/000156761917002082/s001582x7_ex10-20.htm" TargetMode="External"/><Relationship Id="rId183" Type="http://schemas.openxmlformats.org/officeDocument/2006/relationships/hyperlink" Target="http://www.sec.gov/Archives/edgar/data/1710155/000156761917002082/s001582x7_ex10-24.htm" TargetMode="External"/><Relationship Id="rId184" Type="http://schemas.openxmlformats.org/officeDocument/2006/relationships/hyperlink" Target="http://www.sec.gov/Archives/edgar/data/1710155/000156761917002082/s001582x7_ex10-25.htm" TargetMode="External"/><Relationship Id="rId185" Type="http://schemas.openxmlformats.org/officeDocument/2006/relationships/hyperlink" Target="http://www.sec.gov/Archives/edgar/data/1710155/000171015518000052/nationalvisionholdingsinc-.htm" TargetMode="External"/><Relationship Id="rId186" Type="http://schemas.openxmlformats.org/officeDocument/2006/relationships/hyperlink" Target="http://www.sec.gov/Archives/edgar/data/1710155/000156761917002082/s001582x7_ex10-29.htm" TargetMode="External"/><Relationship Id="rId187" Type="http://schemas.openxmlformats.org/officeDocument/2006/relationships/hyperlink" Target="http://www.sec.gov/Archives/edgar/data/1710155/000156761917002082/s001582x7_ex10-30.htm" TargetMode="External"/><Relationship Id="rId188" Type="http://schemas.openxmlformats.org/officeDocument/2006/relationships/hyperlink" Target="http://www.sec.gov/Archives/edgar/data/1710155/000171015518000020/exhibit101essilor-ltragmt3.htm" TargetMode="External"/><Relationship Id="rId189" Type="http://schemas.openxmlformats.org/officeDocument/2006/relationships/hyperlink" Target="http://www.sec.gov/Archives/edgar/data/1710155/000171015519000016/exhibit1036-essilorcontract.htm" TargetMode="External"/><Relationship Id="rId190" Type="http://schemas.openxmlformats.org/officeDocument/2006/relationships/hyperlink" Target="http://www.sec.gov/Archives/edgar/data/1710155/000156761917002082/s001582x7_ex10-32.htm" TargetMode="External"/><Relationship Id="rId191" Type="http://schemas.openxmlformats.org/officeDocument/2006/relationships/hyperlink" Target="http://www.sec.gov/Archives/edgar/data/1710155/000156761917002184/s001582x10_ex10-31.htm" TargetMode="External"/><Relationship Id="rId192" Type="http://schemas.openxmlformats.org/officeDocument/2006/relationships/hyperlink" Target="https://www.sec.gov/Archives/edgar/data/1710155/000171015520000003/exhibit.htm" TargetMode="External"/><Relationship Id="rId193" Type="http://schemas.openxmlformats.org/officeDocument/2006/relationships/hyperlink" Target="https://www.sec.gov/Archives/edgar/data/1710155/000171015520000055/exhibit101-wmtxnvimsaa.htm" TargetMode="External"/><Relationship Id="rId194" Type="http://schemas.openxmlformats.org/officeDocument/2006/relationships/hyperlink" Target="http://www.sec.gov/Archives/edgar/data/1710155/000156761917002082/s001582x7_ex10-33.htm" TargetMode="External"/><Relationship Id="rId195" Type="http://schemas.openxmlformats.org/officeDocument/2006/relationships/hyperlink" Target="http://www.sec.gov/Archives/edgar/data/1710155/000156761917002184/s001582x10_ex10-34.htm" TargetMode="External"/><Relationship Id="rId196" Type="http://schemas.openxmlformats.org/officeDocument/2006/relationships/hyperlink" Target="http://www.sec.gov/Archives/edgar/data/1710155/000156761917002184/s001582x10_ex10-35.htm" TargetMode="External"/><Relationship Id="rId197" Type="http://schemas.openxmlformats.org/officeDocument/2006/relationships/hyperlink" Target="http://www.sec.gov/Archives/edgar/data/1710155/000156761917002184/s001582x10_ex10-36.htm" TargetMode="External"/><Relationship Id="rId198" Type="http://schemas.openxmlformats.org/officeDocument/2006/relationships/hyperlink" Target="http://www.sec.gov/Archives/edgar/data/1710155/000171015518000005/ex101formofdirectorstockho.htm" TargetMode="External"/><Relationship Id="rId201" Type="http://schemas.openxmlformats.org/officeDocument/2006/relationships/hyperlink" Target="http://www.sec.gov/Archives/edgar/data/1710155/000162612917000582/s001582x1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2021-03-03T06:33:58Z</dcterms:created>
  <dcterms:modified xsi:type="dcterms:W3CDTF">2021-03-03T06:33:58Z</dcterms:modified>
</cp:coreProperties>
</file>