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October 2, 2021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16"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27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8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4"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par value $0.01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72"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3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20" w:type="dxa"/>
            <w:vAlign w:val="bottom"/>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October 29, 2021</w:t>
            </w:r>
          </w:p>
        </w:tc>
      </w:tr>
      <w:tr>
        <w:trPr>
          <w:trHeight w:val="206"/>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920" w:type="dxa"/>
            <w:vAlign w:val="bottom"/>
          </w:tcPr>
          <w:p>
            <w:pPr>
              <w:ind w:left="20"/>
              <w:spacing w:after="0"/>
              <w:rPr>
                <w:sz w:val="20"/>
                <w:szCs w:val="20"/>
                <w:color w:val="auto"/>
              </w:rPr>
            </w:pPr>
            <w:r>
              <w:rPr>
                <w:rFonts w:ascii="Arial" w:cs="Arial" w:eastAsia="Arial" w:hAnsi="Arial"/>
                <w:sz w:val="16"/>
                <w:szCs w:val="16"/>
                <w:color w:val="auto"/>
              </w:rPr>
              <w:t>82,700,895</w:t>
            </w:r>
          </w:p>
        </w:tc>
      </w:tr>
      <w:tr>
        <w:trPr>
          <w:trHeight w:val="128"/>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230"/>
        </w:trPr>
        <w:tc>
          <w:tcPr>
            <w:tcW w:w="180" w:type="dxa"/>
            <w:vAlign w:val="bottom"/>
          </w:tcPr>
          <w:p>
            <w:pPr>
              <w:spacing w:after="0"/>
              <w:rPr>
                <w:sz w:val="19"/>
                <w:szCs w:val="19"/>
                <w:color w:val="auto"/>
              </w:rPr>
            </w:pPr>
          </w:p>
        </w:tc>
        <w:tc>
          <w:tcPr>
            <w:tcW w:w="1032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1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1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Part I – Financial Information</w:t>
              </w:r>
            </w:hyperlink>
          </w:p>
        </w:tc>
        <w:tc>
          <w:tcPr>
            <w:tcW w:w="3180" w:type="dxa"/>
            <w:vAlign w:val="bottom"/>
            <w:tcBorders>
              <w:top w:val="single" w:sz="8" w:color="0000FF"/>
            </w:tcBorders>
            <w:gridSpan w:val="8"/>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1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 and Comprehensive Income</w:t>
              </w:r>
            </w:hyperlink>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Stockholders’ Equity</w:t>
              </w:r>
            </w:hyperlink>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492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892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180" w:type="dxa"/>
            <w:vAlign w:val="bottom"/>
            <w:gridSpan w:val="2"/>
          </w:tcPr>
          <w:p>
            <w:pPr>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180" w:type="dxa"/>
            <w:vAlign w:val="bottom"/>
            <w:gridSpan w:val="2"/>
          </w:tcPr>
          <w:p>
            <w:pPr>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9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Part II – Other Information</w:t>
              </w:r>
            </w:hyperlink>
          </w:p>
        </w:tc>
        <w:tc>
          <w:tcPr>
            <w:tcW w:w="836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1.</w:t>
              </w:r>
            </w:hyperlink>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Item 1A.</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3.</w:t>
              </w:r>
            </w:hyperlink>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892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180" w:type="dxa"/>
            <w:vAlign w:val="bottom"/>
            <w:gridSpan w:val="2"/>
          </w:tcPr>
          <w:p>
            <w:pPr>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180" w:type="dxa"/>
            <w:vAlign w:val="bottom"/>
            <w:gridSpan w:val="2"/>
          </w:tcPr>
          <w:p>
            <w:pPr>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560" w:type="dxa"/>
            <w:vAlign w:val="bottom"/>
          </w:tcPr>
          <w:p>
            <w:pPr>
              <w:spacing w:after="0"/>
              <w:rPr>
                <w:sz w:val="21"/>
                <w:szCs w:val="21"/>
                <w:color w:val="auto"/>
              </w:rPr>
            </w:pPr>
          </w:p>
        </w:tc>
      </w:tr>
      <w:tr>
        <w:trPr>
          <w:trHeight w:val="1148"/>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2, 2021 (the “2020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0" w:lineRule="exact"/>
        <w:rPr>
          <w:sz w:val="20"/>
          <w:szCs w:val="20"/>
          <w:color w:val="auto"/>
        </w:rPr>
      </w:pPr>
    </w:p>
    <w:p>
      <w:pPr>
        <w:ind w:left="180" w:hanging="172"/>
        <w:spacing w:after="0" w:line="258"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resurgence and variants, and the impact of evolving federal, state, and local governmental actions in response thereto, including risks stemming from vaccination and testing programs and mandates;</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more recent outbreaks of variants;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reopened stores open in a safe and cost-effective manner, or at all, in light of the continuing COVID-19 pandemic and its resurgence and variants;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maintain and extend relationships with managed vision care companies, vision insurance providers and other third-party payors;</w:t>
      </w:r>
    </w:p>
    <w:p>
      <w:pPr>
        <w:spacing w:after="0" w:line="32" w:lineRule="exact"/>
        <w:rPr>
          <w:rFonts w:ascii="Arial" w:cs="Arial" w:eastAsia="Arial" w:hAnsi="Arial"/>
          <w:sz w:val="16"/>
          <w:szCs w:val="16"/>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 or obtain additional financing at satisfactory terms or at all;</w:t>
      </w: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operate our information technology systems and prevent interruption or security breach;</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other factors impacting consumer spending;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and omni-channel business;</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debt obligations;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dilution to existing stockholders upon the conversion of our convertible notes; and</w:t>
      </w:r>
    </w:p>
    <w:p>
      <w:pPr>
        <w:spacing w:after="0" w:line="9"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2,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October 2,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439,117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124,637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6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646,387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333,820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43,893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98,749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68,763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325,786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83,667 and 82,183 shares</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0"/>
              </w:rPr>
              <w:t>issued as of October 2, 2021 and January 2, 2021, respectively; 82,693 and 81,239 shares</w:t>
            </w: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outstanding as of October 2, 2021 and January 2, 2021, respectively</w:t>
            </w:r>
          </w:p>
        </w:tc>
        <w:tc>
          <w:tcPr>
            <w:tcW w:w="3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3"/>
              </w:rPr>
              <w:t>Treasury stock, at cost; 974 and 944 shares as of October 2, 2021 and January 2, 2021,</w:t>
            </w: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(30,037)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412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8"/>
              </w:rPr>
              <w:t>National Vision Holdings, Inc.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34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0"/>
              </w:rPr>
              <w:t>For the Three and Nine Months Ended October 2, 2021 and September 26, 2020</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360" w:type="dxa"/>
            <w:vAlign w:val="bottom"/>
            <w:gridSpan w:val="5"/>
          </w:tcPr>
          <w:p>
            <w:pPr>
              <w:jc w:val="center"/>
              <w:ind w:left="25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October 2, 2021</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September 26, 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October 2, 2021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1"/>
              </w:rPr>
              <w:t>September 26, 2020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Net product sales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425,594</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403,336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1,326,867</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1,005,884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274,807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 net revenue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518,005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485,353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1,601,674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1,215,064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Costs applicable to revenue (exclusive of depreciation</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amortization):</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Products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158,371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148,274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485,090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402,279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 costs applicable to revenue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226,458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210,809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687,094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570,143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w w:val="98"/>
              </w:rPr>
              <w:t>Selling, general and administrative expenses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218,214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190,518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676,042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520,841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Asset impairment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expense (income), net</w:t>
            </w:r>
          </w:p>
        </w:tc>
        <w:tc>
          <w:tcPr>
            <w:tcW w:w="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240,836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219,750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747,592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50,711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166,988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Debt issuance costs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7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44,968</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144,727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provision (benefit)</w:t>
            </w:r>
          </w:p>
        </w:tc>
        <w:tc>
          <w:tcPr>
            <w:tcW w:w="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96,508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96,193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w w:val="99"/>
              </w:rPr>
              <w:t>Unrealized gain (loss) on hedge instruments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600" w:type="dxa"/>
            <w:vAlign w:val="bottom"/>
            <w:gridSpan w:val="4"/>
            <w:shd w:val="clear" w:color="auto" w:fill="CCEEFF"/>
          </w:tcPr>
          <w:p>
            <w:pPr>
              <w:ind w:left="200"/>
              <w:spacing w:after="0" w:line="176" w:lineRule="exact"/>
              <w:rPr>
                <w:sz w:val="20"/>
                <w:szCs w:val="20"/>
                <w:color w:val="auto"/>
              </w:rPr>
            </w:pPr>
            <w:r>
              <w:rPr>
                <w:rFonts w:ascii="Arial" w:cs="Arial" w:eastAsia="Arial" w:hAnsi="Arial"/>
                <w:sz w:val="18"/>
                <w:szCs w:val="18"/>
                <w:color w:val="auto"/>
                <w:w w:val="96"/>
              </w:rPr>
              <w:t>Tax provision (benefit) of unrealized gain (loss) on hedge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123,585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128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c>
          <w:tcPr>
            <w:tcW w:w="458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gridSpan w:val="9"/>
          </w:tcPr>
          <w:p>
            <w:pPr>
              <w:jc w:val="center"/>
              <w:ind w:right="47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740" w:type="dxa"/>
            <w:vAlign w:val="bottom"/>
            <w:gridSpan w:val="8"/>
          </w:tcPr>
          <w:p>
            <w:pPr>
              <w:jc w:val="center"/>
              <w:ind w:left="210"/>
              <w:spacing w:after="0"/>
              <w:rPr>
                <w:sz w:val="20"/>
                <w:szCs w:val="20"/>
                <w:color w:val="auto"/>
              </w:rPr>
            </w:pPr>
            <w:r>
              <w:rPr>
                <w:rFonts w:ascii="Arial" w:cs="Arial" w:eastAsia="Arial" w:hAnsi="Arial"/>
                <w:sz w:val="18"/>
                <w:szCs w:val="18"/>
                <w:b w:val="1"/>
                <w:bCs w:val="1"/>
                <w:color w:val="auto"/>
                <w:w w:val="91"/>
              </w:rPr>
              <w:t>For the Three and Nine Months Ended October 2, 2021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8"/>
              </w:rPr>
              <w:t>Three and Nine Months Ended October 2, 2021</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400" w:type="dxa"/>
            <w:vAlign w:val="bottom"/>
            <w:vMerge w:val="restart"/>
          </w:tcPr>
          <w:p>
            <w:pPr>
              <w:jc w:val="center"/>
              <w:ind w:right="70"/>
              <w:spacing w:after="0" w:line="149" w:lineRule="exact"/>
              <w:rPr>
                <w:sz w:val="20"/>
                <w:szCs w:val="20"/>
                <w:color w:val="auto"/>
              </w:rPr>
            </w:pPr>
            <w:r>
              <w:rPr>
                <w:rFonts w:ascii="Arial" w:cs="Arial" w:eastAsia="Arial" w:hAnsi="Arial"/>
                <w:sz w:val="17"/>
                <w:szCs w:val="17"/>
                <w:color w:val="auto"/>
                <w:w w:val="93"/>
              </w:rPr>
              <w:t>Other</w:t>
            </w:r>
          </w:p>
        </w:tc>
        <w:tc>
          <w:tcPr>
            <w:tcW w:w="16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4"/>
                <w:szCs w:val="4"/>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w w:val="92"/>
              </w:rPr>
              <w:t>Treasury</w:t>
            </w:r>
          </w:p>
        </w:tc>
        <w:tc>
          <w:tcPr>
            <w:tcW w:w="160" w:type="dxa"/>
            <w:vAlign w:val="bottom"/>
          </w:tcPr>
          <w:p>
            <w:pPr>
              <w:spacing w:after="0"/>
              <w:rPr>
                <w:sz w:val="4"/>
                <w:szCs w:val="4"/>
                <w:color w:val="auto"/>
              </w:rPr>
            </w:pPr>
          </w:p>
        </w:tc>
        <w:tc>
          <w:tcPr>
            <w:tcW w:w="1280" w:type="dxa"/>
            <w:vAlign w:val="bottom"/>
            <w:vMerge w:val="restart"/>
          </w:tcPr>
          <w:p>
            <w:pPr>
              <w:jc w:val="center"/>
              <w:ind w:right="11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January 2,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76"/>
        </w:trPr>
        <w:tc>
          <w:tcPr>
            <w:tcW w:w="31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Cumulative effect of change in</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(71,385)</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7,271</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accounting principle</w:t>
            </w: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Balances at January 3, 2021 - as adjusted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175"/>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43,432</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April 3,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887,532</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July 3,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938,337</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0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0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75"/>
        </w:trPr>
        <w:tc>
          <w:tcPr>
            <w:tcW w:w="3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October 2,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988,557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128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For the Three and Nine Months Ended September 26, 2020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3"/>
          </w:tcPr>
          <w:p>
            <w:pPr>
              <w:jc w:val="center"/>
              <w:ind w:right="110"/>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color w:val="auto"/>
                <w:w w:val="91"/>
              </w:rPr>
              <w:t>Three and Nine Months Ended September 26, 2020</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3"/>
          </w:tcPr>
          <w:p>
            <w:pPr>
              <w:jc w:val="right"/>
              <w:ind w:right="23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0"/>
              <w:spacing w:after="0" w:line="176" w:lineRule="exact"/>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3"/>
                <w:szCs w:val="3"/>
                <w:color w:val="auto"/>
              </w:rPr>
            </w:pPr>
          </w:p>
        </w:tc>
        <w:tc>
          <w:tcPr>
            <w:tcW w:w="1420" w:type="dxa"/>
            <w:vAlign w:val="bottom"/>
            <w:vMerge w:val="restart"/>
          </w:tcPr>
          <w:p>
            <w:pPr>
              <w:jc w:val="center"/>
              <w:ind w:right="50"/>
              <w:spacing w:after="0" w:line="176" w:lineRule="exact"/>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3"/>
                <w:szCs w:val="3"/>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Retained</w:t>
            </w:r>
          </w:p>
        </w:tc>
        <w:tc>
          <w:tcPr>
            <w:tcW w:w="140" w:type="dxa"/>
            <w:vAlign w:val="bottom"/>
          </w:tcPr>
          <w:p>
            <w:pPr>
              <w:spacing w:after="0"/>
              <w:rPr>
                <w:sz w:val="3"/>
                <w:szCs w:val="3"/>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w w:val="90"/>
              </w:rPr>
              <w:t>Treasury</w:t>
            </w:r>
          </w:p>
        </w:tc>
        <w:tc>
          <w:tcPr>
            <w:tcW w:w="160" w:type="dxa"/>
            <w:vAlign w:val="bottom"/>
          </w:tcPr>
          <w:p>
            <w:pPr>
              <w:spacing w:after="0"/>
              <w:rPr>
                <w:sz w:val="3"/>
                <w:szCs w:val="3"/>
                <w:color w:val="auto"/>
              </w:rPr>
            </w:pPr>
          </w:p>
        </w:tc>
        <w:tc>
          <w:tcPr>
            <w:tcW w:w="1280" w:type="dxa"/>
            <w:vAlign w:val="bottom"/>
            <w:vMerge w:val="restart"/>
          </w:tcPr>
          <w:p>
            <w:pPr>
              <w:jc w:val="center"/>
              <w:ind w:right="11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15"/>
        </w:trPr>
        <w:tc>
          <w:tcPr>
            <w:tcW w:w="1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Comprehensive</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Loss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Earnings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6"/>
        </w:trPr>
        <w:tc>
          <w:tcPr>
            <w:tcW w:w="32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Cumulative effect of change in accounting</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principle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Balances at December 29, 2019 - as adjusted</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March 28, 2020</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4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175"/>
        </w:trPr>
        <w:tc>
          <w:tcPr>
            <w:tcW w:w="32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Conversion option related to convertible</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40"/>
              <w:spacing w:after="0"/>
              <w:rPr>
                <w:sz w:val="20"/>
                <w:szCs w:val="20"/>
                <w:color w:val="auto"/>
              </w:rPr>
            </w:pPr>
            <w:r>
              <w:rPr>
                <w:rFonts w:ascii="Arial" w:cs="Arial" w:eastAsia="Arial" w:hAnsi="Arial"/>
                <w:sz w:val="18"/>
                <w:szCs w:val="18"/>
                <w:color w:val="auto"/>
                <w:w w:val="91"/>
              </w:rPr>
              <w:t>senior notes, net of allocated costs and tax</w:t>
            </w:r>
          </w:p>
        </w:tc>
        <w:tc>
          <w:tcPr>
            <w:tcW w:w="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June 27, 2020</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820,939</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0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30"/>
        </w:trPr>
        <w:tc>
          <w:tcPr>
            <w:tcW w:w="3280" w:type="dxa"/>
            <w:vAlign w:val="bottom"/>
            <w:gridSpan w:val="2"/>
          </w:tcPr>
          <w:p>
            <w:pPr>
              <w:ind w:left="100"/>
              <w:spacing w:after="0"/>
              <w:rPr>
                <w:sz w:val="20"/>
                <w:szCs w:val="20"/>
                <w:color w:val="auto"/>
              </w:rPr>
            </w:pPr>
            <w:r>
              <w:rPr>
                <w:rFonts w:ascii="Arial" w:cs="Arial" w:eastAsia="Arial" w:hAnsi="Arial"/>
                <w:sz w:val="18"/>
                <w:szCs w:val="18"/>
                <w:color w:val="auto"/>
              </w:rPr>
              <w:t>Purchase of treasury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September 26, 2020</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2021 and September 26,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color w:val="auto"/>
              </w:rPr>
              <w:t>Nine Months Ended</w:t>
            </w:r>
          </w:p>
        </w:tc>
      </w:tr>
      <w:tr>
        <w:trPr>
          <w:trHeight w:val="210"/>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color w:val="auto"/>
              </w:rPr>
              <w:t>October 2, 2021</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w w:val="92"/>
              </w:rPr>
              <w:t>September 26, 2020</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122,025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68,970</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20,916</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8,335</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3,502</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12,354</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27,847</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Deferred and unearned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16,940</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40,206</w:t>
            </w:r>
          </w:p>
        </w:tc>
      </w:tr>
      <w:tr>
        <w:trPr>
          <w:trHeight w:val="20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233,807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203,716</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(58,920)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(40,837)</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(40,514)</w:t>
            </w:r>
          </w:p>
        </w:tc>
      </w:tr>
      <w:tr>
        <w:trPr>
          <w:trHeight w:val="19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548,769</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(369,269)</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10,478</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774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(12,462)</w:t>
            </w:r>
          </w:p>
        </w:tc>
      </w:tr>
      <w:tr>
        <w:trPr>
          <w:trHeight w:val="219"/>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r>
      <w:tr>
        <w:trPr>
          <w:trHeight w:val="20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(112,065)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174,906</w:t>
            </w:r>
          </w:p>
        </w:tc>
      </w:tr>
      <w:tr>
        <w:trPr>
          <w:trHeight w:val="21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338,108</w:t>
            </w:r>
          </w:p>
        </w:tc>
      </w:tr>
      <w:tr>
        <w:trPr>
          <w:trHeight w:val="21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378,415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17,316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19,508</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for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10,455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13,516</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wholly owned subsidiaries. We are a leading value retailer of eyeglasses and contact lenses in the United States. We operated 1,262 and 1,205 retail optical locations in the United States and its territories as of October 2, 2021 and January 2, 2021,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2, 2021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 Certain prior year amounts in the Condensed Consolidated Statements of Cash Flows have been reclassified to conform to the current presentation.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2, 2021 included in the 2020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October 2, 2021, except for the adoption of Accounting Standards Update (“ASU”) No.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See “Adoption of New Accounting Pronouncements” below for further discussion.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2021 contains 52 weeks and will end on January 1, 2022. All three and nine month periods presented herein contain 13 and 39 weeks, respectively. All references to years and quarters relate to fiscal periods rather than calendar periods.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and nine months ended October 2, 2021 and September 26, 2020,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COVID-19 pandemic resulted in the temporary closure of our stores for a portion of the first half of fiscal year 2020 and caused changes in fiscal year 2020 seasonality. COVID-19 may continue to cause changes to the seasonality we have historically experienced in fiscal year 2021 and beyond.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provision for the three months ended October 2, 2021 and September 26, 2020 reflected our statutory federal and state rate of 25.5%, offset by discrete benefits from stock option exercises of $9.1 million and $3.0 million, respectively. Our income tax provision (benefit) for the nine months ended October 2, 2021 and September 26, 2020 reflected our statutory federal and state rate of 25.5% offset by discrete benefits from stock option exercises of $13.6 million and $6.0 million, respectively, and a stranded tax effect of $2.1 million associated with our matured interest rate swaps during the nine months ended October 2,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Sale of Equity Method Investee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52525"/>
        </w:rPr>
        <w:t>During t</w:t>
      </w:r>
      <w:r>
        <w:rPr>
          <w:rFonts w:ascii="Arial" w:cs="Arial" w:eastAsia="Arial" w:hAnsi="Arial"/>
          <w:sz w:val="18"/>
          <w:szCs w:val="18"/>
          <w:color w:val="000000"/>
        </w:rPr>
        <w:t>he third quarter of fiscal year 2021, the Company’s equity method investee was acquired by a third party and in connection therewith the Company</w:t>
      </w:r>
      <w:r>
        <w:rPr>
          <w:rFonts w:ascii="Arial" w:cs="Arial" w:eastAsia="Arial" w:hAnsi="Arial"/>
          <w:sz w:val="18"/>
          <w:szCs w:val="18"/>
          <w:color w:val="252525"/>
        </w:rPr>
        <w:t xml:space="preserve"> </w:t>
      </w:r>
      <w:r>
        <w:rPr>
          <w:rFonts w:ascii="Arial" w:cs="Arial" w:eastAsia="Arial" w:hAnsi="Arial"/>
          <w:sz w:val="18"/>
          <w:szCs w:val="18"/>
          <w:color w:val="000000"/>
        </w:rPr>
        <w:t>sold all of its ownership interests and received $2.4 million upon the consummation of the sale. These proceeds were included in the investing section of the Condensed Consolidated Statements of Cash Flows for the nine months ended October 2, 2021. As a result of this transaction, and as the carrying value of the investment was zero, the Company recorded a gain on sale of equity method investment of $2.4 million in Other expense (income), net on the Condensed Consolidated Statements of Operations for the three and nine months ended October 2, 2021. In connection with the transaction, the Company is a party to an earnout agreement whereby we may be entitled to certain variable earnout payments based upon the achievement by the investee of certain performance metrics over a one year period. The Company will recognize income for payments received under the earnout once they are realized or realizable.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Adoption of 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In August 2020, the Financial Accounting Standards Board (“FASB”) issued ASU 2020-</w:t>
      </w:r>
    </w:p>
    <w:p>
      <w:pPr>
        <w:spacing w:after="0" w:line="46" w:lineRule="exact"/>
        <w:rPr>
          <w:sz w:val="20"/>
          <w:szCs w:val="20"/>
          <w:color w:val="auto"/>
        </w:rPr>
      </w:pPr>
    </w:p>
    <w:p>
      <w:pPr>
        <w:jc w:val="both"/>
        <w:ind w:firstLine="8"/>
        <w:spacing w:after="0" w:line="286" w:lineRule="auto"/>
        <w:tabs>
          <w:tab w:leader="none" w:pos="29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new guidance simplifies and adds disclosure requirements for the accounting 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 The adoption did not have an impact on the calculated weighted average shares outstanding used in the calculation of diluted EPS since the Company was using the if-converted method prior to the adoption of ASU 2020-06. Refer to Note 11. “Earnings per Share” for more information.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impact of adoption on the Company’s condensed consolidated statement of operations for the three and nine months ended October 2,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6"/>
          </w:tcPr>
          <w:p>
            <w:pPr>
              <w:jc w:val="center"/>
              <w:ind w:left="2010"/>
              <w:spacing w:after="0"/>
              <w:rPr>
                <w:sz w:val="20"/>
                <w:szCs w:val="20"/>
                <w:color w:val="auto"/>
              </w:rPr>
            </w:pPr>
            <w:r>
              <w:rPr>
                <w:rFonts w:ascii="Arial" w:cs="Arial" w:eastAsia="Arial" w:hAnsi="Arial"/>
                <w:sz w:val="18"/>
                <w:szCs w:val="18"/>
                <w:color w:val="auto"/>
                <w:w w:val="90"/>
              </w:rPr>
              <w:t>Three Months Ended October 2, 2021</w:t>
            </w: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14"/>
                <w:szCs w:val="14"/>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With ASU 2020-06 Adoption</w:t>
            </w:r>
          </w:p>
        </w:tc>
        <w:tc>
          <w:tcPr>
            <w:tcW w:w="240" w:type="dxa"/>
            <w:vAlign w:val="bottom"/>
          </w:tcPr>
          <w:p>
            <w:pPr>
              <w:spacing w:after="0"/>
              <w:rPr>
                <w:sz w:val="14"/>
                <w:szCs w:val="14"/>
                <w:color w:val="auto"/>
              </w:rPr>
            </w:pPr>
          </w:p>
        </w:tc>
        <w:tc>
          <w:tcPr>
            <w:tcW w:w="2220" w:type="dxa"/>
            <w:vAlign w:val="bottom"/>
            <w:gridSpan w:val="3"/>
          </w:tcPr>
          <w:p>
            <w:pPr>
              <w:jc w:val="center"/>
              <w:ind w:right="380"/>
              <w:spacing w:after="0" w:line="169" w:lineRule="exact"/>
              <w:rPr>
                <w:sz w:val="20"/>
                <w:szCs w:val="20"/>
                <w:color w:val="auto"/>
              </w:rPr>
            </w:pPr>
            <w:r>
              <w:rPr>
                <w:rFonts w:ascii="Arial" w:cs="Arial" w:eastAsia="Arial" w:hAnsi="Arial"/>
                <w:sz w:val="18"/>
                <w:szCs w:val="18"/>
                <w:color w:val="auto"/>
                <w:w w:val="94"/>
              </w:rPr>
              <w:t>Without ASU 2020-06</w:t>
            </w:r>
          </w:p>
        </w:tc>
        <w:tc>
          <w:tcPr>
            <w:tcW w:w="240" w:type="dxa"/>
            <w:vAlign w:val="bottom"/>
          </w:tcPr>
          <w:p>
            <w:pPr>
              <w:spacing w:after="0"/>
              <w:rPr>
                <w:sz w:val="14"/>
                <w:szCs w:val="14"/>
                <w:color w:val="auto"/>
              </w:rPr>
            </w:pPr>
          </w:p>
        </w:tc>
        <w:tc>
          <w:tcPr>
            <w:tcW w:w="1980" w:type="dxa"/>
            <w:vAlign w:val="bottom"/>
            <w:vMerge w:val="restart"/>
          </w:tcPr>
          <w:p>
            <w:pPr>
              <w:jc w:val="right"/>
              <w:ind w:right="330"/>
              <w:spacing w:after="0"/>
              <w:rPr>
                <w:sz w:val="20"/>
                <w:szCs w:val="20"/>
                <w:color w:val="auto"/>
              </w:rPr>
            </w:pPr>
            <w:r>
              <w:rPr>
                <w:rFonts w:ascii="Arial" w:cs="Arial" w:eastAsia="Arial" w:hAnsi="Arial"/>
                <w:sz w:val="18"/>
                <w:szCs w:val="18"/>
                <w:color w:val="auto"/>
              </w:rPr>
              <w:t>Impact of Adoption</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Adoption</w:t>
            </w:r>
          </w:p>
        </w:tc>
        <w:tc>
          <w:tcPr>
            <w:tcW w:w="24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50,711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50,711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44,968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40,882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1240" w:type="dxa"/>
            <w:vAlign w:val="bottom"/>
            <w:gridSpan w:val="10"/>
          </w:tcPr>
          <w:p>
            <w:pPr>
              <w:ind w:left="220"/>
              <w:spacing w:after="0"/>
              <w:rPr>
                <w:sz w:val="20"/>
                <w:szCs w:val="20"/>
                <w:color w:val="auto"/>
              </w:rPr>
            </w:pPr>
            <w:r>
              <w:rPr>
                <w:rFonts w:ascii="Arial" w:cs="Arial" w:eastAsia="Arial" w:hAnsi="Arial"/>
                <w:sz w:val="14"/>
                <w:szCs w:val="14"/>
                <w:i w:val="1"/>
                <w:iCs w:val="1"/>
                <w:color w:val="auto"/>
              </w:rPr>
              <w:t>Impact of adoption on basic earnings per share is calculated using impact on net income divided by basic weighted average shares outstanding during the period.</w:t>
            </w:r>
          </w:p>
        </w:tc>
        <w:tc>
          <w:tcPr>
            <w:tcW w:w="0" w:type="dxa"/>
            <w:vAlign w:val="bottom"/>
          </w:tcPr>
          <w:p>
            <w:pPr>
              <w:spacing w:after="0"/>
              <w:rPr>
                <w:sz w:val="1"/>
                <w:szCs w:val="1"/>
                <w:color w:val="auto"/>
              </w:rPr>
            </w:pPr>
          </w:p>
        </w:tc>
      </w:tr>
      <w:tr>
        <w:trPr>
          <w:trHeight w:val="628"/>
        </w:trPr>
        <w:tc>
          <w:tcPr>
            <w:tcW w:w="4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6"/>
          </w:tcPr>
          <w:p>
            <w:pPr>
              <w:jc w:val="center"/>
              <w:ind w:left="2010"/>
              <w:spacing w:after="0"/>
              <w:rPr>
                <w:sz w:val="20"/>
                <w:szCs w:val="20"/>
                <w:color w:val="auto"/>
              </w:rPr>
            </w:pPr>
            <w:r>
              <w:rPr>
                <w:rFonts w:ascii="Arial" w:cs="Arial" w:eastAsia="Arial" w:hAnsi="Arial"/>
                <w:sz w:val="18"/>
                <w:szCs w:val="18"/>
                <w:color w:val="auto"/>
                <w:w w:val="91"/>
              </w:rPr>
              <w:t>Nine Months Ended October 2, 2021</w:t>
            </w: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14"/>
                <w:szCs w:val="14"/>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With ASU 2020-06 Adoption</w:t>
            </w:r>
          </w:p>
        </w:tc>
        <w:tc>
          <w:tcPr>
            <w:tcW w:w="240" w:type="dxa"/>
            <w:vAlign w:val="bottom"/>
          </w:tcPr>
          <w:p>
            <w:pPr>
              <w:spacing w:after="0"/>
              <w:rPr>
                <w:sz w:val="14"/>
                <w:szCs w:val="14"/>
                <w:color w:val="auto"/>
              </w:rPr>
            </w:pPr>
          </w:p>
        </w:tc>
        <w:tc>
          <w:tcPr>
            <w:tcW w:w="2220" w:type="dxa"/>
            <w:vAlign w:val="bottom"/>
            <w:gridSpan w:val="3"/>
          </w:tcPr>
          <w:p>
            <w:pPr>
              <w:jc w:val="center"/>
              <w:ind w:right="380"/>
              <w:spacing w:after="0" w:line="169" w:lineRule="exact"/>
              <w:rPr>
                <w:sz w:val="20"/>
                <w:szCs w:val="20"/>
                <w:color w:val="auto"/>
              </w:rPr>
            </w:pPr>
            <w:r>
              <w:rPr>
                <w:rFonts w:ascii="Arial" w:cs="Arial" w:eastAsia="Arial" w:hAnsi="Arial"/>
                <w:sz w:val="18"/>
                <w:szCs w:val="18"/>
                <w:color w:val="auto"/>
                <w:w w:val="94"/>
              </w:rPr>
              <w:t>Without ASU 2020-06</w:t>
            </w:r>
          </w:p>
        </w:tc>
        <w:tc>
          <w:tcPr>
            <w:tcW w:w="240" w:type="dxa"/>
            <w:vAlign w:val="bottom"/>
          </w:tcPr>
          <w:p>
            <w:pPr>
              <w:spacing w:after="0"/>
              <w:rPr>
                <w:sz w:val="14"/>
                <w:szCs w:val="14"/>
                <w:color w:val="auto"/>
              </w:rPr>
            </w:pPr>
          </w:p>
        </w:tc>
        <w:tc>
          <w:tcPr>
            <w:tcW w:w="1980" w:type="dxa"/>
            <w:vAlign w:val="bottom"/>
            <w:vMerge w:val="restart"/>
          </w:tcPr>
          <w:p>
            <w:pPr>
              <w:jc w:val="right"/>
              <w:ind w:right="330"/>
              <w:spacing w:after="0"/>
              <w:rPr>
                <w:sz w:val="20"/>
                <w:szCs w:val="20"/>
                <w:color w:val="auto"/>
              </w:rPr>
            </w:pPr>
            <w:r>
              <w:rPr>
                <w:rFonts w:ascii="Arial" w:cs="Arial" w:eastAsia="Arial" w:hAnsi="Arial"/>
                <w:sz w:val="18"/>
                <w:szCs w:val="18"/>
                <w:color w:val="auto"/>
              </w:rPr>
              <w:t>Impact of Adoption</w:t>
            </w:r>
          </w:p>
        </w:tc>
        <w:tc>
          <w:tcPr>
            <w:tcW w:w="0" w:type="dxa"/>
            <w:vAlign w:val="bottom"/>
          </w:tcPr>
          <w:p>
            <w:pPr>
              <w:spacing w:after="0"/>
              <w:rPr>
                <w:sz w:val="1"/>
                <w:szCs w:val="1"/>
                <w:color w:val="auto"/>
              </w:rPr>
            </w:pPr>
          </w:p>
        </w:tc>
      </w:tr>
      <w:tr>
        <w:trPr>
          <w:trHeight w:val="229"/>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Adoption</w:t>
            </w:r>
          </w:p>
        </w:tc>
        <w:tc>
          <w:tcPr>
            <w:tcW w:w="24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166,988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166,988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i w:val="1"/>
          <w:iCs w:val="1"/>
          <w:color w:val="auto"/>
        </w:rPr>
        <w:t>Impact of adoption on basic earnings per share is calculated using impact on net income divided by basic weighted average shares outstanding during the period.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4"/>
                <w:szCs w:val="24"/>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60" w:type="dxa"/>
            <w:vAlign w:val="bottom"/>
          </w:tcPr>
          <w:p>
            <w:pPr>
              <w:spacing w:after="0"/>
              <w:rPr>
                <w:sz w:val="24"/>
                <w:szCs w:val="24"/>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October 2, 2021</w:t>
            </w:r>
          </w:p>
        </w:tc>
        <w:tc>
          <w:tcPr>
            <w:tcW w:w="360" w:type="dxa"/>
            <w:vAlign w:val="bottom"/>
          </w:tcPr>
          <w:p>
            <w:pPr>
              <w:spacing w:after="0"/>
              <w:rPr>
                <w:sz w:val="19"/>
                <w:szCs w:val="19"/>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Trade receivables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29,356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card receivables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4"/>
                <w:szCs w:val="24"/>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60" w:type="dxa"/>
            <w:vAlign w:val="bottom"/>
          </w:tcPr>
          <w:p>
            <w:pPr>
              <w:spacing w:after="0"/>
              <w:rPr>
                <w:sz w:val="24"/>
                <w:szCs w:val="24"/>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6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October 2, 2021</w:t>
            </w:r>
          </w:p>
        </w:tc>
        <w:tc>
          <w:tcPr>
            <w:tcW w:w="360" w:type="dxa"/>
            <w:vAlign w:val="bottom"/>
          </w:tcPr>
          <w:p>
            <w:pPr>
              <w:spacing w:after="0"/>
              <w:rPr>
                <w:sz w:val="19"/>
                <w:szCs w:val="19"/>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65,094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55,473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55,801</w:t>
            </w:r>
          </w:p>
        </w:tc>
        <w:tc>
          <w:tcPr>
            <w:tcW w:w="0" w:type="dxa"/>
            <w:vAlign w:val="bottom"/>
          </w:tcPr>
          <w:p>
            <w:pPr>
              <w:spacing w:after="0"/>
              <w:rPr>
                <w:sz w:val="1"/>
                <w:szCs w:val="1"/>
                <w:color w:val="auto"/>
              </w:rPr>
            </w:pPr>
          </w:p>
        </w:tc>
      </w:tr>
      <w:tr>
        <w:trPr>
          <w:trHeight w:val="224"/>
        </w:trPr>
        <w:tc>
          <w:tcPr>
            <w:tcW w:w="63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124,637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0</wp:posOffset>
            </wp:positionV>
            <wp:extent cx="3128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260" w:right="20" w:hanging="234"/>
        <w:spacing w:after="0" w:line="236" w:lineRule="auto"/>
        <w:tabs>
          <w:tab w:leader="none" w:pos="252"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-188595</wp:posOffset>
            </wp:positionV>
            <wp:extent cx="3128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As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vMerge w:val="continue"/>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October 2, 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1800" w:type="dxa"/>
            <w:vAlign w:val="bottom"/>
          </w:tcPr>
          <w:p>
            <w:pPr>
              <w:jc w:val="right"/>
              <w:ind w:right="15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39,466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51,081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Self-insurance liabilities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10,455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Litigation settlements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concessions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15,663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98,749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bl>
    <w:p>
      <w:pPr>
        <w:ind w:left="20" w:right="300" w:firstLine="42"/>
        <w:spacing w:after="0" w:line="232"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Coronavirus Aid, Relief, and Economic Security (“CARES”) Act deferred employer payroll taxes in the amount of $0.0 million and $12.8 million as of October 2, 2021 and January 2,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-188595</wp:posOffset>
            </wp:positionV>
            <wp:extent cx="3120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vMerge w:val="continue"/>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October 2, 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800" w:type="dxa"/>
            <w:vAlign w:val="bottom"/>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See Note 5. “Interest Rate Derivatives”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no impairments during the three months ended October 2, 2021, and $1.5 million during the nine months ended October 2, 2021, respectively, related to our long-lived tangible store assets and ROU assets. The impairments were primarily driven by lower than projected customer sales volume in certain stores. The cash flows used in estimating fair value were discounted using a market rate of 7.5%. We consider market-based indications of prevailing rental rates for retail space, market participant discount rates, and lease incentives when estimating the fair values of ROU assets.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nine months ended October 2, 2021 was $2.9 million; this value includes fair value estimates related to impairments recorded in the first and second quarters of 2021. Substantially all of the remaining fair value of the impaired store assets in fiscal year 2021 represents the fair value of ROU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- 2025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$402.5 million in aggregate principal amount of 2.50% convertible senior notes due on May 15, 2025 (the “2025 Notes”) issued and outstanding as of October 2, 2021. Refer to Note 4. “Long-term Debt” for more information on the 2025 Notes. The estimated fair value of the 2025 Notes was approximately $757.7 million and $655.3 million as of October 2, 2021 and January 2, 2021, respectively. The estimated fair value of the 2025 Notes is based on the prices the 2025 Notes have traded in the market as of October 2, 2021, as well as overall market conditions on the date of valuation, stated coupon rates, the number of coupon payments each year and the maturity date, and represents a Level 2 measurement in the fair value hierarchy.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October 2, 2021</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due July 18, 2024</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before debt discount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(8,572)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less debt discount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592,526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 non-current portion</w:t>
            </w: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592,526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the Company voluntarily prepaid $117.4 million of term loan principal and wrote off associated deferred debt issuance costs of $0.7 million. The Company also amended its credit agreement to, among other things, add customary LIBOR replacement provisions, modify the applicable margins used to calculate the rate of interest payable on the first lien term loans thereunder to a range of 1.25% to 2.00% for LIBOR Loans and a range of 0.25% to 1.00% for ABR Loans, modify certain financial covenants related to maximum leverage and minimum interest coverage and remove the LIBOR floor, such that LIBOR shall be deemed to be no less than 0.00% per annum (instead of 1.00% per annum previously in effect).</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principal prepayments made by the Company, we have no additional mandatory principal payments on the remaining term loan balance until maturity on July 18, 2024.</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Capitalized terms used but not defined herein shall have the meanings assigned to such terms in our credit agreement. 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 We were in compliance with all covenants related to our long-term debt as of October 2, 2021. See Note 14. “Subsequent Events” for developments on our term loan occurring after the date of the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 We recognized $2.5 million and $0.6 million in interest expense for the interest coupon and amortization of issuance costs, respectively, during the three months ended October 2, 2021 and $7.5 million and $1.6 million, respectively during the nine months ended October 2, 2021. As of October 2, 2021, the remaining period for the unamortized debt issuance costs balance was approximately four years.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 2021, the 2025 Notes can be converted by holders. The conversion rate will be subject to adjustment upon the occurrence of certain specified events including, but not limited to: issuance of stock dividends, splits and combinations; distribution of rights, options and warrants; spin-offs and other distributed property; cash dividends or distributions; tender offers or exchange offers; and certain other corporate transactions. The holders of our term loan would have preference over the holders of the 2025 Notes in the event of a liquidation.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an interest rate collar to offset the variability of cash flows in LIBOR-indexed debt interest payments. The aggregate notional amount of the interest rate collar was $375.0 million as of October 2, 2021. The fair value of our interest rate collar instrument was $7.4 million as of October 2, 2021 and is not designated as a cash flow hedge. The interest rate swaps we held at the end of fiscal year 2020 matured in the first quarter of 2021. The fair value of our interest rate derivative instruments was $12.8 million as of January 2, 2021, $1.5 million of which was designated as a cash flow hedge. See Note 3. “Fair Value Measurement” for further details.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(losses) on the change in fair value of the interest rate collar of approximately $(0.2) million and $1.3 million were recorded in interest expense, net during the three and nine months ended October 2, 2021, respectively. Interest expense, net related to our interest rate derivatives considered to be highly effective hedges for the nine months ended October 2, 2021 was $1.5 million.</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related to derivatives qualifying as hedges are included in the same section of the Condensed Consolidated Statements of Cash Flows as the underlying assets and liabilities being hedged. Cash flows during the nine months ended October 2, 2021 and September 26, 2020 related to derivatives not qualifying as hedges were included in the operating section of the Condensed Consolidated Statements of Cash Flows and were immaterial.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second quarter of 2021, as a result of the partial repayment of the Company’s LIBOR based term-loan debt balances, certain forecasted hedged transactions were deemed not probable of occurring. The Company subsequently reclassified unrealized losses of $2.5 million from AOCL to interest expense on $115.0 million of interest rate collar notional, during the nine months ended October 2, 2021. As of October 2, 2021, the Company expects to reclassify approximately $0.9 million of unrealized losses on derivative instruments, net of tax, from Accumulated other comprehensive loss (“AOCL”) into earnings in the next 12 months as the derivative instruments mature. See Note 13. “Accumulated Other Comprehensive Loss” for further details.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quarter of 2020, as a result of the partial repayment of the Company’s LIBOR based debt balances, certain forecasted hedged transactions were deemed not probable of occurring. The Company subsequently discontinued hedge accounting on $78.0 million of interest rate swap notional and $58.0 million of interest rate collar notional, reclassifying net unrealized losses of approximately $2.5 million from AOCL to interest expense, net during the nine months ended September 26, 2020. Additionally, due to changes in the interest rates applicable to the Company’s term loan and revolver, the interest rate collar ceased to be a highly effective hedge. Losses on the change in fair value of the interest rate collar of approximately $2.6 million were recorded in interest expense, net during the nine months ended September 26, 2020. Interest expense, net related to derivatives considered to be highly effective hedges for the three and nine months ended September 26, 2020 was $2.0 million and $5.9 million,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October 2, 2021, the Company granted 110,531 stock options, 111,601 performance-based restricted stock units (“PSUs”) and 132,327 time-based restricted stock units (“RSUs”) to eligible employees under the National Vision Holdings, Inc. 2017 Omnibus Incentive Plan (the “2017 Omnibus Incentive Plan”). The time-based options granted in fiscal 2021 vest in three equal annual installments, with one-third of the total options vesting on each of the first, second, and third anniversaries of the grant date, subject to continued employment through the applicable vesting date. The PSUs granted in fiscal 2021 are settled after the end of the performance period (i.e., cliff vesting), which begins on the first day of our 2021 fiscal year and ends on the last day of our 2023 fiscal year, and are based on the Company’s achievement of certain performance targets. The RSUs granted in fiscal 2021 vest primarily in three equal installments.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October 2, 2021, the Company granted 16,539 restricted stock awards (“RSAs”) to eligible members of the Company’s Board of Directors under the 2017 Omnibus Incentive Plan. The awards vest one year from the grant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5"/>
          </w:tcPr>
          <w:p>
            <w:pPr>
              <w:ind w:left="7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3280" w:type="dxa"/>
            <w:vAlign w:val="bottom"/>
            <w:gridSpan w:val="4"/>
          </w:tcPr>
          <w:p>
            <w:pPr>
              <w:jc w:val="right"/>
              <w:ind w:right="910"/>
              <w:spacing w:after="0"/>
              <w:rPr>
                <w:sz w:val="20"/>
                <w:szCs w:val="20"/>
                <w:color w:val="auto"/>
              </w:rPr>
            </w:pPr>
            <w:r>
              <w:rPr>
                <w:rFonts w:ascii="Arial" w:cs="Arial" w:eastAsia="Arial" w:hAnsi="Arial"/>
                <w:sz w:val="18"/>
                <w:szCs w:val="18"/>
                <w:color w:val="auto"/>
              </w:rPr>
              <w:t>Nine Months Ended</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October 2, 2021</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September 26, 2020</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October 2, 2021</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September 26, 2020</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447,403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1,111,118</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103,946</w:t>
            </w: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1,215,064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$2.4 million and $1.8 million during the three months ended October 2, 2021 and September 26, 2020, respectively, and $7.0 million and $5.9 million during the nine months ended October 2, 2021 and September 26,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loss expense recognized on our receivables, which is presented in SG&amp;A expenses in the Company’s condensed consolidated statements of operations, was $0.3 million for the three months ended October 2, 2021 and $0.6 million for the nine months ended October 2, 2021 as compared to $0.1 million and $0.5 million for the three and nine months ended September 26,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$24.6 million and $50.4 million of deferred revenues outstanding at the beginning of each respective period during the three and nine months ended October 2, 2021, respectively, and $9.2 million and $46.5 million of revenues from sale of club memberships and product protection plans during the three and nine months ended October 2, 2021, respectively. We recognized $18.6 million and $48.1 million of deferred revenues outstanding at the beginning of each respective period during the three and nine months ended September 26, 2020, respectively, and $9.3 million and $31.9 million of revenues from sale of club memberships and product protection plans during the three and nine months ended September 26, 2020, respectively.</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deferred revenue balance as of October 2, 2021 was $92.8 million. We expect future revenue recognition of this balance of $25.2 million, $49.1 million, $14.7 million, $3.5 million and $0.3 million in fiscal years 2021, 2022, 2023, 2024 and thereafter,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8. Leases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9"/>
        </w:trPr>
        <w:tc>
          <w:tcPr>
            <w:tcW w:w="7380" w:type="dxa"/>
            <w:vAlign w:val="bottom"/>
            <w:gridSpan w:val="5"/>
          </w:tcPr>
          <w:p>
            <w:pPr>
              <w:spacing w:after="0"/>
              <w:rPr>
                <w:sz w:val="20"/>
                <w:szCs w:val="20"/>
                <w:color w:val="auto"/>
              </w:rPr>
            </w:pPr>
            <w:r>
              <w:rPr>
                <w:rFonts w:ascii="Arial" w:cs="Arial" w:eastAsia="Arial" w:hAnsi="Arial"/>
                <w:sz w:val="18"/>
                <w:szCs w:val="18"/>
                <w:color w:val="auto"/>
                <w:w w:val="90"/>
              </w:rPr>
              <w:t>Our lease costs for the three months ended October 2, 2021 and September 26, 2020 were as follows: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7"/>
        </w:trPr>
        <w:tc>
          <w:tcPr>
            <w:tcW w:w="4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color w:val="auto"/>
                <w:w w:val="98"/>
              </w:rPr>
              <w:t>Three Months Ended</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color w:val="auto"/>
                <w:w w:val="98"/>
              </w:rPr>
              <w:t>Nine Months Ended</w:t>
            </w:r>
          </w:p>
        </w:tc>
        <w:tc>
          <w:tcPr>
            <w:tcW w:w="700" w:type="dxa"/>
            <w:vAlign w:val="bottom"/>
            <w:tcBorders>
              <w:bottom w:val="single" w:sz="8" w:color="auto"/>
            </w:tcBorders>
          </w:tcPr>
          <w:p>
            <w:pPr>
              <w:spacing w:after="0"/>
              <w:rPr>
                <w:sz w:val="22"/>
                <w:szCs w:val="2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October 2, 2021</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89"/>
              </w:rPr>
              <w:t>September 26, 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October 2, 2021</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89"/>
              </w:rPr>
              <w:t>September 26, 2020</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21,035</w:t>
            </w:r>
          </w:p>
        </w:tc>
        <w:tc>
          <w:tcPr>
            <w:tcW w:w="1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19,473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62,589</w:t>
            </w:r>
          </w:p>
        </w:tc>
        <w:tc>
          <w:tcPr>
            <w:tcW w:w="12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57,885</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r>
      <w:tr>
        <w:trPr>
          <w:trHeight w:val="230"/>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Sublease income </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0"/>
        </w:trPr>
        <w:tc>
          <w:tcPr>
            <w:tcW w:w="4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r>
      <w:tr>
        <w:trPr>
          <w:trHeight w:val="270"/>
        </w:trPr>
        <w:tc>
          <w:tcPr>
            <w:tcW w:w="4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w:t>
            </w:r>
          </w:p>
        </w:tc>
      </w:tr>
      <w:tr>
        <w:trPr>
          <w:trHeight w:val="270"/>
        </w:trPr>
        <w:tc>
          <w:tcPr>
            <w:tcW w:w="49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29,974</w:t>
            </w:r>
          </w:p>
        </w:tc>
        <w:tc>
          <w:tcPr>
            <w:tcW w:w="12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27,749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88,376</w:t>
            </w:r>
          </w:p>
        </w:tc>
        <w:tc>
          <w:tcPr>
            <w:tcW w:w="12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82,450</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40" w:firstLine="6"/>
        <w:spacing w:after="0" w:line="236" w:lineRule="auto"/>
        <w:tabs>
          <w:tab w:leader="none" w:pos="225"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7" w:lineRule="exact"/>
        <w:rPr>
          <w:rFonts w:ascii="Arial" w:cs="Arial" w:eastAsia="Arial" w:hAnsi="Arial"/>
          <w:sz w:val="14"/>
          <w:szCs w:val="14"/>
          <w:color w:val="auto"/>
        </w:rPr>
      </w:pPr>
    </w:p>
    <w:p>
      <w:pPr>
        <w:ind w:left="220" w:hanging="194"/>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leasing space to ophthalmologists and optometrists who are independent contractors.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As of</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400" w:type="dxa"/>
            <w:vAlign w:val="bottom"/>
            <w:gridSpan w:val="2"/>
            <w:vMerge w:val="continue"/>
          </w:tcPr>
          <w:p>
            <w:pPr>
              <w:spacing w:after="0"/>
              <w:rPr>
                <w:sz w:val="19"/>
                <w:szCs w:val="19"/>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 2021</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304"/>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60" w:type="dxa"/>
            <w:vAlign w:val="bottom"/>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right="40" w:firstLine="6"/>
        <w:spacing w:after="0" w:line="224" w:lineRule="auto"/>
        <w:tabs>
          <w:tab w:leader="none" w:pos="21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8" w:lineRule="exact"/>
        <w:rPr>
          <w:rFonts w:ascii="Arial" w:cs="Arial" w:eastAsia="Arial" w:hAnsi="Arial"/>
          <w:sz w:val="14"/>
          <w:szCs w:val="14"/>
          <w:color w:val="auto"/>
        </w:rPr>
      </w:pPr>
    </w:p>
    <w:p>
      <w:pPr>
        <w:ind w:left="20" w:right="140" w:firstLine="6"/>
        <w:spacing w:after="0" w:line="236" w:lineRule="auto"/>
        <w:tabs>
          <w:tab w:leader="none" w:pos="22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Nine Months Ended</w:t>
            </w:r>
          </w:p>
        </w:tc>
        <w:tc>
          <w:tcPr>
            <w:tcW w:w="40" w:type="dxa"/>
            <w:vAlign w:val="bottom"/>
          </w:tcPr>
          <w:p>
            <w:pPr>
              <w:spacing w:after="0"/>
              <w:rPr>
                <w:sz w:val="20"/>
                <w:szCs w:val="20"/>
                <w:color w:val="auto"/>
              </w:rPr>
            </w:pPr>
          </w:p>
        </w:tc>
      </w:tr>
      <w:tr>
        <w:trPr>
          <w:trHeight w:val="412"/>
        </w:trPr>
        <w:tc>
          <w:tcPr>
            <w:tcW w:w="6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October 2, 2021</w:t>
            </w:r>
          </w:p>
        </w:tc>
        <w:tc>
          <w:tcPr>
            <w:tcW w:w="12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9"/>
              </w:rPr>
              <w:t>September 26, 2020</w:t>
            </w:r>
          </w:p>
        </w:tc>
      </w:tr>
      <w:tr>
        <w:trPr>
          <w:trHeight w:val="223"/>
        </w:trPr>
        <w:tc>
          <w:tcPr>
            <w:tcW w:w="60" w:type="dxa"/>
            <w:vAlign w:val="bottom"/>
          </w:tcPr>
          <w:p>
            <w:pPr>
              <w:spacing w:after="0"/>
              <w:rPr>
                <w:sz w:val="19"/>
                <w:szCs w:val="19"/>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2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53,816</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Right of use assets acquired under finance leases</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1,257</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45,154</w:t>
            </w:r>
          </w:p>
        </w:tc>
        <w:tc>
          <w:tcPr>
            <w:tcW w:w="40" w:type="dxa"/>
            <w:vAlign w:val="bottom"/>
          </w:tcPr>
          <w:p>
            <w:pPr>
              <w:spacing w:after="0"/>
              <w:rPr>
                <w:sz w:val="19"/>
                <w:szCs w:val="19"/>
                <w:color w:val="auto"/>
              </w:rPr>
            </w:pPr>
          </w:p>
        </w:tc>
      </w:tr>
      <w:tr>
        <w:trPr>
          <w:trHeight w:val="850"/>
        </w:trPr>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900" w:type="dxa"/>
            <w:vAlign w:val="bottom"/>
          </w:tcPr>
          <w:p>
            <w:pPr>
              <w:jc w:val="right"/>
              <w:ind w:right="17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October 2, 2021: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2"/>
                <w:szCs w:val="22"/>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80,102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4,753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35,772</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Operating lease payments include $50.1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present value of lease liabilities excludes $30.2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FirstSight filed a motion to dismiss the third amended complaint on May 8, 2020. On February 4, 2021, the district court granted FirstSight’s motion in part and denied it in part. FirstSight’s answer to the remaining claims was filed February 18, 2021. The parties participated in mediation on July 6, 2021 and, in order to avoid the burden and expense of litigation, agreed to a settlement of all claims alleged by the named plaintiffs for an immaterial amount. On September 3, 2021, FirstSight paid the settlement amount and on September 8, 2021, the court entered an order dismissing the action with prejudice as to the named plaintiffs and without prejudice as to the putative class.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2019, the Company agreed to enter into a pre-litigation settlement with six former associates who asserted, on behalf of themselves and a proposed class, violations of the Fair Labor Standards Act and of California wage and hour laws. In order to avoid the burden and expense of litigation, and without admitting liability, the Company agreed to a settlement with the named claimants and all participating class members for a maximum settlement amount of $895,000. This settlement was submitted by the parties for approval through arbitration and an order granting final approval of the settlement and dismissing the action was issued by the arbitrator on July 13, 2021. The Company paid the settlement amount on August 12, 2021.</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Eyeglass World, LLC, which was acquired by the Company in 2009, is a defendant in a state court action filed on July 24, 2017 by a former sublease holder in Albuquerque, New Mexico. The lawsuit seeks monetary damages for claims of conversion, misappropriation of trade secrets, misrepresentation, and tortious interference with existing and prospective contractual relationships arising from the Company’s alleged unauthorized use of confidential information. The parties have engaged in extensive discovery and pre-trial dispositive motions are currently pending on several material issues of liability and damages. We believe the claims are without merit and intend to continue to defend the litigation vigorously. The Company does not believe a reasonable estimate of the range of possible losses is currently possible in view of the uncertainty regarding the amount of damages, if any, that could be awarded in this matter.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Beginning in the first quarter of 2021, incremental expenses related to the COVID-19 pandemic were allocated to the reportable segments but were included in the Corporate/Other category in 2020. Changes in unearned revenue and deferred revenue recognized in the Reconciliations category reflect the effects of our stores being temporarily closed to the public for a portion of 2020.</w:t>
      </w:r>
    </w:p>
    <w:p>
      <w:pPr>
        <w:spacing w:after="0" w:line="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litigation settlement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is not included in the following summary since the CODM does not regularly review such information for the reportable segments.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color w:val="auto"/>
                <w:w w:val="90"/>
              </w:rPr>
              <w:t>Three Months Ended October 2, 2021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77,171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156,699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25,059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89"/>
              </w:rPr>
              <w:t>Three Months Ended September 26, 2020</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86,945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142,625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color w:val="auto"/>
                <w:w w:val="91"/>
              </w:rPr>
              <w:t>Nine Months Ended October 2, 2021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1,326,867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274,807</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1,601,674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485,090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202,004</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473,594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157,186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687,094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676,042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72,639</w:t>
            </w: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144,727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90"/>
              </w:rPr>
              <w:t>Nine Months Ended September 26, 2020</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1,005,884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172,829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209,180</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1,215,064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402,279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167,864</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373,606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570,143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68,970</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EPS related to the 2025 Notes in the current year is calculated using the if-converted method; the number of dilutive shares is based on the initial conversion rate associated with the 2025 Notes. Prior to the fourth quarter of the fiscal year 2020, we intended to settle the principal amount of the outstanding 2025 Notes in cash and, therefore, used the treasury stock method for calculating the potential effect of dilutive securities related to the 2025 Notes, if applicable. A reconciliation of the numerators and denominators of the basic and diluted EPS calculations is as follows: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w w:val="95"/>
              </w:rPr>
              <w:t>Three Months Ended</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October 2, 2021</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w w:val="88"/>
              </w:rPr>
              <w:t>September 26, 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October 2, 2021</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7"/>
              </w:rPr>
              <w:t>September 26, 2020</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After-tax interest expense for 2025 Notes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diluted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82,290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80,376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2025 Notes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8"/>
              </w:rPr>
              <w:t>Anti-dilutive options and RSUs outstanding excluded from</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October 2, 2021</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7"/>
              </w:rPr>
              <w:t>September 26, 2020</w:t>
            </w:r>
          </w:p>
        </w:tc>
      </w:tr>
      <w:tr>
        <w:trPr>
          <w:trHeight w:val="223"/>
        </w:trPr>
        <w:tc>
          <w:tcPr>
            <w:tcW w:w="7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377,007</w:t>
            </w:r>
          </w:p>
        </w:tc>
      </w:tr>
      <w:tr>
        <w:trPr>
          <w:trHeight w:val="229"/>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and nine months ended October 2, 2021 and September 26, 2020,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Three Months Ended</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October 2, 2021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26, 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October 2, 2021</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7"/>
              </w:rPr>
              <w:t>September 26, 2020</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Other comprehensive income (loss) before reclassification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175"/>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w w:val="95"/>
              </w:rPr>
              <w:t>Tax effect of other comprehensive income (loss) before</w:t>
            </w:r>
          </w:p>
        </w:tc>
        <w:tc>
          <w:tcPr>
            <w:tcW w:w="140" w:type="dxa"/>
            <w:vAlign w:val="bottom"/>
          </w:tcPr>
          <w:p>
            <w:pPr>
              <w:spacing w:after="0"/>
              <w:rPr>
                <w:sz w:val="15"/>
                <w:szCs w:val="15"/>
                <w:color w:val="auto"/>
              </w:rPr>
            </w:pPr>
          </w:p>
        </w:tc>
        <w:tc>
          <w:tcPr>
            <w:tcW w:w="1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Amount reclassified from AOCL into interest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w w:val="93"/>
              </w:rPr>
              <w:t>Tax effect of amount reclassified from AOCL into interest</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Stranded tax effect of matured interest rate swaps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460" w:type="dxa"/>
            <w:vAlign w:val="bottom"/>
          </w:tcPr>
          <w:p>
            <w:pPr>
              <w:ind w:left="220"/>
              <w:spacing w:after="0" w:line="156" w:lineRule="exact"/>
              <w:rPr>
                <w:sz w:val="20"/>
                <w:szCs w:val="20"/>
                <w:color w:val="auto"/>
              </w:rPr>
            </w:pPr>
            <w:r>
              <w:rPr>
                <w:rFonts w:ascii="Arial" w:cs="Arial" w:eastAsia="Arial" w:hAnsi="Arial"/>
                <w:sz w:val="18"/>
                <w:szCs w:val="18"/>
                <w:color w:val="auto"/>
                <w:w w:val="90"/>
              </w:rPr>
              <w:t>Net current period other comprehensive income (loss), net</w:t>
            </w: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November 9, 2021, subsequent to the date of the financial statements, the Company voluntarily prepaid $50 million in existing Term A loans under its credit agreement; as a result, the remaining principal balance of the Company’s term loan is now $150 million.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January 2, 2021 (the “2020 Annual Report on Form 10-K”). This discussion contains forward-looking statements that reflect our plans, estimates and beliefs and involve numerous risks and uncertainties, including, but not limited to, those described in the “Risk Factors” section of the 2020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1,262 retail stores across five brands and 19 consumer websites as of October 2,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and its macroeconomic effects continue to present ongoing and evolving challenges to our business. We remain focused on our strategy to provide our customers and patients reliable and quality low cost eye care and eyewear by prioritizing the health and safety of our associates, customers and patients. For a discussion of measures we have previously taken in response to the pandemic, and the impact of the COVID-19 pandemic on our operations and performance, please see Part I. Item 1A. “Risk Factors” and Part II. Item 7. “Management’s Discussion and Analysis of Financial Condition and Results of Operations” in the Company’s 2020 Annual Report on Form 10-K. We continue to monitor and, where applicable, respond to the several macroeconomic effects resulting from, the pandemic, including materials and labor shortages and supply chain constraints. In particular, we are monitoring these effects in light of variant outbreaks and governmental vaccination and testing requirements.</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9, 2021, President Biden announced the Path Out of the Pandemic: COVID-19 Action Plan. As part of the COVID-19 Action Plan, President Biden directed the Occupational Safety and Health Administration (“OSHA”) to develop an Emergency Temporary Standard (“ETS”) mandating either the full vaccination or weekly testing of employees for employers with 100 or more employees. On November 4, 2021, the OSHA ETS was released. Following the issuance of the ETS, litigation was filed challenging the ETS, and on November 6, 2021, the U.S. Court of Appeals for the Fifth Circuit issued an order temporarily staying the effect of the ETS until a decision is reached. In addition, on September 9, 2021, President Biden issued an executive order on ensuring adequate COVID-19 safety protocols for U.S. federal contractors as part of his COVID-19 Action Plan. On September 24, 2021, in furtherance of the executive order, the U.S. Safer Federal Workforce Task Force (“Task Force”) issued guidance requiring federal contractors and subcontractors to comply with certain COVID-19 safety protocols, including requiring certain employees to be fully vaccinated against COVID-19 by January 4, 2022, except in limited circumstances. The vaccination requirements will be incorporated in new government contracts, renewals, extensions and other modifications signed on and after October 15, 2021.</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evaluating the applicability, scope and potential impacts of the COVID-19 Action Plan, the OSHA ETS and the related executive orders on our business and workforce. It is uncertain to what extent compliance with the applicable orders, regulations and guidance may result in workforce attrition. If attrition is significant, our operations and results could be adversely affected. See Item 1A. Risk Factors in this Form 10-Q, for discussion of risks associated with the potential adverse effects on our workforce of vaccine requirements.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could experience potential disruptions of product deliveries as a result of supply chain issues caused by the COVID-19 pandemic, including as a result of temporary shutdowns in countries which support our supply chain. Prolonged periods of shutdown in these countries or a deterioration of conditions in other countries that are part of our supply chain as well as increasing strains on international and domestic supply chain infrastructure could result in product availability delays, as well as potential increased costs to obtain and ship these products to meet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demand. We have made, and may continue to make, inventory forward buys to help manage potential supply chain disruptions. We will continue to evaluate additional measures that we may elect to take as a response to the COVID-19 pandemic, including, where appropriate, future action to reduce store hours and patient appointments, temporarily close stores or make additional forward buys. There can be no assurance whether or when any such measures will be adopted.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revenue in the nine months ended October 2, 2021 increased compared to the nine months ended September 26, 2020 due in part to the effects of our stores being temporarily closed to the public in fiscal year 2020 and government stimulus as a result of COVID-19. As a result, comparability of our financial performance between these periods may be impacted and our rate of growth should not be viewed as indicative of our potential results in future periods.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Owned &amp; Host - As of October 2, 2021, our owned brands consisted of 826 America’s Best Contacts and Eyeglasses retail stores and 123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October 2, 2021. We have strong, long-standing relationships with our host partners and have maintained each partnership for over 21 years. These brands provide eye exams primarily by independent optometrists. All brands utilize our centralized laboratories. This segment also includes sales from our America’s Best, Eyeglass World, and Military omni-channel websites.</w:t>
      </w:r>
    </w:p>
    <w:p>
      <w:pPr>
        <w:spacing w:after="0" w:line="77"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230 Vision Centers in Walmart retail locations as of October 2, 2021. This strategic relationship with Walmart is in its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nine months ended October 2, 2021, sales associated with this arrangement represented 8.0%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6.4%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related healthcare authority guidelines and efficacy of vaccination initiatives, including the impact of, and associated risks regarding, federal, state and local vaccination and testing programs. We also continue to monitor potential impacts on our lab network and potential disruptions of product deliveries. To date, we have been able to meet customer demand with operations at our laboratories and our supply chain partners. However, prolonged shutdowns in countries which support our supply chain or a deterioration of conditions in such countries and others or increasing strains on international and domestic supply chain infrastructure could result in product availability delays in the future. We could experience further material impacts as a result of COVID-19, including, but not limited to, charges from additional asset impairments and deferred tax valuation allowances. We will continue to evaluate additional measures that we may elect to take as a response to the pandemic, including, where appropriate, future action to reduce store hours and patient appointments, temporarily close stores or make additional forward buys. There can be no assurance whether or when any such measures will be adopted. For a discussion of significant risks that have the potential to cause our actual results to differ materially from our expectations, refer to Part II. Item 1A. “Risk Factors” in this Form 10-Q and Part I. Item 1A. “Risk Factors,” included in our 2020 Annual Report on Form 10-K.</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Comparable store sales growth is a key driver of our business. The comparable store sales growth and Adjusted Comparable Store Sales Growth for the nine months ended October 2, 2021 were impacted by our stores being temporarily closed to the public in the prior year due to the COVID-19 pandemic, and also include the effect of pent-up demand for our products and services after our stores reopened. The impact of the COVID-19 pandemic on our comparable store sales growth remains uncertain, and effects and relevant risk exposures may be exacerbated by the immediate and ongoing threat of the COVID-19 pandemic.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This seasonality, and our interim results were impacted during fiscal year 2020 because our stores were temporarily closed to the public for a portion of the first half of the year due to the COVID-19 pandemic. Our net revenue in the current fiscal period is higher compared to the sales prior to the pandemic due to new store openings and strong customer demand, including the likely effects of our stores being temporarily closed to the public in fiscal year 2020 and government stimulus.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remain committed to our long-term vision and continue to position ourselves to make progress against our key initiatives while balancing the near-term challenges and uncertainty presented by the COVID-19 pandemic. We believe the following factors may continue to influence our short-term and long-term results:</w:t>
      </w:r>
    </w:p>
    <w:p>
      <w:pPr>
        <w:spacing w:after="0" w:line="7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source and distribute products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wage pressure and unemployment levels;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SG&amp;A generally fluctuates consistently with revenue due to the variable store, field office and corporate support costs; however, some fixed costs slightly improve as a percentage of net revenue as our net revenues grow over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early in the COVID-19 pandemic, we temporarily paused new store openings during a portion of the fiscal year 2020. We expect to open approximately 75 stores in the current year. We will continue to monitor and determine our plans for future new store openings based on based on health, safety and economic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5"/>
              </w:rPr>
              <w:t>In thousands, except earnings per share, percentage and</w:t>
            </w: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October 2, 2021</w:t>
            </w:r>
          </w:p>
        </w:tc>
        <w:tc>
          <w:tcPr>
            <w:tcW w:w="172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September 26, 2020</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October 2, 2021</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September 26, 2020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store data</w:t>
            </w: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425,594</w:t>
            </w:r>
          </w:p>
        </w:tc>
        <w:tc>
          <w:tcPr>
            <w:tcW w:w="1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403,336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1,326,867</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1,005,884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92,411</w:t>
            </w:r>
          </w:p>
        </w:tc>
        <w:tc>
          <w:tcPr>
            <w:tcW w:w="1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274,807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209,180</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518,005</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485,353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1,601,674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1,215,064</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Costs applicable to revenue (exclusive of depreciation</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amortization):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158,371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148,274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485,090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402,279</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68,087</w:t>
            </w:r>
          </w:p>
        </w:tc>
        <w:tc>
          <w:tcPr>
            <w:tcW w:w="1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202,004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167,864</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226,458</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210,809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687,094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570,143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218,214</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190,518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676,042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520,841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68,970</w:t>
            </w: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(2,437)</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240,836</w:t>
            </w:r>
          </w:p>
        </w:tc>
        <w:tc>
          <w:tcPr>
            <w:tcW w:w="1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219,750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747,592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614,810</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50,711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166,988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44,968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144,727</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3,976</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22,702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40,992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122,025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54,736</w:t>
            </w:r>
          </w:p>
        </w:tc>
        <w:tc>
          <w:tcPr>
            <w:tcW w:w="1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67,742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187,985</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71,381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77,923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255,008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134,797</w:t>
            </w:r>
          </w:p>
        </w:tc>
        <w:tc>
          <w:tcPr>
            <w:tcW w:w="0" w:type="dxa"/>
            <w:vAlign w:val="bottom"/>
          </w:tcPr>
          <w:p>
            <w:pPr>
              <w:spacing w:after="0"/>
              <w:rPr>
                <w:sz w:val="1"/>
                <w:szCs w:val="1"/>
                <w:color w:val="auto"/>
              </w:rPr>
            </w:pPr>
          </w:p>
        </w:tc>
      </w:tr>
      <w:tr>
        <w:trPr>
          <w:trHeight w:val="702"/>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43.7 %</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46.5 %</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7.9 %</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15.0 %</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742"/>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2, 2021 compared to Three Months Ended September 26, 2020</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COVID-19 pandemic, our retail stores were temporarily closed to the public beginning on March 19, 2020. We began reopening our stores to the public on April 27, 2020, and on June 8, 2020, we announced the successful completion of the reopening process. Comparisons of current year results to prior year results reflect the material and unprecedented impact of these temporary store 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October 2, 2021 compared to the three months ended September 26,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Stores open at end of period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00" w:type="dxa"/>
            <w:vAlign w:val="bottom"/>
            <w:gridSpan w:val="2"/>
            <w:vMerge w:val="continue"/>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Ended</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October 2,</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1"/>
                <w:szCs w:val="11"/>
                <w:color w:val="auto"/>
              </w:rPr>
            </w:pPr>
          </w:p>
        </w:tc>
        <w:tc>
          <w:tcPr>
            <w:tcW w:w="19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1"/>
                <w:szCs w:val="11"/>
                <w:color w:val="auto"/>
              </w:rPr>
            </w:pPr>
          </w:p>
        </w:tc>
        <w:tc>
          <w:tcPr>
            <w:tcW w:w="176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250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October 2, 2021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October 2, 2021</w:t>
            </w:r>
          </w:p>
        </w:tc>
        <w:tc>
          <w:tcPr>
            <w:tcW w:w="220" w:type="dxa"/>
            <w:vAlign w:val="bottom"/>
          </w:tcPr>
          <w:p>
            <w:pPr>
              <w:spacing w:after="0"/>
              <w:rPr>
                <w:sz w:val="16"/>
                <w:szCs w:val="16"/>
                <w:color w:val="auto"/>
              </w:rPr>
            </w:pPr>
          </w:p>
        </w:tc>
        <w:tc>
          <w:tcPr>
            <w:tcW w:w="17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September 26, 2020</w:t>
            </w:r>
          </w:p>
        </w:tc>
        <w:tc>
          <w:tcPr>
            <w:tcW w:w="0" w:type="dxa"/>
            <w:vAlign w:val="bottom"/>
          </w:tcPr>
          <w:p>
            <w:pPr>
              <w:spacing w:after="0"/>
              <w:rPr>
                <w:sz w:val="1"/>
                <w:szCs w:val="1"/>
                <w:color w:val="auto"/>
              </w:rPr>
            </w:pPr>
          </w:p>
        </w:tc>
      </w:tr>
      <w:tr>
        <w:trPr>
          <w:trHeight w:val="211"/>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080" w:type="dxa"/>
            <w:vAlign w:val="bottom"/>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351,706</w:t>
            </w:r>
          </w:p>
        </w:tc>
        <w:tc>
          <w:tcPr>
            <w:tcW w:w="860" w:type="dxa"/>
            <w:vAlign w:val="bottom"/>
          </w:tcPr>
          <w:p>
            <w:pPr>
              <w:jc w:val="right"/>
              <w:spacing w:after="0"/>
              <w:rPr>
                <w:sz w:val="20"/>
                <w:szCs w:val="20"/>
                <w:color w:val="auto"/>
              </w:rPr>
            </w:pPr>
            <w:r>
              <w:rPr>
                <w:rFonts w:ascii="Arial" w:cs="Arial" w:eastAsia="Arial" w:hAnsi="Arial"/>
                <w:sz w:val="16"/>
                <w:szCs w:val="16"/>
                <w:color w:val="auto"/>
              </w:rPr>
              <w:t>67.9 %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334,716</w:t>
            </w:r>
          </w:p>
        </w:tc>
        <w:tc>
          <w:tcPr>
            <w:tcW w:w="800" w:type="dxa"/>
            <w:vAlign w:val="bottom"/>
          </w:tcPr>
          <w:p>
            <w:pPr>
              <w:jc w:val="right"/>
              <w:spacing w:after="0"/>
              <w:rPr>
                <w:sz w:val="20"/>
                <w:szCs w:val="20"/>
                <w:color w:val="auto"/>
              </w:rPr>
            </w:pPr>
            <w:r>
              <w:rPr>
                <w:rFonts w:ascii="Arial" w:cs="Arial" w:eastAsia="Arial" w:hAnsi="Arial"/>
                <w:sz w:val="16"/>
                <w:szCs w:val="16"/>
                <w:color w:val="auto"/>
              </w:rPr>
              <w:t>69.0 %</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55,520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52,837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0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5,865</w:t>
            </w: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5,820</w:t>
            </w: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3,011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3,027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7"/>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416,102</w:t>
            </w:r>
          </w:p>
        </w:tc>
        <w:tc>
          <w:tcPr>
            <w:tcW w:w="860" w:type="dxa"/>
            <w:vAlign w:val="bottom"/>
          </w:tcPr>
          <w:p>
            <w:pPr>
              <w:jc w:val="right"/>
              <w:spacing w:after="0"/>
              <w:rPr>
                <w:sz w:val="20"/>
                <w:szCs w:val="20"/>
                <w:color w:val="auto"/>
              </w:rPr>
            </w:pPr>
            <w:r>
              <w:rPr>
                <w:rFonts w:ascii="Arial" w:cs="Arial" w:eastAsia="Arial" w:hAnsi="Arial"/>
                <w:sz w:val="16"/>
                <w:szCs w:val="16"/>
                <w:color w:val="auto"/>
              </w:rPr>
              <w:t>80.3 %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396,400</w:t>
            </w:r>
          </w:p>
        </w:tc>
        <w:tc>
          <w:tcPr>
            <w:tcW w:w="800" w:type="dxa"/>
            <w:vAlign w:val="bottom"/>
          </w:tcPr>
          <w:p>
            <w:pPr>
              <w:jc w:val="right"/>
              <w:spacing w:after="0"/>
              <w:rPr>
                <w:sz w:val="20"/>
                <w:szCs w:val="20"/>
                <w:color w:val="auto"/>
              </w:rPr>
            </w:pPr>
            <w:r>
              <w:rPr>
                <w:rFonts w:ascii="Arial" w:cs="Arial" w:eastAsia="Arial" w:hAnsi="Arial"/>
                <w:sz w:val="16"/>
                <w:szCs w:val="16"/>
                <w:color w:val="auto"/>
              </w:rPr>
              <w:t>81.7 %</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Legacy segment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40,842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40,232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Corporate/Other</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58,063</w:t>
            </w:r>
          </w:p>
        </w:tc>
        <w:tc>
          <w:tcPr>
            <w:tcW w:w="86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57,906</w:t>
            </w:r>
          </w:p>
        </w:tc>
        <w:tc>
          <w:tcPr>
            <w:tcW w:w="80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2,998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(9,185)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2"/>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518,005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485,353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color w:val="auto"/>
              </w:rPr>
              <w:t>Adjusted Comparable Store Sales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66" w:lineRule="auto"/>
        <w:tabs>
          <w:tab w:leader="none" w:pos="6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3.0% and an increase of 0.9% from total comparable store sales growth based on consolidated net revenue for the three months ended October 2, 2021 and September 26, 2020, respectively, and (ii) Adjusted Comparable Store Sales Growth includes retail sales to the legacy partner’s customers (rather than the revenues recognized consistent with the management &amp; services agreement with the legacy partner), resulting in a decrease of 0.2% and a decrease of 0.1% from total comparable store sales growth based on consolidated net revenue for the three months ended October 2, 2021 and September 26, 2020,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net revenue of $518.0 million for the three months ended October 2, 2021 increased $32.7 million, or 6.7%, from $485.4 million for the three months ended September 26, 2020. Of the increase, approximately 50% was driven by new stores, approximately 40% was driven by changes in unearned revenue and recognition of deferred revenue, and approximately 10% was driven by comparable store sales and wholesale fulfillment.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October 2, 2021, we opened 14 America’s Best stores and closed one America’s Best store. Overall, store count grew 5.1% from September 26, 2020 to October 2, 2021 (57 and four net new America’s Best and Eyeglass World were added,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Comparable store sales growth and Adjusted Comparable Store Sales Growth for the three months ended October 2, 2021 were 3.4% and 0.2%, respectively and were driven by an increase in customer transactions, partially offset by lower average ticket.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82.2% and 83.1% of total net revenue for the three months ended October 2, 2021 and September 26, 2020, respectively. Net product sales increased $22.3 million, or 5.5%, in the three months ended October 2, 2021 compared to the three months ended September 26, 2020, driven primarily by eyeglass sales and to a lesser extent, contact lens sales. Net sales of services and plans increased $10.4 million, or 12.7%, driven primarily by higher product protection plan revenue and eye exam revenue.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$19.7 million, or 5.0%, driven primarily by new store openings.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increased $0.6 million, or 1.5%, driven by higher management fees from our Legacy partner.</w:t>
      </w:r>
    </w:p>
    <w:p>
      <w:pPr>
        <w:spacing w:after="0" w:line="11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$0.2 million, or 0.3%, driven primarily by increases in wholesale fulfillment,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lower online retail business.</w:t>
      </w:r>
    </w:p>
    <w:p>
      <w:pPr>
        <w:spacing w:after="0" w:line="49" w:lineRule="exact"/>
        <w:rPr>
          <w:sz w:val="20"/>
          <w:szCs w:val="20"/>
          <w:color w:val="auto"/>
        </w:rPr>
      </w:pPr>
    </w:p>
    <w:p>
      <w:pPr>
        <w:jc w:val="both"/>
        <w:ind w:left="340"/>
        <w:spacing w:after="0" w:line="22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Net revenue was positively impacted by $12.2 million due to the timing of unearned revenue and recognition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the three months ended October 2, 2021 compared to the three months ended September 26, 2020. Net revenue was positively impacted by $6.3 million as the Company experienced a decrease in unearned revenue during the three months ended October 2, 2021, compared to an increase in unearned revenue during the three months ended September 26, 2020. The decrease in unearned revenue primarily resulted from higher sales at the end of the third quarter of 2020, compared to sales at the end of the current fiscal period. Additionally, net revenue was positively impacted by $5.9 million due to higher recognition of deferred revenue related to our product protection plans in the current period, compared to prior period; the higher deferred revenue recognition is a result of increased sales of product protection plans in periods after our stores reopened to the public in the second quarter of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applicable to revenue of $226.5 million for the three months ended October 2, 2021 increased $15.6 million, or 7.4%, from $210.8 million for the three months ended September 26, 2020. As a percentage of net revenue, costs applicable to revenue increased from 43.4% for the three months ended September 26, 2020 to 43.7% for the three months ended October 2, 2021. This increase as a percentage of net revenue was primarily driven by higher optometrist-related costs and, to a lesser extent, freight costs partially offset by higher deferred revenue.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increased from 36.8% for the three months ended September 26, 2020 to 37.2% for the three months ended October 2, 2021, primarily driven by higher freight costs partially offset by higher contact lens margin.</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increased from 26.9%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2020 to 28.0% for the three months ended October 2, 2021. The increase was primarily driven by increased contact lens mix, lower eyeglass and contact lens margin, and higher freight costs.</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increased from 46.9%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26, 2020 to 48.2% for the three months ended October 2, 2021. The increase was primarily driven by lower contact lens margin and a lower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decreased from 76.2% for the three months ended September 26, 2020 to 73.7% for the three months ended October 2, 2021. The decrease was primarily driven by higher deferred revenue, partially offset by higher optometrist-related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from 76.0% for the three months ended September 26, 2020 to 79.9% for the three months ended October 2, 2021. The increase was primarily driven by higher optometrist-related costs.</w:t>
      </w:r>
    </w:p>
    <w:p>
      <w:pPr>
        <w:spacing w:after="0" w:line="7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Costs of services and plans as a percentage of net sales of services and plans in the Legacy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$0.3 million from 39.8% for the three months ended September 26, 2020 to 40.2% for the three months ended October 2,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of $218.2 million for the three months ended October 2, 2021 increased $27.7 million, or 14.5%, from the three months ended September 26, 2020. As a percentage of net revenue, SG&amp;A increased from 39.3% for the three months ended September 26, 2020 to 42.1% for the three months ended October 2, 2021. The increase in SG&amp;A as a percentage of net revenue was primarily driven by higher advertising expenses, partially offset by recognition of performance-based incentive compensation and corporate payroll leverage. SG&amp;A for the three months ended October 2, 2021 and September 26, 2020 includes $0.7 million and $4.7 million, respectively, of incremental costs directly related to adapting the Company’s operations during the COVID-19 pandemic; these costs were not reflected as adjustments for the Company’s presentation of non-GAAP measures below.</w:t>
      </w:r>
    </w:p>
    <w:p>
      <w:pPr>
        <w:spacing w:after="0" w:line="7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32.3% for the three months ended September 26, 2020 to 37.7%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October 2, 2021, driven primarily by increases in advertising, payroll and occupancy expenses.</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32.5% for the three months ended September 26, 2020 to 35.2%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October 2, 2021, driven primarily by higher payroll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of $25.1 million for the three months ended October 2, 2021 increased $2.8 million, or 12.7%, from $22.2 million for the three months ended September 26,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no impairment of tangible long-lived assets and ROU assets associated with our retail stores during the three months ended October 2, 2021, compared to $7.2 million recognized during the three months ended September 26,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a gain of $2.4 million in Other expense (income), net for the three months ended October 2, 2021 in connection with the acquisition of its equity method investee by a third party. See Note 1. “Business and Basis of Presentation” for further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$5.7 million for the three months ended October 2, 2021 decreased $6.7 million, or 54.0%, from $12.5 million for the three months ended September 26, 2020. The decrease was primarily driven by lower interest expense on the 2025 Notes of $3.7 million as a result of the adoption of ASU 2020-06, lower term loan outstanding balance as a result of voluntary prepayment and lower derivative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the three months ended October 2, 2021 reflected our statutory federal and state rate of 25.5%, offset by a discrete benefit of $9.1 million associated primarily with the exercise of stock options. In comparison, the income tax provision associated with the three months ended September 26, 2020 reflected income tax expense at our statutory federal and state rate of 25.5% offset by a discrete benefit of $3.0 million resulting from stock option exercises.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October 2, 2021 compared to Nine Months Ended September 26, 2020</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COVID-19 pandemic, our retail stores were temporarily closed to the public beginning on March 19, 2020. We began reopening our stores to the public on April 27, 2020, and on June 8, 2020, we announced the successful completion of the reopening process. Comparisons of current year results to prior year results reflect the material and unprecedented impact of these temporary store 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nine months ended October 2, 2021 compared to the nine months ended September 26,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Stores open at end of period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gridSpan w:val="4"/>
          </w:tcPr>
          <w:p>
            <w:pPr>
              <w:jc w:val="right"/>
              <w:ind w:right="80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40" w:type="dxa"/>
            <w:vAlign w:val="bottom"/>
            <w:gridSpan w:val="2"/>
            <w:vMerge w:val="continue"/>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October 2,</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1"/>
                <w:szCs w:val="11"/>
                <w:color w:val="auto"/>
              </w:rPr>
            </w:pPr>
          </w:p>
        </w:tc>
        <w:tc>
          <w:tcPr>
            <w:tcW w:w="18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1"/>
                <w:szCs w:val="11"/>
                <w:color w:val="auto"/>
              </w:rPr>
            </w:pPr>
          </w:p>
        </w:tc>
        <w:tc>
          <w:tcPr>
            <w:tcW w:w="1800" w:type="dxa"/>
            <w:vAlign w:val="bottom"/>
            <w:gridSpan w:val="2"/>
            <w:vMerge w:val="restart"/>
          </w:tcPr>
          <w:p>
            <w:pPr>
              <w:jc w:val="right"/>
              <w:ind w:right="32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238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1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October 2, 2021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980" w:type="dxa"/>
            <w:vAlign w:val="bottom"/>
          </w:tcPr>
          <w:p>
            <w:pPr>
              <w:jc w:val="right"/>
              <w:ind w:right="26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October 2, 2021</w:t>
            </w:r>
          </w:p>
        </w:tc>
        <w:tc>
          <w:tcPr>
            <w:tcW w:w="240" w:type="dxa"/>
            <w:vAlign w:val="bottom"/>
          </w:tcPr>
          <w:p>
            <w:pPr>
              <w:spacing w:after="0"/>
              <w:rPr>
                <w:sz w:val="16"/>
                <w:szCs w:val="16"/>
                <w:color w:val="auto"/>
              </w:rPr>
            </w:pPr>
          </w:p>
        </w:tc>
        <w:tc>
          <w:tcPr>
            <w:tcW w:w="1800" w:type="dxa"/>
            <w:vAlign w:val="bottom"/>
            <w:gridSpan w:val="2"/>
          </w:tcPr>
          <w:p>
            <w:pPr>
              <w:jc w:val="right"/>
              <w:ind w:right="344"/>
              <w:spacing w:after="0"/>
              <w:rPr>
                <w:sz w:val="20"/>
                <w:szCs w:val="20"/>
                <w:color w:val="auto"/>
              </w:rPr>
            </w:pPr>
            <w:r>
              <w:rPr>
                <w:rFonts w:ascii="Arial" w:cs="Arial" w:eastAsia="Arial" w:hAnsi="Arial"/>
                <w:sz w:val="14"/>
                <w:szCs w:val="14"/>
                <w:b w:val="1"/>
                <w:bCs w:val="1"/>
                <w:color w:val="auto"/>
              </w:rPr>
              <w:t>September 26, 2020</w:t>
            </w:r>
          </w:p>
        </w:tc>
        <w:tc>
          <w:tcPr>
            <w:tcW w:w="0" w:type="dxa"/>
            <w:vAlign w:val="bottom"/>
          </w:tcPr>
          <w:p>
            <w:pPr>
              <w:spacing w:after="0"/>
              <w:rPr>
                <w:sz w:val="1"/>
                <w:szCs w:val="1"/>
                <w:color w:val="auto"/>
              </w:rPr>
            </w:pPr>
          </w:p>
        </w:tc>
      </w:tr>
      <w:tr>
        <w:trPr>
          <w:trHeight w:val="197"/>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40" w:type="dxa"/>
            <w:vAlign w:val="bottom"/>
          </w:tcPr>
          <w:p>
            <w:pPr>
              <w:jc w:val="right"/>
              <w:spacing w:after="0"/>
              <w:rPr>
                <w:sz w:val="20"/>
                <w:szCs w:val="20"/>
                <w:color w:val="auto"/>
              </w:rPr>
            </w:pPr>
            <w:r>
              <w:rPr>
                <w:rFonts w:ascii="Arial" w:cs="Arial" w:eastAsia="Arial" w:hAnsi="Arial"/>
                <w:sz w:val="15"/>
                <w:szCs w:val="15"/>
                <w:color w:val="auto"/>
              </w:rPr>
              <w:t>31.8 %</w:t>
            </w:r>
          </w:p>
        </w:tc>
        <w:tc>
          <w:tcPr>
            <w:tcW w:w="100" w:type="dxa"/>
            <w:vAlign w:val="bottom"/>
          </w:tcPr>
          <w:p>
            <w:pPr>
              <w:spacing w:after="0"/>
              <w:rPr>
                <w:sz w:val="17"/>
                <w:szCs w:val="17"/>
                <w:color w:val="auto"/>
              </w:rPr>
            </w:pPr>
          </w:p>
        </w:tc>
        <w:tc>
          <w:tcPr>
            <w:tcW w:w="1160" w:type="dxa"/>
            <w:vAlign w:val="bottom"/>
          </w:tcPr>
          <w:p>
            <w:pPr>
              <w:jc w:val="center"/>
              <w:ind w:left="545"/>
              <w:spacing w:after="0"/>
              <w:rPr>
                <w:sz w:val="20"/>
                <w:szCs w:val="20"/>
                <w:color w:val="auto"/>
              </w:rPr>
            </w:pPr>
            <w:r>
              <w:rPr>
                <w:rFonts w:ascii="Arial" w:cs="Arial" w:eastAsia="Arial" w:hAnsi="Arial"/>
                <w:sz w:val="15"/>
                <w:szCs w:val="15"/>
                <w:color w:val="auto"/>
                <w:w w:val="95"/>
              </w:rPr>
              <w:t>(10.4)%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769</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1,106,907</w:t>
            </w:r>
          </w:p>
        </w:tc>
        <w:tc>
          <w:tcPr>
            <w:tcW w:w="760" w:type="dxa"/>
            <w:vAlign w:val="bottom"/>
          </w:tcPr>
          <w:p>
            <w:pPr>
              <w:jc w:val="right"/>
              <w:spacing w:after="0"/>
              <w:rPr>
                <w:sz w:val="20"/>
                <w:szCs w:val="20"/>
                <w:color w:val="auto"/>
              </w:rPr>
            </w:pPr>
            <w:r>
              <w:rPr>
                <w:rFonts w:ascii="Arial" w:cs="Arial" w:eastAsia="Arial" w:hAnsi="Arial"/>
                <w:sz w:val="15"/>
                <w:szCs w:val="15"/>
                <w:color w:val="auto"/>
              </w:rPr>
              <w:t>69.1 %</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805,081</w:t>
            </w:r>
          </w:p>
        </w:tc>
        <w:tc>
          <w:tcPr>
            <w:tcW w:w="780" w:type="dxa"/>
            <w:vAlign w:val="bottom"/>
          </w:tcPr>
          <w:p>
            <w:pPr>
              <w:jc w:val="right"/>
              <w:spacing w:after="0"/>
              <w:rPr>
                <w:sz w:val="20"/>
                <w:szCs w:val="20"/>
                <w:color w:val="auto"/>
              </w:rPr>
            </w:pPr>
            <w:r>
              <w:rPr>
                <w:rFonts w:ascii="Arial" w:cs="Arial" w:eastAsia="Arial" w:hAnsi="Arial"/>
                <w:sz w:val="15"/>
                <w:szCs w:val="15"/>
                <w:color w:val="auto"/>
              </w:rPr>
              <w:t>66.3 %</w:t>
            </w:r>
          </w:p>
        </w:tc>
        <w:tc>
          <w:tcPr>
            <w:tcW w:w="0" w:type="dxa"/>
            <w:vAlign w:val="bottom"/>
          </w:tcPr>
          <w:p>
            <w:pPr>
              <w:spacing w:after="0"/>
              <w:rPr>
                <w:sz w:val="1"/>
                <w:szCs w:val="1"/>
                <w:color w:val="auto"/>
              </w:rPr>
            </w:pPr>
          </w:p>
        </w:tc>
      </w:tr>
      <w:tr>
        <w:trPr>
          <w:trHeight w:val="20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174,356</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127,680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40" w:type="dxa"/>
            <w:vAlign w:val="bottom"/>
          </w:tcPr>
          <w:p>
            <w:pPr>
              <w:jc w:val="right"/>
              <w:spacing w:after="0"/>
              <w:rPr>
                <w:sz w:val="20"/>
                <w:szCs w:val="20"/>
                <w:color w:val="auto"/>
              </w:rPr>
            </w:pPr>
            <w:r>
              <w:rPr>
                <w:rFonts w:ascii="Arial" w:cs="Arial" w:eastAsia="Arial" w:hAnsi="Arial"/>
                <w:sz w:val="15"/>
                <w:szCs w:val="15"/>
                <w:color w:val="auto"/>
              </w:rPr>
              <w:t>22.6 %</w:t>
            </w:r>
          </w:p>
        </w:tc>
        <w:tc>
          <w:tcPr>
            <w:tcW w:w="100" w:type="dxa"/>
            <w:vAlign w:val="bottom"/>
          </w:tcPr>
          <w:p>
            <w:pPr>
              <w:spacing w:after="0"/>
              <w:rPr>
                <w:sz w:val="17"/>
                <w:szCs w:val="17"/>
                <w:color w:val="auto"/>
              </w:rPr>
            </w:pPr>
          </w:p>
        </w:tc>
        <w:tc>
          <w:tcPr>
            <w:tcW w:w="1160" w:type="dxa"/>
            <w:vAlign w:val="bottom"/>
          </w:tcPr>
          <w:p>
            <w:pPr>
              <w:jc w:val="center"/>
              <w:ind w:left="545"/>
              <w:spacing w:after="0"/>
              <w:rPr>
                <w:sz w:val="20"/>
                <w:szCs w:val="20"/>
                <w:color w:val="auto"/>
              </w:rPr>
            </w:pPr>
            <w:r>
              <w:rPr>
                <w:rFonts w:ascii="Arial" w:cs="Arial" w:eastAsia="Arial" w:hAnsi="Arial"/>
                <w:sz w:val="15"/>
                <w:szCs w:val="15"/>
                <w:color w:val="auto"/>
                <w:w w:val="95"/>
              </w:rPr>
              <w:t>(20.2)%</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18,112</w:t>
            </w:r>
          </w:p>
        </w:tc>
        <w:tc>
          <w:tcPr>
            <w:tcW w:w="760" w:type="dxa"/>
            <w:vAlign w:val="bottom"/>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14,790</w:t>
            </w:r>
          </w:p>
        </w:tc>
        <w:tc>
          <w:tcPr>
            <w:tcW w:w="78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0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w w:val="95"/>
              </w:rPr>
              <w:t>(24.6)%</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9,331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7,780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0" w:type="dxa"/>
            <w:vAlign w:val="bottom"/>
          </w:tcPr>
          <w:p>
            <w:pPr>
              <w:spacing w:after="0"/>
              <w:rPr>
                <w:sz w:val="1"/>
                <w:szCs w:val="1"/>
                <w:color w:val="auto"/>
              </w:rPr>
            </w:pPr>
          </w:p>
        </w:tc>
      </w:tr>
      <w:tr>
        <w:trPr>
          <w:trHeight w:val="192"/>
        </w:trPr>
        <w:tc>
          <w:tcPr>
            <w:tcW w:w="238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1,032</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971</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1,308,706</w:t>
            </w:r>
          </w:p>
        </w:tc>
        <w:tc>
          <w:tcPr>
            <w:tcW w:w="760" w:type="dxa"/>
            <w:vAlign w:val="bottom"/>
          </w:tcPr>
          <w:p>
            <w:pPr>
              <w:jc w:val="right"/>
              <w:spacing w:after="0"/>
              <w:rPr>
                <w:sz w:val="20"/>
                <w:szCs w:val="20"/>
                <w:color w:val="auto"/>
              </w:rPr>
            </w:pPr>
            <w:r>
              <w:rPr>
                <w:rFonts w:ascii="Arial" w:cs="Arial" w:eastAsia="Arial" w:hAnsi="Arial"/>
                <w:sz w:val="15"/>
                <w:szCs w:val="15"/>
                <w:color w:val="auto"/>
              </w:rPr>
              <w:t>81.7 %</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955,331</w:t>
            </w:r>
          </w:p>
        </w:tc>
        <w:tc>
          <w:tcPr>
            <w:tcW w:w="780" w:type="dxa"/>
            <w:vAlign w:val="bottom"/>
          </w:tcPr>
          <w:p>
            <w:pPr>
              <w:jc w:val="right"/>
              <w:spacing w:after="0"/>
              <w:rPr>
                <w:sz w:val="20"/>
                <w:szCs w:val="20"/>
                <w:color w:val="auto"/>
              </w:rPr>
            </w:pPr>
            <w:r>
              <w:rPr>
                <w:rFonts w:ascii="Arial" w:cs="Arial" w:eastAsia="Arial" w:hAnsi="Arial"/>
                <w:sz w:val="15"/>
                <w:szCs w:val="15"/>
                <w:color w:val="auto"/>
              </w:rPr>
              <w:t>78.6 %</w:t>
            </w:r>
          </w:p>
        </w:tc>
        <w:tc>
          <w:tcPr>
            <w:tcW w:w="0" w:type="dxa"/>
            <w:vAlign w:val="bottom"/>
          </w:tcPr>
          <w:p>
            <w:pPr>
              <w:spacing w:after="0"/>
              <w:rPr>
                <w:sz w:val="1"/>
                <w:szCs w:val="1"/>
                <w:color w:val="auto"/>
              </w:rPr>
            </w:pPr>
          </w:p>
        </w:tc>
      </w:tr>
      <w:tr>
        <w:trPr>
          <w:trHeight w:val="20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w w:val="95"/>
              </w:rPr>
              <w:t>(15.4)%</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128,024</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102,102</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8.4 %</w:t>
            </w:r>
          </w:p>
        </w:tc>
        <w:tc>
          <w:tcPr>
            <w:tcW w:w="0" w:type="dxa"/>
            <w:vAlign w:val="bottom"/>
          </w:tcPr>
          <w:p>
            <w:pPr>
              <w:spacing w:after="0"/>
              <w:rPr>
                <w:sz w:val="1"/>
                <w:szCs w:val="1"/>
                <w:color w:val="auto"/>
              </w:rPr>
            </w:pPr>
          </w:p>
        </w:tc>
      </w:tr>
      <w:tr>
        <w:trPr>
          <w:trHeight w:val="200"/>
        </w:trPr>
        <w:tc>
          <w:tcPr>
            <w:tcW w:w="238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center"/>
              <w:ind w:left="445"/>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180,801</w:t>
            </w:r>
          </w:p>
        </w:tc>
        <w:tc>
          <w:tcPr>
            <w:tcW w:w="760" w:type="dxa"/>
            <w:vAlign w:val="bottom"/>
          </w:tcPr>
          <w:p>
            <w:pPr>
              <w:jc w:val="right"/>
              <w:spacing w:after="0"/>
              <w:rPr>
                <w:sz w:val="20"/>
                <w:szCs w:val="20"/>
                <w:color w:val="auto"/>
              </w:rPr>
            </w:pPr>
            <w:r>
              <w:rPr>
                <w:rFonts w:ascii="Arial" w:cs="Arial" w:eastAsia="Arial" w:hAnsi="Arial"/>
                <w:sz w:val="15"/>
                <w:szCs w:val="15"/>
                <w:color w:val="auto"/>
              </w:rPr>
              <w:t>11.3 %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Arial" w:cs="Arial" w:eastAsia="Arial" w:hAnsi="Arial"/>
                <w:sz w:val="15"/>
                <w:szCs w:val="15"/>
                <w:color w:val="auto"/>
              </w:rPr>
              <w:t>174,950</w:t>
            </w:r>
          </w:p>
        </w:tc>
        <w:tc>
          <w:tcPr>
            <w:tcW w:w="780" w:type="dxa"/>
            <w:vAlign w:val="bottom"/>
          </w:tcPr>
          <w:p>
            <w:pPr>
              <w:jc w:val="right"/>
              <w:spacing w:after="0"/>
              <w:rPr>
                <w:sz w:val="20"/>
                <w:szCs w:val="20"/>
                <w:color w:val="auto"/>
              </w:rPr>
            </w:pPr>
            <w:r>
              <w:rPr>
                <w:rFonts w:ascii="Arial" w:cs="Arial" w:eastAsia="Arial" w:hAnsi="Arial"/>
                <w:sz w:val="15"/>
                <w:szCs w:val="15"/>
                <w:color w:val="auto"/>
              </w:rPr>
              <w:t>14.4 %</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center"/>
              <w:ind w:left="445"/>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(15,857)</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(17,319)</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40" w:type="dxa"/>
            <w:vAlign w:val="bottom"/>
          </w:tcPr>
          <w:p>
            <w:pPr>
              <w:jc w:val="right"/>
              <w:spacing w:after="0"/>
              <w:rPr>
                <w:sz w:val="20"/>
                <w:szCs w:val="20"/>
                <w:color w:val="auto"/>
              </w:rPr>
            </w:pPr>
            <w:r>
              <w:rPr>
                <w:rFonts w:ascii="Arial" w:cs="Arial" w:eastAsia="Arial" w:hAnsi="Arial"/>
                <w:sz w:val="15"/>
                <w:szCs w:val="15"/>
                <w:color w:val="auto"/>
              </w:rPr>
              <w:t>30.3 %</w:t>
            </w:r>
          </w:p>
        </w:tc>
        <w:tc>
          <w:tcPr>
            <w:tcW w:w="100" w:type="dxa"/>
            <w:vAlign w:val="bottom"/>
          </w:tcPr>
          <w:p>
            <w:pPr>
              <w:spacing w:after="0"/>
              <w:rPr>
                <w:sz w:val="17"/>
                <w:szCs w:val="17"/>
                <w:color w:val="auto"/>
              </w:rPr>
            </w:pPr>
          </w:p>
        </w:tc>
        <w:tc>
          <w:tcPr>
            <w:tcW w:w="1160" w:type="dxa"/>
            <w:vAlign w:val="bottom"/>
          </w:tcPr>
          <w:p>
            <w:pPr>
              <w:jc w:val="center"/>
              <w:ind w:left="565"/>
              <w:spacing w:after="0"/>
              <w:rPr>
                <w:sz w:val="20"/>
                <w:szCs w:val="20"/>
                <w:color w:val="auto"/>
              </w:rPr>
            </w:pPr>
            <w:r>
              <w:rPr>
                <w:rFonts w:ascii="Arial" w:cs="Arial" w:eastAsia="Arial" w:hAnsi="Arial"/>
                <w:sz w:val="15"/>
                <w:szCs w:val="15"/>
                <w:color w:val="auto"/>
                <w:w w:val="91"/>
              </w:rPr>
              <w:t>(11.7)%</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1,262</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1,601,674</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1,215,064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8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31.1 %</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center"/>
              <w:ind w:left="565"/>
              <w:spacing w:after="0"/>
              <w:rPr>
                <w:sz w:val="20"/>
                <w:szCs w:val="20"/>
                <w:color w:val="auto"/>
              </w:rPr>
            </w:pPr>
            <w:r>
              <w:rPr>
                <w:rFonts w:ascii="Arial" w:cs="Arial" w:eastAsia="Arial" w:hAnsi="Arial"/>
                <w:sz w:val="15"/>
                <w:szCs w:val="15"/>
                <w:color w:val="auto"/>
                <w:w w:val="91"/>
              </w:rPr>
              <w:t>(11.1)%</w:t>
            </w: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66" w:lineRule="auto"/>
        <w:tabs>
          <w:tab w:leader="none" w:pos="65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0.9% and an increase of 0.5% from total comparable store sales growth based on consolidated net revenue for the nine months ended October 2, 2021 and September 26, 2020, respectively, and (ii) Adjusted Comparable Store Sales Growth includes retail sales to the legacy partner’s customers (rather than the revenues recognized consistent with the management &amp; services agreement with the legacy partner), resulting in a decrease of 0.1% and an increase of 0.1% from total comparable store sales growth based on consolidated net revenue for the nine months ended October 2, 2021 and September 26, 2020, respectively.</w:t>
      </w:r>
    </w:p>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net revenue of $1,601.7 million for the nine months ended October 2, 2021 increased $386.6 million, or 31.8%, from $1,215.1 million for the nine months ended September 26, 2020. This increase was primarily driven by comparable store sales growth driven by strong customer demand, including the effect of our stores being temporarily closed to the public for a portion of the nine months ended September 26, 2020, government stimulus, and new store growth and maturation. Total net revenue was also positively impacted by changes in unearned revenue.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October 2, 2021, we opened 55 new America’s Best stores and four Eyeglass World stores and closed two America’s Best stores; Overall, store count grew 5.1% from September 26, 2020 to October 2, 2021 (57, and four net new America’s Best and Eyeglass World stores were added, respectively).</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Comparable store sales growth and Adjusted Comparable Store Sales Growth for the nine months ended October 2, 2021 were 30.3% and 31.1%, respectively. The increases in comparable store sales growth and Adjusted Comparable Store Sales Growth were primarily driven by strong customer demand, including the effect of our stores being temporarily closed for a portion of the nine months ended September 26, 2020 and government stimulus.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82.8% and 82.8% of total net revenue for the nine months ended October 2, 2021 and September 26, 2020, respectively. Net product sales increased $321.0 million, or 31.9%, in the nine months ended October 2, 2021 compared to the nine months ended September 26, 2020, primarily due to increased eyeglass sales and to a lesser extent increased contact lens sales. Net sales of services and plans increased $65.6 million, or 31.4%, primarily driven by eye exam revenue.</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$353.4 million, or 37.0%,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increased $25.9 million, or 25.4%, driven by comparable store sales growth and higher management fees</w:t>
      </w:r>
      <w:r>
        <w:rPr>
          <w:rFonts w:ascii="Arial" w:cs="Arial" w:eastAsia="Arial" w:hAnsi="Arial"/>
          <w:sz w:val="18"/>
          <w:szCs w:val="18"/>
          <w:i w:val="1"/>
          <w:iCs w:val="1"/>
          <w:color w:val="auto"/>
        </w:rPr>
        <w:t xml:space="preserve"> </w:t>
      </w:r>
      <w:r>
        <w:rPr>
          <w:rFonts w:ascii="Arial" w:cs="Arial" w:eastAsia="Arial" w:hAnsi="Arial"/>
          <w:sz w:val="18"/>
          <w:szCs w:val="18"/>
          <w:color w:val="auto"/>
        </w:rPr>
        <w:t>from our Legacy partner.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$5.9 million, or 3.3%, due to increases in wholesale fulfillment.</w:t>
      </w:r>
    </w:p>
    <w:p>
      <w:pPr>
        <w:spacing w:after="0" w:line="11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positively impacted net revenue by $1.5 million in the nine months ended October 2,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26, 2020. Net revenue was positively impacted by $14.4 million due to the timing of unearned revenue. The balance of unearned revenue as of September 26, 2020 reflected pent-up demand following the temporary closure of our stores to the public. Net revenue was negatively impacted by $12.9 million due to higher product protection plan and club membership deferred revenue balances in current period compared to the prior year period. Product protection plan and club membership deferred revenue balances were lower in the prior year period due to store closures.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$687.1 million for the nine months ended October 2, 2021 increased $117.0 million, or 20.5%, from $570.1 million for the nine months ended September 26, 2020. As a percentage of net revenue, costs applicable to revenue decreased from 46.9% for the nine months ended September 26, 2020 to 42.9% for the nine months ended October 2, 2021. This decrease as a percentage of net revenue was primarily driven by negative margin impacts from the temporary closure of our stores in the prior year that were not experienced in the 2021 period, lower growth in optometrist-related costs, increased eyeglass mix and higher eyeglass margin.</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products as a percentage of net product sales decreased from 40.0% for the nine months ended September 26, 2020 to 36.6% for the nine months ended October 2, 2021, primarily driven by the impact of the temporary store closures in fiscal year 2020, increased eyeglass mix and higher eyeglass margin.</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28.6%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2020 to 27.2% for the nine months ended October 2, 2021 driven by the impact of the temporary store closures in fiscal year 2020, increased eyeglass mix and higher eyeglass margin.</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decreased from 49.1%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26, 2020 to 47.7% for the nine months ended October 2, 2021. The decrease was primarily driven by impact of the temporary store closures in fiscal year 2020 and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decreased from 80.2% for the nine months ended September 26, 2020 to 73.5% for the nine months ended October 2, 2021. The decrease was primarily driven by the impact of the temporary store closures in fiscal year 2020, lower growth in optometrist-related costs and higher eye exam revenue.</w:t>
      </w:r>
    </w:p>
    <w:p>
      <w:pPr>
        <w:spacing w:after="0" w:line="7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decreased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86.7% for the nine months ended September 26, 2020 to 76.5% for the nine months ended October 2, 2021. The decrease was primarily driven by the impact of the temporary store closures in fiscal year 2020, lower growth in optometrist-related costs and higher eye exam revenue.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Costs of services and plans as a percentage of net sales of services and plans decreased from 47.3%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26, 2020 to 39.0% for the nine months ended October 2, 2021. The decrease was primarily driven by the impact of the temporary store closures in fiscal year 2020, higher management fees from our Legacy partner and lower growth in optometrist-related costs.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SG&amp;A of $676.0 million for the nine months ended October 2, 2021 increased $155.2 million, or 29.8%, from the nine months ended September 26, 2020. As a percentage of net revenue, SG&amp;A decreased from 42.9% for the nine months ended September 26, 2020 to 42.2% for the nine months ended October 2, 2021. The decrease in SG&amp;A as a percentage of net revenue was primarily driven by negative impacts from the temporary closure of our stores in the prior year that were not experienced in the 2021 period and leverage of store payroll and occupancy expenses, partially offset by higher advertising expenses and higher performance-based incentive compensation. SG&amp;A for the nine months ended October 2, 2021 and September 26, 2020 includes $1.4 million and $7.8 million, respectively, of incremental costs directly related to adapting the Company’s operations during the COVID-19 pandemic; of these costs, $0.6 million were reflected as adjustments for the Company’s presentation of non-GAAP measures below for the nine months ended September 26, 2020.</w:t>
      </w:r>
    </w:p>
    <w:p>
      <w:pPr>
        <w:spacing w:after="0" w:line="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36.6% for the nine months ended September 26, 2020 to 35.6%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October 2, 2021, driven primarily by the impact of the temporary store closures in fiscal year 2020 and payroll and occupancy leverage, partially offset by higher advertising expense.</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decreased from 36.5% for the nine months ended September 26, 2020 to 33.9%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October 2, 2021 primarily driven by the impact of the temporary store closures in fiscal year 2020 and payroll and occupancy leverage.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of $72.6 million for the nine months ended October 2, 2021 increased $3.7 million, or 5.3%, from $69.0 million for the nine months ended September 26,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recognized $1.5 million for impairment of tangible long-lived assets and ROU assets associated with our retail stores during the nine months ended October 2, 2021 compared to $20.9 million recognized during the nine months ended September 26,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gain of $2.4 million in Other expense (income), net for the nine months ended October 2, 2021 in connection with the acquisition of its equity method investee by a third party. See Note 1. “Business and Basis of Presentation” for further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$22.2 million for the nine months ended October 2, 2021 decreased $13.3 million, or 37.4%, from $35.4 million for the nine months ended September 26, 2020. The decrease was primarily driven by lower derivative costs of $7.2 million, reduced term loan outstanding balance and credit facility utilization, and lower interest expense on the 2025 Notes as a result of the adoption of ASU 2020-06.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the nine months ended October 2, 2021 reflected our statutory federal and state rate of 25.5%, combined with a benefit of $15.7 million primarily from the exercise of stock options and for the stranded tax effect associated with our interest rate swaps that matured in the first quarter of 2021. In comparison, the income tax benefit for the nine months ended September 26, 2020 reflected our statutory federal and state rate of 25.5% combined with a benefit of $6.0 million resulting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Adjusted Operating Income as net income, plus interest expense and income tax provision (benefit), further adjusted to exclude stock compensation expense, asset impairment, litigation settlement, amortization of acquisition intangibles, and other expenses. We define Adjusted Operating Margin as Adjusted Operating Income as a percentage of net revenue. We define EBITDA as net income, plus interest expense, income tax provision (benefit) and depreciation and amortization. We define Adjusted EBITDA as net income, plus interest expense, income tax provision (benefit) and depreciation and amortization, further adjusted to exclude stock compensation expense, asset impairment, litigation settlement, and other expenses. We define Adjusted EBITDA Margin as Adjusted EBITDA as a percentage of net revenue. We define Adjusted Diluted EPS as diluted earnings per share, adjusted for the per share impact of stock compensation expense, asset impairment, litigation settlement, amortization of acquisition intangibles, amortization of debt discounts and deferred financing costs of our term loan borrowings, amortization of costs related to our 2025 Notes,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rPr>
              <w:t>October 2, 2021</w:t>
            </w:r>
          </w:p>
        </w:tc>
        <w:tc>
          <w:tcPr>
            <w:tcW w:w="180" w:type="dxa"/>
            <w:vAlign w:val="bottom"/>
          </w:tcPr>
          <w:p>
            <w:pPr>
              <w:spacing w:after="0"/>
              <w:rPr>
                <w:sz w:val="19"/>
                <w:szCs w:val="19"/>
                <w:color w:val="auto"/>
              </w:rPr>
            </w:pPr>
          </w:p>
        </w:tc>
        <w:tc>
          <w:tcPr>
            <w:tcW w:w="178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September 26, 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tcPr>
          <w:p>
            <w:pPr>
              <w:ind w:left="180"/>
              <w:spacing w:after="0"/>
              <w:rPr>
                <w:sz w:val="20"/>
                <w:szCs w:val="20"/>
                <w:color w:val="auto"/>
              </w:rPr>
            </w:pPr>
            <w:r>
              <w:rPr>
                <w:rFonts w:ascii="Arial" w:cs="Arial" w:eastAsia="Arial" w:hAnsi="Arial"/>
                <w:sz w:val="18"/>
                <w:szCs w:val="18"/>
                <w:color w:val="auto"/>
              </w:rPr>
              <w:t>October 2, 2021</w:t>
            </w:r>
          </w:p>
        </w:tc>
        <w:tc>
          <w:tcPr>
            <w:tcW w:w="180" w:type="dxa"/>
            <w:vAlign w:val="bottom"/>
          </w:tcPr>
          <w:p>
            <w:pPr>
              <w:spacing w:after="0"/>
              <w:rPr>
                <w:sz w:val="19"/>
                <w:szCs w:val="19"/>
                <w:color w:val="auto"/>
              </w:rPr>
            </w:pP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w w:val="91"/>
              </w:rPr>
              <w:t>September 26, 2020</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5,743</w:t>
            </w: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12,475</w:t>
            </w: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22,169</w:t>
            </w: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35,432</w:t>
            </w:r>
          </w:p>
        </w:tc>
        <w:tc>
          <w:tcPr>
            <w:tcW w:w="9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3,665</w:t>
            </w:r>
          </w:p>
        </w:tc>
        <w:tc>
          <w:tcPr>
            <w:tcW w:w="100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w:t>
            </w:r>
          </w:p>
        </w:tc>
        <w:tc>
          <w:tcPr>
            <w:tcW w:w="94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13,866</w:t>
            </w:r>
          </w:p>
        </w:tc>
        <w:tc>
          <w:tcPr>
            <w:tcW w:w="96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8,335</w:t>
            </w:r>
          </w:p>
        </w:tc>
        <w:tc>
          <w:tcPr>
            <w:tcW w:w="9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4,395</w:t>
            </w:r>
          </w:p>
        </w:tc>
        <w:tc>
          <w:tcPr>
            <w:tcW w:w="9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Amortization of acquisition intangibles</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w:t>
            </w:r>
          </w:p>
        </w:tc>
        <w:tc>
          <w:tcPr>
            <w:tcW w:w="2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Operating Income /</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67,742</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187,985</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Adjusted Operating Margin</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line="211" w:lineRule="auto"/>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-80645</wp:posOffset>
            </wp:positionV>
            <wp:extent cx="6515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-80645</wp:posOffset>
            </wp:positionV>
            <wp:extent cx="651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-80645</wp:posOffset>
            </wp:positionV>
            <wp:extent cx="643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-80645</wp:posOffset>
            </wp:positionV>
            <wp:extent cx="643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7"/>
          </w:tcPr>
          <w:p>
            <w:pPr>
              <w:jc w:val="right"/>
              <w:ind w:right="290"/>
              <w:spacing w:after="0"/>
              <w:rPr>
                <w:sz w:val="20"/>
                <w:szCs w:val="20"/>
                <w:color w:val="auto"/>
              </w:rPr>
            </w:pPr>
            <w:r>
              <w:rPr>
                <w:rFonts w:ascii="Arial" w:cs="Arial" w:eastAsia="Arial" w:hAnsi="Arial"/>
                <w:sz w:val="18"/>
                <w:szCs w:val="18"/>
                <w:color w:val="auto"/>
                <w:w w:val="94"/>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rPr>
              <w:t>October 2, 2021</w:t>
            </w:r>
          </w:p>
        </w:tc>
        <w:tc>
          <w:tcPr>
            <w:tcW w:w="200" w:type="dxa"/>
            <w:vAlign w:val="bottom"/>
          </w:tcPr>
          <w:p>
            <w:pPr>
              <w:spacing w:after="0"/>
              <w:rPr>
                <w:sz w:val="19"/>
                <w:szCs w:val="19"/>
                <w:color w:val="auto"/>
              </w:rPr>
            </w:pPr>
          </w:p>
        </w:tc>
        <w:tc>
          <w:tcPr>
            <w:tcW w:w="1780" w:type="dxa"/>
            <w:vAlign w:val="bottom"/>
            <w:gridSpan w:val="5"/>
          </w:tcPr>
          <w:p>
            <w:pPr>
              <w:jc w:val="right"/>
              <w:ind w:right="170"/>
              <w:spacing w:after="0"/>
              <w:rPr>
                <w:sz w:val="20"/>
                <w:szCs w:val="20"/>
                <w:color w:val="auto"/>
              </w:rPr>
            </w:pPr>
            <w:r>
              <w:rPr>
                <w:rFonts w:ascii="Arial" w:cs="Arial" w:eastAsia="Arial" w:hAnsi="Arial"/>
                <w:sz w:val="18"/>
                <w:szCs w:val="18"/>
                <w:color w:val="auto"/>
                <w:w w:val="91"/>
              </w:rPr>
              <w:t>September 26, 2020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5"/>
          </w:tcPr>
          <w:p>
            <w:pPr>
              <w:jc w:val="right"/>
              <w:ind w:right="290"/>
              <w:spacing w:after="0"/>
              <w:rPr>
                <w:sz w:val="20"/>
                <w:szCs w:val="20"/>
                <w:color w:val="auto"/>
              </w:rPr>
            </w:pPr>
            <w:r>
              <w:rPr>
                <w:rFonts w:ascii="Arial" w:cs="Arial" w:eastAsia="Arial" w:hAnsi="Arial"/>
                <w:sz w:val="18"/>
                <w:szCs w:val="18"/>
                <w:color w:val="auto"/>
                <w:w w:val="92"/>
              </w:rPr>
              <w:t>October 2, 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5"/>
          </w:tcPr>
          <w:p>
            <w:pPr>
              <w:jc w:val="right"/>
              <w:ind w:right="150"/>
              <w:spacing w:after="0"/>
              <w:rPr>
                <w:sz w:val="20"/>
                <w:szCs w:val="20"/>
                <w:color w:val="auto"/>
              </w:rPr>
            </w:pPr>
            <w:r>
              <w:rPr>
                <w:rFonts w:ascii="Arial" w:cs="Arial" w:eastAsia="Arial" w:hAnsi="Arial"/>
                <w:sz w:val="18"/>
                <w:szCs w:val="18"/>
                <w:color w:val="auto"/>
              </w:rPr>
              <w:t>September 26, 2020</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5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7.3 %</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122,025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900" w:type="dxa"/>
            <w:vAlign w:val="bottom"/>
            <w:tcBorders>
              <w:top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5,743</w:t>
            </w: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12,475</w:t>
            </w:r>
          </w:p>
        </w:tc>
        <w:tc>
          <w:tcPr>
            <w:tcW w:w="56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1"/>
              </w:rPr>
              <w:t>2.6 %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35,432</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1"/>
              </w:rPr>
              <w:t>2.9 %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5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1.4 %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5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w w:val="91"/>
              </w:rPr>
              <w:t>4.6 %</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68,970</w:t>
            </w:r>
          </w:p>
        </w:tc>
        <w:tc>
          <w:tcPr>
            <w:tcW w:w="900" w:type="dxa"/>
            <w:vAlign w:val="bottom"/>
            <w:tcBorders>
              <w:bottom w:val="single" w:sz="8" w:color="CCEEFF"/>
            </w:tcBorders>
          </w:tcPr>
          <w:p>
            <w:pPr>
              <w:jc w:val="center"/>
              <w:ind w:left="350"/>
              <w:spacing w:after="0"/>
              <w:rPr>
                <w:sz w:val="20"/>
                <w:szCs w:val="20"/>
                <w:color w:val="auto"/>
              </w:rPr>
            </w:pPr>
            <w:r>
              <w:rPr>
                <w:rFonts w:ascii="Arial" w:cs="Arial" w:eastAsia="Arial" w:hAnsi="Arial"/>
                <w:sz w:val="18"/>
                <w:szCs w:val="18"/>
                <w:color w:val="auto"/>
                <w:w w:val="91"/>
              </w:rPr>
              <w:t>5.7 %</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239,535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98,945</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8.1 %</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5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0.6 %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0.7 %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7,150</w:t>
            </w:r>
          </w:p>
        </w:tc>
        <w:tc>
          <w:tcPr>
            <w:tcW w:w="56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1"/>
              </w:rPr>
              <w:t>1.5 %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20,916</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1"/>
              </w:rPr>
              <w:t>1.7 %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0.4 %</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(g)</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5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w w:val="91"/>
              </w:rPr>
              <w:t>0.2 %</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2,206</w:t>
            </w:r>
          </w:p>
        </w:tc>
        <w:tc>
          <w:tcPr>
            <w:tcW w:w="900" w:type="dxa"/>
            <w:vAlign w:val="bottom"/>
            <w:tcBorders>
              <w:bottom w:val="single" w:sz="8" w:color="CCEEFF"/>
            </w:tcBorders>
          </w:tcPr>
          <w:p>
            <w:pPr>
              <w:jc w:val="center"/>
              <w:ind w:left="350"/>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Adjusted EBITDA / Adjusted</w:t>
            </w: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77,923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4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88,127</w:t>
            </w:r>
          </w:p>
        </w:tc>
        <w:tc>
          <w:tcPr>
            <w:tcW w:w="10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255,008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500" w:type="dxa"/>
            <w:vAlign w:val="bottom"/>
            <w:gridSpan w:val="3"/>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134,797</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EBITDA Margin</w:t>
            </w:r>
          </w:p>
        </w:tc>
        <w:tc>
          <w:tcPr>
            <w:tcW w:w="2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500" w:type="dxa"/>
            <w:vAlign w:val="bottom"/>
            <w:gridSpan w:val="3"/>
            <w:vMerge w:val="continue"/>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40"/>
              <w:spacing w:after="0" w:line="122" w:lineRule="exact"/>
              <w:rPr>
                <w:sz w:val="20"/>
                <w:szCs w:val="20"/>
                <w:color w:val="auto"/>
              </w:rPr>
            </w:pPr>
            <w:r>
              <w:rPr>
                <w:rFonts w:ascii="Arial" w:cs="Arial" w:eastAsia="Arial" w:hAnsi="Arial"/>
                <w:sz w:val="14"/>
                <w:szCs w:val="14"/>
                <w:color w:val="auto"/>
                <w:w w:val="88"/>
              </w:rPr>
              <w:t>Note: Percentages reflect line item as a percentage</w:t>
            </w: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spacing w:after="0" w:line="122" w:lineRule="exact"/>
              <w:rPr>
                <w:sz w:val="20"/>
                <w:szCs w:val="20"/>
                <w:color w:val="auto"/>
              </w:rPr>
            </w:pPr>
            <w:r>
              <w:rPr>
                <w:rFonts w:ascii="Arial" w:cs="Arial" w:eastAsia="Arial" w:hAnsi="Arial"/>
                <w:sz w:val="14"/>
                <w:szCs w:val="14"/>
                <w:color w:val="auto"/>
                <w:w w:val="83"/>
              </w:rPr>
              <w:t>adjusted for rounding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980" w:type="dxa"/>
            <w:vAlign w:val="bottom"/>
            <w:vMerge w:val="continue"/>
          </w:tcPr>
          <w:p>
            <w:pPr>
              <w:spacing w:after="0"/>
              <w:rPr>
                <w:sz w:val="7"/>
                <w:szCs w:val="7"/>
                <w:color w:val="auto"/>
              </w:rPr>
            </w:pPr>
          </w:p>
        </w:tc>
        <w:tc>
          <w:tcPr>
            <w:tcW w:w="1020" w:type="dxa"/>
            <w:vAlign w:val="bottom"/>
            <w:gridSpan w:val="2"/>
          </w:tcPr>
          <w:p>
            <w:pPr>
              <w:jc w:val="right"/>
              <w:spacing w:after="0" w:line="82" w:lineRule="exact"/>
              <w:rPr>
                <w:sz w:val="20"/>
                <w:szCs w:val="20"/>
                <w:color w:val="auto"/>
              </w:rPr>
            </w:pPr>
            <w:r>
              <w:rPr>
                <w:rFonts w:ascii="Arial" w:cs="Arial" w:eastAsia="Arial" w:hAnsi="Arial"/>
                <w:sz w:val="9"/>
                <w:szCs w:val="9"/>
                <w:color w:val="auto"/>
              </w:rPr>
              <w:t>of net revenue,</w:t>
            </w:r>
          </w:p>
        </w:tc>
        <w:tc>
          <w:tcPr>
            <w:tcW w:w="11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320" w:type="dxa"/>
            <w:vAlign w:val="bottom"/>
            <w:gridSpan w:val="6"/>
          </w:tcPr>
          <w:p>
            <w:pPr>
              <w:ind w:left="140"/>
              <w:spacing w:after="0"/>
              <w:rPr>
                <w:sz w:val="20"/>
                <w:szCs w:val="20"/>
                <w:color w:val="auto"/>
              </w:rPr>
            </w:pPr>
            <w:r>
              <w:rPr>
                <w:rFonts w:ascii="Arial" w:cs="Arial" w:eastAsia="Arial" w:hAnsi="Arial"/>
                <w:sz w:val="14"/>
                <w:szCs w:val="14"/>
                <w:color w:val="auto"/>
                <w:w w:val="94"/>
              </w:rPr>
              <w:t>Some of the percentage totals in the table above do not foot due to rounding differences</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298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1"/>
              </w:rPr>
              <w:t>In thousands, except per share amounts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October 2, 2021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110"/>
              <w:spacing w:after="0" w:line="169" w:lineRule="exact"/>
              <w:rPr>
                <w:sz w:val="20"/>
                <w:szCs w:val="20"/>
                <w:color w:val="auto"/>
              </w:rPr>
            </w:pPr>
            <w:r>
              <w:rPr>
                <w:rFonts w:ascii="Arial" w:cs="Arial" w:eastAsia="Arial" w:hAnsi="Arial"/>
                <w:sz w:val="18"/>
                <w:szCs w:val="18"/>
                <w:color w:val="auto"/>
              </w:rPr>
              <w:t>September 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8"/>
                <w:szCs w:val="18"/>
                <w:color w:val="auto"/>
                <w:w w:val="89"/>
              </w:rPr>
              <w:t>October 2, 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90"/>
              <w:spacing w:after="0" w:line="169" w:lineRule="exact"/>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0.01</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0.10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0.25</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0.05</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8"/>
              </w:rPr>
              <w:t xml:space="preserve">Amortization of acquisition intangibles </w:t>
            </w:r>
            <w:r>
              <w:rPr>
                <w:rFonts w:ascii="Arial" w:cs="Arial" w:eastAsia="Arial" w:hAnsi="Arial"/>
                <w:sz w:val="23"/>
                <w:szCs w:val="23"/>
                <w:color w:val="auto"/>
                <w:w w:val="98"/>
                <w:vertAlign w:val="superscript"/>
              </w:rPr>
              <w:t>(d)</w:t>
            </w: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0.07</w:t>
            </w:r>
          </w:p>
        </w:tc>
        <w:tc>
          <w:tcPr>
            <w:tcW w:w="0" w:type="dxa"/>
            <w:vAlign w:val="bottom"/>
          </w:tcPr>
          <w:p>
            <w:pPr>
              <w:spacing w:after="0"/>
              <w:rPr>
                <w:sz w:val="1"/>
                <w:szCs w:val="1"/>
                <w:color w:val="auto"/>
              </w:rPr>
            </w:pPr>
          </w:p>
        </w:tc>
      </w:tr>
      <w:tr>
        <w:trPr>
          <w:trHeight w:val="230"/>
        </w:trPr>
        <w:tc>
          <w:tcPr>
            <w:tcW w:w="5120" w:type="dxa"/>
            <w:vAlign w:val="bottom"/>
            <w:gridSpan w:val="5"/>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w w:val="91"/>
              </w:rPr>
              <w:t xml:space="preserve">Losses (gains) on change in fair value of derivatives </w:t>
            </w:r>
            <w:r>
              <w:rPr>
                <w:rFonts w:ascii="Arial" w:cs="Arial" w:eastAsia="Arial" w:hAnsi="Arial"/>
                <w:sz w:val="23"/>
                <w:szCs w:val="23"/>
                <w:color w:val="auto"/>
                <w:w w:val="91"/>
                <w:vertAlign w:val="superscript"/>
              </w:rPr>
              <w:t>(f)</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0.06</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3"/>
              </w:rPr>
              <w:t xml:space="preserve">Tax benefit of stock option exercises </w:t>
            </w:r>
            <w:r>
              <w:rPr>
                <w:rFonts w:ascii="Arial" w:cs="Arial" w:eastAsia="Arial" w:hAnsi="Arial"/>
                <w:sz w:val="23"/>
                <w:szCs w:val="23"/>
                <w:color w:val="auto"/>
                <w:w w:val="93"/>
                <w:vertAlign w:val="superscript"/>
              </w:rPr>
              <w:t>(h)</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(i)</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5"/>
              </w:rPr>
              <w:t>0.42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96,508</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96,193</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162"/>
        </w:trPr>
        <w:tc>
          <w:tcPr>
            <w:tcW w:w="5120" w:type="dxa"/>
            <w:vAlign w:val="bottom"/>
            <w:gridSpan w:val="5"/>
          </w:tcPr>
          <w:p>
            <w:pPr>
              <w:ind w:left="20"/>
              <w:spacing w:after="0"/>
              <w:rPr>
                <w:sz w:val="20"/>
                <w:szCs w:val="20"/>
                <w:color w:val="auto"/>
              </w:rPr>
            </w:pPr>
            <w:r>
              <w:rPr>
                <w:rFonts w:ascii="Arial" w:cs="Arial" w:eastAsia="Arial" w:hAnsi="Arial"/>
                <w:sz w:val="14"/>
                <w:szCs w:val="14"/>
                <w:color w:val="auto"/>
                <w:w w:val="99"/>
              </w:rPr>
              <w:t>Note: Some of the totals in the table above do not foot due to rounding differences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Expenses associated with settlement of significant litigation.</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41" w:lineRule="auto"/>
        <w:tabs>
          <w:tab w:leader="none" w:pos="6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our share of (gains) losses on equity method investments of $(2.4) million for each of the three and nine months ended October 2, 2021 and other expenses and adjustments which are primarily related to excess payroll taxes on stock option exercises, executive severance and relocation.</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right="660" w:hanging="328"/>
        <w:spacing w:after="0" w:line="255" w:lineRule="auto"/>
        <w:tabs>
          <w:tab w:leader="none" w:pos="6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the nine months ended October 2, 2021 associated with our interest rate swaps that matured in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at least the next 12 months.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further modifications to our term loan where possible. However, our ability to maintain sufficient liquidity may be affected by numerous factors, many of which are outside our control. We primarily fund our working capital needs using cash provided by operations. Our working capital requirements for inventory will increase as we continue to open additional stores.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2, 2021, we had $439.1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October 2, 2021, we have outstanding $402.5 million aggregate principal of the 2025 Notes. The 2025 Notes are senior unsecured obligations, and interest on the 2025 Notes is paid semi-annually. As of October 2, 2021, the 2025 Notes can be converted by holders. Upon conversion of the 2025 Notes we can choose to settle in cash, shares or a combination. Based on the initial conversion rate, the 2025 Notes are convertible into 12.9 million shares of our common stock; however we reserved for the possible issuance of 16.5 million shares, which is the maximum amount that could be issued upon conversion. See Note 11. “Earnings Per Share” for the treatment of earnings per share in relation to the 2025 Notes.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2, 2021, we had $200.0 million of term loan outstanding under our credit agreement. We were in compliance with all covenants related to our long-term debt as of October 2, 2021.</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color w:val="auto"/>
              </w:rPr>
              <w:t>Nine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October 2, 2021</w:t>
            </w:r>
          </w:p>
        </w:tc>
        <w:tc>
          <w:tcPr>
            <w:tcW w:w="180" w:type="dxa"/>
            <w:vAlign w:val="bottom"/>
          </w:tcPr>
          <w:p>
            <w:pPr>
              <w:spacing w:after="0"/>
              <w:rPr>
                <w:sz w:val="19"/>
                <w:szCs w:val="19"/>
                <w:color w:val="auto"/>
              </w:rPr>
            </w:pPr>
          </w:p>
        </w:tc>
        <w:tc>
          <w:tcPr>
            <w:tcW w:w="1760" w:type="dxa"/>
            <w:vAlign w:val="bottom"/>
          </w:tcPr>
          <w:p>
            <w:pPr>
              <w:ind w:left="80"/>
              <w:spacing w:after="0"/>
              <w:rPr>
                <w:sz w:val="20"/>
                <w:szCs w:val="20"/>
                <w:color w:val="auto"/>
              </w:rPr>
            </w:pPr>
            <w:r>
              <w:rPr>
                <w:rFonts w:ascii="Arial" w:cs="Arial" w:eastAsia="Arial" w:hAnsi="Arial"/>
                <w:sz w:val="18"/>
                <w:szCs w:val="18"/>
                <w:color w:val="auto"/>
              </w:rPr>
              <w:t>September 26, 2020</w:t>
            </w:r>
          </w:p>
        </w:tc>
      </w:tr>
      <w:tr>
        <w:trPr>
          <w:trHeight w:val="210"/>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233,807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100"/>
              <w:spacing w:after="0"/>
              <w:rPr>
                <w:sz w:val="20"/>
                <w:szCs w:val="20"/>
                <w:color w:val="auto"/>
              </w:rPr>
            </w:pPr>
            <w:r>
              <w:rPr>
                <w:rFonts w:ascii="Arial" w:cs="Arial" w:eastAsia="Arial" w:hAnsi="Arial"/>
                <w:sz w:val="18"/>
                <w:szCs w:val="18"/>
                <w:color w:val="auto"/>
                <w:w w:val="98"/>
              </w:rPr>
              <w:t>203,716</w:t>
            </w: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2"/>
              </w:rPr>
              <w:t>(40,514)</w:t>
            </w:r>
          </w:p>
        </w:tc>
      </w:tr>
      <w:tr>
        <w:trPr>
          <w:trHeight w:val="230"/>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8"/>
              </w:rPr>
              <w:t>174,906</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8"/>
              </w:rPr>
              <w:t>338,108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provided by operating activities increased $30.1 million from $203.7 million during the nine months ended September 26, 2020 to $233.8 million for the nine months ended October 2, 2021. The increase in net cash provided by operating activities consisted of an increase in net income of $120.8 million, due primarily to growth in sales during the nine months ended October 2, 2021, and an increase of non-cash expense items of $4.5 million including an increase in deferred income taxes of $30.3 million partially offset by a decrease in asset impairment charges of $19.4 million.</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net working capital and other assets and liabilities used $95.3 million in cash compared to the nine months ended September 26, 2020. Working capital was most significantly impacted by changes in other liabilities,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inventories, accounts payable, and other assets. Decreases in other liabilities during the nine months ended October 2, 2021 used $51.5 million in year-over-year cash primarily due to decreases in compensation related accruals of $31.9 million including payment of CARES Act deferred employer payroll taxes, timing of litigation settlements, and decreases in lease concessions and deferrals of $9.0 million. Increases in inventories used $27.3 million in year-over-year cash, primarily due to increased purchases including forward buys. Decreases in accounts payable during the nine months ended October 2, 2021 used $16.6 million in year-over-year cash, primarily due to timing of payments. Increases in other assets used $7.9 million in year-over-year cash consisting of $9.7 million of prepaid tax-related items offset by smaller decreases in other prepaid and non-current asset balances during the nine months ended October 2, 2021 when compared with the nine months ended September 26, 2020.</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Offsetting these items were decreases in accounts receivable, which contributed $8.4 million in year-over-year cash, primarily reflective of year-over-year decreases in credit card receivables during the nine months ended October 2, 2021 compared to the same period of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for investing activities increased by $15.9 million, to $56.4 million, during the nine months ended October 2, 2021 from $40.5 million during the nine months ended September 26, 2020. The increase was primarily due to increased new store openings, offset partially by proceeds of $2.4 million in connection with the sale of the Company’s equity method investee. Refer to Note 1</w:t>
      </w:r>
      <w:r>
        <w:rPr>
          <w:rFonts w:ascii="Arial" w:cs="Arial" w:eastAsia="Arial" w:hAnsi="Arial"/>
          <w:sz w:val="16"/>
          <w:szCs w:val="16"/>
          <w:i w:val="1"/>
          <w:iCs w:val="1"/>
          <w:color w:val="auto"/>
        </w:rPr>
        <w:t>.</w:t>
      </w:r>
      <w:r>
        <w:rPr>
          <w:rFonts w:ascii="Arial" w:cs="Arial" w:eastAsia="Arial" w:hAnsi="Arial"/>
          <w:sz w:val="16"/>
          <w:szCs w:val="16"/>
          <w:color w:val="auto"/>
        </w:rPr>
        <w:t xml:space="preserve"> “Description of Business and Basis of Presentation” for more information on the sale. Approximately 80% of our capital spend is related to our expected growth (i.e., new stores, optometric equipment, additional capacity in our optical laboratories and distribution centers, and our IT infrastructure, including omni-channel platform related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(used for) financing activities decreased $287.0 million, from $174.9 million provision of cash during the nine months ended September 26, 2020 to $112.1 million use of cash during the nine months ended October 2, 2021. The decrease in cash provided by financing activities was primarily due to the prepayment of our term loan long-term debt in the current fiscal year compared to borrowings of long-term debt partially offset by principal payments in the prior year. The Company made voluntary term loan prepayments of $117.4 million during the nine months ended October 2, 2021 compared to proceeds of $548.8 million from the issuance of the 2025 Notes and borrowings on our revolving credit facility partially offset by principal payments on long-term debt of $369.3 million during the nine months ended September 26,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Amendment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amended its credit agreement to, among other things, add customary LIBOR replacement provisions, modify the applicable margins used to calculate the rate of interest payable on the first lien term loans thereunder, modify certain financial covenants related to maximum leverage and minimum interest coverage and remove the LIBOR floor, such that LIBOR shall be deemed to be no less than 0.00% per annum (instead of 1.00% per annum previously in effect).</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Capitalized terms used but not defined herein shall have the meanings assigned to such terms in our credit agreement. 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 We were in compliance with all covenants related to our long-term debt as of October 2, 2021. Refer to Notes 4</w:t>
      </w:r>
      <w:r>
        <w:rPr>
          <w:rFonts w:ascii="Arial" w:cs="Arial" w:eastAsia="Arial" w:hAnsi="Arial"/>
          <w:sz w:val="16"/>
          <w:szCs w:val="16"/>
          <w:i w:val="1"/>
          <w:iCs w:val="1"/>
          <w:color w:val="auto"/>
        </w:rPr>
        <w:t>.</w:t>
      </w:r>
      <w:r>
        <w:rPr>
          <w:rFonts w:ascii="Arial" w:cs="Arial" w:eastAsia="Arial" w:hAnsi="Arial"/>
          <w:sz w:val="16"/>
          <w:szCs w:val="16"/>
          <w:color w:val="auto"/>
        </w:rPr>
        <w:t xml:space="preserve"> “Long-term Debt” and 14. “Subsequent Events” for more information on our credit agreement and debt balance.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November 8, 2021, the Company's board of directors authorized the Company to repurchase up to $50 million aggregate amount of shares of the Company’s common stock. 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and general market and economic conditions.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2020 Annual Report on form 10-K. We are not a party to any other material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outside the ordinary course of business in our contractual obligations and commercial commitments from those reported in the 2020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2020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2020 Annual Report on Form 10-K, except for the adoption of ASU 2020-06. These changes are discussed in Note 1</w:t>
      </w:r>
      <w:r>
        <w:rPr>
          <w:rFonts w:ascii="Arial" w:cs="Arial" w:eastAsia="Arial" w:hAnsi="Arial"/>
          <w:sz w:val="18"/>
          <w:szCs w:val="18"/>
          <w:i w:val="1"/>
          <w:iCs w:val="1"/>
          <w:color w:val="auto"/>
        </w:rPr>
        <w:t>.</w:t>
      </w:r>
      <w:r>
        <w:rPr>
          <w:rFonts w:ascii="Arial" w:cs="Arial" w:eastAsia="Arial" w:hAnsi="Arial"/>
          <w:sz w:val="18"/>
          <w:szCs w:val="18"/>
          <w:color w:val="auto"/>
        </w:rPr>
        <w:t xml:space="preserve"> “Description of Business and Basis of Presentation” to our unaudited condensed consolidated financial statements included in Part I. Item 1. of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2, 2021, $200.0 million of term loan borrowings were subject to variable interest rates, with a weighted average borrowing rate of 2.5%. An increase to market rates of 1.0% as of October 2, 2021 would not result in a material increase to interest expense. Assuming a decrease to market rates of 1.0% as of October 2, 2021, the resulting increase to interest expense related to the interest rate derivative would be approximately $9 million. For more information about quantitative and qualitative disclosures about market risk, please see Item 7A. “Quantitative and Qualitative Disclosures About Market Risk” in Part II. of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October 2, 2021.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third quarter of fiscal year 2021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2020 Annual Report on Form 10-K. Except as described below, there have been no material changes to the risk factors described in our 2020 Annual Report on Form 10-K.</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proposed new government regulations concerning mandatory COVID-19 vaccination or testing of employees could result in workforce attrition or other labor difficulties, which could have a material adverse impact on our business and results of operations.</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in “Management’s Discussion and Analysis,” on September 9, 2021, President Biden announced the Path Out of the Pandemic: COVID-19 Action Plan. As part of the COVID-19 Action Plan, President Biden directed OSHA to develop an ETS mandating either the full vaccination or weekly testing of employees for employers with 100 or more employees. On November 4, 2021, the OSHA ETS was released. Following the issuance of the ETS, litigation was filed challenging the ETS, and on November 6, 2021, the U.S. Court of Appeals for the Fifth Circuit issued an order temporarily staying the effect of the ETS until a decision is reached. In addition, on September 9, 2021, President Biden issued an executive order on ensuring adequate COVID-19 safety protocols for U.S. federal contractors as part of his COVID-19 Action Plan. On September 24, 2021, in furtherance of the executive order, the U.S. Safer Federal Workforce Task Force issued guidance requiring federal contractors and subcontractors to comply with certain COVID-19 safety protocols, including requiring certain employees to be fully vaccinated against COVID-19 by January 4, 2022, except in limited circumstances.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evaluating the applicability, scope and potential impacts of the COVID-19 Action Plan, the OSHA ETS and the related executive orders on our business and workforce. It is also possible that additional vaccine mandates may be announced in jurisdictions in which our businesses operate. It is currently not possible to predict with certainty the impact these new regulations and orders will have on our workforce. Our implementation of applicable requirements may result in workforce attrition or difficulty securing future labor needs, which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938"/>
        </w:trPr>
        <w:tc>
          <w:tcPr>
            <w:tcW w:w="12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6"/>
              </w:rPr>
              <w:t>Third Amended and Restated Certificate of Incorporation of National Vision Holdings, Inc. -incorporated herein by reference to</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Exhibit 3.1 to the 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rPr>
            </w:pPr>
            <w:hyperlink r:id="rId7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8"/>
              </w:rPr>
              <w:t>Third Amended and Restated Bylaws of National Vision Holdings, Inc. -incorporated herein by reference to Exhibit 3.2 to the</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Company’s Current Report on Form 8-K filed on June 10, 2021.</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w:anchor="page4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89"/>
              </w:rPr>
              <w:t>Separation Agreement and General Release, dated as of September 30, 2021, between National Vision, Inc. and Joan Blackwood (filed</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herewith).</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0" w:lineRule="exact"/>
              <w:rPr>
                <w:rFonts w:ascii="Arial" w:cs="Arial" w:eastAsia="Arial" w:hAnsi="Arial"/>
                <w:sz w:val="18"/>
                <w:szCs w:val="18"/>
                <w:color w:val="0000FF"/>
                <w:w w:val="85"/>
              </w:rPr>
            </w:pPr>
            <w:hyperlink w:anchor="page5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rFonts w:ascii="Arial" w:cs="Arial" w:eastAsia="Arial" w:hAnsi="Arial"/>
                <w:sz w:val="18"/>
                <w:szCs w:val="18"/>
                <w:color w:val="0000FF"/>
                <w:w w:val="85"/>
              </w:rPr>
            </w:pPr>
            <w:hyperlink w:anchor="page6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3"/>
          </w:tcPr>
          <w:p>
            <w:pPr>
              <w:ind w:left="20"/>
              <w:spacing w:after="0" w:line="190" w:lineRule="exact"/>
              <w:rPr>
                <w:rFonts w:ascii="Arial" w:cs="Arial" w:eastAsia="Arial" w:hAnsi="Arial"/>
                <w:sz w:val="18"/>
                <w:szCs w:val="18"/>
                <w:color w:val="0000FF"/>
                <w:w w:val="85"/>
              </w:rPr>
            </w:pPr>
            <w:hyperlink w:anchor="page6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Act of 2002 (furnished herewith).</w:t>
            </w:r>
          </w:p>
        </w:tc>
      </w:tr>
      <w:tr>
        <w:trPr>
          <w:trHeight w:val="176"/>
        </w:trPr>
        <w:tc>
          <w:tcPr>
            <w:tcW w:w="20" w:type="dxa"/>
            <w:vAlign w:val="bottom"/>
          </w:tcPr>
          <w:p>
            <w:pPr>
              <w:spacing w:after="0"/>
              <w:rPr>
                <w:sz w:val="15"/>
                <w:szCs w:val="15"/>
                <w:color w:val="auto"/>
              </w:rPr>
            </w:pPr>
          </w:p>
        </w:tc>
        <w:tc>
          <w:tcPr>
            <w:tcW w:w="1480" w:type="dxa"/>
            <w:vAlign w:val="bottom"/>
            <w:gridSpan w:val="5"/>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October 2, 2021,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25" w:right="379" w:bottom="1440" w:gutter="0" w:footer="0" w:header="0"/>
        </w:sectPr>
      </w:pPr>
    </w:p>
    <w:bookmarkStart w:id="47" w:name="page48"/>
    <w:bookmarkEnd w:id="47"/>
    <w:p>
      <w:pPr>
        <w:ind w:left="9860"/>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Separation Agreement and General Release (the “Agreement”) confirms the following understandings and agreements between National Vision, Inc. (the “Company”) and Joan Blackwood (hereinafter referred to as “you” or “your”) concerning your separation from employment with the Company effective December 31, 2021 (the “Separation Date”). This Agreement is pursuant to the National Vision Holdings, Inc. Executive Severance Plan and constitutes the entire understanding regarding the terms of your separation.</w:t>
      </w:r>
    </w:p>
    <w:p>
      <w:pPr>
        <w:spacing w:after="0" w:line="170"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r>
        <w:rPr>
          <w:rFonts w:ascii="Arial" w:cs="Arial" w:eastAsia="Arial" w:hAnsi="Arial"/>
          <w:sz w:val="22"/>
          <w:szCs w:val="22"/>
          <w:b w:val="1"/>
          <w:bCs w:val="1"/>
          <w:color w:val="auto"/>
        </w:rPr>
        <w:t>.</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consideration of all your promises and obligations under this Agreement, and provided that (i) you do not revoke this Agreement pursuant to Paragraph 8 below, and (ii) you execute the Supplemental Release of Claims attached hereto as Exhibit A (the “Supplemental Release”) after the Separation Date and the seven (7) day revocation period described therein has expired, the Company will provide you the following Severance Benefits under the National Vision Holdings, Inc. Executive Severance Plan.</w:t>
      </w:r>
    </w:p>
    <w:p>
      <w:pPr>
        <w:spacing w:after="0" w:line="170" w:lineRule="exact"/>
        <w:rPr>
          <w:sz w:val="20"/>
          <w:szCs w:val="20"/>
          <w:color w:val="auto"/>
        </w:rPr>
      </w:pPr>
    </w:p>
    <w:p>
      <w:pPr>
        <w:jc w:val="both"/>
        <w:ind w:firstLine="656"/>
        <w:spacing w:after="0" w:line="250" w:lineRule="auto"/>
        <w:tabs>
          <w:tab w:leader="none" w:pos="1111"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2021 Annual Bonus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provide you a one-time lump sum payment equal to your bonus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Annual Bonus Program for 2021, based on actual performance for 2021. This payment will be made to you concurrently with the cash bonus payment to other similarly-situated employees under the Annual Bonus Program (but in all events prior to March 15, 2022, and in all cases in the 2022 calendar year). This payment is subject to all required withholdings and deductions, in accordance with normal payroll practices, and will be reflected on a IRS Form W-2, issued by National Vision, Inc. to you for tax year 2022.</w:t>
      </w:r>
    </w:p>
    <w:p>
      <w:pPr>
        <w:spacing w:after="0" w:line="173" w:lineRule="exact"/>
        <w:rPr>
          <w:rFonts w:ascii="Arial" w:cs="Arial" w:eastAsia="Arial" w:hAnsi="Arial"/>
          <w:sz w:val="22"/>
          <w:szCs w:val="22"/>
          <w:b w:val="1"/>
          <w:bCs w:val="1"/>
          <w:color w:val="auto"/>
        </w:rPr>
      </w:pPr>
    </w:p>
    <w:p>
      <w:pPr>
        <w:jc w:val="both"/>
        <w:ind w:firstLine="656"/>
        <w:spacing w:after="0" w:line="283" w:lineRule="auto"/>
        <w:tabs>
          <w:tab w:leader="none" w:pos="116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Cash Severance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pay you a cash payment equal to 1.0 times the sum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(i) Base Salary and (ii) Target Bonus for 2021. This payment will be paid to you, subject to all required withholdings and deductions and in accordance with normal payroll practices, over a twelve (12) month period commencing the first regularly scheduled payroll date following the expiration of the revocation period set forth in the Supplemental Release. This payment will be reflected on your IRS Form W-2, issued by National Vision, Inc. to you for tax year 2022.</w:t>
      </w:r>
    </w:p>
    <w:p>
      <w:pPr>
        <w:spacing w:after="0" w:line="142" w:lineRule="exact"/>
        <w:rPr>
          <w:rFonts w:ascii="Arial" w:cs="Arial" w:eastAsia="Arial" w:hAnsi="Arial"/>
          <w:sz w:val="20"/>
          <w:szCs w:val="20"/>
          <w:b w:val="1"/>
          <w:bCs w:val="1"/>
          <w:color w:val="auto"/>
        </w:rPr>
      </w:pPr>
    </w:p>
    <w:p>
      <w:pPr>
        <w:jc w:val="both"/>
        <w:ind w:firstLine="656"/>
        <w:spacing w:after="0" w:line="271" w:lineRule="auto"/>
        <w:tabs>
          <w:tab w:leader="none" w:pos="1083"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Welfare Continuation</w:t>
      </w:r>
      <w:r>
        <w:rPr>
          <w:rFonts w:ascii="Arial" w:cs="Arial" w:eastAsia="Arial" w:hAnsi="Arial"/>
          <w:sz w:val="21"/>
          <w:szCs w:val="21"/>
          <w:b w:val="1"/>
          <w:bCs w:val="1"/>
          <w:color w:val="auto"/>
        </w:rPr>
        <w:t xml:space="preserve"> </w:t>
      </w:r>
      <w:r>
        <w:rPr>
          <w:rFonts w:ascii="Arial" w:cs="Arial" w:eastAsia="Arial" w:hAnsi="Arial"/>
          <w:sz w:val="21"/>
          <w:szCs w:val="21"/>
          <w:color w:val="auto"/>
        </w:rPr>
        <w:t>Should you take all steps necessary to enroll in COBRA continuation coverage for any</w:t>
      </w:r>
      <w:r>
        <w:rPr>
          <w:rFonts w:ascii="Arial" w:cs="Arial" w:eastAsia="Arial" w:hAnsi="Arial"/>
          <w:sz w:val="21"/>
          <w:szCs w:val="21"/>
          <w:b w:val="1"/>
          <w:bCs w:val="1"/>
          <w:color w:val="auto"/>
        </w:rPr>
        <w:t xml:space="preserve"> </w:t>
      </w:r>
      <w:r>
        <w:rPr>
          <w:rFonts w:ascii="Arial" w:cs="Arial" w:eastAsia="Arial" w:hAnsi="Arial"/>
          <w:sz w:val="21"/>
          <w:szCs w:val="21"/>
          <w:color w:val="auto"/>
        </w:rPr>
        <w:t>medical or dental insurance in which you are enrolled as of December 31, 2021, the Company will pay the COBRA premium for such continued coverage each month for twelve (12) consecutive months beginning January 2022. Such payments will be made by the Company directly to the COBRA administrator on your behalf. You will have the</w:t>
      </w:r>
    </w:p>
    <w:p>
      <w:pPr>
        <w:sectPr>
          <w:pgSz w:w="11900" w:h="16838" w:orient="portrait"/>
          <w:cols w:equalWidth="0" w:num="1">
            <w:col w:w="11240"/>
          </w:cols>
          <w:pgMar w:left="320" w:top="116" w:right="339" w:bottom="1440" w:gutter="0" w:footer="0" w:header="0"/>
        </w:sectPr>
      </w:pPr>
    </w:p>
    <w:bookmarkStart w:id="48" w:name="page49"/>
    <w:bookmarkEnd w:id="48"/>
    <w:p>
      <w:pPr>
        <w:spacing w:after="0" w:line="248" w:lineRule="exact"/>
        <w:rPr>
          <w:sz w:val="20"/>
          <w:szCs w:val="20"/>
          <w:color w:val="auto"/>
        </w:rPr>
      </w:pPr>
    </w:p>
    <w:p>
      <w:pPr>
        <w:jc w:val="both"/>
        <w:ind w:right="20"/>
        <w:spacing w:after="0" w:line="266" w:lineRule="auto"/>
        <w:rPr>
          <w:sz w:val="20"/>
          <w:szCs w:val="20"/>
          <w:color w:val="auto"/>
        </w:rPr>
      </w:pPr>
      <w:r>
        <w:rPr>
          <w:rFonts w:ascii="Arial" w:cs="Arial" w:eastAsia="Arial" w:hAnsi="Arial"/>
          <w:sz w:val="21"/>
          <w:szCs w:val="21"/>
          <w:color w:val="auto"/>
        </w:rPr>
        <w:t>option to continue COBRA coverage (to the extent you are otherwise eligible) at your own expense following the 12-month period of Company paid benefits by making payments directly to the COBRA administrator. You will receive the COBRA enrollment forms and information at your home address on file with the Company following your resignation. Should you have any questions about how to make those payments or other issues related to your COBRA coverage, please refer to the COBRA documents provided to you or contact the Company’s Benefits Department.</w:t>
      </w:r>
    </w:p>
    <w:p>
      <w:pPr>
        <w:spacing w:after="0" w:line="154" w:lineRule="exact"/>
        <w:rPr>
          <w:sz w:val="20"/>
          <w:szCs w:val="20"/>
          <w:color w:val="auto"/>
        </w:rPr>
      </w:pPr>
    </w:p>
    <w:p>
      <w:pPr>
        <w:jc w:val="both"/>
        <w:ind w:firstLine="8"/>
        <w:spacing w:after="0" w:line="252" w:lineRule="auto"/>
        <w:tabs>
          <w:tab w:leader="none" w:pos="4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Separation</w:t>
      </w:r>
      <w:r>
        <w:rPr>
          <w:rFonts w:ascii="Arial" w:cs="Arial" w:eastAsia="Arial" w:hAnsi="Arial"/>
          <w:sz w:val="22"/>
          <w:szCs w:val="22"/>
          <w:color w:val="auto"/>
        </w:rPr>
        <w:t>. On September 27, 2021 (the “Transition Date”), your service as Chief Marketing Officer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will cease, and you will no longer hold a position as an officer of the Company or any of its affiliates. Following the Transition Date and through the termination of your employment on the Separation Date, you agree to provide any cooperation, assistance, and/or training requested by the Company to transition your work, responsibilities, files, and systems.</w:t>
      </w:r>
    </w:p>
    <w:p>
      <w:pPr>
        <w:spacing w:after="0" w:line="170" w:lineRule="exact"/>
        <w:rPr>
          <w:rFonts w:ascii="Arial" w:cs="Arial" w:eastAsia="Arial" w:hAnsi="Arial"/>
          <w:sz w:val="22"/>
          <w:szCs w:val="22"/>
          <w:b w:val="1"/>
          <w:bCs w:val="1"/>
          <w:color w:val="auto"/>
        </w:rPr>
      </w:pPr>
    </w:p>
    <w:p>
      <w:pPr>
        <w:jc w:val="both"/>
        <w:ind w:firstLine="8"/>
        <w:spacing w:after="0" w:line="257" w:lineRule="auto"/>
        <w:tabs>
          <w:tab w:leader="none" w:pos="641"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Sue and Release</w:t>
      </w:r>
      <w:r>
        <w:rPr>
          <w:rFonts w:ascii="Arial" w:cs="Arial" w:eastAsia="Arial" w:hAnsi="Arial"/>
          <w:sz w:val="21"/>
          <w:szCs w:val="21"/>
          <w:color w:val="auto"/>
        </w:rPr>
        <w:t>. You represent that you have not, and you agree that you will not, file any claims,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complaints, charges, or lawsuits against the Company or any of its parent companies, divisions, subsidiaries, affiliates, predecessors, successors, or assigns, or any of their present or former officers, directors, employees, owners, or agents, or any of their benefit plans or trustees (hereinafter collectively referred to as the “Releasees”) about anything that has occurred up to the time you execute this Agreement. In addition, in further consideration of the Severance Benefits described in Paragraph 1 above, you hereby agree to release and discharge the Releasees from any and all claims, losses, expenses, liabilities, rights, and entitlements of every kind and description you now have or have had, or may later claim to have had against them, whether currently known or unknown, arising out of anything that has occurred up to the time you execute this Agreement (collectively referred to as “Claims”). You understand and agree that you will not be entitled hereafter to pursue any Claims arising out of any alleged violation of your rights, including but not limited to Claims for back pay, losses, or other damages to you or your property resulting from any alleged violation of municipal, county, state, or federal law, such as (but not limited to) Title VII of the Civil Rights Act of 1964, 42 U.S.C. § 2000e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(prohibiting discrimination on account of race, color, sex, national origin, or religion); the Equal Pay Act of 1963, 29 U.S.C. § 206(d) (prohibiting discrimination in pay); the Age Discrimination in Employment Act of 1967, 29 U.S.C. § 621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(prohibiting discrimination on account of age); the Employee Retirement Income Security Act of 1974, as amended (ERISA), 29 U.S.C. § 1001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Americans with Disabilities Act of 1990 (ADA), 42 U.S.C. §§ 1210112213 (prohibiting discrimination on account of disability); the Family and Medical Leave Act of 1993, 29 U.S.C. § 2601 </w:t>
      </w:r>
      <w:r>
        <w:rPr>
          <w:rFonts w:ascii="Arial" w:cs="Arial" w:eastAsia="Arial" w:hAnsi="Arial"/>
          <w:sz w:val="21"/>
          <w:szCs w:val="21"/>
          <w:u w:val="single" w:color="auto"/>
          <w:color w:val="auto"/>
        </w:rPr>
        <w:t>et seq</w:t>
      </w:r>
      <w:r>
        <w:rPr>
          <w:rFonts w:ascii="Arial" w:cs="Arial" w:eastAsia="Arial" w:hAnsi="Arial"/>
          <w:sz w:val="21"/>
          <w:szCs w:val="21"/>
          <w:color w:val="auto"/>
        </w:rPr>
        <w:t>.; 42 U.S.C. § 1981; the Consolidated Omnibus Budget Reconciliation Act, as amended (“COBRA”); the Genetic Information Nondiscrimination Act (GINA); Arizona wage laws; Arizona equal pay law; the Arizona Employment Protection Act; the Arizona Civil Rights Act; the Arizona Occupational Health and Safety Act; and all state or local whistleblower protection statutes, codes, or regulations; or any other federal, state, or local law, whether such Claims sound in tort or contract, and whether in law or equity. This does not, however, preclude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you from filing a charge with the Equal Employment Opportunity Commission or equivalent state agency.</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Notwithstanding the foregoing, nothing in this Agreement prevents you from filing, cooperating with, or participating in any proceeding before the U.S. Equal Employment Opportunity Commission, the National Labor Relations Board, the Securities and Exchange Commission or any other federal, state or local governmental agency or commission.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You agree that you will not hereafter be entitled to any individual recovery or relief as a result of an action filed against the Releasees in any municipal, state, or federal court or agency including, but not limited to, the Equal Employment Opportunity Commission or the Department of Labor for or on account of anything that has occurred up to the present time including, but not limited to, anything that has transpired as a result of your employment with the Company.</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purpose of implementing a full and complete release and discharge of the Releasees, you expressly acknowledge that this Agreement is intended to include in its effect, without limitation, all Claims that you do not know or suspect to exist in your favor at the time you sign this Agreement, and that this Agreement contemplates the extinguishment of any such Claim or Claims.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general release and covenant not to sue set forth above, nothing herein shall constitute a release or waiver by you of (i) any claim or right you may have for workers’ compensation benefits, (ii) any claim or right you may have for benefit rights that have vested as of the date you execute this Agreement, or (iii) any claims or rights you may have under this Agreement.</w:t>
      </w:r>
    </w:p>
    <w:p>
      <w:pPr>
        <w:spacing w:after="0" w:line="169" w:lineRule="exact"/>
        <w:rPr>
          <w:sz w:val="20"/>
          <w:szCs w:val="20"/>
          <w:color w:val="auto"/>
        </w:rPr>
      </w:pPr>
    </w:p>
    <w:p>
      <w:pPr>
        <w:jc w:val="both"/>
        <w:ind w:firstLine="8"/>
        <w:spacing w:after="0" w:line="273" w:lineRule="auto"/>
        <w:tabs>
          <w:tab w:leader="none" w:pos="641"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 and Forfeiture</w:t>
      </w:r>
      <w:r>
        <w:rPr>
          <w:rFonts w:ascii="Arial" w:cs="Arial" w:eastAsia="Arial" w:hAnsi="Arial"/>
          <w:sz w:val="20"/>
          <w:szCs w:val="20"/>
          <w:color w:val="auto"/>
        </w:rPr>
        <w:t>. You agree that you will indemnify and hold the Releasees harmless from any loss, cost,</w:t>
      </w:r>
      <w:r>
        <w:rPr>
          <w:rFonts w:ascii="Arial" w:cs="Arial" w:eastAsia="Arial" w:hAnsi="Arial"/>
          <w:sz w:val="20"/>
          <w:szCs w:val="20"/>
          <w:b w:val="1"/>
          <w:bCs w:val="1"/>
          <w:color w:val="auto"/>
        </w:rPr>
        <w:t xml:space="preserve"> </w:t>
      </w:r>
      <w:r>
        <w:rPr>
          <w:rFonts w:ascii="Arial" w:cs="Arial" w:eastAsia="Arial" w:hAnsi="Arial"/>
          <w:sz w:val="20"/>
          <w:szCs w:val="20"/>
          <w:color w:val="auto"/>
        </w:rPr>
        <w:t>damage, or expense (including attorneys' fees) incurred by them arising out of your breach of any portion of this Agreement. You also understand that your entitlement to and retention of the benefits the Company has agreed to provide you herein are expressly conditioned upon your fulfillment of your promises herein, and if you breach this Agreement, the Company may at its option immediately terminate your eligibility for any further benefits under this Agreement (less $100) and initiate appropriate action to recover all benefits and monies previously paid to you as consideration for your signing this Agreement. You also understand that the Company shall be entitled to recover any actual damages caused by your actions in violation of this Agreement, and you agree to reimburse the Company or any other party released under this Agreement for any costs, including attorneys’ fees, incurred by them as a result of your breach of this Agreement. You understand and agree that for purposes of this paragraph on indemnity and forfeiture only, the filing of an Age Discrimination in Employment Act (ADEA) charge or lawsuit, challenging the validity of this Agreement shall not be considered a breach of this Agreement or otherwise constitute grounds for invoking the provisions of this paragraph on indemnity and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42" w:lineRule="exact"/>
        <w:rPr>
          <w:sz w:val="20"/>
          <w:szCs w:val="20"/>
          <w:color w:val="auto"/>
        </w:rPr>
      </w:pPr>
    </w:p>
    <w:p>
      <w:pPr>
        <w:ind w:right="20" w:firstLine="8"/>
        <w:spacing w:after="0" w:line="280" w:lineRule="auto"/>
        <w:tabs>
          <w:tab w:leader="none" w:pos="64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Cooperation</w:t>
      </w:r>
      <w:r>
        <w:rPr>
          <w:rFonts w:ascii="Arial" w:cs="Arial" w:eastAsia="Arial" w:hAnsi="Arial"/>
          <w:sz w:val="22"/>
          <w:szCs w:val="22"/>
          <w:color w:val="auto"/>
        </w:rPr>
        <w:t>. You agree to be available to respond to future inquiries or reasonable requests for assistance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related to matters arising during your employment.</w:t>
      </w:r>
    </w:p>
    <w:p>
      <w:pPr>
        <w:spacing w:after="0" w:line="138" w:lineRule="exact"/>
        <w:rPr>
          <w:rFonts w:ascii="Arial" w:cs="Arial" w:eastAsia="Arial" w:hAnsi="Arial"/>
          <w:sz w:val="22"/>
          <w:szCs w:val="22"/>
          <w:b w:val="1"/>
          <w:bCs w:val="1"/>
          <w:color w:val="auto"/>
        </w:rPr>
      </w:pPr>
    </w:p>
    <w:p>
      <w:pPr>
        <w:jc w:val="both"/>
        <w:ind w:firstLine="8"/>
        <w:spacing w:after="0" w:line="263" w:lineRule="auto"/>
        <w:tabs>
          <w:tab w:leader="none" w:pos="641"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You agree that you will make no disparaging or defamatory comments regarding any member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 or its current or former directors, officers, or employees in any respect or make any statement that disrupts or impairs the Company’s normal, ongoing business operations, or that harms the Company’s reputation with its employees, suppliers, or the public. The Company agrees to instruct its executive officers not to make any disparaging or defamatory comments regarding you in any respect. This nondisparagement provision does not apply on occasions where you or the Company are subpoenaed or ordered by a court or other governmental authority to testify or give evidence or to conduct otherwise protected by federal or state laws or regulations.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Nothing in this Agreement shall prohibit or impede you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regulations, provided that in each case such communications and disclosures are consistent with applicable law and nothing herein shall preclude your right to receive an award from a governmental entity for information provided under any whistleblower program. You do not need prior authorization of (or to give notice to) the Company regarding any such communication or disclosure. You hereby confirm that you understand and acknowledge that an individual shall not be held criminally liable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is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will you be authorized to disclose any information covered by attorney-client privilege or attorney work product of the Company, or the Company’s trade secrets, without prior written consent of the Company’s General Counsel or another officer designated by the Company.</w:t>
      </w:r>
    </w:p>
    <w:p>
      <w:pPr>
        <w:spacing w:after="0" w:line="156" w:lineRule="exact"/>
        <w:rPr>
          <w:sz w:val="20"/>
          <w:szCs w:val="20"/>
          <w:color w:val="auto"/>
        </w:rPr>
      </w:pPr>
    </w:p>
    <w:p>
      <w:pPr>
        <w:jc w:val="both"/>
        <w:ind w:firstLine="8"/>
        <w:spacing w:after="0" w:line="250" w:lineRule="auto"/>
        <w:tabs>
          <w:tab w:leader="none" w:pos="641"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 Period</w:t>
      </w:r>
      <w:r>
        <w:rPr>
          <w:rFonts w:ascii="Arial" w:cs="Arial" w:eastAsia="Arial" w:hAnsi="Arial"/>
          <w:sz w:val="22"/>
          <w:szCs w:val="22"/>
          <w:color w:val="auto"/>
        </w:rPr>
        <w:t>. Because the arrangements discussed in this Agreement affect important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we advise you to consult with an attorney and/or tax professional before you agree to the terms set forth herein. You have twenty-one (21) days from the date you receive this Agreement within which to consider it, and you may take as much of that time as you wish before signing. If you decide to accept the benefits offered herein, you must sign this Agreement on or before the expiration of the 21-day period and return it to the Company (Attention: General Counsel at National Vision, Inc., 2435 Commerce Ave., Bldg. 2200, Duluth,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Georgia 30096, or by email at jared.brandman@nationalvision.com) by the close of business on the twenty-first day after you receive this Agreement. If you do not wish to accept the terms of this Agreement, you do not have to do anything.</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acknowledge that the Company has made no representations to you concerning the term or effects of this Agreement other than those contained herein. You also acknowledge that, pursuant to C.F.R. Section 1625.22, any modifications to this proposed Agreement as originally presented to you, whether considered or deemed to be material or nonmaterial, shall not restart the twenty-one (21) day consideration period.</w:t>
      </w:r>
    </w:p>
    <w:p>
      <w:pPr>
        <w:spacing w:after="0" w:line="169" w:lineRule="exact"/>
        <w:rPr>
          <w:sz w:val="20"/>
          <w:szCs w:val="20"/>
          <w:color w:val="auto"/>
        </w:rPr>
      </w:pPr>
    </w:p>
    <w:p>
      <w:pPr>
        <w:jc w:val="both"/>
        <w:ind w:firstLine="8"/>
        <w:spacing w:after="0" w:line="249" w:lineRule="auto"/>
        <w:tabs>
          <w:tab w:leader="none" w:pos="64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Revocation Rights</w:t>
      </w:r>
      <w:r>
        <w:rPr>
          <w:rFonts w:ascii="Arial" w:cs="Arial" w:eastAsia="Arial" w:hAnsi="Arial"/>
          <w:sz w:val="22"/>
          <w:szCs w:val="22"/>
          <w:color w:val="auto"/>
        </w:rPr>
        <w:t>. For a period of seven (7) days after you sign this Agreement, you may revoke it entirely. No</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obligations contained in this Agreement shall become enforceable before the expiration of the seven-day revocation period. If you decide to revoke the Agreement, you must deliver to the Company (Attention: General Counsel at National Vision, Inc., 2435 Commerce Ave., Bldg. 2200, Duluth, Georgia 30096, or by email at jared.brandman@nationalvsion.com) a signed notice of revocation on or before the last day of this seven-day period. Upon delivery of a timely notice of revocation, this Agreement shall be cancelled and void, and neither you nor the Company shall have any rights or obligations under it.</w:t>
      </w:r>
    </w:p>
    <w:p>
      <w:pPr>
        <w:spacing w:after="0" w:line="174" w:lineRule="exact"/>
        <w:rPr>
          <w:rFonts w:ascii="Arial" w:cs="Arial" w:eastAsia="Arial" w:hAnsi="Arial"/>
          <w:sz w:val="22"/>
          <w:szCs w:val="22"/>
          <w:b w:val="1"/>
          <w:bCs w:val="1"/>
          <w:color w:val="auto"/>
        </w:rPr>
      </w:pPr>
    </w:p>
    <w:p>
      <w:pPr>
        <w:jc w:val="both"/>
        <w:ind w:firstLine="8"/>
        <w:spacing w:after="0" w:line="263" w:lineRule="auto"/>
        <w:tabs>
          <w:tab w:leader="none" w:pos="641"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Supplemental Release</w:t>
      </w:r>
      <w:r>
        <w:rPr>
          <w:rFonts w:ascii="Arial" w:cs="Arial" w:eastAsia="Arial" w:hAnsi="Arial"/>
          <w:sz w:val="21"/>
          <w:szCs w:val="21"/>
          <w:color w:val="auto"/>
        </w:rPr>
        <w:t>. In addition to signing this Agreement, you agree that, on the Separation Date or within fifty-three (53) days after the Separation Date, you will sign the Supplemental Release. The Company’s provision of the Severance Benefits is contingent on you signing and not revoking both this Agreement and the Supplemental Release. You may revoke the Supplemental Release within seven (7) days after you execute the Supplemental Release by giving notice as provided in Paragraph 8 of this Agreement. In the event that you revoke the Supplemental Release within the revocation period described in this Section, this Agreement shall not be effective or enforceable, and all rights and obligations hereunder and under the Executive Severance Plan shall be void and of no effect.</w:t>
      </w:r>
    </w:p>
    <w:p>
      <w:pPr>
        <w:spacing w:after="0" w:line="159" w:lineRule="exact"/>
        <w:rPr>
          <w:rFonts w:ascii="Arial" w:cs="Arial" w:eastAsia="Arial" w:hAnsi="Arial"/>
          <w:sz w:val="21"/>
          <w:szCs w:val="21"/>
          <w:b w:val="1"/>
          <w:bCs w:val="1"/>
          <w:color w:val="auto"/>
        </w:rPr>
      </w:pPr>
    </w:p>
    <w:p>
      <w:pPr>
        <w:jc w:val="both"/>
        <w:ind w:firstLine="8"/>
        <w:spacing w:after="0" w:line="250" w:lineRule="auto"/>
        <w:tabs>
          <w:tab w:leader="none" w:pos="645"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sets forth the entire agreement between the parties and, except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paragraph, fully supersedes any and all prior agreements and understandings between the parties pertaining to the subject matter of this Agreement; provided however that any stock option or shareholder agreement and/or plan and the Confidentiality, Non-Interference, and Invention Assignment Agreement shall continue to apply to you in accordance to their terms and you agree that you will continue to be bound by them as well as any confidentiality agreement you have previously entered into with the Company.</w:t>
      </w:r>
    </w:p>
    <w:p>
      <w:pPr>
        <w:spacing w:after="0" w:line="173" w:lineRule="exact"/>
        <w:rPr>
          <w:rFonts w:ascii="Arial" w:cs="Arial" w:eastAsia="Arial" w:hAnsi="Arial"/>
          <w:sz w:val="22"/>
          <w:szCs w:val="22"/>
          <w:b w:val="1"/>
          <w:bCs w:val="1"/>
          <w:color w:val="auto"/>
        </w:rPr>
      </w:pPr>
    </w:p>
    <w:p>
      <w:pPr>
        <w:jc w:val="both"/>
        <w:ind w:firstLine="8"/>
        <w:spacing w:after="0" w:line="255" w:lineRule="auto"/>
        <w:tabs>
          <w:tab w:leader="none" w:pos="63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This Agreement shall become effective (the “Effective Date”) eight (8) days after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you, is received by the General Counsel of the Company within the Consideration Period set forth above, unless it is revoked by you pursuant to the provisions set forth in the “Revocation Rights” paragraph above or the “Supplemental Release” paragraph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42" w:lineRule="exact"/>
        <w:rPr>
          <w:sz w:val="20"/>
          <w:szCs w:val="20"/>
          <w:color w:val="auto"/>
        </w:rPr>
      </w:pPr>
    </w:p>
    <w:p>
      <w:pPr>
        <w:ind w:right="20" w:firstLine="8"/>
        <w:spacing w:after="0" w:line="280" w:lineRule="auto"/>
        <w:tabs>
          <w:tab w:leader="none" w:pos="645"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Non-Admission</w:t>
      </w:r>
      <w:r>
        <w:rPr>
          <w:rFonts w:ascii="Arial" w:cs="Arial" w:eastAsia="Arial" w:hAnsi="Arial"/>
          <w:sz w:val="22"/>
          <w:szCs w:val="22"/>
          <w:color w:val="auto"/>
        </w:rPr>
        <w:t>. This Agreement shall not in any way be construed as an admission or indication that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has engaged in any wrongful or unlawful conduct of any kind.</w:t>
      </w:r>
    </w:p>
    <w:p>
      <w:pPr>
        <w:spacing w:after="0" w:line="138" w:lineRule="exact"/>
        <w:rPr>
          <w:rFonts w:ascii="Arial" w:cs="Arial" w:eastAsia="Arial" w:hAnsi="Arial"/>
          <w:sz w:val="22"/>
          <w:szCs w:val="22"/>
          <w:b w:val="1"/>
          <w:bCs w:val="1"/>
          <w:color w:val="auto"/>
        </w:rPr>
      </w:pPr>
    </w:p>
    <w:p>
      <w:pPr>
        <w:jc w:val="both"/>
        <w:ind w:firstLine="8"/>
        <w:spacing w:after="0" w:line="289" w:lineRule="auto"/>
        <w:tabs>
          <w:tab w:leader="none" w:pos="6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Return of Company Property</w:t>
      </w:r>
      <w:r>
        <w:rPr>
          <w:rFonts w:ascii="Arial" w:cs="Arial" w:eastAsia="Arial" w:hAnsi="Arial"/>
          <w:sz w:val="20"/>
          <w:szCs w:val="20"/>
          <w:color w:val="auto"/>
        </w:rPr>
        <w:t>. You agree that you will promptly return all Company-owned property that is in your</w:t>
      </w:r>
      <w:r>
        <w:rPr>
          <w:rFonts w:ascii="Arial" w:cs="Arial" w:eastAsia="Arial" w:hAnsi="Arial"/>
          <w:sz w:val="20"/>
          <w:szCs w:val="20"/>
          <w:b w:val="1"/>
          <w:bCs w:val="1"/>
          <w:color w:val="auto"/>
        </w:rPr>
        <w:t xml:space="preserve"> </w:t>
      </w:r>
      <w:r>
        <w:rPr>
          <w:rFonts w:ascii="Arial" w:cs="Arial" w:eastAsia="Arial" w:hAnsi="Arial"/>
          <w:sz w:val="20"/>
          <w:szCs w:val="20"/>
          <w:color w:val="auto"/>
        </w:rPr>
        <w:t>possession or under your control, including, but not limited to all proprietary and/or confidential information and documents (including any copies thereof) in any form, computers and any other equipment or property belonging to the Company, credit cards, identification and access cards, data storage devices, and any user names, passwords and access codes.</w:t>
      </w:r>
    </w:p>
    <w:p>
      <w:pPr>
        <w:spacing w:after="0" w:line="134" w:lineRule="exact"/>
        <w:rPr>
          <w:rFonts w:ascii="Arial" w:cs="Arial" w:eastAsia="Arial" w:hAnsi="Arial"/>
          <w:sz w:val="20"/>
          <w:szCs w:val="20"/>
          <w:b w:val="1"/>
          <w:bCs w:val="1"/>
          <w:color w:val="auto"/>
        </w:rPr>
      </w:pPr>
    </w:p>
    <w:p>
      <w:pPr>
        <w:jc w:val="both"/>
        <w:ind w:firstLine="8"/>
        <w:spacing w:after="0" w:line="265" w:lineRule="auto"/>
        <w:tabs>
          <w:tab w:leader="none" w:pos="645"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Responsibility</w:t>
      </w:r>
      <w:r>
        <w:rPr>
          <w:rFonts w:ascii="Arial" w:cs="Arial" w:eastAsia="Arial" w:hAnsi="Arial"/>
          <w:sz w:val="21"/>
          <w:szCs w:val="21"/>
          <w:color w:val="auto"/>
        </w:rPr>
        <w:t>. You acknowledge that you are solely responsible for tax responsibilities and consequences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may result from your receipt of severance benefits and/or your exercise of your rights under this Agreement and agree that no representation has been made to you by any of the Releasees regarding the tax status of the above-described severance benefits and you are not relying in any way on any of the Releasees in this regard. You further agree that the Company shall not be required to pay any further sum to you, or to any other person or entity, if for any reason the tax liability and consequences to you are assessed in a fashion which you do not presently anticipate.</w:t>
      </w:r>
    </w:p>
    <w:p>
      <w:pPr>
        <w:spacing w:after="0" w:line="155" w:lineRule="exact"/>
        <w:rPr>
          <w:rFonts w:ascii="Arial" w:cs="Arial" w:eastAsia="Arial" w:hAnsi="Arial"/>
          <w:sz w:val="21"/>
          <w:szCs w:val="21"/>
          <w:b w:val="1"/>
          <w:bCs w:val="1"/>
          <w:color w:val="auto"/>
        </w:rPr>
      </w:pPr>
    </w:p>
    <w:p>
      <w:pPr>
        <w:jc w:val="both"/>
        <w:ind w:firstLine="8"/>
        <w:spacing w:after="0" w:line="272" w:lineRule="auto"/>
        <w:tabs>
          <w:tab w:leader="none" w:pos="6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Code Section 409A</w:t>
      </w:r>
      <w:r>
        <w:rPr>
          <w:rFonts w:ascii="Arial" w:cs="Arial" w:eastAsia="Arial" w:hAnsi="Arial"/>
          <w:sz w:val="20"/>
          <w:szCs w:val="20"/>
          <w:color w:val="auto"/>
        </w:rPr>
        <w:t>. The terms of this Agreement and the severance benefits payable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construed and paid in such a manner as necessary to fall within the applicable exemptions of Section 409A of the Internal Revenue Service Code of 1986, as amended and as provided under Treasury Regulation Section 1.409A-1,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To the extent any amounts payable under this Agreement become subject to Code Section 409A and applicable guidance issued thereunder, this Agreement shall be construed, and benefits paid hereunder, as necessary to comply with such Code Section and such guidance; provided, however, that in no event shall the Company or any of its parent companies, subsidiaries, or affiliates (or any of their predecessors or successors) be liable for any additional tax, interest, or penalty that may be imposed on you pursuant to Section 409A. Further, notwithstanding anything in this Agreement to the contrary, if, at the time of your termination of employment with the Company, you are a “specified employee” as defined in Section 409A, and one or more of the payments or benefits received or to be received by you pursuant to this Agreement would constitute deferred compensation subject to Section 409A, then to the extent required in order to comply with Section 409A, amounts that would otherwise be payable and benefits that would otherwise be provided during the six (6) month period immediately following the termination of your employment with the Company shall instead be paid on the first business day after the date that is six (6) months following your date of termination (or upon death, if earlier). For purposes of Section 409A, each installment payment provided under this Agreement shall be treated as a separate payment.</w:t>
      </w:r>
    </w:p>
    <w:p>
      <w:pPr>
        <w:spacing w:after="0" w:line="153" w:lineRule="exact"/>
        <w:rPr>
          <w:rFonts w:ascii="Arial" w:cs="Arial" w:eastAsia="Arial" w:hAnsi="Arial"/>
          <w:sz w:val="20"/>
          <w:szCs w:val="20"/>
          <w:b w:val="1"/>
          <w:bCs w:val="1"/>
          <w:color w:val="auto"/>
        </w:rPr>
      </w:pPr>
    </w:p>
    <w:p>
      <w:pPr>
        <w:jc w:val="both"/>
        <w:ind w:right="20" w:firstLine="8"/>
        <w:spacing w:after="0" w:line="262" w:lineRule="auto"/>
        <w:tabs>
          <w:tab w:leader="none" w:pos="645"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Construction and Severability</w:t>
      </w:r>
      <w:r>
        <w:rPr>
          <w:rFonts w:ascii="Arial" w:cs="Arial" w:eastAsia="Arial" w:hAnsi="Arial"/>
          <w:sz w:val="22"/>
          <w:szCs w:val="22"/>
          <w:color w:val="auto"/>
        </w:rPr>
        <w:t>. This Agreement is made and entered into in the State of Georgia and shall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be interpreted, enforced, and governed under the laws of Georgia. The Agreement shall be construed as a whole, according to its fair meaning, and not strictly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22"/>
          <w:szCs w:val="22"/>
          <w:color w:val="auto"/>
        </w:rPr>
        <w:t>against any of the parties. The provisions of this Agreement are severable, and the invalidity of any provision does not affect the validity of other provisions.</w:t>
      </w:r>
    </w:p>
    <w:p>
      <w:pPr>
        <w:spacing w:after="0" w:line="143" w:lineRule="exact"/>
        <w:rPr>
          <w:sz w:val="20"/>
          <w:szCs w:val="20"/>
          <w:color w:val="auto"/>
        </w:rPr>
      </w:pPr>
    </w:p>
    <w:p>
      <w:pPr>
        <w:jc w:val="both"/>
        <w:ind w:firstLine="8"/>
        <w:spacing w:after="0" w:line="248" w:lineRule="auto"/>
        <w:tabs>
          <w:tab w:leader="none" w:pos="645"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Acknowledgments</w:t>
      </w:r>
      <w:r>
        <w:rPr>
          <w:rFonts w:ascii="Arial" w:cs="Arial" w:eastAsia="Arial" w:hAnsi="Arial"/>
          <w:sz w:val="22"/>
          <w:szCs w:val="22"/>
          <w:color w:val="auto"/>
        </w:rPr>
        <w:t>. If the terms of this Separation Agreement and General Release correctly set forth our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please so indicate by signing in the appropriate space below and initialing each page of this Agreement where indicated. Your signature will be an acknowledgment that no other promise or agreement of any kind has been made to you by the Company to cause you to execute this Agreement, that you had a reasonable period of at least twenty-one (21) days to review this letter and to consult with an attorney, tax professional, or other person of your choosing about its terms before signing it, that the only consideration for your signature is as indicated above, that you fully understand and accept this Agreement, that you are not coerced into signing it, and that you signed it knowingly and voluntarily because it is satisfactory to you.</w:t>
      </w:r>
    </w:p>
    <w:p>
      <w:pPr>
        <w:spacing w:after="0" w:line="176" w:lineRule="exact"/>
        <w:rPr>
          <w:rFonts w:ascii="Arial" w:cs="Arial" w:eastAsia="Arial" w:hAnsi="Arial"/>
          <w:sz w:val="22"/>
          <w:szCs w:val="22"/>
          <w:b w:val="1"/>
          <w:bCs w:val="1"/>
          <w:color w:val="auto"/>
        </w:rPr>
      </w:pPr>
    </w:p>
    <w:p>
      <w:pPr>
        <w:jc w:val="both"/>
        <w:ind w:firstLine="8"/>
        <w:spacing w:after="0" w:line="252" w:lineRule="auto"/>
        <w:tabs>
          <w:tab w:leader="none" w:pos="645"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Information</w:t>
      </w:r>
      <w:r>
        <w:rPr>
          <w:rFonts w:ascii="Arial" w:cs="Arial" w:eastAsia="Arial" w:hAnsi="Arial"/>
          <w:sz w:val="22"/>
          <w:szCs w:val="22"/>
          <w:color w:val="auto"/>
        </w:rPr>
        <w:t>. Without limiting the scope of this Agreement in any way, this Agreement constitutes a</w:t>
      </w:r>
      <w:r>
        <w:rPr>
          <w:rFonts w:ascii="Arial" w:cs="Arial" w:eastAsia="Arial" w:hAnsi="Arial"/>
          <w:sz w:val="22"/>
          <w:szCs w:val="22"/>
          <w:b w:val="1"/>
          <w:bCs w:val="1"/>
          <w:color w:val="auto"/>
        </w:rPr>
        <w:t xml:space="preserve"> </w:t>
      </w:r>
      <w:r>
        <w:rPr>
          <w:rFonts w:ascii="Arial" w:cs="Arial" w:eastAsia="Arial" w:hAnsi="Arial"/>
          <w:sz w:val="22"/>
          <w:szCs w:val="22"/>
          <w:color w:val="auto"/>
        </w:rPr>
        <w:t>knowing and voluntary waiver of any and all rights or claims that exist or that you have or may claim to have under the Age Discrimination in Employment Act (“ADEA”), as amended by the Older Workers’ Benefit Protection Act of 1990 (“OWBPA’) (29 U.S.C. §§ 621, et seq.). This release does not govern any rights or claims that might arise under the ADEA after the date this Agreement is signed by you.</w:t>
      </w:r>
    </w:p>
    <w:p>
      <w:pPr>
        <w:spacing w:after="0" w:line="170" w:lineRule="exact"/>
        <w:rPr>
          <w:rFonts w:ascii="Arial" w:cs="Arial" w:eastAsia="Arial" w:hAnsi="Arial"/>
          <w:sz w:val="22"/>
          <w:szCs w:val="22"/>
          <w:b w:val="1"/>
          <w:bCs w:val="1"/>
          <w:color w:val="auto"/>
        </w:rPr>
      </w:pPr>
    </w:p>
    <w:p>
      <w:pPr>
        <w:ind w:firstLine="8"/>
        <w:spacing w:after="0" w:line="280" w:lineRule="auto"/>
        <w:tabs>
          <w:tab w:leader="none" w:pos="645"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multiple original counterparts, each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and all of which together shall constitute but one and the same document.</w:t>
      </w:r>
    </w:p>
    <w:p>
      <w:pPr>
        <w:spacing w:after="0" w:line="144" w:lineRule="exact"/>
        <w:rPr>
          <w:rFonts w:ascii="Arial" w:cs="Arial" w:eastAsia="Arial" w:hAnsi="Arial"/>
          <w:sz w:val="22"/>
          <w:szCs w:val="22"/>
          <w:b w:val="1"/>
          <w:bCs w:val="1"/>
          <w:color w:val="auto"/>
        </w:rPr>
      </w:pPr>
    </w:p>
    <w:p>
      <w:pPr>
        <w:ind w:left="5180"/>
        <w:spacing w:after="0"/>
        <w:rPr>
          <w:rFonts w:ascii="Arial" w:cs="Arial" w:eastAsia="Arial" w:hAnsi="Arial"/>
          <w:sz w:val="22"/>
          <w:szCs w:val="22"/>
          <w:b w:val="1"/>
          <w:bCs w:val="1"/>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Joan Blackwood</w:t>
            </w:r>
          </w:p>
        </w:tc>
        <w:tc>
          <w:tcPr>
            <w:tcW w:w="108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September 30, 2021</w:t>
            </w:r>
          </w:p>
        </w:tc>
      </w:tr>
      <w:tr>
        <w:trPr>
          <w:trHeight w:val="289"/>
        </w:trPr>
        <w:tc>
          <w:tcPr>
            <w:tcW w:w="2300" w:type="dxa"/>
            <w:vAlign w:val="bottom"/>
          </w:tcPr>
          <w:p>
            <w:pPr>
              <w:spacing w:after="0"/>
              <w:rPr>
                <w:sz w:val="20"/>
                <w:szCs w:val="20"/>
                <w:color w:val="auto"/>
              </w:rPr>
            </w:pPr>
            <w:r>
              <w:rPr>
                <w:rFonts w:ascii="Arial" w:cs="Arial" w:eastAsia="Arial" w:hAnsi="Arial"/>
                <w:sz w:val="22"/>
                <w:szCs w:val="22"/>
                <w:color w:val="auto"/>
              </w:rPr>
              <w:t>Joan Blackwood</w:t>
            </w:r>
          </w:p>
        </w:tc>
        <w:tc>
          <w:tcPr>
            <w:tcW w:w="4520" w:type="dxa"/>
            <w:vAlign w:val="bottom"/>
            <w:gridSpan w:val="3"/>
          </w:tcPr>
          <w:p>
            <w:pPr>
              <w:ind w:left="540"/>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86"/>
        </w:trPr>
        <w:tc>
          <w:tcPr>
            <w:tcW w:w="2680" w:type="dxa"/>
            <w:vAlign w:val="bottom"/>
          </w:tcPr>
          <w:p>
            <w:pPr>
              <w:spacing w:after="0"/>
              <w:rPr>
                <w:sz w:val="20"/>
                <w:szCs w:val="20"/>
                <w:color w:val="auto"/>
              </w:rPr>
            </w:pPr>
            <w:r>
              <w:rPr>
                <w:rFonts w:ascii="Arial" w:cs="Arial" w:eastAsia="Arial" w:hAnsi="Arial"/>
                <w:sz w:val="22"/>
                <w:szCs w:val="22"/>
                <w:color w:val="auto"/>
              </w:rPr>
              <w:t>NATIONAL VISION, INC.</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933"/>
        </w:trPr>
        <w:tc>
          <w:tcPr>
            <w:tcW w:w="2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Bill Clark</w:t>
            </w:r>
          </w:p>
        </w:tc>
        <w:tc>
          <w:tcPr>
            <w:tcW w:w="6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Borders>
              <w:bottom w:val="single" w:sz="8" w:color="auto"/>
            </w:tcBorders>
          </w:tcPr>
          <w:p>
            <w:pPr>
              <w:jc w:val="right"/>
              <w:ind w:right="828"/>
              <w:spacing w:after="0"/>
              <w:rPr>
                <w:sz w:val="20"/>
                <w:szCs w:val="20"/>
                <w:color w:val="auto"/>
              </w:rPr>
            </w:pPr>
            <w:r>
              <w:rPr>
                <w:rFonts w:ascii="Arial" w:cs="Arial" w:eastAsia="Arial" w:hAnsi="Arial"/>
                <w:sz w:val="22"/>
                <w:szCs w:val="22"/>
                <w:color w:val="auto"/>
                <w:w w:val="90"/>
              </w:rPr>
              <w:t>September 25, 2021</w:t>
            </w:r>
          </w:p>
        </w:tc>
      </w:tr>
      <w:tr>
        <w:trPr>
          <w:trHeight w:val="259"/>
        </w:trPr>
        <w:tc>
          <w:tcPr>
            <w:tcW w:w="2680" w:type="dxa"/>
            <w:vAlign w:val="bottom"/>
          </w:tcPr>
          <w:p>
            <w:pPr>
              <w:spacing w:after="0"/>
              <w:rPr>
                <w:sz w:val="20"/>
                <w:szCs w:val="20"/>
                <w:color w:val="auto"/>
              </w:rPr>
            </w:pPr>
            <w:r>
              <w:rPr>
                <w:rFonts w:ascii="Arial" w:cs="Arial" w:eastAsia="Arial" w:hAnsi="Arial"/>
                <w:sz w:val="22"/>
                <w:szCs w:val="22"/>
                <w:color w:val="auto"/>
              </w:rPr>
              <w:t>By: Bill Clark</w:t>
            </w:r>
          </w:p>
        </w:tc>
        <w:tc>
          <w:tcPr>
            <w:tcW w:w="4320" w:type="dxa"/>
            <w:vAlign w:val="bottom"/>
            <w:gridSpan w:val="3"/>
          </w:tcPr>
          <w:p>
            <w:pPr>
              <w:jc w:val="right"/>
              <w:ind w:right="3628"/>
              <w:spacing w:after="0"/>
              <w:rPr>
                <w:sz w:val="20"/>
                <w:szCs w:val="20"/>
                <w:color w:val="auto"/>
              </w:rPr>
            </w:pPr>
            <w:r>
              <w:rPr>
                <w:rFonts w:ascii="Arial" w:cs="Arial" w:eastAsia="Arial" w:hAnsi="Arial"/>
                <w:sz w:val="22"/>
                <w:szCs w:val="22"/>
                <w:color w:val="auto"/>
              </w:rPr>
              <w:t>Date</w:t>
            </w:r>
          </w:p>
        </w:tc>
      </w:tr>
      <w:tr>
        <w:trPr>
          <w:trHeight w:val="286"/>
        </w:trPr>
        <w:tc>
          <w:tcPr>
            <w:tcW w:w="2680" w:type="dxa"/>
            <w:vAlign w:val="bottom"/>
          </w:tcPr>
          <w:p>
            <w:pPr>
              <w:spacing w:after="0"/>
              <w:rPr>
                <w:sz w:val="20"/>
                <w:szCs w:val="20"/>
                <w:color w:val="auto"/>
              </w:rPr>
            </w:pPr>
            <w:r>
              <w:rPr>
                <w:rFonts w:ascii="Arial" w:cs="Arial" w:eastAsia="Arial" w:hAnsi="Arial"/>
                <w:sz w:val="22"/>
                <w:szCs w:val="22"/>
                <w:color w:val="auto"/>
              </w:rPr>
              <w:t>Its: Chief People Officer</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296"/>
        </w:trPr>
        <w:tc>
          <w:tcPr>
            <w:tcW w:w="2680" w:type="dxa"/>
            <w:vAlign w:val="bottom"/>
          </w:tcPr>
          <w:p>
            <w:pPr>
              <w:spacing w:after="0"/>
              <w:rPr>
                <w:sz w:val="24"/>
                <w:szCs w:val="24"/>
                <w:color w:val="auto"/>
              </w:rPr>
            </w:pPr>
          </w:p>
        </w:tc>
        <w:tc>
          <w:tcPr>
            <w:tcW w:w="4320" w:type="dxa"/>
            <w:vAlign w:val="bottom"/>
            <w:gridSpan w:val="3"/>
          </w:tcPr>
          <w:p>
            <w:pPr>
              <w:jc w:val="right"/>
              <w:ind w:right="1788"/>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Supplemental Release of Claims</w:t>
      </w:r>
    </w:p>
    <w:p>
      <w:pPr>
        <w:spacing w:after="0" w:line="227" w:lineRule="exact"/>
        <w:rPr>
          <w:sz w:val="20"/>
          <w:szCs w:val="20"/>
          <w:color w:val="auto"/>
        </w:rPr>
      </w:pPr>
    </w:p>
    <w:p>
      <w:pPr>
        <w:jc w:val="both"/>
        <w:ind w:firstLine="8"/>
        <w:spacing w:after="0" w:line="270" w:lineRule="auto"/>
        <w:tabs>
          <w:tab w:leader="none" w:pos="50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This Supplemental Release of Claims releases all claims against the Company and the other Releasees (as defined below) that may have arisen between the date that you signed the Agreement and the Separation Date. You represent that you have not, and you agree that you will not, file any claims, complaints, charges, or lawsuits against the Company or any of its parent companies, divisions, subsidiaries, affiliates, predecessors, successors, or assigns, or any of their present or former officers, directors, employees, owners, or agents, or any of their benefit plans or trustees (hereinafter collectively referred to as the “Releasees”) about anything that has occurred up to the time you execute this Supplemental Release. In addition, in further consideration of the Severance Benefits described in the Agreement, you hereby agree to release and discharge the Releasees from any and all claims, losses, expenses, liabilities, rights, and entitlements of every kind and description you now have or have had, or may later claim to have had against them, whether currently known or unknown, arising out of anything that has occurred up to the time you execute this Supplemental Release (collectively referred to as “Claims”). You understand and agree that you will not be entitled hereafter to pursue any Claims arising out of any alleged violation of your rights, including but not limited to Claims for back pay, losses, or other damages to you or your property resulting from any alleged violation of municipal, county, state, or federal law, such as (but not limited to) Title VII of the Civil Rights Act of 1964, 42 U.S.C. § 2000e et seq. (prohibiting discrimination on account of race, color, sex, national origin, or religion); the Equal Pay Act of 1963, 29 U.S.C. § 206(d) (prohibiting discrimination in pay); the Age Discrimination in Employment Act of 1967, 29 U.S.C. § 621 et seq. (prohibiting discrimination on account of age); the Employee Retirement Income Security Act of 1974, as amended (ERISA), 29 U.S.C. § 1001 et seq.; the Americans with Disabilities Act of 1990 (ADA), 42 U.S.C. §§ 12101 12213 (prohibiting discrimination on account of disability); the Family and Medical Leave Act of 1993, 29 U.S.C. § 2601 et seq.; 42 U.S.C. § 1981; the Consolidated Omnibus Budget Reconciliation Act, as amended (“COBRA”); the Genetic Information Nondiscrimination Act (GINA); Arizona wage laws; Arizona equal pay law; the Arizona Employment Protection Act; the Arizona Civil Rights Act; the Arizona Occupational Health and Safety Act; and all state or local whistleblower protection statutes, codes, or regulations; or any other federal, state, or local law, whether such Claims sound in tort or contract, and whether in law or equity. This does not, however, preclude you from filing a charge with the Equal Employment Opportunity Commission or equivalent state agency.</w:t>
      </w:r>
    </w:p>
    <w:p>
      <w:pPr>
        <w:spacing w:after="0" w:line="190" w:lineRule="exact"/>
        <w:rPr>
          <w:sz w:val="20"/>
          <w:szCs w:val="20"/>
          <w:color w:val="auto"/>
        </w:rPr>
      </w:pPr>
    </w:p>
    <w:p>
      <w:pPr>
        <w:jc w:val="both"/>
        <w:ind w:right="20"/>
        <w:spacing w:after="0" w:line="297" w:lineRule="auto"/>
        <w:rPr>
          <w:sz w:val="20"/>
          <w:szCs w:val="20"/>
          <w:color w:val="auto"/>
        </w:rPr>
      </w:pPr>
      <w:r>
        <w:rPr>
          <w:rFonts w:ascii="Arial" w:cs="Arial" w:eastAsia="Arial" w:hAnsi="Arial"/>
          <w:sz w:val="20"/>
          <w:szCs w:val="20"/>
          <w:color w:val="auto"/>
        </w:rPr>
        <w:t>Notwithstanding the foregoing, nothing in this Supplemental Release prevents you from filing, cooperating with, or participating in any proceeding before the U.S. Equal Employment Opportunity Commission, the National Labor Relations Board, the Securities and Exchange Commission or any other federal, state or local governmental agency or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You agree that you will not hereafter be entitled to any individual recovery or relief as a result of an action filed against the Releasees in any municipal, state, or federal court or agency including, but not limited to, the Equal Employment Opportunity Commission or the Department of Labor for or on account of anything that has occurred up to the present time including, but not limited to, anything that has transpired as a result of your employment with the Company.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purpose of implementing a full and complete release and discharge of the Releasees, you expressly acknowledge that this Supplemental Release is intended to include in its effect, without limitation, all Claims that you do not know or suspect to exist in your favor at the time you sign this Supplemental Release, and that this Supplemental Release contemplates the extinguishment of any such Claim or Claims.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general release and covenant not to sue set forth above, nothing herein shall constitute a release or waiver by you of (i) any claim or right you may have for workers’ compensation benefits, (ii) any claim or right you may have for benefit rights that have vested as of the date you execute this Supplemental Release, or (iii) any claims or rights you may have under the Agreement.</w:t>
      </w:r>
    </w:p>
    <w:p>
      <w:pPr>
        <w:spacing w:after="0" w:line="202" w:lineRule="exact"/>
        <w:rPr>
          <w:sz w:val="20"/>
          <w:szCs w:val="20"/>
          <w:color w:val="auto"/>
        </w:rPr>
      </w:pPr>
    </w:p>
    <w:p>
      <w:pPr>
        <w:jc w:val="both"/>
        <w:ind w:firstLine="8"/>
        <w:spacing w:after="0" w:line="253" w:lineRule="auto"/>
        <w:tabs>
          <w:tab w:leader="none" w:pos="4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Other than the payments set forth in the Agreement, you agree that the Company owes no additional amounts to you for wages, back pay, severance pay, bonuses, damages, accrued vacation, benefits, insurance, sick leave, other leave, or otherwise. You hereby agree that you have been paid all outstanding wages through and including the date of your most recent paycheck.</w:t>
      </w:r>
    </w:p>
    <w:p>
      <w:pPr>
        <w:spacing w:after="0" w:line="200" w:lineRule="exact"/>
        <w:rPr>
          <w:sz w:val="20"/>
          <w:szCs w:val="20"/>
          <w:color w:val="auto"/>
        </w:rPr>
      </w:pPr>
    </w:p>
    <w:p>
      <w:pPr>
        <w:spacing w:after="0" w:line="245"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Accepted and agreed to:</w:t>
      </w:r>
    </w:p>
    <w:p>
      <w:pPr>
        <w:spacing w:after="0" w:line="247"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304800</wp:posOffset>
            </wp:positionV>
            <wp:extent cx="8566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Joan Blackwood</w:t>
      </w:r>
    </w:p>
    <w:p>
      <w:pPr>
        <w:spacing w:after="0" w:line="247"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-11430</wp:posOffset>
            </wp:positionV>
            <wp:extent cx="713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2,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October 2, 2021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October 2, 2021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October 2, 2021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decimal"/>
      <w:start w:val="1"/>
    </w:lvl>
    <w:lvl w:ilvl="1">
      <w:lvlJc w:val="left"/>
      <w:lvlText w:val="(%2)"/>
      <w:numFmt w:val="lowerLetter"/>
      <w:start w:val="1"/>
    </w:lvl>
  </w:abstractNum>
  <w:abstractNum w:abstractNumId="10">
    <w:nsid w:val="2443A858"/>
    <w:multiLevelType w:val="hybridMultilevel"/>
    <w:lvl w:ilvl="0">
      <w:lvlJc w:val="left"/>
      <w:lvlText w:val="%1."/>
      <w:numFmt w:val="decimal"/>
      <w:start w:val="9"/>
    </w:lvl>
    <w:lvl w:ilvl="1">
      <w:lvlJc w:val="left"/>
      <w:lvlText w:val="%2"/>
      <w:numFmt w:val="lowerLetter"/>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decimal"/>
      <w:start w:val="104"/>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4"/>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7"/>
    </w:lvl>
  </w:abstractNum>
  <w:abstractNum w:abstractNumId="25">
    <w:nsid w:val="8138641"/>
    <w:multiLevelType w:val="hybridMultilevel"/>
    <w:lvl w:ilvl="0">
      <w:lvlJc w:val="left"/>
      <w:lvlText w:val="%1."/>
      <w:numFmt w:val="decimal"/>
      <w:start w:val="8"/>
    </w:lvl>
  </w:abstractNum>
  <w:abstractNum w:abstractNumId="26">
    <w:nsid w:val="1E7FF521"/>
    <w:multiLevelType w:val="hybridMultilevel"/>
    <w:lvl w:ilvl="0">
      <w:lvlJc w:val="left"/>
      <w:lvlText w:val="%1."/>
      <w:numFmt w:val="decimal"/>
      <w:start w:val="12"/>
    </w:lvl>
  </w:abstractNum>
  <w:abstractNum w:abstractNumId="27">
    <w:nsid w:val="7C3DBD3D"/>
    <w:multiLevelType w:val="hybridMultilevel"/>
    <w:lvl w:ilvl="0">
      <w:lvlJc w:val="left"/>
      <w:lvlText w:val="%1."/>
      <w:numFmt w:val="decimal"/>
      <w:start w:val="17"/>
    </w:lvl>
    <w:lvl w:ilvl="1">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0" Type="http://schemas.openxmlformats.org/officeDocument/2006/relationships/hyperlink" Target="https://www.sec.gov/Archives/edgar/data/1710155/000171015521000036/nationalvision-thirdamende.htm" TargetMode="External"/><Relationship Id="rId71" Type="http://schemas.openxmlformats.org/officeDocument/2006/relationships/hyperlink" Target="https://www.sec.gov/Archives/edgar/data/0001710155/000171015521000036/nationalvisionholdingsin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2021-11-10T05:58:57Z</dcterms:created>
  <dcterms:modified xsi:type="dcterms:W3CDTF">2021-11-10T05:58:57Z</dcterms:modified>
</cp:coreProperties>
</file>