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2018</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3"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 w:lineRule="exact"/>
        <w:rPr>
          <w:sz w:val="24"/>
          <w:szCs w:val="24"/>
          <w:color w:val="auto"/>
        </w:rPr>
      </w:pPr>
    </w:p>
    <w:p>
      <w:pPr>
        <w:ind w:left="420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001-38257</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420"/>
          </w:cols>
          <w:pgMar w:left="240" w:top="616" w:right="239" w:bottom="1440" w:gutter="0" w:footer="0" w:header="0"/>
        </w:sectPr>
      </w:pPr>
    </w:p>
    <w:p>
      <w:pPr>
        <w:spacing w:after="0" w:line="15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6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14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14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48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48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if changed since last report)</w:t>
      </w:r>
    </w:p>
    <w:p>
      <w:pPr>
        <w:spacing w:after="0" w:line="38" w:lineRule="exact"/>
        <w:rPr>
          <w:sz w:val="24"/>
          <w:szCs w:val="24"/>
          <w:color w:val="auto"/>
        </w:rPr>
      </w:pPr>
    </w:p>
    <w:p>
      <w:pPr>
        <w:sectPr>
          <w:pgSz w:w="11900" w:h="16838" w:orient="portrait"/>
          <w:cols w:equalWidth="0" w:num="2">
            <w:col w:w="6740" w:space="720"/>
            <w:col w:w="3960"/>
          </w:cols>
          <w:pgMar w:left="240" w:top="616" w:right="23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6" w:lineRule="exact"/>
        <w:rPr>
          <w:sz w:val="24"/>
          <w:szCs w:val="24"/>
          <w:color w:val="auto"/>
        </w:rPr>
      </w:pPr>
    </w:p>
    <w:p>
      <w:pPr>
        <w:ind w:right="140"/>
        <w:spacing w:after="0" w:line="24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40"/>
        <w:spacing w:after="0" w:line="249"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30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4"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5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14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5"/>
        </w:trPr>
        <w:tc>
          <w:tcPr>
            <w:tcW w:w="5060" w:type="dxa"/>
            <w:vAlign w:val="bottom"/>
          </w:tcPr>
          <w:p>
            <w:pPr>
              <w:spacing w:after="0"/>
              <w:rPr>
                <w:sz w:val="20"/>
                <w:szCs w:val="20"/>
                <w:color w:val="auto"/>
              </w:rPr>
            </w:pPr>
            <w:r>
              <w:rPr>
                <w:rFonts w:ascii="Arial" w:cs="Arial" w:eastAsia="Arial" w:hAnsi="Arial"/>
                <w:sz w:val="16"/>
                <w:szCs w:val="16"/>
                <w:color w:val="auto"/>
              </w:rPr>
              <w:t>Non-accelerated filer (Do not check if a smaller reporting company)</w:t>
            </w:r>
          </w:p>
        </w:tc>
        <w:tc>
          <w:tcPr>
            <w:tcW w:w="22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540" w:type="dxa"/>
            <w:vAlign w:val="bottom"/>
          </w:tcPr>
          <w:p>
            <w:pPr>
              <w:ind w:left="14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506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540" w:type="dxa"/>
            <w:vAlign w:val="bottom"/>
          </w:tcPr>
          <w:p>
            <w:pPr>
              <w:ind w:left="142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16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 w:lineRule="exact"/>
        <w:rPr>
          <w:sz w:val="24"/>
          <w:szCs w:val="24"/>
          <w:color w:val="auto"/>
        </w:rPr>
      </w:pPr>
    </w:p>
    <w:p>
      <w:pPr>
        <w:ind w:right="304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28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w:t>
            </w:r>
          </w:p>
        </w:tc>
        <w:tc>
          <w:tcPr>
            <w:tcW w:w="5140" w:type="dxa"/>
            <w:vAlign w:val="bottom"/>
          </w:tcPr>
          <w:p>
            <w:pPr>
              <w:ind w:left="40"/>
              <w:spacing w:after="0"/>
              <w:rPr>
                <w:sz w:val="20"/>
                <w:szCs w:val="20"/>
                <w:color w:val="auto"/>
              </w:rPr>
            </w:pPr>
            <w:r>
              <w:rPr>
                <w:rFonts w:ascii="Arial" w:cs="Arial" w:eastAsia="Arial" w:hAnsi="Arial"/>
                <w:sz w:val="16"/>
                <w:szCs w:val="16"/>
                <w:b w:val="1"/>
                <w:bCs w:val="1"/>
                <w:color w:val="auto"/>
              </w:rPr>
              <w:t>Outstanding at July 31, 2018</w:t>
            </w:r>
          </w:p>
        </w:tc>
      </w:tr>
      <w:tr>
        <w:trPr>
          <w:trHeight w:val="33"/>
        </w:trPr>
        <w:tc>
          <w:tcPr>
            <w:tcW w:w="516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17"/>
        </w:trPr>
        <w:tc>
          <w:tcPr>
            <w:tcW w:w="6280" w:type="dxa"/>
            <w:vAlign w:val="bottom"/>
            <w:gridSpan w:val="2"/>
          </w:tcPr>
          <w:p>
            <w:pPr>
              <w:ind w:left="40"/>
              <w:spacing w:after="0"/>
              <w:rPr>
                <w:sz w:val="20"/>
                <w:szCs w:val="20"/>
                <w:color w:val="auto"/>
              </w:rPr>
            </w:pPr>
            <w:r>
              <w:rPr>
                <w:rFonts w:ascii="Arial" w:cs="Arial" w:eastAsia="Arial" w:hAnsi="Arial"/>
                <w:sz w:val="16"/>
                <w:szCs w:val="16"/>
                <w:color w:val="auto"/>
              </w:rPr>
              <w:t>Common stock, $0.01 par value</w:t>
            </w:r>
          </w:p>
        </w:tc>
        <w:tc>
          <w:tcPr>
            <w:tcW w:w="5140" w:type="dxa"/>
            <w:vAlign w:val="bottom"/>
          </w:tcPr>
          <w:p>
            <w:pPr>
              <w:ind w:left="40"/>
              <w:spacing w:after="0"/>
              <w:rPr>
                <w:sz w:val="20"/>
                <w:szCs w:val="20"/>
                <w:color w:val="auto"/>
              </w:rPr>
            </w:pPr>
            <w:r>
              <w:rPr>
                <w:rFonts w:ascii="Arial" w:cs="Arial" w:eastAsia="Arial" w:hAnsi="Arial"/>
                <w:sz w:val="16"/>
                <w:szCs w:val="16"/>
                <w:color w:val="auto"/>
              </w:rPr>
              <w:t>75,472,468</w:t>
            </w:r>
          </w:p>
        </w:tc>
      </w:tr>
      <w:tr>
        <w:trPr>
          <w:trHeight w:val="168"/>
        </w:trPr>
        <w:tc>
          <w:tcPr>
            <w:tcW w:w="5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140" w:type="dxa"/>
            <w:vAlign w:val="bottom"/>
            <w:tcBorders>
              <w:bottom w:val="single" w:sz="8" w:color="auto"/>
            </w:tcBorders>
          </w:tcPr>
          <w:p>
            <w:pPr>
              <w:spacing w:after="0"/>
              <w:rPr>
                <w:sz w:val="14"/>
                <w:szCs w:val="14"/>
                <w:color w:val="auto"/>
              </w:rPr>
            </w:pPr>
          </w:p>
        </w:tc>
      </w:tr>
      <w:tr>
        <w:trPr>
          <w:trHeight w:val="122"/>
        </w:trPr>
        <w:tc>
          <w:tcPr>
            <w:tcW w:w="5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5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61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8"/>
                <w:szCs w:val="18"/>
                <w:color w:val="auto"/>
              </w:rPr>
              <w:t>Page</w:t>
            </w:r>
          </w:p>
        </w:tc>
      </w:tr>
      <w:tr>
        <w:trPr>
          <w:trHeight w:val="230"/>
        </w:trPr>
        <w:tc>
          <w:tcPr>
            <w:tcW w:w="92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18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22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Part I – Financial Information</w:t>
              </w:r>
            </w:hyperlink>
          </w:p>
        </w:tc>
        <w:tc>
          <w:tcPr>
            <w:tcW w:w="3120" w:type="dxa"/>
            <w:vAlign w:val="bottom"/>
            <w:tcBorders>
              <w:top w:val="single" w:sz="8" w:color="0000EE"/>
            </w:tcBorders>
            <w:gridSpan w:val="8"/>
          </w:tcPr>
          <w:p>
            <w:pPr>
              <w:spacing w:after="0"/>
              <w:rPr>
                <w:sz w:val="21"/>
                <w:szCs w:val="21"/>
                <w:color w:val="auto"/>
              </w:rPr>
            </w:pPr>
          </w:p>
        </w:tc>
        <w:tc>
          <w:tcPr>
            <w:tcW w:w="3880" w:type="dxa"/>
            <w:vAlign w:val="bottom"/>
            <w:gridSpan w:val="5"/>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7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180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92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Balance Sheets</w:t>
              </w:r>
            </w:hyperlink>
          </w:p>
        </w:tc>
        <w:tc>
          <w:tcPr>
            <w:tcW w:w="4840" w:type="dxa"/>
            <w:vAlign w:val="bottom"/>
            <w:gridSpan w:val="7"/>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7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and Comprehensive Income</w:t>
              </w:r>
            </w:hyperlink>
          </w:p>
        </w:tc>
        <w:tc>
          <w:tcPr>
            <w:tcW w:w="2040" w:type="dxa"/>
            <w:vAlign w:val="bottom"/>
            <w:gridSpan w:val="2"/>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4040" w:type="dxa"/>
            <w:vAlign w:val="bottom"/>
            <w:gridSpan w:val="6"/>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760" w:type="dxa"/>
            <w:vAlign w:val="bottom"/>
            <w:gridSpan w:val="4"/>
          </w:tcPr>
          <w:p>
            <w:pPr>
              <w:spacing w:after="0"/>
              <w:rPr>
                <w:sz w:val="21"/>
                <w:szCs w:val="21"/>
                <w:color w:val="auto"/>
              </w:rPr>
            </w:pPr>
          </w:p>
        </w:tc>
        <w:tc>
          <w:tcPr>
            <w:tcW w:w="17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776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80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7760" w:type="dxa"/>
            <w:vAlign w:val="bottom"/>
            <w:gridSpan w:val="1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180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tcBorders>
              <w:left w:val="single" w:sz="8" w:color="0000EE"/>
            </w:tcBorders>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7760" w:type="dxa"/>
            <w:vAlign w:val="bottom"/>
            <w:gridSpan w:val="1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180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940" w:type="dxa"/>
            <w:vAlign w:val="bottom"/>
            <w:gridSpan w:val="5"/>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Part II – Other Information</w:t>
              </w:r>
            </w:hyperlink>
          </w:p>
        </w:tc>
        <w:tc>
          <w:tcPr>
            <w:tcW w:w="7260" w:type="dxa"/>
            <w:vAlign w:val="bottom"/>
            <w:gridSpan w:val="15"/>
          </w:tcPr>
          <w:p>
            <w:pPr>
              <w:spacing w:after="0"/>
              <w:rPr>
                <w:sz w:val="21"/>
                <w:szCs w:val="21"/>
                <w:color w:val="auto"/>
              </w:rPr>
            </w:pPr>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w:t>
              </w:r>
            </w:hyperlink>
          </w:p>
        </w:tc>
        <w:tc>
          <w:tcPr>
            <w:tcW w:w="77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Item 1A.</w:t>
              </w:r>
            </w:hyperlink>
          </w:p>
        </w:tc>
        <w:tc>
          <w:tcPr>
            <w:tcW w:w="360" w:type="dxa"/>
            <w:vAlign w:val="bottom"/>
          </w:tcPr>
          <w:p>
            <w:pPr>
              <w:spacing w:after="0"/>
              <w:rPr>
                <w:sz w:val="21"/>
                <w:szCs w:val="21"/>
                <w:color w:val="auto"/>
              </w:rPr>
            </w:pPr>
          </w:p>
        </w:tc>
        <w:tc>
          <w:tcPr>
            <w:tcW w:w="77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2.</w:t>
              </w:r>
            </w:hyperlink>
          </w:p>
        </w:tc>
        <w:tc>
          <w:tcPr>
            <w:tcW w:w="360" w:type="dxa"/>
            <w:vAlign w:val="bottom"/>
          </w:tcPr>
          <w:p>
            <w:pPr>
              <w:spacing w:after="0"/>
              <w:rPr>
                <w:sz w:val="21"/>
                <w:szCs w:val="21"/>
                <w:color w:val="auto"/>
              </w:rPr>
            </w:pPr>
          </w:p>
        </w:tc>
        <w:tc>
          <w:tcPr>
            <w:tcW w:w="77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77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Defaults Upon Senior Securities</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77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5.</w:t>
              </w:r>
            </w:hyperlink>
          </w:p>
        </w:tc>
        <w:tc>
          <w:tcPr>
            <w:tcW w:w="7760" w:type="dxa"/>
            <w:vAlign w:val="bottom"/>
            <w:gridSpan w:val="1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180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40" w:type="dxa"/>
            <w:vAlign w:val="bottom"/>
            <w:gridSpan w:val="11"/>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100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6.</w:t>
              </w:r>
            </w:hyperlink>
          </w:p>
        </w:tc>
        <w:tc>
          <w:tcPr>
            <w:tcW w:w="7760" w:type="dxa"/>
            <w:vAlign w:val="bottom"/>
            <w:gridSpan w:val="1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180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4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Signatures</w:t>
              </w:r>
            </w:hyperlink>
          </w:p>
        </w:tc>
        <w:tc>
          <w:tcPr>
            <w:tcW w:w="7000" w:type="dxa"/>
            <w:vAlign w:val="bottom"/>
            <w:gridSpan w:val="13"/>
          </w:tcPr>
          <w:p>
            <w:pPr>
              <w:spacing w:after="0"/>
              <w:rPr>
                <w:sz w:val="21"/>
                <w:szCs w:val="21"/>
                <w:color w:val="auto"/>
              </w:rPr>
            </w:pPr>
          </w:p>
        </w:tc>
        <w:tc>
          <w:tcPr>
            <w:tcW w:w="180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47</w:t>
              </w:r>
            </w:hyperlink>
          </w:p>
        </w:tc>
      </w:tr>
      <w:tr>
        <w:trPr>
          <w:trHeight w:val="20"/>
        </w:trPr>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00"/>
          </w:cols>
          <w:pgMar w:left="460" w:top="387"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 Item 1A - “Risk Factors” in the Company’s Annual Report on Form 10-K for the year ended December 30, 2017 (the “Annual Report”), as filed with the Securities and Exchange Commission (the “SEC”), as such risk factors may be updated from time to time in our periodic filings with the SEC, which are accessible on the SEC’s website at www.sec.gov, and also include the following:</w:t>
      </w:r>
    </w:p>
    <w:p>
      <w:pPr>
        <w:spacing w:after="0" w:line="85"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open and operate new stores in a timely and cost-effective manner, and to successfully enter new markets;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128" w:lineRule="exact"/>
        <w:rPr>
          <w:rFonts w:ascii="Arial" w:cs="Arial" w:eastAsia="Arial" w:hAnsi="Arial"/>
          <w:sz w:val="17"/>
          <w:szCs w:val="17"/>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straining our existing resources and causing the performance of our existing stores to suffer;</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wage rate increases, inflation, cost increases and increases in raw material prices and energy prices;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53" w:right="239" w:bottom="1440" w:gutter="0" w:footer="0" w:header="0"/>
        </w:sectPr>
      </w:pPr>
    </w:p>
    <w:bookmarkStart w:id="3" w:name="page4"/>
    <w:bookmarkEnd w:id="3"/>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180" w:hanging="172"/>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62"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“eyecare practitioners” in this Form 10-Q mean optometrists and ophthalmologists and references to “vision care professionals” mean optometrists (including optometrists employed by us or by professional corporations owned by eyecare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 Vision Holdings, Inc. when you enroll your e-mail address by visiting the “Email Alerts” page of the Investor Resources section of our website at www.nationalvision.com/investors. The contents of our website are not, however, a part of this Form 10-Q.</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As of June 30, 2018 and December 30, 2017</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i w:val="1"/>
          <w:iCs w:val="1"/>
          <w:color w:val="auto"/>
        </w:rPr>
        <w:t>In Thousands, Except Par Value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8"/>
                <w:szCs w:val="18"/>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18"/>
                <w:szCs w:val="18"/>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22"/>
        </w:trPr>
        <w:tc>
          <w:tcPr>
            <w:tcW w:w="69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94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auto"/>
                <w:w w:val="87"/>
              </w:rPr>
              <w:t>June 30, 2018</w:t>
            </w:r>
          </w:p>
        </w:tc>
        <w:tc>
          <w:tcPr>
            <w:tcW w:w="240" w:type="dxa"/>
            <w:vAlign w:val="bottom"/>
          </w:tcPr>
          <w:p>
            <w:pPr>
              <w:spacing w:after="0"/>
              <w:rPr>
                <w:sz w:val="10"/>
                <w:szCs w:val="10"/>
                <w:color w:val="auto"/>
              </w:rPr>
            </w:pPr>
          </w:p>
        </w:tc>
        <w:tc>
          <w:tcPr>
            <w:tcW w:w="1920" w:type="dxa"/>
            <w:vAlign w:val="bottom"/>
            <w:vMerge w:val="restart"/>
          </w:tcPr>
          <w:p>
            <w:pPr>
              <w:jc w:val="right"/>
              <w:ind w:right="290"/>
              <w:spacing w:after="0"/>
              <w:rPr>
                <w:sz w:val="20"/>
                <w:szCs w:val="20"/>
                <w:color w:val="auto"/>
              </w:rPr>
            </w:pPr>
            <w:r>
              <w:rPr>
                <w:rFonts w:ascii="Arial" w:cs="Arial" w:eastAsia="Arial" w:hAnsi="Arial"/>
                <w:sz w:val="18"/>
                <w:szCs w:val="18"/>
                <w:color w:val="auto"/>
                <w:w w:val="96"/>
              </w:rPr>
              <w:t>December 30, 2017</w:t>
            </w:r>
          </w:p>
        </w:tc>
        <w:tc>
          <w:tcPr>
            <w:tcW w:w="0" w:type="dxa"/>
            <w:vAlign w:val="bottom"/>
          </w:tcPr>
          <w:p>
            <w:pPr>
              <w:spacing w:after="0"/>
              <w:rPr>
                <w:sz w:val="1"/>
                <w:szCs w:val="1"/>
                <w:color w:val="auto"/>
              </w:rPr>
            </w:pPr>
          </w:p>
        </w:tc>
      </w:tr>
      <w:tr>
        <w:trPr>
          <w:trHeight w:val="108"/>
        </w:trPr>
        <w:tc>
          <w:tcPr>
            <w:tcW w:w="6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34,642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94,909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91,151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199,429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162,477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328,035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304,132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792,744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792,744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68,716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72,903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1,440,012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1,421,314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1,639,441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32,784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35,708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payables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77,611</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23,160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27,739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62,993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7,694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189,264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211,309</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561,980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31,222</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42,294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46,044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3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73,648</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 other non-current liabilities</w:t>
            </w:r>
          </w:p>
        </w:tc>
        <w:tc>
          <w:tcPr>
            <w:tcW w:w="3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154,025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150,914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(See Note 7)</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Common stock, $0.01 par value; 200,000 shares authorized; 75,334 and 74,654 shares</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issued and outstanding as of June 30, 2018 and December 30, 2017,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638,377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631,798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94,296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37,145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Treasury stock, at cost; 53 and 28 shares as of June 30, 2018 and December 30, 2017,</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3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729,587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659,588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1,639,441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1,583,791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341" w:right="239" w:bottom="98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41" w:right="239" w:bottom="989"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620" w:type="dxa"/>
            <w:vAlign w:val="bottom"/>
            <w:gridSpan w:val="8"/>
          </w:tcPr>
          <w:p>
            <w:pPr>
              <w:jc w:val="center"/>
              <w:ind w:left="215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440" w:type="dxa"/>
            <w:vAlign w:val="bottom"/>
            <w:gridSpan w:val="11"/>
          </w:tcPr>
          <w:p>
            <w:pPr>
              <w:jc w:val="center"/>
              <w:ind w:left="35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 (Loss)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8440" w:type="dxa"/>
            <w:vAlign w:val="bottom"/>
            <w:gridSpan w:val="11"/>
          </w:tcPr>
          <w:p>
            <w:pPr>
              <w:jc w:val="center"/>
              <w:ind w:left="330"/>
              <w:spacing w:after="0"/>
              <w:rPr>
                <w:sz w:val="20"/>
                <w:szCs w:val="20"/>
                <w:color w:val="auto"/>
              </w:rPr>
            </w:pPr>
            <w:r>
              <w:rPr>
                <w:rFonts w:ascii="Arial" w:cs="Arial" w:eastAsia="Arial" w:hAnsi="Arial"/>
                <w:sz w:val="18"/>
                <w:szCs w:val="18"/>
                <w:b w:val="1"/>
                <w:bCs w:val="1"/>
                <w:color w:val="auto"/>
                <w:w w:val="90"/>
              </w:rPr>
              <w:t>For the Three and Six Months Ended June 30, 2018 and July 1, 2017</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2"/>
        </w:trPr>
        <w:tc>
          <w:tcPr>
            <w:tcW w:w="1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700" w:type="dxa"/>
            <w:vAlign w:val="bottom"/>
            <w:gridSpan w:val="7"/>
          </w:tcPr>
          <w:p>
            <w:pPr>
              <w:jc w:val="center"/>
              <w:ind w:right="68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3"/>
              </w:rPr>
              <w:t>(Unaudited)</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20" w:type="dxa"/>
            <w:vAlign w:val="bottom"/>
            <w:gridSpan w:val="5"/>
          </w:tcPr>
          <w:p>
            <w:pPr>
              <w:ind w:left="8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3280" w:type="dxa"/>
            <w:vAlign w:val="bottom"/>
            <w:gridSpan w:val="4"/>
          </w:tcPr>
          <w:p>
            <w:pPr>
              <w:jc w:val="right"/>
              <w:ind w:right="990"/>
              <w:spacing w:after="0"/>
              <w:rPr>
                <w:sz w:val="20"/>
                <w:szCs w:val="20"/>
                <w:color w:val="auto"/>
              </w:rPr>
            </w:pPr>
            <w:r>
              <w:rPr>
                <w:rFonts w:ascii="Arial" w:cs="Arial" w:eastAsia="Arial" w:hAnsi="Arial"/>
                <w:sz w:val="18"/>
                <w:szCs w:val="18"/>
                <w:color w:val="auto"/>
              </w:rPr>
              <w:t>Six Months Ended</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color w:val="auto"/>
              </w:rPr>
              <w:t>June 30, 2018</w:t>
            </w:r>
          </w:p>
        </w:tc>
        <w:tc>
          <w:tcPr>
            <w:tcW w:w="26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color w:val="auto"/>
              </w:rPr>
              <w:t>July 1, 2017</w:t>
            </w: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2018</w:t>
            </w:r>
          </w:p>
        </w:tc>
        <w:tc>
          <w:tcPr>
            <w:tcW w:w="2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July 1, 2017</w:t>
            </w:r>
          </w:p>
        </w:tc>
      </w:tr>
      <w:tr>
        <w:trPr>
          <w:trHeight w:val="27"/>
        </w:trPr>
        <w:tc>
          <w:tcPr>
            <w:tcW w:w="12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Net product sales</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319,408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276,960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658,185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583,544</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123,856</w:t>
            </w:r>
          </w:p>
        </w:tc>
      </w:tr>
      <w:tr>
        <w:trPr>
          <w:trHeight w:val="237"/>
        </w:trPr>
        <w:tc>
          <w:tcPr>
            <w:tcW w:w="4200" w:type="dxa"/>
            <w:vAlign w:val="bottom"/>
            <w:gridSpan w:val="2"/>
          </w:tcPr>
          <w:p>
            <w:pPr>
              <w:ind w:left="380"/>
              <w:spacing w:after="0"/>
              <w:rPr>
                <w:sz w:val="20"/>
                <w:szCs w:val="20"/>
                <w:color w:val="auto"/>
              </w:rPr>
            </w:pPr>
            <w:r>
              <w:rPr>
                <w:rFonts w:ascii="Arial" w:cs="Arial" w:eastAsia="Arial" w:hAnsi="Arial"/>
                <w:sz w:val="18"/>
                <w:szCs w:val="18"/>
                <w:color w:val="auto"/>
              </w:rPr>
              <w:t>Total net revenue</w:t>
            </w: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385,532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337,541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793,507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707,400</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8"/>
              </w:rPr>
              <w:t>Costs applicable to revenue (exclusive of depreciation</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and amortization):</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127,731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112,314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258,609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233,347</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88,869</w:t>
            </w:r>
          </w:p>
        </w:tc>
      </w:tr>
      <w:tr>
        <w:trPr>
          <w:trHeight w:val="237"/>
        </w:trPr>
        <w:tc>
          <w:tcPr>
            <w:tcW w:w="4200" w:type="dxa"/>
            <w:vAlign w:val="bottom"/>
            <w:gridSpan w:val="2"/>
          </w:tcPr>
          <w:p>
            <w:pPr>
              <w:ind w:left="380"/>
              <w:spacing w:after="0"/>
              <w:rPr>
                <w:sz w:val="20"/>
                <w:szCs w:val="20"/>
                <w:color w:val="auto"/>
              </w:rPr>
            </w:pPr>
            <w:r>
              <w:rPr>
                <w:rFonts w:ascii="Arial" w:cs="Arial" w:eastAsia="Arial" w:hAnsi="Arial"/>
                <w:sz w:val="18"/>
                <w:szCs w:val="18"/>
                <w:color w:val="auto"/>
              </w:rPr>
              <w:t>Total costs applicable to revenue</w:t>
            </w: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177,059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156,408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357,513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322,216</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165,038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144,655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335,140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294,459</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29,052</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Other expense, net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12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4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182,680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370,558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331,690</w:t>
            </w:r>
          </w:p>
        </w:tc>
      </w:tr>
      <w:tr>
        <w:trPr>
          <w:trHeight w:val="237"/>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25,793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13,772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65,436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53,494</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26,114</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Debt issuance costs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12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24,678</w:t>
            </w: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9,104</w:t>
            </w:r>
          </w:p>
        </w:tc>
      </w:tr>
      <w:tr>
        <w:trPr>
          <w:trHeight w:val="27"/>
        </w:trPr>
        <w:tc>
          <w:tcPr>
            <w:tcW w:w="128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13,077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15,574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share:</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0.28</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56,337</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77,858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77,879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58,339</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2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15,574</w:t>
            </w:r>
          </w:p>
        </w:tc>
      </w:tr>
      <w:tr>
        <w:trPr>
          <w:trHeight w:val="243"/>
        </w:trPr>
        <w:tc>
          <w:tcPr>
            <w:tcW w:w="4200" w:type="dxa"/>
            <w:vAlign w:val="bottom"/>
            <w:gridSpan w:val="2"/>
          </w:tcPr>
          <w:p>
            <w:pPr>
              <w:ind w:left="280"/>
              <w:spacing w:after="0"/>
              <w:rPr>
                <w:sz w:val="20"/>
                <w:szCs w:val="20"/>
                <w:color w:val="auto"/>
              </w:rPr>
            </w:pPr>
            <w:r>
              <w:rPr>
                <w:rFonts w:ascii="Arial" w:cs="Arial" w:eastAsia="Arial" w:hAnsi="Arial"/>
                <w:sz w:val="18"/>
                <w:szCs w:val="18"/>
                <w:color w:val="auto"/>
                <w:w w:val="89"/>
              </w:rPr>
              <w:t>Change in unrealized gain (loss) on hedge instruments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12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4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Tax (provision) benefit of change in unrealized gain</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57"/>
        </w:trPr>
        <w:tc>
          <w:tcPr>
            <w:tcW w:w="4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hedge instruments</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57"/>
        </w:trPr>
        <w:tc>
          <w:tcPr>
            <w:tcW w:w="420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15,575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45,246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15,525</w:t>
            </w:r>
          </w:p>
        </w:tc>
      </w:tr>
      <w:tr>
        <w:trPr>
          <w:trHeight w:val="20"/>
        </w:trPr>
        <w:tc>
          <w:tcPr>
            <w:tcW w:w="1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2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8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69"/>
        </w:trPr>
        <w:tc>
          <w:tcPr>
            <w:tcW w:w="6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58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80" w:type="dxa"/>
            <w:vAlign w:val="bottom"/>
          </w:tcPr>
          <w:p>
            <w:pPr>
              <w:jc w:val="center"/>
              <w:ind w:left="221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20" w:type="dxa"/>
            <w:vAlign w:val="bottom"/>
            <w:gridSpan w:val="2"/>
          </w:tcPr>
          <w:p>
            <w:pPr>
              <w:jc w:val="center"/>
              <w:ind w:left="1950"/>
              <w:spacing w:after="0"/>
              <w:rPr>
                <w:sz w:val="20"/>
                <w:szCs w:val="20"/>
                <w:color w:val="auto"/>
              </w:rPr>
            </w:pPr>
            <w:r>
              <w:rPr>
                <w:rFonts w:ascii="Arial" w:cs="Arial" w:eastAsia="Arial" w:hAnsi="Arial"/>
                <w:sz w:val="18"/>
                <w:szCs w:val="18"/>
                <w:b w:val="1"/>
                <w:bCs w:val="1"/>
                <w:color w:val="auto"/>
                <w:w w:val="90"/>
              </w:rPr>
              <w:t>For the Six Months Ended June 30, 2018 and July 1, 2017</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2"/>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580" w:type="dxa"/>
            <w:vAlign w:val="bottom"/>
          </w:tcPr>
          <w:p>
            <w:pPr>
              <w:jc w:val="center"/>
              <w:ind w:left="2190"/>
              <w:spacing w:after="0"/>
              <w:rPr>
                <w:sz w:val="20"/>
                <w:szCs w:val="20"/>
                <w:color w:val="auto"/>
              </w:rPr>
            </w:pPr>
            <w:r>
              <w:rPr>
                <w:rFonts w:ascii="Arial" w:cs="Arial" w:eastAsia="Arial" w:hAnsi="Arial"/>
                <w:sz w:val="18"/>
                <w:szCs w:val="18"/>
                <w:i w:val="1"/>
                <w:iCs w:val="1"/>
                <w:color w:val="auto"/>
                <w:w w:val="89"/>
              </w:rPr>
              <w:t>In Thousands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80" w:type="dxa"/>
            <w:vAlign w:val="bottom"/>
          </w:tcPr>
          <w:p>
            <w:pPr>
              <w:jc w:val="center"/>
              <w:ind w:left="219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4"/>
          </w:tcPr>
          <w:p>
            <w:pPr>
              <w:jc w:val="right"/>
              <w:ind w:right="970"/>
              <w:spacing w:after="0"/>
              <w:rPr>
                <w:sz w:val="20"/>
                <w:szCs w:val="20"/>
                <w:color w:val="auto"/>
              </w:rPr>
            </w:pPr>
            <w:r>
              <w:rPr>
                <w:rFonts w:ascii="Arial" w:cs="Arial" w:eastAsia="Arial" w:hAnsi="Arial"/>
                <w:sz w:val="18"/>
                <w:szCs w:val="18"/>
                <w:color w:val="auto"/>
              </w:rPr>
              <w:t>Six Months Ended</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2018</w:t>
            </w:r>
          </w:p>
        </w:tc>
        <w:tc>
          <w:tcPr>
            <w:tcW w:w="26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July 1, 2017</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8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38,124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15,574</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Depreciation of property and equipment</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30,814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24,835</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Amortization of loan costs</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2,042</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Deferred income tax expense</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8,377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8,765</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Non-cash stock option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Non-cash inventory adjustments</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3,880</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(6,192)</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(4,967)</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7,576</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8,438</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60" w:type="dxa"/>
            <w:vAlign w:val="bottom"/>
          </w:tcPr>
          <w:p>
            <w:pPr>
              <w:spacing w:after="0"/>
              <w:rPr>
                <w:sz w:val="22"/>
                <w:szCs w:val="22"/>
                <w:color w:val="auto"/>
              </w:rPr>
            </w:pPr>
          </w:p>
        </w:tc>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67,933</w:t>
            </w:r>
          </w:p>
        </w:tc>
      </w:tr>
      <w:tr>
        <w:trPr>
          <w:trHeight w:val="233"/>
        </w:trPr>
        <w:tc>
          <w:tcPr>
            <w:tcW w:w="60" w:type="dxa"/>
            <w:vAlign w:val="bottom"/>
          </w:tcPr>
          <w:p>
            <w:pPr>
              <w:spacing w:after="0"/>
              <w:rPr>
                <w:sz w:val="20"/>
                <w:szCs w:val="20"/>
                <w:color w:val="auto"/>
              </w:rPr>
            </w:pPr>
          </w:p>
        </w:tc>
        <w:tc>
          <w:tcPr>
            <w:tcW w:w="780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1"/>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(44,219)</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60" w:type="dxa"/>
            <w:vAlign w:val="bottom"/>
          </w:tcPr>
          <w:p>
            <w:pPr>
              <w:spacing w:after="0"/>
              <w:rPr>
                <w:sz w:val="22"/>
                <w:szCs w:val="22"/>
                <w:color w:val="auto"/>
              </w:rPr>
            </w:pPr>
          </w:p>
        </w:tc>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(44,135)</w:t>
            </w:r>
          </w:p>
        </w:tc>
      </w:tr>
      <w:tr>
        <w:trPr>
          <w:trHeight w:val="233"/>
        </w:trPr>
        <w:tc>
          <w:tcPr>
            <w:tcW w:w="60" w:type="dxa"/>
            <w:vAlign w:val="bottom"/>
          </w:tcPr>
          <w:p>
            <w:pPr>
              <w:spacing w:after="0"/>
              <w:rPr>
                <w:sz w:val="20"/>
                <w:szCs w:val="20"/>
                <w:color w:val="auto"/>
              </w:rPr>
            </w:pPr>
          </w:p>
        </w:tc>
        <w:tc>
          <w:tcPr>
            <w:tcW w:w="780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31"/>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173,712</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1,088</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Purchase of treasury stock</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on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8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(2,702)</w:t>
            </w:r>
          </w:p>
        </w:tc>
      </w:tr>
      <w:tr>
        <w:trPr>
          <w:trHeight w:val="27"/>
        </w:trPr>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7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Dividend to stockholders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(170,983)</w:t>
            </w:r>
          </w:p>
        </w:tc>
      </w:tr>
      <w:tr>
        <w:trPr>
          <w:trHeight w:val="237"/>
        </w:trPr>
        <w:tc>
          <w:tcPr>
            <w:tcW w:w="60" w:type="dxa"/>
            <w:vAlign w:val="bottom"/>
          </w:tcPr>
          <w:p>
            <w:pPr>
              <w:spacing w:after="0"/>
              <w:rPr>
                <w:sz w:val="20"/>
                <w:szCs w:val="20"/>
                <w:color w:val="auto"/>
              </w:rPr>
            </w:pPr>
          </w:p>
        </w:tc>
        <w:tc>
          <w:tcPr>
            <w:tcW w:w="7800" w:type="dxa"/>
            <w:vAlign w:val="bottom"/>
            <w:gridSpan w:val="2"/>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(3,466)</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20,332</w:t>
            </w:r>
          </w:p>
        </w:tc>
      </w:tr>
      <w:tr>
        <w:trPr>
          <w:trHeight w:val="243"/>
        </w:trPr>
        <w:tc>
          <w:tcPr>
            <w:tcW w:w="60" w:type="dxa"/>
            <w:vAlign w:val="bottom"/>
          </w:tcPr>
          <w:p>
            <w:pPr>
              <w:spacing w:after="0"/>
              <w:rPr>
                <w:sz w:val="21"/>
                <w:szCs w:val="21"/>
                <w:color w:val="auto"/>
              </w:rPr>
            </w:pPr>
          </w:p>
        </w:tc>
        <w:tc>
          <w:tcPr>
            <w:tcW w:w="7800" w:type="dxa"/>
            <w:vAlign w:val="bottom"/>
            <w:gridSpan w:val="2"/>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5,193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5,687</w:t>
            </w:r>
          </w:p>
        </w:tc>
      </w:tr>
      <w:tr>
        <w:trPr>
          <w:trHeight w:val="27"/>
        </w:trPr>
        <w:tc>
          <w:tcPr>
            <w:tcW w:w="6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0" w:type="dxa"/>
            <w:vAlign w:val="bottom"/>
          </w:tcPr>
          <w:p>
            <w:pPr>
              <w:spacing w:after="0"/>
              <w:rPr>
                <w:sz w:val="22"/>
                <w:szCs w:val="22"/>
                <w:color w:val="auto"/>
              </w:rPr>
            </w:pPr>
          </w:p>
        </w:tc>
        <w:tc>
          <w:tcPr>
            <w:tcW w:w="7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26,019</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above: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4"/>
          </w:tcPr>
          <w:p>
            <w:pPr>
              <w:jc w:val="right"/>
              <w:ind w:right="990"/>
              <w:spacing w:after="0"/>
              <w:rPr>
                <w:sz w:val="20"/>
                <w:szCs w:val="20"/>
                <w:color w:val="auto"/>
              </w:rPr>
            </w:pPr>
            <w:r>
              <w:rPr>
                <w:rFonts w:ascii="Arial" w:cs="Arial" w:eastAsia="Arial" w:hAnsi="Arial"/>
                <w:sz w:val="18"/>
                <w:szCs w:val="18"/>
                <w:color w:val="auto"/>
              </w:rPr>
              <w:t>Six Months Ended</w:t>
            </w:r>
          </w:p>
        </w:tc>
      </w:tr>
      <w:tr>
        <w:trPr>
          <w:trHeight w:val="27"/>
        </w:trPr>
        <w:tc>
          <w:tcPr>
            <w:tcW w:w="7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2018</w:t>
            </w:r>
          </w:p>
        </w:tc>
        <w:tc>
          <w:tcPr>
            <w:tcW w:w="2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July 1, 2017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Restricted cash included in other assets</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1,155</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35,821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26,019</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324" w:right="239" w:bottom="31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24" w:right="239" w:bottom="314"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National Vision Holdings, Inc. (“NVHI,” the “Company,” “we,” “our,” or “us”) is a holding company whose operating subsidiaries include its indirect wholly owned subsidiary, National Vision, Inc. (“NVI”) and NVI’s direct wholly owned subsidiaries. The Company is a leading value retailer of eyeglasses and contact lenses in the United States and its territories. We operated 1,050 and 1,013 retail optical locations as of June 30, 2018 and December 30, 2017, respectively, through our five store brands, America’s Best Contacts and Eyeglasses (“America’s Best”), Eyeglass World, Vista Optical locations on U.S. Army/Air Force military bases and within Fred Meyer stores, and our management and services arrangement with Walmart (“legacy”).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prepared the accompanying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30, 2017 has been derived from the audited consolidated balance sheet for the fiscal year then ended. These unaudited interim condensed consolidated financial statements reflect all normal and recurring adjustments which are, in the opinion of management, necessary to present fairly the Company’s consolidated financial position as of June 30, 2018, the consolidated results of operations and comprehensive income (loss) for the three and six months ended June 30, 2018 and July 1, 2017 and its statements of cash flows for the six months ended June 30, 2018 and July 1, 2017.</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information and disclosures normally included in our annual consolidated financial statements have been condensed or omitted; however, we believe that the disclosures included herein are adequate to make the information presented not misleading. These interim condensed consolidated financial statements should be read in conjunction with our audited consolidated financial statements and the notes thereto for the fiscal year ended December 30, 2017 included in the Company’s Annual Report on Form 10-K for fiscal year 2017 filed on March 8, 2018.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six months ended June 30, 2018, except for the adoption of Accounting Standards Update (“ASU”) No. 2014-09, Revenue from Contracts with Customers and ASU No. 2016-18, Restricted Cash. See “Adoption of New Accounting Pronouncements” below for further discussion.</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to stockholder’s equity associated with changes in unrealized gains and losses on cash flow hedging instruments, exercises of stock options, and the cumulative effect of adoption of ASU No. 2014-09 are discussed in Note 3. “Fair Value Measurements of Financial Assets and Liabilities,” Note 4. “Stock Incentive Plan,” and in Note 6. “Revenue from Contracts with Customers,” respectively.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2018 contains 52 weeks and will end on December 29, 2018. All three and six month periods presented herein contain 13 and 26 weeks, respectively. All references to years and quarters relate to fiscal periods rather than calendar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results of operations for the three and six months ended June 30, 2018 and July 1, 2017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fiscal quarter, and a lower portion of net revenue, income from operations, and cash flows from operations in the fourth fiscal quarter. The seasonally larger first quarter is attributable primarily to the timing of our customers’ personal income tax refunds and annual health insurance program start or reset periods. Seasonality related to fourth quarter holiday spending by retail customers generally does not impact our business. Our quarterly consolidated results can also be affected by the timing of new store openings, store closings, and certain holidays.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effective income tax rate (“ETR”) was 20.1% and (76.0)% and 18.4% and 36.9% during the three and six months ended June 30, 2018 and July 1, 2017, respectively. The ETR for the three and six months ended June 30, 2018 reflected the reduced federal statutory rate from 35% to 21% as part of the Tax Cuts and Jobs Act of 2017 (“Tax Legislation”), effective for tax years beginning on or after January 1, 2018. Our expected combined statutory federal and state rate was reduced 8.4% and 8.7% due to $1.4 million and $4.1 million of income tax benefit resulting from stock option exercises during the three and six months ended June 30, 2018, respectively. In comparison, the ETR of (76.0)% for the three months ended July 1, 2017, was due to a $0.5 million valuation allowance on deferred tax assets, as well as an adjustment to our estimated annual ETR. Our ETR for the six months ended July 1, 2017 decreased 5.7% as a result of a $1.4 million benefit associated with a dividend recapitalization bonus payment, partially offset by a $0.5 million valuation allowance on deferred tax assets, as well as an adjustment to our estimated annual ETR.</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SEC Staff Accounting Bulletin No. 118, Income Tax Accounting Implications of the Tax Legislation, the Company recognized provisional effects of the enactment of the Tax Legislation for which measurement could be reasonably estimated. Although we continue to analyze certain aspects of the Tax Legislation and refine our assessment, the ultimate impact of the legislation may differ from these estimates due to our continued analysis or further regulatory guidance that may be issued as a result of the legislation. Adjustments to the provisional amounts recorded by the Company as of December 30, 2017 that are identified within a subsequent measurement period of up to one year from the enactment date will be included as an adjustment to income tax expense in the period the amounts are determined. There were no adjustments to provisional amounts during the three and six months ended June 30, 2018.</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from Contracts with Customers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2014, the Financial Accounting Standards Board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No.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It also requires additional disclosure about the nature, amount, timing, and uncertainty of revenue and cash flows arising from customer contracts, including significant judgments and changes in judgments.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guidance, there is a five-step model to apply to revenue recognition, consisting of: (1) determination of whether a contract, an agreement between two or more parties that creates legally enforceable rights and obligations, exists; (2) identification of the performance obligations in the contract; (3) determination of the transaction price; (4) allocation of the transaction price to the performance obligations in the contract; and (5) recognition of revenue when (or as) the performance obligation is satisfied.</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adopted this new guidance in the first quarter of 2018 using the modified retrospective transition method. The adoption resulted in $14.0 million and $11.8 million decrease in current and non-current deferred revenue, respectively, for certain contracts where we satisfy performance obligations over time and a related $6.6 million increase in deferred income tax liability, resulting in a net $19.2 million increase to retained earnings on the condensed consolidated balance sheet as of December 31, 2017. Our results of operations for the reported periods after December 31, 2017 are presented under this amended guidance, while prior period amounts are not adjusted and continue to be reported in accordance with historical accounting guidance. Adoption of this new guidance did not result in significant changes to our accounting policies, business processes, systems or controls, or have a material impact on our results of operations and cash flows. The impact of adopting the amended guidance primarily relates to the timing of revenue recognition for our eyecare club memberships, which comprised approximately 3% of our consolidated net revenue during the most recent three fiscal years. See Note 6. “Revenue From Contracts with Customers” for additional information.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14"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Restricted Cash</w:t>
      </w:r>
      <w:r>
        <w:rPr>
          <w:rFonts w:ascii="Arial" w:cs="Arial" w:eastAsia="Arial" w:hAnsi="Arial"/>
          <w:sz w:val="17"/>
          <w:szCs w:val="17"/>
          <w:color w:val="auto"/>
        </w:rPr>
        <w:t>. This new guidance requires that a statement of cash flows explain the change during the period in the total of cash, cash equivalents, and amounts generally described as restricted cash or restricted cash equivalents. The Company adopted this new guidance during the first quarter of 2018 using full retrospective application to each period presented. The adoption of this new guidance did not have a material effect on the Company’s financial condition, results of operations, or cash flows.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w:t>
      </w:r>
      <w:r>
        <w:rPr>
          <w:rFonts w:ascii="Arial" w:cs="Arial" w:eastAsia="Arial" w:hAnsi="Arial"/>
          <w:sz w:val="16"/>
          <w:szCs w:val="16"/>
          <w:color w:val="252525"/>
        </w:rPr>
        <w:t>Disclosure of key information about leasing arrangements</w:t>
      </w:r>
      <w:r>
        <w:rPr>
          <w:rFonts w:ascii="Arial" w:cs="Arial" w:eastAsia="Arial" w:hAnsi="Arial"/>
          <w:sz w:val="16"/>
          <w:szCs w:val="16"/>
          <w:color w:val="auto"/>
        </w:rPr>
        <w:t xml:space="preserve"> </w:t>
      </w:r>
      <w:r>
        <w:rPr>
          <w:rFonts w:ascii="Arial" w:cs="Arial" w:eastAsia="Arial" w:hAnsi="Arial"/>
          <w:sz w:val="16"/>
          <w:szCs w:val="16"/>
          <w:color w:val="252525"/>
        </w:rPr>
        <w:t xml:space="preserve">will also be required. This new guidance is effective for fiscal years beginning after December 15, 2018, and interim reporting periods within that fiscal year. </w:t>
      </w:r>
      <w:r>
        <w:rPr>
          <w:rFonts w:ascii="Arial" w:cs="Arial" w:eastAsia="Arial" w:hAnsi="Arial"/>
          <w:sz w:val="16"/>
          <w:szCs w:val="16"/>
          <w:color w:val="000000"/>
        </w:rPr>
        <w:t xml:space="preserve">In July 2018, the FASB issued ASU 2018-11, “Leases: Targeted Improvements,” as an amendment to ASU 2016-02, “Leases,” which provides entities with an additional transition method to recognize a cumulative-effect adjustment to the opening balance of retained earnings in the period of adoption. We will adopt this new guidance in the first quarter of 2019. We have established a cross-functional team to evaluate and implement the new standard. </w:t>
      </w:r>
      <w:r>
        <w:rPr>
          <w:rFonts w:ascii="Arial" w:cs="Arial" w:eastAsia="Arial" w:hAnsi="Arial"/>
          <w:sz w:val="16"/>
          <w:szCs w:val="16"/>
          <w:color w:val="252525"/>
        </w:rPr>
        <w:t>We are in the</w:t>
      </w:r>
      <w:r>
        <w:rPr>
          <w:rFonts w:ascii="Arial" w:cs="Arial" w:eastAsia="Arial" w:hAnsi="Arial"/>
          <w:sz w:val="16"/>
          <w:szCs w:val="16"/>
          <w:color w:val="000000"/>
        </w:rPr>
        <w:t xml:space="preserve"> </w:t>
      </w:r>
      <w:r>
        <w:rPr>
          <w:rFonts w:ascii="Arial" w:cs="Arial" w:eastAsia="Arial" w:hAnsi="Arial"/>
          <w:sz w:val="16"/>
          <w:szCs w:val="16"/>
          <w:color w:val="252525"/>
        </w:rPr>
        <w:t xml:space="preserve">process of implementing changes to our systems and processes in conjunction with our review of lease agreements </w:t>
      </w:r>
      <w:r>
        <w:rPr>
          <w:rFonts w:ascii="Arial" w:cs="Arial" w:eastAsia="Arial" w:hAnsi="Arial"/>
          <w:sz w:val="16"/>
          <w:szCs w:val="16"/>
          <w:color w:val="000000"/>
        </w:rPr>
        <w:t>to support recognition and disclosure upon</w:t>
      </w:r>
      <w:r>
        <w:rPr>
          <w:rFonts w:ascii="Arial" w:cs="Arial" w:eastAsia="Arial" w:hAnsi="Arial"/>
          <w:sz w:val="16"/>
          <w:szCs w:val="16"/>
          <w:color w:val="252525"/>
        </w:rPr>
        <w:t xml:space="preserve"> </w:t>
      </w:r>
      <w:r>
        <w:rPr>
          <w:rFonts w:ascii="Arial" w:cs="Arial" w:eastAsia="Arial" w:hAnsi="Arial"/>
          <w:sz w:val="16"/>
          <w:szCs w:val="16"/>
          <w:color w:val="000000"/>
        </w:rPr>
        <w:t xml:space="preserve">adoption. </w:t>
      </w:r>
      <w:r>
        <w:rPr>
          <w:rFonts w:ascii="Arial" w:cs="Arial" w:eastAsia="Arial" w:hAnsi="Arial"/>
          <w:sz w:val="16"/>
          <w:szCs w:val="16"/>
          <w:color w:val="252525"/>
        </w:rPr>
        <w:t>We do not expect the adoption to have a significant impact on the recognition, measurement or presentation of lease expenses within our</w:t>
      </w:r>
      <w:r>
        <w:rPr>
          <w:rFonts w:ascii="Arial" w:cs="Arial" w:eastAsia="Arial" w:hAnsi="Arial"/>
          <w:sz w:val="16"/>
          <w:szCs w:val="16"/>
          <w:color w:val="000000"/>
        </w:rPr>
        <w:t xml:space="preserve"> </w:t>
      </w:r>
      <w:r>
        <w:rPr>
          <w:rFonts w:ascii="Arial" w:cs="Arial" w:eastAsia="Arial" w:hAnsi="Arial"/>
          <w:sz w:val="16"/>
          <w:szCs w:val="16"/>
          <w:color w:val="252525"/>
        </w:rPr>
        <w:t>consolidated statements of operations. While we continue to assess all potential impacts of the standard, we currently believe the most significant impact relates to recording lease assets and related liabilities on the condensed consolidated balance sheets.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740" w:type="dxa"/>
            <w:vAlign w:val="bottom"/>
          </w:tcPr>
          <w:p>
            <w:pPr>
              <w:jc w:val="center"/>
              <w:ind w:left="570"/>
              <w:spacing w:after="0"/>
              <w:rPr>
                <w:sz w:val="20"/>
                <w:szCs w:val="20"/>
                <w:color w:val="auto"/>
              </w:rPr>
            </w:pPr>
            <w:r>
              <w:rPr>
                <w:rFonts w:ascii="Arial" w:cs="Arial" w:eastAsia="Arial" w:hAnsi="Arial"/>
                <w:sz w:val="18"/>
                <w:szCs w:val="18"/>
                <w:color w:val="auto"/>
                <w:w w:val="97"/>
              </w:rPr>
              <w:t>As of</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92"/>
              </w:rPr>
              <w:t>As of</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tcPr>
          <w:p>
            <w:pPr>
              <w:jc w:val="center"/>
              <w:ind w:left="570"/>
              <w:spacing w:after="0"/>
              <w:rPr>
                <w:sz w:val="20"/>
                <w:szCs w:val="20"/>
                <w:color w:val="auto"/>
              </w:rPr>
            </w:pPr>
            <w:r>
              <w:rPr>
                <w:rFonts w:ascii="Arial" w:cs="Arial" w:eastAsia="Arial" w:hAnsi="Arial"/>
                <w:sz w:val="18"/>
                <w:szCs w:val="18"/>
                <w:color w:val="auto"/>
                <w:w w:val="87"/>
              </w:rPr>
              <w:t>June 30, 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89"/>
              </w:rPr>
              <w:t>December 30, 2017</w:t>
            </w:r>
          </w:p>
        </w:tc>
      </w:tr>
      <w:tr>
        <w:trPr>
          <w:trHeight w:val="27"/>
        </w:trPr>
        <w:tc>
          <w:tcPr>
            <w:tcW w:w="65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net:</w:t>
            </w:r>
          </w:p>
        </w:tc>
        <w:tc>
          <w:tcPr>
            <w:tcW w:w="1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32,619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28,862</w:t>
            </w:r>
          </w:p>
        </w:tc>
      </w:tr>
      <w:tr>
        <w:trPr>
          <w:trHeight w:val="27"/>
        </w:trPr>
        <w:tc>
          <w:tcPr>
            <w:tcW w:w="6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card receivables</w:t>
            </w:r>
          </w:p>
        </w:tc>
        <w:tc>
          <w:tcPr>
            <w:tcW w:w="1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Tenant improvement allowances receivable</w:t>
            </w:r>
          </w:p>
        </w:tc>
        <w:tc>
          <w:tcPr>
            <w:tcW w:w="17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4,890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4,794</w:t>
            </w:r>
          </w:p>
        </w:tc>
      </w:tr>
      <w:tr>
        <w:trPr>
          <w:trHeight w:val="27"/>
        </w:trPr>
        <w:tc>
          <w:tcPr>
            <w:tcW w:w="65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1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Allowance for uncollectible accounts</w:t>
            </w:r>
          </w:p>
        </w:tc>
        <w:tc>
          <w:tcPr>
            <w:tcW w:w="17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(3,858)</w:t>
            </w:r>
          </w:p>
        </w:tc>
      </w:tr>
      <w:tr>
        <w:trPr>
          <w:trHeight w:val="27"/>
        </w:trPr>
        <w:tc>
          <w:tcPr>
            <w:tcW w:w="65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45,075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6520" w:type="dxa"/>
            <w:vAlign w:val="bottom"/>
          </w:tcPr>
          <w:p>
            <w:pPr>
              <w:spacing w:after="0"/>
              <w:rPr>
                <w:sz w:val="24"/>
                <w:szCs w:val="24"/>
                <w:color w:val="auto"/>
              </w:rPr>
            </w:pPr>
          </w:p>
        </w:tc>
        <w:tc>
          <w:tcPr>
            <w:tcW w:w="1740" w:type="dxa"/>
            <w:vAlign w:val="bottom"/>
          </w:tcPr>
          <w:p>
            <w:pPr>
              <w:jc w:val="center"/>
              <w:ind w:left="570"/>
              <w:spacing w:after="0"/>
              <w:rPr>
                <w:sz w:val="20"/>
                <w:szCs w:val="20"/>
                <w:color w:val="auto"/>
              </w:rPr>
            </w:pPr>
            <w:r>
              <w:rPr>
                <w:rFonts w:ascii="Arial" w:cs="Arial" w:eastAsia="Arial" w:hAnsi="Arial"/>
                <w:sz w:val="18"/>
                <w:szCs w:val="18"/>
                <w:color w:val="auto"/>
                <w:w w:val="97"/>
              </w:rPr>
              <w:t>As of</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92"/>
              </w:rPr>
              <w:t>As of</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740" w:type="dxa"/>
            <w:vAlign w:val="bottom"/>
          </w:tcPr>
          <w:p>
            <w:pPr>
              <w:jc w:val="center"/>
              <w:ind w:left="570"/>
              <w:spacing w:after="0"/>
              <w:rPr>
                <w:sz w:val="20"/>
                <w:szCs w:val="20"/>
                <w:color w:val="auto"/>
              </w:rPr>
            </w:pPr>
            <w:r>
              <w:rPr>
                <w:rFonts w:ascii="Arial" w:cs="Arial" w:eastAsia="Arial" w:hAnsi="Arial"/>
                <w:sz w:val="18"/>
                <w:szCs w:val="18"/>
                <w:color w:val="auto"/>
                <w:w w:val="87"/>
              </w:rPr>
              <w:t>June 30, 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89"/>
              </w:rPr>
              <w:t>December 30, 2017</w:t>
            </w:r>
          </w:p>
        </w:tc>
      </w:tr>
      <w:tr>
        <w:trPr>
          <w:trHeight w:val="27"/>
        </w:trPr>
        <w:tc>
          <w:tcPr>
            <w:tcW w:w="65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17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5"/>
                <w:szCs w:val="25"/>
                <w:color w:val="auto"/>
                <w:vertAlign w:val="superscript"/>
              </w:rPr>
              <w:t>(1)</w:t>
            </w: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43,062</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43,953</w:t>
            </w: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17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51,847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47,198</w:t>
            </w:r>
          </w:p>
        </w:tc>
      </w:tr>
      <w:tr>
        <w:trPr>
          <w:trHeight w:val="237"/>
        </w:trPr>
        <w:tc>
          <w:tcPr>
            <w:tcW w:w="6520" w:type="dxa"/>
            <w:vAlign w:val="bottom"/>
          </w:tcPr>
          <w:p>
            <w:pPr>
              <w:spacing w:after="0"/>
              <w:rPr>
                <w:sz w:val="20"/>
                <w:szCs w:val="20"/>
                <w:color w:val="auto"/>
              </w:rPr>
            </w:pPr>
          </w:p>
        </w:tc>
        <w:tc>
          <w:tcPr>
            <w:tcW w:w="1740" w:type="dxa"/>
            <w:vAlign w:val="bottom"/>
            <w:tcBorders>
              <w:top w:val="single" w:sz="8" w:color="auto"/>
            </w:tcBorders>
          </w:tcPr>
          <w:p>
            <w:pPr>
              <w:jc w:val="right"/>
              <w:ind w:right="15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94,909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91,151</w:t>
            </w:r>
          </w:p>
        </w:tc>
      </w:tr>
      <w:tr>
        <w:trPr>
          <w:trHeight w:val="27"/>
        </w:trPr>
        <w:tc>
          <w:tcPr>
            <w:tcW w:w="65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660" w:hanging="328"/>
        <w:spacing w:after="0" w:line="273"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1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18"/>
                <w:szCs w:val="18"/>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92"/>
              </w:rPr>
              <w:t>As of</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20"/>
                <w:szCs w:val="20"/>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June 30, 2018</w:t>
            </w:r>
          </w:p>
        </w:tc>
        <w:tc>
          <w:tcPr>
            <w:tcW w:w="30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89"/>
              </w:rPr>
              <w:t>December 30, 2017</w:t>
            </w:r>
          </w:p>
        </w:tc>
      </w:tr>
      <w:tr>
        <w:trPr>
          <w:trHeight w:val="27"/>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Land and building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3,608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3,608</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238,707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220,088</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Furniture and fixtures</w:t>
            </w:r>
          </w:p>
        </w:tc>
        <w:tc>
          <w:tcPr>
            <w:tcW w:w="4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45,785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42,708</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155,369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4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27,557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18,375</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under capital leases</w:t>
            </w:r>
          </w:p>
        </w:tc>
        <w:tc>
          <w:tcPr>
            <w:tcW w:w="4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11,756</w:t>
            </w:r>
          </w:p>
        </w:tc>
      </w:tr>
      <w:tr>
        <w:trPr>
          <w:trHeight w:val="237"/>
        </w:trPr>
        <w:tc>
          <w:tcPr>
            <w:tcW w:w="65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505,772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451,904</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4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147,772</w:t>
            </w:r>
          </w:p>
        </w:tc>
      </w:tr>
      <w:tr>
        <w:trPr>
          <w:trHeight w:val="237"/>
        </w:trPr>
        <w:tc>
          <w:tcPr>
            <w:tcW w:w="65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328,035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304,132</w:t>
            </w: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398"/>
        </w:trPr>
        <w:tc>
          <w:tcPr>
            <w:tcW w:w="6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92"/>
              </w:rPr>
              <w:t>As of</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20"/>
                <w:szCs w:val="20"/>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June 30, 2018</w:t>
            </w:r>
          </w:p>
        </w:tc>
        <w:tc>
          <w:tcPr>
            <w:tcW w:w="30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89"/>
              </w:rPr>
              <w:t>December 30, 2017</w:t>
            </w:r>
          </w:p>
        </w:tc>
      </w:tr>
      <w:tr>
        <w:trPr>
          <w:trHeight w:val="27"/>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payables and 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Employee compensation and benefits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23,481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21,134</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Self-insurance reserves</w:t>
            </w:r>
          </w:p>
        </w:tc>
        <w:tc>
          <w:tcPr>
            <w:tcW w:w="4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6,793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6,854</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Reserves for customer returns and remakes</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9,264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10,782</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Legacy management and services agreement</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Deferred rental expenses</w:t>
            </w:r>
          </w:p>
        </w:tc>
        <w:tc>
          <w:tcPr>
            <w:tcW w:w="4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1,140</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Sales and use taxes</w:t>
            </w:r>
          </w:p>
        </w:tc>
        <w:tc>
          <w:tcPr>
            <w:tcW w:w="4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1,218</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Supplies and other store support expenses</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Litigation settlements</w:t>
            </w:r>
          </w:p>
        </w:tc>
        <w:tc>
          <w:tcPr>
            <w:tcW w:w="4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3,878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3,942</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w:t>
            </w:r>
          </w:p>
        </w:tc>
      </w:tr>
      <w:tr>
        <w:trPr>
          <w:trHeight w:val="237"/>
        </w:trPr>
        <w:tc>
          <w:tcPr>
            <w:tcW w:w="65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72,405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77,611</w:t>
            </w:r>
          </w:p>
        </w:tc>
      </w:tr>
      <w:tr>
        <w:trPr>
          <w:trHeight w:val="27"/>
        </w:trPr>
        <w:tc>
          <w:tcPr>
            <w:tcW w:w="6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398"/>
        </w:trPr>
        <w:tc>
          <w:tcPr>
            <w:tcW w:w="6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92"/>
              </w:rPr>
              <w:t>As of</w:t>
            </w: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20"/>
                <w:szCs w:val="20"/>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June 30, 2018</w:t>
            </w:r>
          </w:p>
        </w:tc>
        <w:tc>
          <w:tcPr>
            <w:tcW w:w="300" w:type="dxa"/>
            <w:vAlign w:val="bottom"/>
          </w:tcPr>
          <w:p>
            <w:pPr>
              <w:spacing w:after="0"/>
              <w:rPr>
                <w:sz w:val="20"/>
                <w:szCs w:val="20"/>
                <w:color w:val="auto"/>
              </w:rPr>
            </w:pPr>
          </w:p>
        </w:tc>
        <w:tc>
          <w:tcPr>
            <w:tcW w:w="2080" w:type="dxa"/>
            <w:vAlign w:val="bottom"/>
          </w:tcPr>
          <w:p>
            <w:pPr>
              <w:jc w:val="center"/>
              <w:ind w:right="210"/>
              <w:spacing w:after="0"/>
              <w:rPr>
                <w:sz w:val="20"/>
                <w:szCs w:val="20"/>
                <w:color w:val="auto"/>
              </w:rPr>
            </w:pPr>
            <w:r>
              <w:rPr>
                <w:rFonts w:ascii="Arial" w:cs="Arial" w:eastAsia="Arial" w:hAnsi="Arial"/>
                <w:sz w:val="18"/>
                <w:szCs w:val="18"/>
                <w:color w:val="auto"/>
                <w:w w:val="89"/>
              </w:rPr>
              <w:t>December 30, 2017</w:t>
            </w:r>
          </w:p>
        </w:tc>
      </w:tr>
      <w:tr>
        <w:trPr>
          <w:trHeight w:val="27"/>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9,155</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5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Tenant improvements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24,974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22,894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Deferred rental expenses</w:t>
            </w:r>
          </w:p>
        </w:tc>
        <w:tc>
          <w:tcPr>
            <w:tcW w:w="4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8,050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7,246</w:t>
            </w:r>
          </w:p>
        </w:tc>
      </w:tr>
      <w:tr>
        <w:trPr>
          <w:trHeight w:val="27"/>
        </w:trPr>
        <w:tc>
          <w:tcPr>
            <w:tcW w:w="6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Self-insurance reserves</w:t>
            </w:r>
          </w:p>
        </w:tc>
        <w:tc>
          <w:tcPr>
            <w:tcW w:w="4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2,185</w:t>
            </w:r>
          </w:p>
        </w:tc>
      </w:tr>
      <w:tr>
        <w:trPr>
          <w:trHeight w:val="27"/>
        </w:trPr>
        <w:tc>
          <w:tcPr>
            <w:tcW w:w="6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42,294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46,044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Obligations for tenant improvements are amortized as a reduction of rental expense over the respective lease term.</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of Financial Assets and Liabilities</w:t>
      </w: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280" w:hanging="110"/>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117" w:lineRule="exact"/>
        <w:rPr>
          <w:rFonts w:ascii="Arial" w:cs="Arial" w:eastAsia="Arial" w:hAnsi="Arial"/>
          <w:sz w:val="18"/>
          <w:szCs w:val="18"/>
          <w:color w:val="auto"/>
        </w:rPr>
      </w:pPr>
    </w:p>
    <w:p>
      <w:pPr>
        <w:jc w:val="both"/>
        <w:ind w:left="180" w:hanging="10"/>
        <w:spacing w:after="0" w:line="264" w:lineRule="auto"/>
        <w:tabs>
          <w:tab w:leader="none" w:pos="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jc w:val="both"/>
        <w:ind w:left="180" w:hanging="10"/>
        <w:spacing w:after="0" w:line="264" w:lineRule="auto"/>
        <w:tabs>
          <w:tab w:leader="none" w:pos="29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cash and cash equivalents approximates fair value due to the short 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related allowances for doubtful accounts.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Credit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under our first lien credit agreement are traded in private markets on a less-than-daily basis. Fair value is based on the average of trading prices and bid/ask quotes around period-end (Level 2 inputs). The estimated fair values of our first lien term loans were $567.7 million and $570.2 million as of June 30, 2018 and December 30, 2017, respectively, compared to carrying values of $555.3 million and $557.3 million, respectively, which includes the current portion, and is net of unamortized discounts and deferred debt issuance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Capital Leases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capital lease obligations is based on estimated future contractual cash flows discounted at an appropriate market rate of interest (Level 2 inputs). The estimated fair values of our capital leases were $22.9 million and $14.0 million as of June 30, 2018 and December 30, 2017, respectively, compared to carrying values of $19.0 million and $12.0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of Financial Assets and Liabilities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lien credit agreement. Changes in the cash flows of each derivative have historically been and are expected to be highly effective in offsetting the changes in interest payments on a principal balance equal to the derivative’s notional amount, attributable to the hedged risk. During the three months ended March 31, 2018, in accordance with the original agreements with the counterparties, the notional amount of the first derivative decreased from $175 million to $140 million. There were no other changes in the terms of the arrangements. The change in notional amount did not impact the results of our assessment of effectiveness as of June 30, 2018.</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as assets or liabilities at fair value the estimated amounts we would receive or pay upon a termination of interest rate swaps prior to their scheduled expiration dates. Fair value is based on information that is model-driven and whose inputs are observable (Level 2 inputs). As of June 30, 2018, the Company expects to reclassify $3.0 million, net of tax, of accumulated other comprehensive loss (“AOCL”) into earnings in the next 12 months. See Note 10. “Accumulated Other Comprehensive Loss” for further details.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cash flow hedge position related to interest rate derivative contracts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Other Payables and</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2"/>
                <w:szCs w:val="22"/>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Notional Amount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Final Maturity Date</w:t>
            </w:r>
          </w:p>
        </w:tc>
        <w:tc>
          <w:tcPr>
            <w:tcW w:w="140" w:type="dxa"/>
            <w:vAlign w:val="bottom"/>
          </w:tcPr>
          <w:p>
            <w:pPr>
              <w:spacing w:after="0"/>
              <w:rPr>
                <w:sz w:val="22"/>
                <w:szCs w:val="22"/>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Accrued Expenses</w:t>
            </w:r>
          </w:p>
        </w:tc>
        <w:tc>
          <w:tcPr>
            <w:tcW w:w="200" w:type="dxa"/>
            <w:vAlign w:val="bottom"/>
          </w:tcPr>
          <w:p>
            <w:pPr>
              <w:spacing w:after="0"/>
              <w:rPr>
                <w:sz w:val="22"/>
                <w:szCs w:val="22"/>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rPr>
              <w:t>Other Liabilities</w:t>
            </w:r>
          </w:p>
        </w:tc>
        <w:tc>
          <w:tcPr>
            <w:tcW w:w="1700" w:type="dxa"/>
            <w:vAlign w:val="bottom"/>
            <w:gridSpan w:val="2"/>
          </w:tcPr>
          <w:p>
            <w:pPr>
              <w:jc w:val="right"/>
              <w:spacing w:after="0" w:line="257" w:lineRule="exact"/>
              <w:rPr>
                <w:sz w:val="20"/>
                <w:szCs w:val="20"/>
                <w:color w:val="auto"/>
              </w:rPr>
            </w:pPr>
            <w:r>
              <w:rPr>
                <w:rFonts w:ascii="Arial" w:cs="Arial" w:eastAsia="Arial" w:hAnsi="Arial"/>
                <w:sz w:val="18"/>
                <w:szCs w:val="18"/>
                <w:color w:val="auto"/>
                <w:w w:val="95"/>
              </w:rPr>
              <w:t xml:space="preserve">AOCL, Net of Tax </w:t>
            </w:r>
            <w:r>
              <w:rPr>
                <w:rFonts w:ascii="Arial" w:cs="Arial" w:eastAsia="Arial" w:hAnsi="Arial"/>
                <w:sz w:val="25"/>
                <w:szCs w:val="25"/>
                <w:color w:val="auto"/>
                <w:w w:val="95"/>
                <w:vertAlign w:val="superscript"/>
              </w:rPr>
              <w:t>(1)</w:t>
            </w:r>
          </w:p>
        </w:tc>
      </w:tr>
      <w:tr>
        <w:trPr>
          <w:trHeight w:val="209"/>
        </w:trPr>
        <w:tc>
          <w:tcPr>
            <w:tcW w:w="24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As of</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7"/>
        </w:trPr>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June 30,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465,000</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2,746</w:t>
            </w:r>
          </w:p>
        </w:tc>
      </w:tr>
      <w:tr>
        <w:trPr>
          <w:trHeight w:val="229"/>
        </w:trPr>
        <w:tc>
          <w:tcPr>
            <w:tcW w:w="2420" w:type="dxa"/>
            <w:vAlign w:val="bottom"/>
          </w:tcPr>
          <w:p>
            <w:pPr>
              <w:jc w:val="center"/>
              <w:spacing w:after="0"/>
              <w:rPr>
                <w:sz w:val="20"/>
                <w:szCs w:val="20"/>
                <w:color w:val="auto"/>
              </w:rPr>
            </w:pPr>
            <w:r>
              <w:rPr>
                <w:rFonts w:ascii="Arial" w:cs="Arial" w:eastAsia="Arial" w:hAnsi="Arial"/>
                <w:sz w:val="18"/>
                <w:szCs w:val="18"/>
                <w:color w:val="auto"/>
                <w:w w:val="92"/>
              </w:rPr>
              <w:t>As of</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420" w:type="dxa"/>
            <w:vAlign w:val="bottom"/>
          </w:tcPr>
          <w:p>
            <w:pPr>
              <w:jc w:val="center"/>
              <w:spacing w:after="0"/>
              <w:rPr>
                <w:sz w:val="20"/>
                <w:szCs w:val="20"/>
                <w:color w:val="auto"/>
              </w:rPr>
            </w:pPr>
            <w:r>
              <w:rPr>
                <w:rFonts w:ascii="Arial" w:cs="Arial" w:eastAsia="Arial" w:hAnsi="Arial"/>
                <w:sz w:val="18"/>
                <w:szCs w:val="18"/>
                <w:color w:val="auto"/>
                <w:w w:val="89"/>
              </w:rPr>
              <w:t>December 30, 2017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2021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6,969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9,155</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9,868</w:t>
            </w:r>
          </w:p>
        </w:tc>
      </w:tr>
    </w:tbl>
    <w:p>
      <w:pPr>
        <w:spacing w:after="0" w:line="116" w:lineRule="exact"/>
        <w:rPr>
          <w:sz w:val="20"/>
          <w:szCs w:val="20"/>
          <w:color w:val="auto"/>
        </w:rPr>
      </w:pPr>
    </w:p>
    <w:p>
      <w:pPr>
        <w:ind w:left="660" w:hanging="328"/>
        <w:spacing w:after="0"/>
        <w:tabs>
          <w:tab w:leader="none" w:pos="660" w:val="left"/>
        </w:tabs>
        <w:numPr>
          <w:ilvl w:val="1"/>
          <w:numId w:val="8"/>
        </w:numPr>
        <w:rPr>
          <w:rFonts w:ascii="Arial" w:cs="Arial" w:eastAsia="Arial" w:hAnsi="Arial"/>
          <w:sz w:val="14"/>
          <w:szCs w:val="14"/>
          <w:color w:val="auto"/>
        </w:rPr>
      </w:pPr>
      <w:r>
        <w:rPr>
          <w:rFonts w:ascii="Arial" w:cs="Arial" w:eastAsia="Arial" w:hAnsi="Arial"/>
          <w:sz w:val="14"/>
          <w:szCs w:val="14"/>
          <w:color w:val="auto"/>
        </w:rPr>
        <w:t>Includes stranded tax benefit of $2.1 million within AOCL from adopting provisions of the Tax Legislation of 2017 during the year ended December 30, 2017.</w:t>
      </w:r>
    </w:p>
    <w:p>
      <w:pPr>
        <w:spacing w:after="0" w:line="109" w:lineRule="exact"/>
        <w:rPr>
          <w:rFonts w:ascii="Arial" w:cs="Arial" w:eastAsia="Arial" w:hAnsi="Arial"/>
          <w:sz w:val="14"/>
          <w:szCs w:val="14"/>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Incentive Plan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reserved an aggregate of 10,988,827 shares of our common stock for issuance under our 2014 Stock Incentive Plan. As of June 30, 2018, 421,983 shares remained available for future grants.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a roll-forward of stock options for the six months ended June 30, 2018: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Options issued and outstanding</w:t>
            </w:r>
          </w:p>
        </w:tc>
        <w:tc>
          <w:tcPr>
            <w:tcW w:w="1720" w:type="dxa"/>
            <w:vAlign w:val="bottom"/>
            <w:gridSpan w:val="2"/>
          </w:tcPr>
          <w:p>
            <w:pPr>
              <w:ind w:left="380"/>
              <w:spacing w:after="0"/>
              <w:rPr>
                <w:sz w:val="20"/>
                <w:szCs w:val="20"/>
                <w:color w:val="auto"/>
              </w:rPr>
            </w:pPr>
            <w:r>
              <w:rPr>
                <w:rFonts w:ascii="Arial" w:cs="Arial" w:eastAsia="Arial" w:hAnsi="Arial"/>
                <w:sz w:val="18"/>
                <w:szCs w:val="18"/>
                <w:color w:val="auto"/>
              </w:rPr>
              <w:t xml:space="preserve">Rollover </w:t>
            </w:r>
            <w:r>
              <w:rPr>
                <w:rFonts w:ascii="Arial" w:cs="Arial" w:eastAsia="Arial" w:hAnsi="Arial"/>
                <w:sz w:val="25"/>
                <w:szCs w:val="25"/>
                <w:color w:val="auto"/>
                <w:vertAlign w:val="superscript"/>
              </w:rPr>
              <w:t>(1)</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Service-Based</w:t>
            </w:r>
          </w:p>
        </w:tc>
        <w:tc>
          <w:tcPr>
            <w:tcW w:w="1680" w:type="dxa"/>
            <w:vAlign w:val="bottom"/>
            <w:gridSpan w:val="2"/>
          </w:tcPr>
          <w:p>
            <w:pPr>
              <w:ind w:left="80"/>
              <w:spacing w:after="0"/>
              <w:rPr>
                <w:sz w:val="20"/>
                <w:szCs w:val="20"/>
                <w:color w:val="auto"/>
              </w:rPr>
            </w:pPr>
            <w:r>
              <w:rPr>
                <w:rFonts w:ascii="Arial" w:cs="Arial" w:eastAsia="Arial" w:hAnsi="Arial"/>
                <w:sz w:val="18"/>
                <w:szCs w:val="18"/>
                <w:color w:val="auto"/>
                <w:w w:val="98"/>
              </w:rPr>
              <w:t>Performance-Based</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44"/>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30, 2017</w:t>
            </w:r>
          </w:p>
        </w:tc>
        <w:tc>
          <w:tcPr>
            <w:tcW w:w="1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3,822,915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6,524,152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10,516,116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(38,490)</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(661,663)</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(700,153)</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(61,641)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(290,890)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(352,531)</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June 30, 2018</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130,559</w:t>
            </w:r>
          </w:p>
        </w:tc>
        <w:tc>
          <w:tcPr>
            <w:tcW w:w="120" w:type="dxa"/>
            <w:vAlign w:val="bottom"/>
            <w:tcBorders>
              <w:bottom w:val="single" w:sz="8" w:color="CCEEFF"/>
            </w:tcBorders>
          </w:tcPr>
          <w:p>
            <w:pPr>
              <w:spacing w:after="0"/>
              <w:rPr>
                <w:sz w:val="24"/>
                <w:szCs w:val="24"/>
                <w:color w:val="auto"/>
              </w:rPr>
            </w:pP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3,099,611</w:t>
            </w:r>
          </w:p>
        </w:tc>
        <w:tc>
          <w:tcPr>
            <w:tcW w:w="12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6,233,262</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9,463,432</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vested and exercisable</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December 30, 2017</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169,049</w:t>
            </w:r>
          </w:p>
        </w:tc>
        <w:tc>
          <w:tcPr>
            <w:tcW w:w="120" w:type="dxa"/>
            <w:vAlign w:val="bottom"/>
          </w:tcPr>
          <w:p>
            <w:pPr>
              <w:spacing w:after="0"/>
              <w:rPr>
                <w:sz w:val="21"/>
                <w:szCs w:val="21"/>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1,631,023</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43,478</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1,843,550</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718,856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718,856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spacing w:after="0"/>
              <w:rPr>
                <w:sz w:val="20"/>
                <w:szCs w:val="20"/>
                <w:color w:val="auto"/>
              </w:rPr>
            </w:pPr>
            <w:r>
              <w:rPr>
                <w:rFonts w:ascii="Arial" w:cs="Arial" w:eastAsia="Arial" w:hAnsi="Arial"/>
                <w:sz w:val="18"/>
                <w:szCs w:val="18"/>
                <w:color w:val="auto"/>
              </w:rPr>
              <w:t>(38,490)</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(661,663)</w:t>
            </w:r>
          </w:p>
        </w:tc>
        <w:tc>
          <w:tcPr>
            <w:tcW w:w="12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(700,153)</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Balance, June 30, 2018</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130,559</w:t>
            </w:r>
          </w:p>
        </w:tc>
        <w:tc>
          <w:tcPr>
            <w:tcW w:w="12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1,683,668</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43,478</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1,857,705</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options under the Vision Holding Corp. Amended and Restated 2013 Equity Incentive Plan</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June 30, 2018, rollover and service-based options were exercised at a weighted average price of $5.04, for a total intrinsic value of $19.6 million. The Company recorded an income tax benefit of $4.1 million in the condensed consolidated statement of operations related to these exercises.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Incentive Plan (continued)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Compensation expense associated with service-based stock options is presented in selling, general, and administrative expenses (“SG&amp;A”) in the accompanying condensed consolidated statements of operations. The Company granted 217,390 performance based stock options to one of our named executive officers that vest as a result of certain profitability targets for fiscal years 2017 to 2021. Those targets were met for fiscal year 2017, resulting in vesting of 20 percent of those performance-based options as presented in the table above. Vesting of all other performance-based options is conditional upon the achievement by affiliates of Kohlberg Kravis &amp; Co. L.P. (“KKR Sponsor”), with respect to its investment in NVHI, of both a minimum internal rate of return and a minimum multiple of invested capital and then increases proportionally as the multiple of invested capital increases up to a defined target.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See Note 11. “Subsequent Events,” for details regarding the secondary offering of common stock completed following the second quarter.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Omnibus Incentive Plan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reserved an aggregate of 4,000,000 shares of our common stock for issuance under our 2017 Omnibus Incentive Plan. As of June 30, 2018, there were equity awards representing 177,678 restricted stock units and 92,443 stock options issued and outstanding, and 3,729,879 shares available for future grants. There was no material activity under the 2017 Omnibus Incentive Plan for the six months ended June 30, 2018.</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With Equity Sponsors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recorded the following fees paid to equity sponsors, which are presented in SG&amp;A in the accompanying condensed consolidated statement of operations, except for $2.3 million in KKR Sponsor fees during the six months ended July 1, 2017, which are presented in debt issuance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3360" w:type="dxa"/>
            <w:vAlign w:val="bottom"/>
            <w:gridSpan w:val="4"/>
          </w:tcPr>
          <w:p>
            <w:pPr>
              <w:jc w:val="right"/>
              <w:ind w:right="61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00" w:type="dxa"/>
            <w:vAlign w:val="bottom"/>
            <w:gridSpan w:val="4"/>
          </w:tcPr>
          <w:p>
            <w:pPr>
              <w:jc w:val="right"/>
              <w:ind w:right="1110"/>
              <w:spacing w:after="0"/>
              <w:rPr>
                <w:sz w:val="20"/>
                <w:szCs w:val="20"/>
                <w:color w:val="auto"/>
              </w:rPr>
            </w:pPr>
            <w:r>
              <w:rPr>
                <w:rFonts w:ascii="Arial" w:cs="Arial" w:eastAsia="Arial" w:hAnsi="Arial"/>
                <w:sz w:val="18"/>
                <w:szCs w:val="18"/>
                <w:color w:val="auto"/>
              </w:rPr>
              <w:t>Six Months Ended</w:t>
            </w:r>
          </w:p>
        </w:tc>
      </w:tr>
      <w:tr>
        <w:trPr>
          <w:trHeight w:val="27"/>
        </w:trPr>
        <w:tc>
          <w:tcPr>
            <w:tcW w:w="37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Pr>
          <w:p>
            <w:pPr>
              <w:jc w:val="right"/>
              <w:spacing w:after="0"/>
              <w:rPr>
                <w:sz w:val="20"/>
                <w:szCs w:val="20"/>
                <w:color w:val="auto"/>
              </w:rPr>
            </w:pPr>
            <w:r>
              <w:rPr>
                <w:rFonts w:ascii="Arial" w:cs="Arial" w:eastAsia="Arial" w:hAnsi="Arial"/>
                <w:sz w:val="18"/>
                <w:szCs w:val="18"/>
                <w:color w:val="auto"/>
              </w:rPr>
              <w:t>June 30, 2018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July 1, 2017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rPr>
              <w:t>June 30, 2018</w:t>
            </w:r>
          </w:p>
        </w:tc>
        <w:tc>
          <w:tcPr>
            <w:tcW w:w="280" w:type="dxa"/>
            <w:vAlign w:val="bottom"/>
          </w:tcPr>
          <w:p>
            <w:pPr>
              <w:spacing w:after="0"/>
              <w:rPr>
                <w:sz w:val="20"/>
                <w:szCs w:val="20"/>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July 1, 2017</w:t>
            </w:r>
          </w:p>
        </w:tc>
      </w:tr>
      <w:tr>
        <w:trPr>
          <w:trHeight w:val="27"/>
        </w:trPr>
        <w:tc>
          <w:tcPr>
            <w:tcW w:w="37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KKR Sponsor</w:t>
            </w:r>
          </w:p>
        </w:tc>
        <w:tc>
          <w:tcPr>
            <w:tcW w:w="1500" w:type="dxa"/>
            <w:vAlign w:val="bottom"/>
            <w:tcBorders>
              <w:bottom w:val="single" w:sz="8" w:color="CCEEFF"/>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2,773</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Berkshire Partners LLC</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9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104</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Assets of Non-Consolidated Investee</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an investment in a private start-up company whose principal business is licensing software to eyeglass retailers. Under the equity method of accounting we are required to record our interest in the investee’s reported net income or loss for each reporting period, which is presented in other expense, net in the Company’s condensed consolidated statements of operations. Our interest in the investee’s net losses was $0.4 million and $0.6 million for the three and six months ended June 30, 2018 and $0.2 million and $0.3 million for the three and six months ended July 1, 2017, respectively. After adjusting our investment for our interest in the investee’s reported net losses, our investment balance in the business was $1.8 million and $2.3 million as of June 30, 2018 and December 30, 2017, respectively, which is included in other assets in the accompanying condensed consolidated balance sheets.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are a licensee of our investee. We recorded licensing fees in SG&amp;A in the accompanying condensed consolidated statements of operations in the amount of $0.2 million during the six months ended June 30, 2018 and $0.2 million and $0.5 million during the three and six months ended July 1, 2017, respectively. Additionally, on August 29, 2017, the investee issued a secured convertible promissory note to the Company, in the principal amount of $1.5 million, due on August 29, 2020. Interest income associated with the note was immaterial for the three and six months ended June 30,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performance obligation is a promise in a contract to transfer a distinct good or service to a customer, and is the unit of account under ASU 2014-09, codified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 discussed in Note 1, we adopted ASC 606 in the first quarter of fiscal year 2018 using the modified retrospective transition method. All of our revenue is derived from contracts with customers and is reported as net revenue in the condensed consolidated statements of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200" w:lineRule="exact"/>
        <w:rPr>
          <w:sz w:val="20"/>
          <w:szCs w:val="20"/>
          <w:color w:val="auto"/>
        </w:rPr>
      </w:pPr>
    </w:p>
    <w:p>
      <w:pPr>
        <w:spacing w:after="0" w:line="3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recognize revenue from the products and services we provide in accordance with the five-step process outlined in ASC 606. We recognize revenue when we satisfy a performance obligation by transferring control of a product or service to a customer in an amount that reflects the consideration that we expect to receive. This revenue can be recognized at a point in time or over time. We invoice customers based on our contractual arrangements with each customer, which may not be consistent with the period that revenues are recognized. When there is a timing difference</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between when we invoice customers and when revenues are recognized, we record either a contract asset (accounts receivable) or a contract liability (deferred revenue or unearned revenue), as appropriate. See further discussion related to contract assets and liabilities below.</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majority of our revenue arrangements generally consist of a single performance obligation to transfer promised goods or services. Based on our evaluation process and review of our contracts with customers, in most circumstances the timing and amount of revenue recognized under the new guidance is consistent with our past revenue recognition policy. The majority of our annual revenues are recognized either at the point of sale or upon delivery and customer acceptance, paid for at the time of sale in cash, credit card, or on account with health care plans and programs located throughout the United States (“managed care”) having terms generally between 14 and 120 days, with most paying within 90 days. Revenues recognized over time primarily include product protection plans, eyecare club memberships and management fees earned from our legacy partner.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Refer to Note 8 for the Company’s disaggregation of net revenue by reportable segment. As the reportable segments are aligned by similar economic factors, trends and customers, this disaggregation view best depicts how the nature, amount, and uncertainty of revenue and cash flows are affected by economic factors. The following disaggregation of revenues depicts our revenues based on the timing of revenue recognition.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Disaggregation of Revenues: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72"/>
        </w:trPr>
        <w:tc>
          <w:tcPr>
            <w:tcW w:w="7900" w:type="dxa"/>
            <w:vAlign w:val="bottom"/>
          </w:tcPr>
          <w:p>
            <w:pPr>
              <w:spacing w:after="0"/>
              <w:rPr>
                <w:sz w:val="24"/>
                <w:szCs w:val="24"/>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24"/>
                <w:szCs w:val="24"/>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w w:val="93"/>
              </w:rPr>
              <w:t>Six Months Ended</w:t>
            </w: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June 30, 2018</w:t>
            </w:r>
          </w:p>
        </w:tc>
        <w:tc>
          <w:tcPr>
            <w:tcW w:w="140" w:type="dxa"/>
            <w:vAlign w:val="bottom"/>
          </w:tcPr>
          <w:p>
            <w:pPr>
              <w:spacing w:after="0"/>
              <w:rPr>
                <w:sz w:val="20"/>
                <w:szCs w:val="20"/>
                <w:color w:val="auto"/>
              </w:rPr>
            </w:pPr>
          </w:p>
        </w:tc>
        <w:tc>
          <w:tcPr>
            <w:tcW w:w="1560" w:type="dxa"/>
            <w:vAlign w:val="bottom"/>
          </w:tcPr>
          <w:p>
            <w:pPr>
              <w:jc w:val="right"/>
              <w:ind w:right="250"/>
              <w:spacing w:after="0"/>
              <w:rPr>
                <w:sz w:val="20"/>
                <w:szCs w:val="20"/>
                <w:color w:val="auto"/>
              </w:rPr>
            </w:pPr>
            <w:r>
              <w:rPr>
                <w:rFonts w:ascii="Arial" w:cs="Arial" w:eastAsia="Arial" w:hAnsi="Arial"/>
                <w:sz w:val="18"/>
                <w:szCs w:val="18"/>
                <w:color w:val="auto"/>
              </w:rPr>
              <w:t>June 30, 2018</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recognized at a point in time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723,110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Revenues recognized over time</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35,187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70,397</w:t>
            </w: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385,532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793,507</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at a Point in Time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revenues include 1) retail sales of prescription and non-prescription eyewear, contact lenses, and related accessories to retail customers (including those covered by managed care), 2) eye exams and 3) wholesale sales of inventory in which our customer is another retail entity.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owned &amp; host segment, product revenues include sales of prescription and non-prescription eyewear, contact lenses and related accessories to retail customers.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sales of in-store non-prescription eyewear and related accessories, we recognize revenue at the point of sale. For sales of prescription eyewear, we recognize revenue when the performance obligations identified under the terms of contracts with our customers are satisfied, which generally occurs, for products, when those products have been delivered and accepted by our customers.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net of sales taxes and returns. The returns allowance is based on historical return patterns. Provisions for estimated returns are established and the expected costs continue to be recognized as contra-revenue per ASC 606 when the products are sold.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America’s Best brand, our lead offer is two pairs of eyeglasses and a free eye exam for one low price (“two-pair deal”). Since an eye exam is a key component in the ability for acceptable prescription eyewear to be delivered to a customer, we concluded that the eye exam service, while capable of being distinct from the eyeglass product delivery, was not distinct in the context of the two-pair deal. As a result, we do not allocate revenue to the eye exam associated with the two-pair deal, and we record all revenue associated with the offer in owned &amp; host net product sales when the customer has received and accepted the merchandise.</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Within our owned &amp; host segment services and plans revenues, eye exam services sold on a stand-alone basis are also recognized at the point of sale which occurs immediately after the exam is performed.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our legacy segment, product revenues include 1) sales of prescription and non-prescription eyewear, contact lenses and related accessories to retail customers in transactions where the retail customer uses a managed-care payor, and 2) wholesale sales of the same inventory types to the legacy partner.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for the retail sales are identical to similar sales in the owned &amp; host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Wholesale sales of inventory to the legacy partner are recognized at the point in time when control of the inventory has been transferred in accordance with the contractual terms and conditions of sale. Since the wholesale sales of inventory to the legacy partner are a separate performance obligation in our management and services agreement with the legacy partner, we considered the appropriate allocation of consideration to wholesale inventory sales. We concluded that the difference between the stand-alone-selling price of the wholesale inventory and the contractual prices was not material.</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our legacy segment services and plans revenues, eye exam services sold to retail customers covered by a managed care payor are recognized identically to similar sales in the owned &amp; host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Corporate/Other</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from our non-reportable corporate/other segment are attributable to wholly owned subsidiaries Arlington Contact Lens Services, Inc. (“AC Lens”) and FirstSight Vision Services, Inc. (“FirstSight”). AC Lens sells contact lenses and optical accessory products to retail customers through e-commerce. AC Lens also distributes contact lenses to Walmart and Sam’s Club under fee for services arrangements, reports revenue on a gross basis and is the principal in the arrangement since AC Lens controls the products in those transactions before the products are transferred to the customer. FirstSight issues individual vision care benefit plans in connection with our America’s Best operations in California, and provides or arranges for the provision of optometric services at certain optometric offices next to Walmart and Sam’s Club stores in California.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Recognized Over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Owned &amp; Host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our owned &amp; host segment, services and plans revenues include revenues from product protection plans (i.e. warranties), eyecare club memberships and HMO membership fees. We offer extended warranty plans in our owned &amp; host segment that generally provide for repair and replacement of eyeglasses for primarily a one-year term after purchase. We recognize service revenue under these programs on a straight-line basis over the warranty or service period which is consistent with our efforts expended to satisfy the obligation. Amounts collected in advance for these programs are reported as deferred revenue in the accompanying condensed consolidated balance sheets.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offer three- and five-year eyecare club memberships in our owned &amp; host segment to our contact lens customers. For these plans we apply the guidance in ASC 606 to a portfolio of contracts with similar characteristics. We use estimates and assumptions when accounting for a portfolio that reflect the size and composition of the portfolio of contracts. We selected the portfolio approach because our historical club membership data demonstrated that our club customers behave similarly, such that the difference between the portfolio approach and applying ASC 606 to each contract is not material. We recognize revenue across the contract portfolio based on the value delivered to the customers relative to the remaining services promised under the membership program. We determine the value delivered based on the expected timing and amount of customer usage of eyecare club benefits over the terms of the contracts. Under previous guidance, we recognized revenue for eyecare club memberships on a ratable basis over the service period. Under the new guidance the timing of revenue for three- and five-year eyecare club memberships will be accelerated when compared to straight-line amortization. This change is not expected to have a significant impact on our ongoing consolidated results of operations. The cumulative effect and the impact on revenues is described in the impact section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Sales of services and plans in our legacy segment include fees earned for managing the operations of our legacy partner. These fees are recorded on a net basis and are based primarily on sales of products and product protection plans to non-managed care customers. We determined that under the terms of the arrangement our legacy partner controls the products and services in the transaction with the retail customer and therefore we act as the agent in those transactions. We recognize this service revenue using the “right to invoice” method allowed under ASC 606 because our right to payment corresponds directly with the value of the management services provided to our legacy partner.</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Condensed Consolidated Financial Statements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cumulative effect of adoption of ASC 606 on the Company’s condensed consolidated balance sheet as of June 30, 2018, which reflects the change in timing of revenue recognition relating to eyecare club memberships.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color w:val="auto"/>
              </w:rPr>
              <w:t>With ASC 606 Adoption</w:t>
            </w:r>
          </w:p>
        </w:tc>
        <w:tc>
          <w:tcPr>
            <w:tcW w:w="2260" w:type="dxa"/>
            <w:vAlign w:val="bottom"/>
            <w:gridSpan w:val="3"/>
          </w:tcPr>
          <w:p>
            <w:pPr>
              <w:ind w:left="60"/>
              <w:spacing w:after="0"/>
              <w:rPr>
                <w:sz w:val="20"/>
                <w:szCs w:val="20"/>
                <w:color w:val="auto"/>
              </w:rPr>
            </w:pPr>
            <w:r>
              <w:rPr>
                <w:rFonts w:ascii="Arial" w:cs="Arial" w:eastAsia="Arial" w:hAnsi="Arial"/>
                <w:sz w:val="18"/>
                <w:szCs w:val="18"/>
                <w:color w:val="auto"/>
              </w:rPr>
              <w:t>Without ASC 606 Adoption</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Impact of Adoption</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53,221</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68,572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(15,351)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189,264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204,615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91,235</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84,281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6,954</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154,025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94,296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729,587</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709,398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20,189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adoption on the Company’s condensed consolidated statement of operations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2018:</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earnings per share</w:t>
            </w:r>
          </w:p>
        </w:tc>
        <w:tc>
          <w:tcPr>
            <w:tcW w:w="160" w:type="dxa"/>
            <w:vAlign w:val="bottom"/>
          </w:tcPr>
          <w:p>
            <w:pPr>
              <w:spacing w:after="0"/>
              <w:rPr>
                <w:sz w:val="20"/>
                <w:szCs w:val="20"/>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color w:val="auto"/>
              </w:rPr>
              <w:t>With ASC 606 Adoption</w:t>
            </w:r>
          </w:p>
        </w:tc>
        <w:tc>
          <w:tcPr>
            <w:tcW w:w="2260" w:type="dxa"/>
            <w:vAlign w:val="bottom"/>
            <w:gridSpan w:val="3"/>
          </w:tcPr>
          <w:p>
            <w:pPr>
              <w:ind w:left="60"/>
              <w:spacing w:after="0"/>
              <w:rPr>
                <w:sz w:val="20"/>
                <w:szCs w:val="20"/>
                <w:color w:val="auto"/>
              </w:rPr>
            </w:pPr>
            <w:r>
              <w:rPr>
                <w:rFonts w:ascii="Arial" w:cs="Arial" w:eastAsia="Arial" w:hAnsi="Arial"/>
                <w:sz w:val="18"/>
                <w:szCs w:val="18"/>
                <w:color w:val="auto"/>
              </w:rPr>
              <w:t>Without ASC 606 Adoption</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Impact of Adoption</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of services and plans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65,576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385,532</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384,984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548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16,369</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15,821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548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13,077</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12,669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impact of adoption on the Company’s condensed consolidated statement of operation for the six months ended June 30, 2018: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earnings per share</w:t>
            </w:r>
          </w:p>
        </w:tc>
        <w:tc>
          <w:tcPr>
            <w:tcW w:w="160" w:type="dxa"/>
            <w:vAlign w:val="bottom"/>
          </w:tcPr>
          <w:p>
            <w:pPr>
              <w:spacing w:after="0"/>
              <w:rPr>
                <w:sz w:val="20"/>
                <w:szCs w:val="20"/>
                <w:color w:val="auto"/>
              </w:rPr>
            </w:pPr>
          </w:p>
        </w:tc>
        <w:tc>
          <w:tcPr>
            <w:tcW w:w="2140" w:type="dxa"/>
            <w:vAlign w:val="bottom"/>
            <w:gridSpan w:val="2"/>
          </w:tcPr>
          <w:p>
            <w:pPr>
              <w:ind w:left="40"/>
              <w:spacing w:after="0"/>
              <w:rPr>
                <w:sz w:val="20"/>
                <w:szCs w:val="20"/>
                <w:color w:val="auto"/>
              </w:rPr>
            </w:pPr>
            <w:r>
              <w:rPr>
                <w:rFonts w:ascii="Arial" w:cs="Arial" w:eastAsia="Arial" w:hAnsi="Arial"/>
                <w:sz w:val="18"/>
                <w:szCs w:val="18"/>
                <w:color w:val="auto"/>
              </w:rPr>
              <w:t>With ASC 606 Adoption</w:t>
            </w:r>
          </w:p>
        </w:tc>
        <w:tc>
          <w:tcPr>
            <w:tcW w:w="2260" w:type="dxa"/>
            <w:vAlign w:val="bottom"/>
            <w:gridSpan w:val="3"/>
          </w:tcPr>
          <w:p>
            <w:pPr>
              <w:ind w:left="60"/>
              <w:spacing w:after="0"/>
              <w:rPr>
                <w:sz w:val="20"/>
                <w:szCs w:val="20"/>
                <w:color w:val="auto"/>
              </w:rPr>
            </w:pPr>
            <w:r>
              <w:rPr>
                <w:rFonts w:ascii="Arial" w:cs="Arial" w:eastAsia="Arial" w:hAnsi="Arial"/>
                <w:sz w:val="18"/>
                <w:szCs w:val="18"/>
                <w:color w:val="auto"/>
              </w:rPr>
              <w:t>Without ASC 606 Adoption</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Impact of Adoption</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of services and plans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135,322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net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793,507</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792,140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1,367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46,699</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45,332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1,367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38,124</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37,107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1,017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r>
      <w:tr>
        <w:trPr>
          <w:trHeight w:val="567"/>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right"/>
              <w:ind w:right="99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From Contracts With Customers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material impacts on our condensed consolidated financial statements as a result of our adoption of this new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contract assets and contract liabilities primarily result from timing differences between the performance of our obligations and the customer’s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Accounts receivable associated with revenues consist primarily of trade receivables and credit card receivables. Trade receivables consist primarily of receivables from managed care payors and receivables from major retailers. Trade receivables and credit card receivables are included in accounts receivable, net, on our condensed consolidated balance sheets, and are presented separately in Note 2. “Details of Certain Balance Sheet Accounts.” Accounts receivable are reduced by allowances for amounts that may become uncollectible. Estimates of our allowance for uncollectible accounts are based on our historical and current operating, billing, and collection trends. Impairment losses recognized on our receivables were approximately $1.7 million and $3.3 million for the three and six months ended June 30, 2018 and $1.5 million and $2.6 million for the three and six months ended July 1, 2017, respectively. There was no impact of adoption of ASC 606 on accounts receivable, net.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retail customers generally make payments for prescription eyewear products at the time they place an order. Amounts we collect in advance for undelivered merchandise are reported as unearned revenue in the accompanying condensed consolidated balance sheets. Unearned revenue at the end of a reporting period is estimated based on delivery times throughout the current month and generally ranges from four to 10 days. All unearned revenue at the end of a reporting period is recognized in the next fiscal period. There was no impact of adoption of ASC 606 on our unearned revenue accounts.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contract liabilities also consist of deferred revenue on services and plans obligations, primarily product protection plans and eyecare club memberships. The unamortized portion of amounts we collect in advance for these services and plans are reported as deferred revenue in the accompanying condensed consolidated balance sheets (current and non- current portions). Our deferred revenue balance as of June 30, 2018 was $73.7 million. We expect future revenue recognition of this balance of $34.0 million, $28.2 million, $9.8 million, $1.5 million and $0.2 million in fiscal years 2018, 2019, 2020, 2021, and 2022 respectively. We recognized $26.1 million and $52.0 million of previously deferred revenues for the three and six months ended June 30, 2018,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is involved in various legal proceedings incidental to its business. The Company reviews the status of its legal proceedings and records a provision for a liability when it is considered probable that both a liability has been incurred and the amount of the loss can be reasonably estimated.</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FirstSight subsidiary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On March 23, 2017, the court granted the motion to dismiss previously filed by FirstSight and dismissed the complaint with prejudice. The plaintiffs filed an appeal to the U.S. Court of Appeals for the Ninth Circuit in April 2017. In July 2018, the U.S. Court of Appeals for the Ninth Circuit vacated in part, and reversed in part, the district court’s dismissal and remanded for further proceedings. The Company believes that the claims are without merit and intends to continue to defend the litigation vigorously.</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AC Lens subsidiary, to suppress certain online advertising and that each defendant thereby engaged in anticompetitive conduct in violation of the Sherman Antitrust Act (the “1-800 Contacts Matter”). The Company has settled the 1-800 Contacts Matter for $7.0 million, without admitting liability. Accordingly, the Company recorded a $7.0 million charge in the second quarter of fiscal year 2017.</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8, 2017, the court in the 1-800 Contacts Matter entered an order preliminarily approving the settlement agreement, subject to a settlement hearing. Pursuant to this order, the Company deposited 50% of the settlement amount, or $3.5 million, into an escrow account, to be distributed subject to and in accordance with the terms of the settlement agreement and any further order of the court.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reportable segments were determined on the same basis as used by the Chief Operating Decision Maker (“CODM”) to evaluate performance internally. Our operations consist of two reportable segments:</w:t>
      </w:r>
    </w:p>
    <w:p>
      <w:pPr>
        <w:spacing w:after="0" w:line="62" w:lineRule="exact"/>
        <w:rPr>
          <w:sz w:val="20"/>
          <w:szCs w:val="20"/>
          <w:color w:val="auto"/>
        </w:rPr>
      </w:pPr>
    </w:p>
    <w:p>
      <w:pPr>
        <w:jc w:val="both"/>
        <w:ind w:left="66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Owned &amp; host store brands - Our owned brands consist of our America’s Best and Eyeglass World operating segments. Our host brands consist of our Vista Optical operating segments at certain U.S. Military Branches and inside Fred Meyer stores. We have aggregated our owned and host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63" w:lineRule="exact"/>
        <w:rPr>
          <w:rFonts w:ascii="Arial" w:cs="Arial" w:eastAsia="Arial" w:hAnsi="Arial"/>
          <w:sz w:val="17"/>
          <w:szCs w:val="17"/>
          <w:color w:val="auto"/>
        </w:rPr>
      </w:pPr>
    </w:p>
    <w:p>
      <w:pPr>
        <w:jc w:val="both"/>
        <w:ind w:left="660" w:hanging="328"/>
        <w:spacing w:after="0" w:line="26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Legacy - The Company manages the operations of 227 legacy retail vision centers within Walmart stores.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processing services for the finished eyeglasses and frames expected to be sold to our legacy partner’s customers. We lease space from our legacy partner within or adjacent to each of the locations we manage and use this space for the provision of optometric examination services.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$9.1 million and $18.4 million for the three and six months ended June 30, 2018 and $9.5 million and $19.2 million for the three and six months ended July 1, 2017, respectively. During the six months ended June 30, 2018, sales associated with our legacy partner arrangement represented 10.3% of consolidated net revenue. This exposes us to concentration of customer risk.</w:t>
      </w:r>
    </w:p>
    <w:p>
      <w:pPr>
        <w:spacing w:after="0" w:line="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“Corporate/Other” category includes the results of operations of our other operating segments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Revenues from the Corporate/Other segments are attributable to the AC Lens and FirstSight operating segments and the Company’s corporate function. AC Lens primarily sells contact lenses, eyeglasses and optical accessory products to retail customers through e-commerce. AC Lens also distributes contact lenses to Walmart and Sam’s Club under fee for services arrangements. FirstSight sells single service health plans in connection with the operations of America’s Best in California,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reportable segment profit measure is EBITDA, or net revenue, less cost applicable to revenue, less selling, general and administrative costs. Depreciation and amortization, asset impairment, litigation settlement and other corporate costs that are not allocated to the reportable segments, including interest expense and debt issuance costs are excluded from segment EBITDA.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summary of certain financial data for each of our segments. Reportable segment information is presented on the same basis as our condensed consolidated financial statements, except for net revenue, which is presented on a cash basis, excluding the effects of unearned and deferred revenue, consistent with the basis on which the CODM regularly reviews segment performance. Asset information is not included in the following summary since the CODM does not regularly review such information for the reportable segments.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Three Months Ended June 30, 2018</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319,408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53,230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66,124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385,532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70,505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127,731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49,328</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113,986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17,018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177,059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165,038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62,709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8,668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43,139</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16,369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40" w:type="dxa"/>
            <w:vAlign w:val="bottom"/>
            <w:gridSpan w:val="8"/>
            <w:vMerge w:val="restart"/>
          </w:tcPr>
          <w:p>
            <w:pPr>
              <w:jc w:val="center"/>
              <w:ind w:right="360"/>
              <w:spacing w:after="0"/>
              <w:rPr>
                <w:sz w:val="20"/>
                <w:szCs w:val="20"/>
                <w:color w:val="auto"/>
              </w:rPr>
            </w:pPr>
            <w:r>
              <w:rPr>
                <w:rFonts w:ascii="Arial" w:cs="Arial" w:eastAsia="Arial" w:hAnsi="Arial"/>
                <w:sz w:val="18"/>
                <w:szCs w:val="18"/>
                <w:color w:val="auto"/>
                <w:w w:val="91"/>
              </w:rPr>
              <w:t>Three Months Ended July 1, 2017</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8"/>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203,389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276,960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46,102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12,220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60,581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337,541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60,266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112,314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44,094</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97,230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15,671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156,408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144,655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55,744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28,401</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14,629</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14,622</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vMerge w:val="restart"/>
          </w:tcPr>
          <w:p>
            <w:pPr>
              <w:jc w:val="right"/>
              <w:ind w:right="7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00" w:type="dxa"/>
            <w:vAlign w:val="bottom"/>
            <w:gridSpan w:val="8"/>
          </w:tcPr>
          <w:p>
            <w:pPr>
              <w:jc w:val="center"/>
              <w:ind w:right="400"/>
              <w:spacing w:after="0"/>
              <w:rPr>
                <w:sz w:val="20"/>
                <w:szCs w:val="20"/>
                <w:color w:val="auto"/>
              </w:rPr>
            </w:pPr>
            <w:r>
              <w:rPr>
                <w:rFonts w:ascii="Arial" w:cs="Arial" w:eastAsia="Arial" w:hAnsi="Arial"/>
                <w:sz w:val="18"/>
                <w:szCs w:val="18"/>
                <w:color w:val="auto"/>
                <w:w w:val="89"/>
              </w:rPr>
              <w:t>Six Months Ended June 30, 2018</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658,185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112,006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26,599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135,322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793,507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Costs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144,663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25,028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258,609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98,904</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231,790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34,869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89,786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357,513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230,855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335,140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147,365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20,097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100,436</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18,737</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46,699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00" w:type="dxa"/>
            <w:vAlign w:val="bottom"/>
            <w:gridSpan w:val="8"/>
            <w:vMerge w:val="restart"/>
          </w:tcPr>
          <w:p>
            <w:pPr>
              <w:jc w:val="center"/>
              <w:ind w:right="400"/>
              <w:spacing w:after="0"/>
              <w:rPr>
                <w:sz w:val="20"/>
                <w:szCs w:val="20"/>
                <w:color w:val="auto"/>
              </w:rPr>
            </w:pPr>
            <w:r>
              <w:rPr>
                <w:rFonts w:ascii="Arial" w:cs="Arial" w:eastAsia="Arial" w:hAnsi="Arial"/>
                <w:sz w:val="18"/>
                <w:szCs w:val="18"/>
                <w:color w:val="auto"/>
                <w:w w:val="91"/>
              </w:rPr>
              <w:t>Six Months Ended July 1, 2017</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gridSpan w:val="8"/>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2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438,491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583,544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98,296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24,976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123,856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536,787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707,400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Costs of products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127,445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79,417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233,347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74,507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88,869</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201,952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33,041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86,449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322,216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294,459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Litigation settlement</w:t>
            </w:r>
          </w:p>
        </w:tc>
        <w:tc>
          <w:tcPr>
            <w:tcW w:w="1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134,518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20,077</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(69,175)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10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79,844</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26,114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24,678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Basic earnings per share (“EPS”) is computed by dividing net income by the weighted average number of common shares outstanding for the period. Diluted EPS is computed by dividing net income by the weighted average common shares outstanding for the period and includes the dilutive impact of potential new common shares issuable upon exercise of stock options and vesting of restricted stock units. Potentially dilutive securities are excluded from the computation of diluted EPS if their effect is anti-dilutive. A reconciliation of the numerators and denominators of the basic and diluted EPS calculations is as follows: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5"/>
          </w:tcPr>
          <w:p>
            <w:pPr>
              <w:ind w:left="68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3060" w:type="dxa"/>
            <w:vAlign w:val="bottom"/>
            <w:gridSpan w:val="4"/>
          </w:tcPr>
          <w:p>
            <w:pPr>
              <w:jc w:val="right"/>
              <w:ind w:right="850"/>
              <w:spacing w:after="0"/>
              <w:rPr>
                <w:sz w:val="20"/>
                <w:szCs w:val="20"/>
                <w:color w:val="auto"/>
              </w:rPr>
            </w:pPr>
            <w:r>
              <w:rPr>
                <w:rFonts w:ascii="Arial" w:cs="Arial" w:eastAsia="Arial" w:hAnsi="Arial"/>
                <w:sz w:val="18"/>
                <w:szCs w:val="18"/>
                <w:color w:val="auto"/>
              </w:rPr>
              <w:t>Six Months Ended</w:t>
            </w:r>
          </w:p>
        </w:tc>
      </w:tr>
      <w:tr>
        <w:trPr>
          <w:trHeight w:val="27"/>
        </w:trPr>
        <w:tc>
          <w:tcPr>
            <w:tcW w:w="4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EPS data</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June 30, 2018</w:t>
            </w:r>
          </w:p>
        </w:tc>
        <w:tc>
          <w:tcPr>
            <w:tcW w:w="22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July 1, 2017</w:t>
            </w:r>
          </w:p>
        </w:tc>
        <w:tc>
          <w:tcPr>
            <w:tcW w:w="18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June 30, 2018</w:t>
            </w:r>
          </w:p>
        </w:tc>
        <w:tc>
          <w:tcPr>
            <w:tcW w:w="2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July 1, 2017</w:t>
            </w:r>
          </w:p>
        </w:tc>
      </w:tr>
      <w:tr>
        <w:trPr>
          <w:trHeight w:val="27"/>
        </w:trPr>
        <w:tc>
          <w:tcPr>
            <w:tcW w:w="4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15,574</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basic EPS</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75,249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74,983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56,337</w:t>
            </w:r>
          </w:p>
        </w:tc>
      </w:tr>
      <w:tr>
        <w:trPr>
          <w:trHeight w:val="27"/>
        </w:trPr>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2,002</w:t>
            </w:r>
          </w:p>
        </w:tc>
      </w:tr>
      <w:tr>
        <w:trPr>
          <w:trHeight w:val="27"/>
        </w:trPr>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EPS</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77,858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56,414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77,879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58,339</w:t>
            </w:r>
          </w:p>
        </w:tc>
      </w:tr>
      <w:tr>
        <w:trPr>
          <w:trHeight w:val="27"/>
        </w:trPr>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0.27</w:t>
            </w:r>
          </w:p>
        </w:tc>
      </w:tr>
      <w:tr>
        <w:trPr>
          <w:trHeight w:val="27"/>
        </w:trPr>
        <w:tc>
          <w:tcPr>
            <w:tcW w:w="4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options outstanding excluded from EPS</w:t>
            </w:r>
          </w:p>
        </w:tc>
        <w:tc>
          <w:tcPr>
            <w:tcW w:w="2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r>
      <w:tr>
        <w:trPr>
          <w:trHeight w:val="27"/>
        </w:trPr>
        <w:tc>
          <w:tcPr>
            <w:tcW w:w="4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fair value of the Company’s cash flow hedge derivative instruments since inception are recorded in AOCL. The following table presents the change in AOCL during the three and six months ended June 30, 2018 and July 1, 2017,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20" w:type="dxa"/>
            <w:vAlign w:val="bottom"/>
            <w:gridSpan w:val="5"/>
          </w:tcPr>
          <w:p>
            <w:pPr>
              <w:ind w:left="7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0"/>
                <w:szCs w:val="20"/>
                <w:color w:val="auto"/>
              </w:rPr>
            </w:pPr>
          </w:p>
        </w:tc>
        <w:tc>
          <w:tcPr>
            <w:tcW w:w="3280" w:type="dxa"/>
            <w:vAlign w:val="bottom"/>
            <w:gridSpan w:val="4"/>
          </w:tcPr>
          <w:p>
            <w:pPr>
              <w:jc w:val="right"/>
              <w:ind w:right="990"/>
              <w:spacing w:after="0"/>
              <w:rPr>
                <w:sz w:val="20"/>
                <w:szCs w:val="20"/>
                <w:color w:val="auto"/>
              </w:rPr>
            </w:pPr>
            <w:r>
              <w:rPr>
                <w:rFonts w:ascii="Arial" w:cs="Arial" w:eastAsia="Arial" w:hAnsi="Arial"/>
                <w:sz w:val="18"/>
                <w:szCs w:val="18"/>
                <w:color w:val="auto"/>
              </w:rPr>
              <w:t>Six Months Ended</w:t>
            </w:r>
          </w:p>
        </w:tc>
      </w:tr>
      <w:tr>
        <w:trPr>
          <w:trHeight w:val="27"/>
        </w:trPr>
        <w:tc>
          <w:tcPr>
            <w:tcW w:w="4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June 30, 2018</w:t>
            </w:r>
          </w:p>
        </w:tc>
        <w:tc>
          <w:tcPr>
            <w:tcW w:w="24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July 1, 2017</w:t>
            </w:r>
          </w:p>
        </w:tc>
        <w:tc>
          <w:tcPr>
            <w:tcW w:w="24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color w:val="auto"/>
              </w:rPr>
              <w:t>June 30, 2018</w:t>
            </w:r>
          </w:p>
        </w:tc>
        <w:tc>
          <w:tcPr>
            <w:tcW w:w="2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July 1, 2017</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(14,760)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(9,868)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(14,556)</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before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7"/>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r>
      <w:tr>
        <w:trPr>
          <w:trHeight w:val="229"/>
        </w:trPr>
        <w:tc>
          <w:tcPr>
            <w:tcW w:w="4460" w:type="dxa"/>
            <w:vAlign w:val="bottom"/>
          </w:tcPr>
          <w:p>
            <w:pPr>
              <w:ind w:left="280"/>
              <w:spacing w:after="0"/>
              <w:rPr>
                <w:sz w:val="20"/>
                <w:szCs w:val="20"/>
                <w:color w:val="auto"/>
              </w:rPr>
            </w:pPr>
            <w:r>
              <w:rPr>
                <w:rFonts w:ascii="Arial" w:cs="Arial" w:eastAsia="Arial" w:hAnsi="Arial"/>
                <w:sz w:val="18"/>
                <w:szCs w:val="18"/>
                <w:color w:val="auto"/>
                <w:w w:val="94"/>
              </w:rPr>
              <w:t>Tax effect of other comprehensive (loss) income before</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460" w:type="dxa"/>
            <w:vAlign w:val="bottom"/>
          </w:tcPr>
          <w:p>
            <w:pPr>
              <w:ind w:left="280"/>
              <w:spacing w:after="0"/>
              <w:rPr>
                <w:sz w:val="20"/>
                <w:szCs w:val="20"/>
                <w:color w:val="auto"/>
              </w:rPr>
            </w:pPr>
            <w:r>
              <w:rPr>
                <w:rFonts w:ascii="Arial" w:cs="Arial" w:eastAsia="Arial" w:hAnsi="Arial"/>
                <w:sz w:val="18"/>
                <w:szCs w:val="18"/>
                <w:color w:val="auto"/>
              </w:rPr>
              <w:t>reclassification</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1,450</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 reclassified from AOCL</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Tax effect of amount reclassified from AOCL</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(1,420)</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Net current period other comprehensive income (loss),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57"/>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(14,605)</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Amounts reclassified from AOCL to earnings are included in interest expense in the accompanying condensed consolidated statements of operations. See Note 3. “Fair Value Measurements of Financial Assets and Liabilities” for a description of the Company’s use of cash flow hedging derivatives.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Subsequent to June 30, 2018, we completed an underwritten public offering in which KKR Sponsor and Berkshire Partners LLC and certain management stockholders (“selling stockholders”) sold an aggregate of 16,614,852 shares of our common stock. We did not receive any proceeds from the shares sold by the selling stockholders; however, we incurred offering related expenses of approximately $0.8 million. The secondary offering constituted a vesting event for certain performance-based options, and as a result we expect to incur between $8.5 million to $10.5 million of related non-cash stock-based compensation expense during the three months ending September 29, 2018. We also expect cash expense of between $4.0 million to $5.0 million pursuant to an incentive plan for non-executive management during the three months ending September 29, 2018. Following the completion of the offering, we no longer qualify as a “controlled company” within the meaning of NASDAQ rules.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and the audited consolidated financial statements and “Management’s Discussion and Analysis of Financial Condition and Results of Operations” included in our Annual Report on Form 10-K filed with the Securities and Exchange Commission (the “SEC”) on March 8, 2018 (the “Annual Report”). This discussion contains forward-looking statements that reflect our plans, estimates and beliefs and involve numerous risks and uncertainties, including, but not limited to, those described in the “Risk Factors” section of the Annual Report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1,050 retail stores across five brands and 20 consumer websites as of June 30,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70"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Owned &amp; host - As of June 30, 2018, our owned brands consisted of 630 America’s Best Contacts and Eyeglasses (“America’s Best”) retail stores and 108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independent optometrists who perform eye exams and on-site optical laboratories that enable stores to quickly fulfill many customer orders and make repairs on site. Eyeglass World stores are primarily located in freestanding or in-suite locations near high-foot-traffic shopping centers. Our two host brands consist of 56 Vista Optical locations on military bases and 29 Vista Optical locations within Fred Meyer stores. We have strong, long-standing relationships with our host partners and have maintained each partnership for over 19 years. Both host brands compete within the value segment of the U.S. optical retail industry. These brands provide eye exams principally by independent optometrists in nearly all locations. All brands utilize our centralized laboratories. This segment also includes sales from our four store websites, three of which are omni-channel.</w:t>
      </w:r>
    </w:p>
    <w:p>
      <w:pPr>
        <w:spacing w:after="0" w:line="69"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Legacy - We managed the operations of, and supplied inventory and laboratory processing services to, 227 Vision Centers in Walmart retail locations as of June 30, 2018. Under our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we record revenue related to sales of products and product protection plans to Walmart’s customers on a net basis. Our management &amp; services agreement also allows our legacy partner to collect penalties if the Vision Centers do not generate a requisite amount of revenues. We also sell to our legacy partner merchandise that is stocked in retail locations we manage pursuant to a separate supplier agreement, and provide to our legacy partner centralized laboratory services for the finished eyeglasses for our legacy partner’s customers in stores that we manage. We lease space from Walmart within or adjacent to each of the locations we manage and use this space for the provision of optometric examination services. During the six months ended June 30, 2018, sales associated with our legacy partner arrangement represented 10.3% of consolidated net revenue. This exposes us to concentration of customer risk. Our agreements with our legacy partner expire on August 23, 2020, and will automatically renew for a three-year period unless a party elects not to renew.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other non-reportable segment activity recorded in our corporate/other category, which include:</w:t>
      </w:r>
    </w:p>
    <w:p>
      <w:pPr>
        <w:spacing w:after="0" w:line="117" w:lineRule="exact"/>
        <w:rPr>
          <w:sz w:val="20"/>
          <w:szCs w:val="20"/>
          <w:color w:val="auto"/>
        </w:rPr>
      </w:pPr>
    </w:p>
    <w:p>
      <w:pPr>
        <w:jc w:val="both"/>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e-commerce platform of 16 dedicated websites managed by our wholly-owned subsidiary, Arlington Contact Lens Service, Inc. (“AC Lens”). Our e-commerce business consists of six proprietary branded websites, including aclens.com, discountglasses.com and discountcontactlenses.com, and 10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eyecare accessories.</w:t>
      </w:r>
    </w:p>
    <w:p>
      <w:pPr>
        <w:spacing w:after="0" w:line="8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 Lens also distributes contact lenses to Walmart and Sam’s Club under fee for service arrangements. We record revenue for these activities and we incur costs at a higher percentage of sales than other product categories, given the wholesale nature of the business.</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Managed care business conducted by FirstSight Vision Services, Inc. (“FirstSight”), our wholly-owned subsidiary that is licensed as a single-service health plan under California law, which arranges for the provision of optometric services at the offices next to Eyeglass World, Walmart and Sam’s Club stores throughout California, and also issues individual vision care benefit plans in connection with our America’s Best operations in California.</w:t>
      </w:r>
    </w:p>
    <w:p>
      <w:pPr>
        <w:spacing w:after="0" w:line="78" w:lineRule="exact"/>
        <w:rPr>
          <w:rFonts w:ascii="Arial" w:cs="Arial" w:eastAsia="Arial" w:hAnsi="Arial"/>
          <w:sz w:val="18"/>
          <w:szCs w:val="18"/>
          <w:color w:val="auto"/>
        </w:rPr>
      </w:pPr>
    </w:p>
    <w:p>
      <w:pPr>
        <w:jc w:val="both"/>
        <w:ind w:left="660" w:right="2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Unallocated corporate overhead expenses, which are a component of selling, general and administrative expenses and are comprised of various home office general and administrative expenses such as payroll expenses, occupancy costs, and consulting and professional fees. Corporate overhead expenses also include field supervision for stores included in our owned &amp; host and legacy segments.</w:t>
      </w:r>
    </w:p>
    <w:p>
      <w:pPr>
        <w:spacing w:after="0" w:line="13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Reportable segment information is presented on the same basis as our consolidated financial statements, except the reportable segments’ revenues are presented on a cash basis excluding the effects of unearned and deferred revenue. Reconciliations of segment results to consolidated results include financial information necessary to adjust reportable segment revenues to a consolidated basis in accordance with accounting principles generally accepted in the United States of America (“GAAP”), specifically the change in unearned and deferred revenues during the period. There are no revenue transactions between reportable segments, and there are no other items in the reconciliations other than deferred and unearned revenue items previously described.</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revenue represents cash basis sales of product protection plans and club memberships, and is the timing difference of when we collect the cash from the customer and performance of the service to the customer. The increases or decreases in deferred revenue represent cash collections in the reporting period in excess of or below the recognition of previous deferrals and are presented in the reconciliation column in the tables in Note 8. “Segment Reporting” in Part I. Item 1. of this Form 10-Q.</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Unearned revenue represents cash basis sales of prescription eyewear only for approximately the last week of the reporting period and is the timing difference of when we collect the cash from the customer and the delivery/customer acceptance of the product.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that new stores will be a key driver of growth in our net revenue and operating profit in the future. Our results of operations have been and will continue to be materially affected by the timing and number of new store openings. As stores mature, profitability typically increases significantly. The performance of new stores may vary depending on various factors such as the store opening date, the time of year of a particular opening, the amount of store opening costs, the amount of store occupancy costs, its level of participation in managed care plans, and the location of the new store, including whether it is located in a new or existing market. For example, we typically incur higher than normal employee costs at the time of a new store opening associated with set-up and other opening costs. The multi-year maturation process of our stores is influenced by customer purchasing behavior in our industry, with consumers getting eye exams every 20 months on average and with a substantial majority of our customers being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margins.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Store Sales Growth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Comparable store sales growth is a key driver of our business. Various factors affect comparable store sales, including:</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recurring nature of eyecare purchases;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customer preferences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provide an assortment of high quality/low cost product offerings that generate new and repeat visits to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customer experience we provide in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vision care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source and receive products accurately and timely;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product pricing, including promotional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items purchased per store visit;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stores that have been in operation for more than 12 months.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new store is included in the comparable store sales calculation during the thirteenth full fiscal month following the store’s opening. Closed stores are removed from the calculation for time periods that are not comparable. In the past, we have closed our stores as a result of poor store performance, lease expiration or non-renewal and/or the terms of our arrangements with our host and legacy partners.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Managed Care and Insurance</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managed care business relates to vision care programs and associated benefits (i) sponsored by employers or other groups, (ii) provided by insurers and managed care entities, such as health maintenance organizations to individuals, and (iii) delivered, typically on a fee-for-service or capitated basis, by health care providers, such as ophthalmologists, optometrists and opticians. Managed care has become increasingly important to the optical retail industry.</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increasing percentage of our customers receive vision insurance coverage through managed care payors. These payors represent an increasingly significant portion of our overall revenues and our revenue growth. While we have relationships with almost all vision care insurers in the United States and with all of the major carriers,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Vision Care Professional Recruitment and Coverage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ability to operate our stores is largely dependent upon our ability to attract and retain qualified vision care professionals, and to maintain our relationships with independent optometrists and professional corporations owned by eyecare practitioners that provide vision care services in our stores.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Economic Trends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Macroeconomic factors that may affect customer spending patterns, and thereby our results of operations, include employment rates, business conditions, changes in the housing market, the availability of credit, interest rates, tax rates and fuel and energy costs. However, eyecare purchases are predominantly a medical necessity and are considered non-discretionary in nature. Therefore, the overall economic environment and related changes in consumer behavior have less of an impact on our business than for retailers in other industries. We also benefit from our low prices during periods of economic downturn and uncertainty.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Preferences and Demand</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ability to maintain our appeal to existing customers and attract new customers depends on our ability to originate, develop and offer a compelling product assortment responsive to customer preferences and design trends. We estimate that optical consumers typically replace their eyeglasses every two to three years, while contact lens customers typically order new lenses every six to twelve months, reflecting the predictability of these recurring purchase behaviors.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Investment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historical results of operations reflect the impact of our ongoing investments in infrastructure to support our growth. We have made significant investments in information technology systems, supply chain systems, labs and marketing. These investments include significant additions to our personnel, including experienced industry executives, and management and merchandising teams to support our long-term growth objectives. We intend to continue making targeted investments in our infrastructure as necessary to support our growth.</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Strategy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providing our products to our customers at low prices. We generally employ a simple low price/high value strategy that consistently delivers savings to our customers without the need for extensive promotions.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Source and Distribute Products Effectively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and operating income are affected by our ability to 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merchandise in a manner that is able to match market demand from our customers, leading to lost revenue. 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results can be expected to be directly impacted by substantial increases in product costs due to materials cost increases or general inflation which could lead to greater profitability pressure as costs may not be able to be passed on to consumers. To date, changes in materials prices and general inflation have not materially impacted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Results and Seasonality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Because our target market consists of cost-conscious and low-income consumers, a delay in the issuance of tax refunds can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during that period is deferred until January due to our policy of recognizing revenue only after the product has been accepted by the customer, further contributing to higher first quarter results. In addition to reduced revenues in the fourth quarter compared to the other quarters, our fourth quarter operating income may include annual impairment charges, which further reduces operating income relative to other quarters. 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optical retail industry is highly competitive. Competition is generally based upon brand name recognition, price, selection, service, product quality and convenience. We operate within the value segment of the U.S. optical retail industry, which emphasizes price and value. This segment is fragmented. We compete with mass merchants, specialty retail chains and independent eye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in the Industry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Recently announced mergers of large, global competitors will create organizations that are involved in virtually every sector of the optical industry, from retail and wholesale to frames, spectacle lenses, and managed vision care. These companies will benefit from purchasing advantages and by leveraging management capabilities across a larger revenue base. Recent trends indicate that national and regional optical retail chains are gaining market share from independent vision care providers, benefiting from economies of scale unavailable to smaller competitors. Other trends include the formation of buying groups and similar forms of practice affiliations.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consider a variety of financial and operating measures in assessing the performance of our business. The key measures we use to determine how our business is performing are net revenue, costs applicable to revenue, and selling, general, and administrative expenses. In addition, we also review other important metrics such as store growth, adjusted comparable store sales growth, Adjusted EBITDA, Adjusted EBITDA Margin and Adjusted Net Income.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 as net revenue amounts generated in transactions with customers who are the end users of our products, services, and plans. Net product sales include sales of prescription and non-prescription eyewear, contact lenses, and related accessories to retail customers and sales of inventory in which our customer is another retail entity. Net sales of services and plans include sales of eye exams, discount clubs memberships, product protection plans (i.e. warranties), and HMO memberships. Net sales of services and plans also includes fees we earn for managing certain Vision Centers located in Walmart stores, for laboratory services to Walmart, and fulfillment fees earned by AC Lens.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eyecare and discount club memberships, HMO membership fees, eyecare practitioner and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expenses, or SG&amp;A, include store associate (including optician) payroll, taxes and benefits, store occupancy, advertising and promotion, field supervision, corporate support and other costs associated with the provision of vision care services. Non-capital expenditures associated with opening new stores, including rent, store maintenance,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as described above in “Trends and Other Factors Affecting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and Adjusted Net Income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define Adjusted EBITDA as net income, plus interest expense, income tax provision and depreciation and amortization, as further adjusted to exclude stock compensation expense, costs associated with debt refinancing, asset impairment, non-cash inventory write-offs, management fees, new store pre-opening expenses, non-cash rent, litigation, and secondary offering expenses and other expenses. We define Adjusted EBITDA Margin as Adjusted EBITDA as a percentage of total revenue. We define Adjusted Net Income as net income, plus stock compensation expense, costs associated with debt refinancing, asset impairment, non-cash inventory write-offs, management fees, new store pre-opening expenses, non-cash rent, litigation settlement, secondary offering expenses, amortization of acquisition intangibles and deferred financing costs and other expenses, tax benefit of stock option exercises less the tax effect of these adjustments. Adjusted EBITDA, Adjusted EBITDA Margin and Adjusted Net Income are key metrics used by management to assess our financial performance. Adjusted EBITDA, Adjusted EBITDA Margin and Adjusted Net Income are also frequently used by analysts, investors and other interested parties. We use Adjusted EBITDA, Adjusted EBITDA Margin and Adjusted Net Income to supplement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key components of our results of operations for the periods indicated, both in dollars and as a percentage of our net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9"/>
          </w:tcPr>
          <w:p>
            <w:pPr>
              <w:ind w:left="72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3320" w:type="dxa"/>
            <w:vAlign w:val="bottom"/>
            <w:gridSpan w:val="6"/>
          </w:tcPr>
          <w:p>
            <w:pPr>
              <w:jc w:val="right"/>
              <w:ind w:right="990"/>
              <w:spacing w:after="0"/>
              <w:rPr>
                <w:sz w:val="20"/>
                <w:szCs w:val="20"/>
                <w:color w:val="auto"/>
              </w:rPr>
            </w:pPr>
            <w:r>
              <w:rPr>
                <w:rFonts w:ascii="Arial" w:cs="Arial" w:eastAsia="Arial" w:hAnsi="Arial"/>
                <w:sz w:val="18"/>
                <w:szCs w:val="18"/>
                <w:color w:val="auto"/>
              </w:rPr>
              <w:t>Six Months Ended</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 except store data</w:t>
            </w:r>
          </w:p>
        </w:tc>
        <w:tc>
          <w:tcPr>
            <w:tcW w:w="140" w:type="dxa"/>
            <w:vAlign w:val="bottom"/>
          </w:tcPr>
          <w:p>
            <w:pPr>
              <w:spacing w:after="0"/>
              <w:rPr>
                <w:sz w:val="20"/>
                <w:szCs w:val="20"/>
                <w:color w:val="auto"/>
              </w:rPr>
            </w:pPr>
          </w:p>
        </w:tc>
        <w:tc>
          <w:tcPr>
            <w:tcW w:w="1600" w:type="dxa"/>
            <w:vAlign w:val="bottom"/>
            <w:gridSpan w:val="4"/>
          </w:tcPr>
          <w:p>
            <w:pPr>
              <w:ind w:left="180"/>
              <w:spacing w:after="0"/>
              <w:rPr>
                <w:sz w:val="20"/>
                <w:szCs w:val="20"/>
                <w:color w:val="auto"/>
              </w:rPr>
            </w:pPr>
            <w:r>
              <w:rPr>
                <w:rFonts w:ascii="Arial" w:cs="Arial" w:eastAsia="Arial" w:hAnsi="Arial"/>
                <w:sz w:val="18"/>
                <w:szCs w:val="18"/>
                <w:color w:val="auto"/>
              </w:rPr>
              <w:t>June 30, 2018</w:t>
            </w:r>
          </w:p>
        </w:tc>
        <w:tc>
          <w:tcPr>
            <w:tcW w:w="140" w:type="dxa"/>
            <w:vAlign w:val="bottom"/>
          </w:tcPr>
          <w:p>
            <w:pPr>
              <w:spacing w:after="0"/>
              <w:rPr>
                <w:sz w:val="20"/>
                <w:szCs w:val="20"/>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rPr>
              <w:t>July 1, 2017</w:t>
            </w:r>
          </w:p>
        </w:tc>
        <w:tc>
          <w:tcPr>
            <w:tcW w:w="200" w:type="dxa"/>
            <w:vAlign w:val="bottom"/>
          </w:tcPr>
          <w:p>
            <w:pPr>
              <w:spacing w:after="0"/>
              <w:rPr>
                <w:sz w:val="20"/>
                <w:szCs w:val="20"/>
                <w:color w:val="auto"/>
              </w:rPr>
            </w:pPr>
          </w:p>
        </w:tc>
        <w:tc>
          <w:tcPr>
            <w:tcW w:w="1620" w:type="dxa"/>
            <w:vAlign w:val="bottom"/>
            <w:gridSpan w:val="4"/>
          </w:tcPr>
          <w:p>
            <w:pPr>
              <w:ind w:left="160"/>
              <w:spacing w:after="0"/>
              <w:rPr>
                <w:sz w:val="20"/>
                <w:szCs w:val="20"/>
                <w:color w:val="auto"/>
              </w:rPr>
            </w:pPr>
            <w:r>
              <w:rPr>
                <w:rFonts w:ascii="Arial" w:cs="Arial" w:eastAsia="Arial" w:hAnsi="Arial"/>
                <w:sz w:val="18"/>
                <w:szCs w:val="18"/>
                <w:color w:val="auto"/>
              </w:rPr>
              <w:t>June 30, 2018</w:t>
            </w:r>
          </w:p>
        </w:tc>
        <w:tc>
          <w:tcPr>
            <w:tcW w:w="26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Arial" w:cs="Arial" w:eastAsia="Arial" w:hAnsi="Arial"/>
                <w:sz w:val="18"/>
                <w:szCs w:val="18"/>
                <w:color w:val="auto"/>
              </w:rPr>
              <w:t>July 1, 2017</w:t>
            </w: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Net product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319,408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276,960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658,185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583,544</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66,124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135,322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123,856</w:t>
            </w: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8"/>
                <w:szCs w:val="18"/>
                <w:color w:val="auto"/>
              </w:rPr>
              <w:t>Total net revenue</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385,532</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337,541</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793,507</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707,400</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5"/>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Costs applicable to revenue (exclusive of depreciation and</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41"/>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127,731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112,314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258,609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233,347</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49,328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98,904</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88,869</w:t>
            </w:r>
          </w:p>
        </w:tc>
      </w:tr>
      <w:tr>
        <w:trPr>
          <w:trHeight w:val="237"/>
        </w:trPr>
        <w:tc>
          <w:tcPr>
            <w:tcW w:w="4580" w:type="dxa"/>
            <w:vAlign w:val="bottom"/>
            <w:gridSpan w:val="2"/>
          </w:tcPr>
          <w:p>
            <w:pPr>
              <w:ind w:left="3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177,059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156,408</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357,513</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322,216</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165,038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144,655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335,140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294,459</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29,052</w:t>
            </w: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182,680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167,361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370,558</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331,690</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25,793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13,772</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65,436</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53,494</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26,114</w:t>
            </w:r>
          </w:p>
        </w:tc>
      </w:tr>
      <w:tr>
        <w:trPr>
          <w:trHeight w:val="243"/>
        </w:trPr>
        <w:tc>
          <w:tcPr>
            <w:tcW w:w="4580" w:type="dxa"/>
            <w:vAlign w:val="bottom"/>
            <w:gridSpan w:val="2"/>
          </w:tcPr>
          <w:p>
            <w:pPr>
              <w:ind w:left="28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21"/>
                <w:szCs w:val="21"/>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2,702</w:t>
            </w: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16,369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46,699</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24,678</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3,292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8,575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9,104</w:t>
            </w: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13,077</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38,124</w:t>
            </w:r>
          </w:p>
        </w:tc>
        <w:tc>
          <w:tcPr>
            <w:tcW w:w="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15,574</w:t>
            </w: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71"/>
        </w:trPr>
        <w:tc>
          <w:tcPr>
            <w:tcW w:w="4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Number of stores open at end of period</w:t>
            </w:r>
          </w:p>
        </w:tc>
        <w:tc>
          <w:tcPr>
            <w:tcW w:w="1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980</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stores opened</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46,830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39,619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107,919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98,525</w:t>
            </w:r>
          </w:p>
        </w:tc>
      </w:tr>
      <w:tr>
        <w:trPr>
          <w:trHeight w:val="513"/>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9"/>
          </w:tcPr>
          <w:p>
            <w:pPr>
              <w:ind w:left="6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3320" w:type="dxa"/>
            <w:vAlign w:val="bottom"/>
            <w:gridSpan w:val="6"/>
          </w:tcPr>
          <w:p>
            <w:pPr>
              <w:jc w:val="right"/>
              <w:ind w:right="1030"/>
              <w:spacing w:after="0"/>
              <w:rPr>
                <w:sz w:val="20"/>
                <w:szCs w:val="20"/>
                <w:color w:val="auto"/>
              </w:rPr>
            </w:pPr>
            <w:r>
              <w:rPr>
                <w:rFonts w:ascii="Arial" w:cs="Arial" w:eastAsia="Arial" w:hAnsi="Arial"/>
                <w:sz w:val="18"/>
                <w:szCs w:val="18"/>
                <w:color w:val="auto"/>
              </w:rPr>
              <w:t>Six Months Ended</w:t>
            </w:r>
          </w:p>
        </w:tc>
      </w:tr>
      <w:tr>
        <w:trPr>
          <w:trHeight w:val="27"/>
        </w:trPr>
        <w:tc>
          <w:tcPr>
            <w:tcW w:w="4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4"/>
          </w:tcPr>
          <w:p>
            <w:pPr>
              <w:spacing w:after="0"/>
              <w:rPr>
                <w:sz w:val="20"/>
                <w:szCs w:val="20"/>
                <w:color w:val="auto"/>
              </w:rPr>
            </w:pPr>
            <w:r>
              <w:rPr>
                <w:rFonts w:ascii="Arial" w:cs="Arial" w:eastAsia="Arial" w:hAnsi="Arial"/>
                <w:sz w:val="18"/>
                <w:szCs w:val="18"/>
                <w:color w:val="auto"/>
              </w:rPr>
              <w:t>June 30, 2018</w:t>
            </w:r>
          </w:p>
        </w:tc>
        <w:tc>
          <w:tcPr>
            <w:tcW w:w="140" w:type="dxa"/>
            <w:vAlign w:val="bottom"/>
          </w:tcPr>
          <w:p>
            <w:pPr>
              <w:spacing w:after="0"/>
              <w:rPr>
                <w:sz w:val="20"/>
                <w:szCs w:val="20"/>
                <w:color w:val="auto"/>
              </w:rPr>
            </w:pPr>
          </w:p>
        </w:tc>
        <w:tc>
          <w:tcPr>
            <w:tcW w:w="1440" w:type="dxa"/>
            <w:vAlign w:val="bottom"/>
            <w:gridSpan w:val="4"/>
          </w:tcPr>
          <w:p>
            <w:pPr>
              <w:ind w:left="20"/>
              <w:spacing w:after="0"/>
              <w:rPr>
                <w:sz w:val="20"/>
                <w:szCs w:val="20"/>
                <w:color w:val="auto"/>
              </w:rPr>
            </w:pPr>
            <w:r>
              <w:rPr>
                <w:rFonts w:ascii="Arial" w:cs="Arial" w:eastAsia="Arial" w:hAnsi="Arial"/>
                <w:sz w:val="18"/>
                <w:szCs w:val="18"/>
                <w:color w:val="auto"/>
              </w:rPr>
              <w:t>July 1, 2017</w:t>
            </w:r>
          </w:p>
        </w:tc>
        <w:tc>
          <w:tcPr>
            <w:tcW w:w="200" w:type="dxa"/>
            <w:vAlign w:val="bottom"/>
          </w:tcPr>
          <w:p>
            <w:pPr>
              <w:spacing w:after="0"/>
              <w:rPr>
                <w:sz w:val="20"/>
                <w:szCs w:val="20"/>
                <w:color w:val="auto"/>
              </w:rPr>
            </w:pPr>
          </w:p>
        </w:tc>
        <w:tc>
          <w:tcPr>
            <w:tcW w:w="1620" w:type="dxa"/>
            <w:vAlign w:val="bottom"/>
            <w:gridSpan w:val="4"/>
          </w:tcPr>
          <w:p>
            <w:pPr>
              <w:ind w:left="80"/>
              <w:spacing w:after="0"/>
              <w:rPr>
                <w:sz w:val="20"/>
                <w:szCs w:val="20"/>
                <w:color w:val="auto"/>
              </w:rPr>
            </w:pPr>
            <w:r>
              <w:rPr>
                <w:rFonts w:ascii="Arial" w:cs="Arial" w:eastAsia="Arial" w:hAnsi="Arial"/>
                <w:sz w:val="18"/>
                <w:szCs w:val="18"/>
                <w:color w:val="auto"/>
              </w:rPr>
              <w:t>June 30, 2018</w:t>
            </w:r>
          </w:p>
        </w:tc>
        <w:tc>
          <w:tcPr>
            <w:tcW w:w="26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July 1, 2017</w:t>
            </w: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Percentage of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46.3 %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49.6 %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 margin</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567"/>
        </w:trPr>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040"/>
        <w:spacing w:after="0" w:line="378" w:lineRule="auto"/>
        <w:rPr>
          <w:sz w:val="20"/>
          <w:szCs w:val="20"/>
          <w:color w:val="auto"/>
        </w:rPr>
      </w:pPr>
      <w:r>
        <w:rPr>
          <w:rFonts w:ascii="Arial" w:cs="Arial" w:eastAsia="Arial" w:hAnsi="Arial"/>
          <w:sz w:val="18"/>
          <w:szCs w:val="18"/>
          <w:b w:val="1"/>
          <w:bCs w:val="1"/>
          <w:color w:val="auto"/>
        </w:rPr>
        <w:t xml:space="preserve">Three Months Ended June 30, 2018 compared to Three Months Ended July 1, 2017 </w:t>
      </w:r>
      <w:r>
        <w:rPr>
          <w:rFonts w:ascii="Arial" w:cs="Arial" w:eastAsia="Arial" w:hAnsi="Arial"/>
          <w:sz w:val="18"/>
          <w:szCs w:val="18"/>
          <w:i w:val="1"/>
          <w:iCs w:val="1"/>
          <w:color w:val="auto"/>
        </w:rPr>
        <w:t>Net revenue</w:t>
      </w:r>
    </w:p>
    <w:p>
      <w:pPr>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June 30, 2018 compared to the three months ended July 1, 2017.</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Comparable store sales growth</w:t>
            </w:r>
            <w:r>
              <w:rPr>
                <w:rFonts w:ascii="Arial" w:cs="Arial" w:eastAsia="Arial" w:hAnsi="Arial"/>
                <w:sz w:val="8"/>
                <w:szCs w:val="8"/>
                <w:b w:val="1"/>
                <w:bCs w:val="1"/>
                <w:color w:val="auto"/>
                <w:w w:val="94"/>
              </w:rPr>
              <w:t>(1)</w:t>
            </w:r>
          </w:p>
        </w:tc>
        <w:tc>
          <w:tcPr>
            <w:tcW w:w="100" w:type="dxa"/>
            <w:vAlign w:val="bottom"/>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Stores open at end of period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8"/>
                <w:szCs w:val="8"/>
                <w:b w:val="1"/>
                <w:bCs w:val="1"/>
                <w:color w:val="auto"/>
              </w:rPr>
              <w:t>(2)</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Three Months</w:t>
            </w: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3"/>
                <w:szCs w:val="13"/>
                <w:color w:val="auto"/>
              </w:rPr>
            </w:pPr>
          </w:p>
        </w:tc>
        <w:tc>
          <w:tcPr>
            <w:tcW w:w="16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Ended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vMerge w:val="restart"/>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July 1, 2017</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except percentage and store data</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July 1, 2017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1, 2017</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America’s Best</w:t>
            </w:r>
          </w:p>
        </w:tc>
        <w:tc>
          <w:tcPr>
            <w:tcW w:w="102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12.2 %</w:t>
            </w:r>
          </w:p>
        </w:tc>
        <w:tc>
          <w:tcPr>
            <w:tcW w:w="1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239,240</w:t>
            </w:r>
          </w:p>
        </w:tc>
        <w:tc>
          <w:tcPr>
            <w:tcW w:w="72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203,046</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60.2%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40,473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36,434</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10.8%</w:t>
            </w:r>
          </w:p>
        </w:tc>
        <w:tc>
          <w:tcPr>
            <w:tcW w:w="0" w:type="dxa"/>
            <w:vAlign w:val="bottom"/>
          </w:tcPr>
          <w:p>
            <w:pPr>
              <w:spacing w:after="0"/>
              <w:rPr>
                <w:sz w:val="1"/>
                <w:szCs w:val="1"/>
                <w:color w:val="auto"/>
              </w:rPr>
            </w:pP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Military</w:t>
            </w: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6,145</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6,445</w:t>
            </w: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3,755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3,566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Owned &amp; host segment 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289,613</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33"/>
              <w:spacing w:after="0"/>
              <w:rPr>
                <w:sz w:val="20"/>
                <w:szCs w:val="20"/>
                <w:color w:val="auto"/>
              </w:rPr>
            </w:pPr>
            <w:r>
              <w:rPr>
                <w:rFonts w:ascii="Arial" w:cs="Arial" w:eastAsia="Arial" w:hAnsi="Arial"/>
                <w:sz w:val="18"/>
                <w:szCs w:val="18"/>
                <w:color w:val="auto"/>
              </w:rPr>
              <w:t>249,491</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73.9%</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Legacy segment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39,106</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37,561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11.1%</w:t>
            </w:r>
          </w:p>
        </w:tc>
        <w:tc>
          <w:tcPr>
            <w:tcW w:w="0" w:type="dxa"/>
            <w:vAlign w:val="bottom"/>
          </w:tcPr>
          <w:p>
            <w:pPr>
              <w:spacing w:after="0"/>
              <w:rPr>
                <w:sz w:val="1"/>
                <w:szCs w:val="1"/>
                <w:color w:val="auto"/>
              </w:rPr>
            </w:pPr>
          </w:p>
        </w:tc>
      </w:tr>
      <w:tr>
        <w:trPr>
          <w:trHeight w:val="243"/>
        </w:trPr>
        <w:tc>
          <w:tcPr>
            <w:tcW w:w="334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Corporate/Other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50,764</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48,382</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14.3%</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6,049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2,107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385,532</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rPr>
              <w:t>337,541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Adjusted comparable store sales growth</w:t>
            </w:r>
            <w:r>
              <w:rPr>
                <w:rFonts w:ascii="Arial" w:cs="Arial" w:eastAsia="Arial" w:hAnsi="Arial"/>
                <w:sz w:val="25"/>
                <w:szCs w:val="25"/>
                <w:color w:val="auto"/>
                <w:w w:val="96"/>
                <w:vertAlign w:val="superscript"/>
              </w:rPr>
              <w:t>(3)</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-183515</wp:posOffset>
            </wp:positionV>
            <wp:extent cx="723773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jc w:val="both"/>
        <w:ind w:left="660" w:hanging="328"/>
        <w:spacing w:after="0" w:line="241"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8. “Segment Reporting” in our unaudited condensed consolidated financial statements included in Part I. Item 1. of this Form 10-Q, with the exception of the legacy segment, which is adjusted as noted in clause (ii) of footnote (3) below.</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w:t>
      </w:r>
    </w:p>
    <w:p>
      <w:pPr>
        <w:spacing w:after="0" w:line="1" w:lineRule="exact"/>
        <w:rPr>
          <w:rFonts w:ascii="Arial" w:cs="Arial" w:eastAsia="Arial" w:hAnsi="Arial"/>
          <w:sz w:val="14"/>
          <w:szCs w:val="14"/>
          <w:color w:val="auto"/>
        </w:rPr>
      </w:pPr>
    </w:p>
    <w:p>
      <w:pPr>
        <w:jc w:val="both"/>
        <w:ind w:left="660" w:hanging="328"/>
        <w:spacing w:after="0" w:line="268" w:lineRule="auto"/>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1.5% and an increase of 0.8% from total comparable store sales growth based on consolidated net revenue for the three months ended June 30, 2018 and July 1, 2017, respectively, and (ii) adjusted comparable store sales growth includes retail sales to the legacy partner’s customers (rather than the revenues recognized consistent with the management &amp; services agreement), resulting in a decrease of 0.1% and 0.2% from total comparable store sales growth based on consolidated net revenue for the three months ended June 30, 2018 and July 1, 2017, respectively.</w:t>
      </w:r>
    </w:p>
    <w:p>
      <w:pPr>
        <w:spacing w:after="0" w:line="7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Total net revenue of $385.5 million for the three months ended June 30, 2018 increased $48.0 million, or 14.2%, from $337.5 million for the three months ended July 1, 2017. This increase was driven approximately 55% by comparable store sales growth, approximately 35% by new stores and approximately 10% by order volume in our AC Lens business within the corporate/other segment.</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three months ended June 30, 2018, we opened 25 new stores, including 23 America’s Best stores and two Eyeglass World stores. Additionally, we closed one America’s Best store and one Eyeglass World store. Overall, store count grew 7.1% from July 1, 2017 to June 30, 2018 (71 net new America’s Best locations were added and one Military location was closed in the 12 months ended June 30, 2018). Comparable store sales growth and adjusted comparable store sales growth were 10.4% and 8.8% for the three months ended June 30, 2018, respectively. Comparable store sales growth and adjusted comparable store sales growth were primarily driven by increases in customer transactions and, to a lesser extent, average ticket. We believe the increases in net revenue and customer transactions were primarily due to execution of our key strategies, including new store maturation, advertising and expansion of our participation in managed care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product sales increased $42.4 million, or 15.3%, in the three months ended June 30, 2018 compared to the three months ended July 1, 2017, driven primarily by eyeglass sales and, to a lesser extent, contact lens sales. Net sales of services and plans increased $5.5 million, or 9.1%, driven primarily by eye exam sales in our owned &amp; host segment. The eye exam increase was driven primarily by expanding participation in managed care programs and our store growth. To a lesser extent, warranty program sales and Eyecare Club membership sales also contributed to the increase. The warranty program sales increase was driven by our America’s Best brand. The increase in Eyecare Club membership sales was primarily driven by the $0.5 million deferred revenue accounting change in the three months ended June 30, 2018 discussed in Note 6. “Revenue From Contracts With Customers” of our unaudited condensed consolidated financial statements included in Part I. Item 1. of this Form 10-Q.</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changes in applicable California law, certain optometrists employed by FirstSight were transferred to a professional corporation that contracts directly with our legacy segment in the third quarter of fiscal year 2017. This change led to an increase in legacy segment eye exam revenue and optometrist payroll costs of $1.1 million and $0.8 million, respectively, in the three months ended June 30, 2018 and July 1, 2017, respectively. A corresponding decrease was recorded in our FirstSight subsidiary within the corporate/other segment. Therefore, the change had no impact on consolidated income from operations. As of June 30, 2018, approximately half of the applicable optometrists have been transferred, and we expect the remaining half to be transferred in the fourth quarter of fiscal year 2018.</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in connection with these changes in California law, effective October 1, 2017, FirstSight ceased the sale of vision managed care products in Walmart locations in California that are not operated by the Company. As a result, FirstSight net revenue and associated costs in the second quarter of fiscal year 2018 were both approximately $1.8 million lower than the second quarter of fiscal year 2017, and there was an immaterial impact on income from operations. In the balance of fiscal year 2018, we expect this change to negatively impact FirstSight net revenue and positively impact associated costs by approximately $1.8 million to $1.9 million in the third quarter, with an immaterial impact on income from operations.</w:t>
      </w:r>
    </w:p>
    <w:p>
      <w:pPr>
        <w:spacing w:after="0" w:line="3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for our owned &amp; host segment grew $40.1 million, or 16.1%, due to comparable store sales growth and</w:t>
      </w:r>
      <w:r>
        <w:rPr>
          <w:rFonts w:ascii="Arial" w:cs="Arial" w:eastAsia="Arial" w:hAnsi="Arial"/>
          <w:sz w:val="18"/>
          <w:szCs w:val="18"/>
          <w:i w:val="1"/>
          <w:iCs w:val="1"/>
          <w:color w:val="auto"/>
        </w:rPr>
        <w:t xml:space="preserve"> </w:t>
      </w:r>
      <w:r>
        <w:rPr>
          <w:rFonts w:ascii="Arial" w:cs="Arial" w:eastAsia="Arial" w:hAnsi="Arial"/>
          <w:sz w:val="18"/>
          <w:szCs w:val="18"/>
          <w:color w:val="auto"/>
        </w:rPr>
        <w:t>new store openings which increased sales across our key product categories. The growth was predominantly driven by performance in America’s Best and Eyeglass World.</w:t>
      </w:r>
    </w:p>
    <w:p>
      <w:pPr>
        <w:spacing w:after="0" w:line="7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for our legacy segment grew $1.5 million, or 4.1%, primarily driven by $1.2 million in incremental eye exam</w:t>
      </w:r>
      <w:r>
        <w:rPr>
          <w:rFonts w:ascii="Arial" w:cs="Arial" w:eastAsia="Arial" w:hAnsi="Arial"/>
          <w:sz w:val="18"/>
          <w:szCs w:val="18"/>
          <w:i w:val="1"/>
          <w:iCs w:val="1"/>
          <w:color w:val="auto"/>
        </w:rPr>
        <w:t xml:space="preserve"> </w:t>
      </w:r>
      <w:r>
        <w:rPr>
          <w:rFonts w:ascii="Arial" w:cs="Arial" w:eastAsia="Arial" w:hAnsi="Arial"/>
          <w:sz w:val="18"/>
          <w:szCs w:val="18"/>
          <w:color w:val="auto"/>
        </w:rPr>
        <w:t>sales, partially offset by lower customer transactions. The increased eye exam sales were primarily the result of changes to our FirstSight operations required by changes in applicable California law discussed above. The FirstSight operations changes resulted in a favorable impact of approximately 195 basis points in comparable store sales growth in the legacy segment.</w:t>
      </w:r>
    </w:p>
    <w:p>
      <w:pPr>
        <w:spacing w:after="0" w:line="7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Corporate/Other segment net revenue. </w:t>
      </w:r>
      <w:r>
        <w:rPr>
          <w:rFonts w:ascii="Arial" w:cs="Arial" w:eastAsia="Arial" w:hAnsi="Arial"/>
          <w:sz w:val="17"/>
          <w:szCs w:val="17"/>
          <w:color w:val="auto"/>
        </w:rPr>
        <w:t>Net revenue in the corporate/other segment increased $2.4 million, or 4.9%, driven by unit growth in our AC Lens</w:t>
      </w:r>
      <w:r>
        <w:rPr>
          <w:rFonts w:ascii="Arial" w:cs="Arial" w:eastAsia="Arial" w:hAnsi="Arial"/>
          <w:sz w:val="17"/>
          <w:szCs w:val="17"/>
          <w:i w:val="1"/>
          <w:iCs w:val="1"/>
          <w:color w:val="auto"/>
        </w:rPr>
        <w:t xml:space="preserve"> </w:t>
      </w:r>
      <w:r>
        <w:rPr>
          <w:rFonts w:ascii="Arial" w:cs="Arial" w:eastAsia="Arial" w:hAnsi="Arial"/>
          <w:sz w:val="17"/>
          <w:szCs w:val="17"/>
          <w:color w:val="auto"/>
        </w:rPr>
        <w:t>online retail business, partially offset by a $2.9 million reduction in sales as a result of the FirstSight operations changes discussed above.</w:t>
      </w:r>
    </w:p>
    <w:p>
      <w:pPr>
        <w:spacing w:after="0" w:line="38"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i w:val="1"/>
          <w:iCs w:val="1"/>
          <w:color w:val="auto"/>
        </w:rPr>
        <w:t xml:space="preserve">Net revenue reconciliations. </w:t>
      </w:r>
      <w:r>
        <w:rPr>
          <w:rFonts w:ascii="Arial" w:cs="Arial" w:eastAsia="Arial" w:hAnsi="Arial"/>
          <w:sz w:val="17"/>
          <w:szCs w:val="17"/>
          <w:color w:val="auto"/>
        </w:rPr>
        <w:t>Reconciliations include increases in deferred revenue of $1.0 million and $1.7 million, and decreases in unearned revenue of</w:t>
      </w:r>
      <w:r>
        <w:rPr>
          <w:rFonts w:ascii="Arial" w:cs="Arial" w:eastAsia="Arial" w:hAnsi="Arial"/>
          <w:sz w:val="17"/>
          <w:szCs w:val="17"/>
          <w:i w:val="1"/>
          <w:iCs w:val="1"/>
          <w:color w:val="auto"/>
        </w:rPr>
        <w:t xml:space="preserve"> </w:t>
      </w:r>
      <w:r>
        <w:rPr>
          <w:rFonts w:ascii="Arial" w:cs="Arial" w:eastAsia="Arial" w:hAnsi="Arial"/>
          <w:sz w:val="17"/>
          <w:szCs w:val="17"/>
          <w:color w:val="auto"/>
        </w:rPr>
        <w:t>$7.1 million and $3.8 million for the three months ended June 30, 2018 and July 1, 2017, respectively. The accounting change described in Note 1. “Description of Business and Basis of Presentation” of our unaudited condensed consolidated financial statements included in Part I. Item 1. of this Form 10-Q contributed to the lower increase in deferred revenue for the three months ended June 30, 2018 compared to the three months ended July 1, 2017, due to acceleration of deferred revenue amortization in the three months ended June 30, 2018. Deferred revenue for the three months ended June 30, 2018 was also driven by slower growth in our warranty program sales and Eyecare Club membership sales than other product categories. Differences between the change in unearned revenue for the three months ended June 30, 2018 and July 1, 2017 were primarily the result of differences in the average days for delivery and customer pick-up during those periods.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Costs applicable to revenue of $177.1 million for the three months ended June 30, 2018 increased $20.7 million, or 13.2%, from $156.4 million for the three months ended July 1, 2017. As a percentage of net revenue, costs applicable to revenue decreased from 46.3% for the three months ended July 1, 2017 to 45.9% for the three months ended June 30, 2018. The decrease was primarily driven by a higher mix of eye exam sales as a result of our growing managed care business and, to a lesser extent, increased eyeglass sales mix, partially offset by increased optometrist costs in the three months ended June 30, 2018. The increased eyeglass sales mix was primarily driven by faster growth in our owned &amp; host segment net revenue than other segments for the three months ended June 30, 2018 compared to the three months ended July 1, 2017. Our owned &amp; host segment has a higher percentage of eyeglass net revenue than other segments.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products as a percentage of net product sales decreased from 40.6% for the three months ended July 1, 2017 to 40.0% for the three months ended June 30, 2018, primarily driven by increased eyeglass sales as described above.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In the owned &amp; host segment, costs of products as a percentage of net product sales increased from 29.6%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July 1, 2017 to 29.8% for the three months ended June 30, 2018. The increase was primarily driven by certain contact lens vendor price increases in the three months ended June 30, 2018.</w:t>
      </w:r>
    </w:p>
    <w:p>
      <w:pPr>
        <w:spacing w:after="0" w:line="7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In the legacy segment, costs of products as a percentage of net product sales decreased from 47.5%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July 1, 2017 to 46.4% for the three months ended June 30, 2018. The decrease was primarily driven by increased eyeglass net revenue in the three months ended June 30, 2018 as a result of increased managed care business year-over-year. Legacy managed care net revenue is recorded in net product sales while revenue associated with servicing non-managed care customers is recorded in net sales of services and plans. Eyeglass costs for both managed care and non-managed care net revenue are recorded in costs of products. Changes in managed care customer mix have no impact on legacy segment EBITDA.</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of services and plans as a percentage of net sales of services and plans increased from 72.8% for the three months ended July 1, 2017 to 74.6% for the three months ended June 30, 2018. The increase was primarily driven by higher optometrist costs, partially offset by increased eye exam sales as a result of our growing managed care business. Optometrist costs increased as a result of store coverage in new markets and wage pressure in certain geographic markets.</w:t>
      </w:r>
    </w:p>
    <w:p>
      <w:pPr>
        <w:spacing w:after="0" w:line="79"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Owned &amp; host segment costs of services and plans. </w:t>
      </w:r>
      <w:r>
        <w:rPr>
          <w:rFonts w:ascii="Arial" w:cs="Arial" w:eastAsia="Arial" w:hAnsi="Arial"/>
          <w:sz w:val="16"/>
          <w:szCs w:val="16"/>
          <w:color w:val="auto"/>
        </w:rPr>
        <w:t>Costs of services and plans as a percentage of net sales of services and plans in the owned &amp; host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increased from 80.2% for the three months ended July 1, 2017 to 81.7% for the three months ended June 30, 2018. The increase was driven by higher optometrist costs as described above, partially offset by increased eye exam sales as a result of our growing managed care business.</w:t>
      </w:r>
    </w:p>
    <w:p>
      <w:pPr>
        <w:spacing w:after="0" w:line="39"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i w:val="1"/>
          <w:iCs w:val="1"/>
          <w:color w:val="auto"/>
        </w:rPr>
        <w:t xml:space="preserve">Legacy segment costs of services and plans. </w:t>
      </w:r>
      <w:r>
        <w:rPr>
          <w:rFonts w:ascii="Arial" w:cs="Arial" w:eastAsia="Arial" w:hAnsi="Arial"/>
          <w:sz w:val="16"/>
          <w:szCs w:val="16"/>
          <w:color w:val="auto"/>
        </w:rPr>
        <w:t>In the legacy segment, costs of services and plans as a percentage of net sales of services and plans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from 29.7% for the three months ended July 1, 2017 to 37.7% for the three months ended June 30, 2018. The increase was primarily driven by increased optometrist costs and, to a lesser extent, lower management fees, partially offset by increased eye exam sales. The higher optometrist costs and increased eye exam sales were both primarily the result of the FirstSight operations changes discussed in “—</w:t>
      </w:r>
      <w:r>
        <w:rPr>
          <w:rFonts w:ascii="Arial" w:cs="Arial" w:eastAsia="Arial" w:hAnsi="Arial"/>
          <w:sz w:val="16"/>
          <w:szCs w:val="16"/>
          <w:i w:val="1"/>
          <w:iCs w:val="1"/>
          <w:color w:val="auto"/>
        </w:rPr>
        <w:t>Net revenue”</w:t>
      </w:r>
      <w:r>
        <w:rPr>
          <w:rFonts w:ascii="Arial" w:cs="Arial" w:eastAsia="Arial" w:hAnsi="Arial"/>
          <w:sz w:val="16"/>
          <w:szCs w:val="16"/>
          <w:color w:val="auto"/>
        </w:rPr>
        <w:t xml:space="preserve"> above. Management fees from our legacy segment declined due to the corresponding impact of the increased managed care business as described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of $165.0 million for the three months ended June 30, 2018 increased $20.4 million, or 14.1%, from the three months ended July 1, 2017. As a percentage of net revenue, SG&amp;A was 42.9% for the three months ended July 1, 2017 compared to 42.8% for the three months ended June 30, 2018. The decrease in SG&amp;A as a percentage of net revenue was due to a decrease in store payroll as a percentage of net revenue partially offset by advertising expenses.</w:t>
      </w:r>
    </w:p>
    <w:p>
      <w:pPr>
        <w:spacing w:after="0" w:line="7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In the owned &amp; host segment, SG&amp;A as a percentage of net revenue was 39.0% for the three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38.7% for the three months ended July 1, 2017, driven primarily by advertising expenses.</w:t>
      </w:r>
    </w:p>
    <w:p>
      <w:pPr>
        <w:spacing w:after="0" w:line="6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In the legacy segment, SG&amp;A as a percentage of net revenue decreased from 35.8% for the three months ended July 1, 2017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34.3% for the three months ended June 30, 2018, driven primarily by lower payroll as a percentage of net revenue as well as advertising expenses. The decrease of lower payroll as a percentage of net revenue was related to the increase in legacy segment eye exam revenues from the FirstSight operations changes discussed in </w:t>
      </w:r>
      <w:r>
        <w:rPr>
          <w:rFonts w:ascii="Arial" w:cs="Arial" w:eastAsia="Arial" w:hAnsi="Arial"/>
          <w:sz w:val="18"/>
          <w:szCs w:val="18"/>
          <w:i w:val="1"/>
          <w:iCs w:val="1"/>
          <w:color w:val="auto"/>
        </w:rPr>
        <w:t>“Net Revenue”</w:t>
      </w:r>
      <w:r>
        <w:rPr>
          <w:rFonts w:ascii="Arial" w:cs="Arial" w:eastAsia="Arial" w:hAnsi="Arial"/>
          <w:sz w:val="18"/>
          <w:szCs w:val="18"/>
          <w:color w:val="auto"/>
        </w:rPr>
        <w:t xml:space="preserve"> above.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and amortization expense of $17.3 million for the three months ended June 30, 2018 increased $2.7 million, or 18.6%, from $14.6 million for the three months ended July 1, 2017 primarily driven by new store openings, as well as investments in optical laboratories, distribution centers and information technology infrastructure, including omni-channel platform related investments. Our property and equipment balance, net, increased $17.1 million, or 5.5%, during the three months ended June 30, 2018, reflective of $26.2 million in purchases of property and equipment, $6.4 million in new capital leases, less $15.3 million in depreciation expense and $0.2 million in other adjustments. New assets are out-pacing retirements, therefore, we expect continued increases in depreciation expense for the foreseeable future as we continue to execute our growth strategy.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expense, net, of $9.4 million for the three months ended June 30, 2018 decreased $5.2 million, or 35.5%, from $14.6 million for the three months ended July 1, 2017. Interest expense decreased $4.5 million resulting from the payoff of our $125.0 million second lien term loans and $235.0 million in outstanding amount of our first lien term loans, during the fourth quarter of fiscal year 2017. An additional decrease of $0.6 million resulted from a reduction of deferred debt cost amortization, and corresponding reduction of discounts, related to repayment of outstanding debt in connection with our initial public offering (the “IPO”) during the fourth quarter of fiscal year 2017. These reductions were partially offset with $0.3 million in additional interest expense relating to capital leases obligations during the three months ended June 30,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quarterly effective income tax rate (“ETR”) was 20.1% and (76.0)% for three months ended June 30, 2018 and July 1, 2017, respectively. The ETR of 20.1% for the three months ended June 30, 2018 reflected the reduced federal statutory rate from 35% to 21% as part of the Tax Cuts and Jobs Act of 2017, effective for tax years beginning on or after January 1, 2018. During the three months ended June 30, 2018, our expected combined statutory federal and state rate was reduced 8.4% by a $1.4 million income tax benefit resulting from stock option exercises. Other items aggregated to $0.3 million or 2.1% increase in the rate for the period.</w:t>
      </w:r>
    </w:p>
    <w:p>
      <w:pPr>
        <w:spacing w:after="0" w:line="292" w:lineRule="exact"/>
        <w:rPr>
          <w:sz w:val="20"/>
          <w:szCs w:val="20"/>
          <w:color w:val="auto"/>
        </w:rPr>
      </w:pPr>
    </w:p>
    <w:p>
      <w:pPr>
        <w:ind w:right="5480"/>
        <w:spacing w:after="0" w:line="378" w:lineRule="auto"/>
        <w:rPr>
          <w:sz w:val="20"/>
          <w:szCs w:val="20"/>
          <w:color w:val="auto"/>
        </w:rPr>
      </w:pPr>
      <w:r>
        <w:rPr>
          <w:rFonts w:ascii="Arial" w:cs="Arial" w:eastAsia="Arial" w:hAnsi="Arial"/>
          <w:sz w:val="18"/>
          <w:szCs w:val="18"/>
          <w:b w:val="1"/>
          <w:bCs w:val="1"/>
          <w:color w:val="auto"/>
        </w:rPr>
        <w:t xml:space="preserve">Six Months Ended June 30, 2018 compared to Six Months Ended July 1, 2017 </w:t>
      </w:r>
      <w:r>
        <w:rPr>
          <w:rFonts w:ascii="Arial" w:cs="Arial" w:eastAsia="Arial" w:hAnsi="Arial"/>
          <w:sz w:val="18"/>
          <w:szCs w:val="18"/>
          <w:i w:val="1"/>
          <w:iCs w:val="1"/>
          <w:color w:val="auto"/>
        </w:rPr>
        <w:t>Net revenue</w:t>
      </w:r>
    </w:p>
    <w:p>
      <w:pPr>
        <w:jc w:val="both"/>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six months ended June 30, 2018 compared to the six months ended July 1, 2017.</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Comparable store sales growth</w:t>
            </w:r>
            <w:r>
              <w:rPr>
                <w:rFonts w:ascii="Arial" w:cs="Arial" w:eastAsia="Arial" w:hAnsi="Arial"/>
                <w:sz w:val="8"/>
                <w:szCs w:val="8"/>
                <w:b w:val="1"/>
                <w:bCs w:val="1"/>
                <w:color w:val="auto"/>
                <w:w w:val="94"/>
              </w:rPr>
              <w:t>(1)</w:t>
            </w:r>
          </w:p>
        </w:tc>
        <w:tc>
          <w:tcPr>
            <w:tcW w:w="100" w:type="dxa"/>
            <w:vAlign w:val="bottom"/>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Stores open at end of period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8"/>
                <w:szCs w:val="8"/>
                <w:b w:val="1"/>
                <w:bCs w:val="1"/>
                <w:color w:val="auto"/>
              </w:rPr>
              <w:t>(2)</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Six Months</w:t>
            </w: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Six Months</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3"/>
                <w:szCs w:val="13"/>
                <w:color w:val="auto"/>
              </w:rPr>
            </w:pPr>
          </w:p>
        </w:tc>
        <w:tc>
          <w:tcPr>
            <w:tcW w:w="168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980" w:type="dxa"/>
            <w:vAlign w:val="bottom"/>
            <w:gridSpan w:val="2"/>
            <w:vMerge w:val="continue"/>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July 1, 2017</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percentage and store data</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July 1, 2017</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1, 2017</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America’s Best</w:t>
            </w:r>
          </w:p>
        </w:tc>
        <w:tc>
          <w:tcPr>
            <w:tcW w:w="1000" w:type="dxa"/>
            <w:vAlign w:val="bottom"/>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503,482</w:t>
            </w:r>
          </w:p>
        </w:tc>
        <w:tc>
          <w:tcPr>
            <w:tcW w:w="760" w:type="dxa"/>
            <w:vAlign w:val="bottom"/>
          </w:tcPr>
          <w:p>
            <w:pPr>
              <w:jc w:val="right"/>
              <w:spacing w:after="0"/>
              <w:rPr>
                <w:sz w:val="20"/>
                <w:szCs w:val="20"/>
                <w:color w:val="auto"/>
              </w:rPr>
            </w:pPr>
            <w:r>
              <w:rPr>
                <w:rFonts w:ascii="Arial" w:cs="Arial" w:eastAsia="Arial" w:hAnsi="Arial"/>
                <w:sz w:val="18"/>
                <w:szCs w:val="18"/>
                <w:color w:val="auto"/>
              </w:rPr>
              <w:t>63.5 %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53"/>
              <w:spacing w:after="0"/>
              <w:rPr>
                <w:sz w:val="20"/>
                <w:szCs w:val="20"/>
                <w:color w:val="auto"/>
              </w:rPr>
            </w:pPr>
            <w:r>
              <w:rPr>
                <w:rFonts w:ascii="Arial" w:cs="Arial" w:eastAsia="Arial" w:hAnsi="Arial"/>
                <w:sz w:val="18"/>
                <w:szCs w:val="18"/>
                <w:color w:val="auto"/>
              </w:rPr>
              <w:t>438,837</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62.0 %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Eyeglass World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85,887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77,653</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11.0 %</w:t>
            </w:r>
          </w:p>
        </w:tc>
        <w:tc>
          <w:tcPr>
            <w:tcW w:w="0" w:type="dxa"/>
            <w:vAlign w:val="bottom"/>
          </w:tcPr>
          <w:p>
            <w:pPr>
              <w:spacing w:after="0"/>
              <w:rPr>
                <w:sz w:val="1"/>
                <w:szCs w:val="1"/>
                <w:color w:val="auto"/>
              </w:rPr>
            </w:pP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Military</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13,024</w:t>
            </w:r>
          </w:p>
        </w:tc>
        <w:tc>
          <w:tcPr>
            <w:tcW w:w="7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53"/>
              <w:spacing w:after="0"/>
              <w:rPr>
                <w:sz w:val="20"/>
                <w:szCs w:val="20"/>
                <w:color w:val="auto"/>
              </w:rPr>
            </w:pPr>
            <w:r>
              <w:rPr>
                <w:rFonts w:ascii="Arial" w:cs="Arial" w:eastAsia="Arial" w:hAnsi="Arial"/>
                <w:sz w:val="18"/>
                <w:szCs w:val="18"/>
                <w:color w:val="auto"/>
              </w:rPr>
              <w:t>13,089</w:t>
            </w:r>
          </w:p>
        </w:tc>
        <w:tc>
          <w:tcPr>
            <w:tcW w:w="56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Fred Meyer</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7,617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7,208</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7"/>
        </w:trPr>
        <w:tc>
          <w:tcPr>
            <w:tcW w:w="3300" w:type="dxa"/>
            <w:vAlign w:val="bottom"/>
            <w:gridSpan w:val="2"/>
          </w:tcPr>
          <w:p>
            <w:pPr>
              <w:ind w:left="40"/>
              <w:spacing w:after="0"/>
              <w:rPr>
                <w:sz w:val="20"/>
                <w:szCs w:val="20"/>
                <w:color w:val="auto"/>
              </w:rPr>
            </w:pPr>
            <w:r>
              <w:rPr>
                <w:rFonts w:ascii="Arial" w:cs="Arial" w:eastAsia="Arial" w:hAnsi="Arial"/>
                <w:sz w:val="18"/>
                <w:szCs w:val="18"/>
                <w:color w:val="auto"/>
              </w:rPr>
              <w:t>Owned &amp; host segment total</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610,010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76.9 %</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536,787</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75.9 %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Legacy segment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81,864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79,301</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11.2 %</w:t>
            </w:r>
          </w:p>
        </w:tc>
        <w:tc>
          <w:tcPr>
            <w:tcW w:w="0" w:type="dxa"/>
            <w:vAlign w:val="bottom"/>
          </w:tcPr>
          <w:p>
            <w:pPr>
              <w:spacing w:after="0"/>
              <w:rPr>
                <w:sz w:val="1"/>
                <w:szCs w:val="1"/>
                <w:color w:val="auto"/>
              </w:rPr>
            </w:pPr>
          </w:p>
        </w:tc>
      </w:tr>
      <w:tr>
        <w:trPr>
          <w:trHeight w:val="243"/>
        </w:trPr>
        <w:tc>
          <w:tcPr>
            <w:tcW w:w="330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Corporate/Other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ind w:right="153"/>
              <w:spacing w:after="0"/>
              <w:rPr>
                <w:sz w:val="20"/>
                <w:szCs w:val="20"/>
                <w:color w:val="auto"/>
              </w:rPr>
            </w:pPr>
            <w:r>
              <w:rPr>
                <w:rFonts w:ascii="Arial" w:cs="Arial" w:eastAsia="Arial" w:hAnsi="Arial"/>
                <w:sz w:val="18"/>
                <w:szCs w:val="18"/>
                <w:color w:val="auto"/>
              </w:rPr>
              <w:t>102,597</w:t>
            </w:r>
          </w:p>
        </w:tc>
        <w:tc>
          <w:tcPr>
            <w:tcW w:w="76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53"/>
              <w:spacing w:after="0"/>
              <w:rPr>
                <w:sz w:val="20"/>
                <w:szCs w:val="20"/>
                <w:color w:val="auto"/>
              </w:rPr>
            </w:pPr>
            <w:r>
              <w:rPr>
                <w:rFonts w:ascii="Arial" w:cs="Arial" w:eastAsia="Arial" w:hAnsi="Arial"/>
                <w:sz w:val="18"/>
                <w:szCs w:val="18"/>
                <w:color w:val="auto"/>
              </w:rPr>
              <w:t>96,114</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13.6 %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1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(964)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(4,802)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(0.7)%</w:t>
            </w:r>
          </w:p>
        </w:tc>
        <w:tc>
          <w:tcPr>
            <w:tcW w:w="0" w:type="dxa"/>
            <w:vAlign w:val="bottom"/>
          </w:tcPr>
          <w:p>
            <w:pPr>
              <w:spacing w:after="0"/>
              <w:rPr>
                <w:sz w:val="1"/>
                <w:szCs w:val="1"/>
                <w:color w:val="auto"/>
              </w:rPr>
            </w:pPr>
          </w:p>
        </w:tc>
      </w:tr>
      <w:tr>
        <w:trPr>
          <w:trHeight w:val="297"/>
        </w:trPr>
        <w:tc>
          <w:tcPr>
            <w:tcW w:w="33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8"/>
                <w:szCs w:val="18"/>
                <w:color w:val="auto"/>
              </w:rPr>
              <w:t>793,507</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8"/>
                <w:szCs w:val="18"/>
                <w:color w:val="auto"/>
              </w:rPr>
              <w:t>707,400</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c>
          <w:tcPr>
            <w:tcW w:w="0" w:type="dxa"/>
            <w:vAlign w:val="bottom"/>
          </w:tcPr>
          <w:p>
            <w:pPr>
              <w:spacing w:after="0"/>
              <w:rPr>
                <w:sz w:val="1"/>
                <w:szCs w:val="1"/>
                <w:color w:val="auto"/>
              </w:rPr>
            </w:pPr>
          </w:p>
        </w:tc>
      </w:tr>
      <w:tr>
        <w:trPr>
          <w:trHeight w:val="257"/>
        </w:trPr>
        <w:tc>
          <w:tcPr>
            <w:tcW w:w="330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w w:val="95"/>
              </w:rPr>
              <w:t>Adjusted comparable store sales growth</w:t>
            </w:r>
            <w:r>
              <w:rPr>
                <w:rFonts w:ascii="Arial" w:cs="Arial" w:eastAsia="Arial" w:hAnsi="Arial"/>
                <w:sz w:val="25"/>
                <w:szCs w:val="25"/>
                <w:color w:val="auto"/>
                <w:w w:val="95"/>
                <w:vertAlign w:val="superscript"/>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60" w:hanging="328"/>
        <w:spacing w:after="0" w:line="245"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8. “Segment Reporting” in our unaudited condensed consolidated financial statements included in Part I. Item 1. of this Form 10-Q, with the exception of the legacy segment, which is adjusted as noted in clause (ii) of footnote (3) below.</w:t>
      </w:r>
    </w:p>
    <w:p>
      <w:pPr>
        <w:ind w:left="660" w:hanging="328"/>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w:t>
      </w:r>
    </w:p>
    <w:p>
      <w:pPr>
        <w:spacing w:after="0" w:line="1" w:lineRule="exact"/>
        <w:rPr>
          <w:rFonts w:ascii="Arial" w:cs="Arial" w:eastAsia="Arial" w:hAnsi="Arial"/>
          <w:sz w:val="14"/>
          <w:szCs w:val="14"/>
          <w:color w:val="auto"/>
        </w:rPr>
      </w:pPr>
    </w:p>
    <w:p>
      <w:pPr>
        <w:jc w:val="both"/>
        <w:ind w:left="660" w:hanging="328"/>
        <w:spacing w:after="0" w:line="245"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1.0% and 0.1% from total comparable store sales growth based on consolidated net revenue for the six months ended June 30, 2018 and July 1, 2017, respectively, and (ii) adjusted comparable store sales growth includes retail sales to the legacy partner’s customers (rather than the revenues recognized consistent with the management &amp; services agreement), resulting in a decrease of 0.4% from total comparable store sales growth based on consolidated net revenue for the six months ended July 1, 2017.</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net revenue of $793.5 million for the six months ended June 30, 2018 increased $86.1 million, or 12.2%, from $707.4 million for the six months ended July 1, 2017. This increase was driven approximately 45% by comparable store sales growth, approximately 45% by new stores and approximately 10% by order volume in our AC Lens business within the corporate/other segment.</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six months ended June 30, 2018, we opened 40 new stores, including 38 new America’s Best stores and two Eyeglass World stores. Additionally, we closed two America’s Best stores and one Eyeglass World store. Overall, store count grew 7.1% from July 1, 2017 to June 30, 2018 (71 net new America’s Best locations were added and one Military location was closed in the 12 months ended June 30, 2018). Comparable store sales growth and adjusted comparable store sales growth were 7.5% and 6.5% for the six months ended June 30, 2018, respectively. Comparable store sales growth and adjusted comparable store sales growth were driven primarily by increases in customer transactions and, to a lesser extent, average ticket. We believe the increases in net revenue and customer transactions were primarily due to execution of our key strategies, including new store maturation, advertising and expansion of our participation in managed care programs.</w:t>
      </w:r>
    </w:p>
    <w:p>
      <w:pPr>
        <w:spacing w:after="0" w:line="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product sales increased $74.6 million, or 12.8%, in the six months ended June 30, 2018 compared to the six months ended July 1, 2017, driven primarily by eyeglass sales and, to a lesser extent, contact lens sales. Net sales of services and plans increased $11.5 million, or 9.3%, driven primarily by eye exam sales in our owned &amp; host segment. The eye exam increase was driven primarily by expanding participation in managed care programs and our store growth. To a lesser extent, warranty program sales and Eyecare Club membership sales also contributed to the increase. The warranty program sales increase was driven by our America’s Best brand. The increase in Eyecare Club membership sales was primarily driven by the $1.4 million deferred revenue accounting change in the six months ended June 30, 2018 discussed in Note 6. “Revenue From Contracts With Customers” of our unaudited condensed consolidated financial statements included in Part I. Item 1. of this Form 10-Q.</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changes in applicable California law, certain optometrists employed by FirstSight were transferred to a professional corporation that contracts directly with our legacy segment in the third quarter of fiscal year 2017. This change led to an increase in legacy segment eye exam revenue and optometrist payroll costs of $2.3 million and $1.6 million, respectively, in the six months ended June 30, 2018. A corresponding decrease was recorded in our FirstSight subsidiary within the corporate/other segment. Therefore, the change had no impact on consolidated income from operations. As of June 30, 2018, approximately half of the applicable optometrists have been transferred, and we expect the remaining half to be transferred in the fourth quarter of fiscal year 2018.</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in connection with these changes in California law, effective October 1, 2017, FirstSight ceased the sale of vision managed care products in Walmart locations in California that are not operated by the Company. As a result, FirstSight net revenue and associated costs in the six months ended June 30, 2018 were both approximately $3.6 million lower than the six months ended July 1, 2017, and there was an immaterial impact on income from operations. In the balance of fiscal year 2018, we expect this change to negatively impact FirstSight net revenue and positively impact associated costs by approximately $1.8 million to $1.9 million in the third quarter, with an immaterial impact on income from operations.</w:t>
      </w:r>
    </w:p>
    <w:p>
      <w:pPr>
        <w:spacing w:after="0" w:line="3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for our owned &amp; host segment increased $73.2 million, or 13.6%, due to comparable store sales growth</w:t>
      </w:r>
      <w:r>
        <w:rPr>
          <w:rFonts w:ascii="Arial" w:cs="Arial" w:eastAsia="Arial" w:hAnsi="Arial"/>
          <w:sz w:val="18"/>
          <w:szCs w:val="18"/>
          <w:i w:val="1"/>
          <w:iCs w:val="1"/>
          <w:color w:val="auto"/>
        </w:rPr>
        <w:t xml:space="preserve"> </w:t>
      </w:r>
      <w:r>
        <w:rPr>
          <w:rFonts w:ascii="Arial" w:cs="Arial" w:eastAsia="Arial" w:hAnsi="Arial"/>
          <w:sz w:val="18"/>
          <w:szCs w:val="18"/>
          <w:color w:val="auto"/>
        </w:rPr>
        <w:t>and new store openings which increased sales across our key product categories. The growth was predominately driven by performance in America’s Best and Eyeglass World.</w:t>
      </w:r>
    </w:p>
    <w:p>
      <w:pPr>
        <w:spacing w:after="0" w:line="7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for our legacy segment grew $2.6 million, or 3.2%, primarily driven by $2.5 million in incremental eye exam</w:t>
      </w:r>
      <w:r>
        <w:rPr>
          <w:rFonts w:ascii="Arial" w:cs="Arial" w:eastAsia="Arial" w:hAnsi="Arial"/>
          <w:sz w:val="18"/>
          <w:szCs w:val="18"/>
          <w:i w:val="1"/>
          <w:iCs w:val="1"/>
          <w:color w:val="auto"/>
        </w:rPr>
        <w:t xml:space="preserve"> </w:t>
      </w:r>
      <w:r>
        <w:rPr>
          <w:rFonts w:ascii="Arial" w:cs="Arial" w:eastAsia="Arial" w:hAnsi="Arial"/>
          <w:sz w:val="18"/>
          <w:szCs w:val="18"/>
          <w:color w:val="auto"/>
        </w:rPr>
        <w:t>sales, partially offset by lower customer transactions. The increased eye exam sales were primarily the result of changes to our FirstSight operations required by changes in applicable California law discussed above. The FirstSight operations changes resulted in a favorable impact of approximately 200 basis points in comparable store sales growth in the legacy segment.</w:t>
      </w:r>
    </w:p>
    <w:p>
      <w:pPr>
        <w:spacing w:after="0" w:line="7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 the corporate/other segment increased $6.5 million, or 6.7%, driven by unit growth in our AC Lens</w:t>
      </w:r>
      <w:r>
        <w:rPr>
          <w:rFonts w:ascii="Arial" w:cs="Arial" w:eastAsia="Arial" w:hAnsi="Arial"/>
          <w:sz w:val="18"/>
          <w:szCs w:val="18"/>
          <w:i w:val="1"/>
          <w:iCs w:val="1"/>
          <w:color w:val="auto"/>
        </w:rPr>
        <w:t xml:space="preserve"> </w:t>
      </w:r>
      <w:r>
        <w:rPr>
          <w:rFonts w:ascii="Arial" w:cs="Arial" w:eastAsia="Arial" w:hAnsi="Arial"/>
          <w:sz w:val="18"/>
          <w:szCs w:val="18"/>
          <w:color w:val="auto"/>
        </w:rPr>
        <w:t>online retail business and, to a lesser extent, unit growth in our wholesale order fulfillment business, partially offset by a $5.9 million reduction in sales as a result of the FirstSight operations changes discussed above.</w:t>
      </w:r>
    </w:p>
    <w:p>
      <w:pPr>
        <w:spacing w:after="0" w:line="73"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Reconciliations include increases in deferred revenue of $5.3 million and $7.6 million, and decreases in unearned revenue of</w:t>
      </w:r>
      <w:r>
        <w:rPr>
          <w:rFonts w:ascii="Arial" w:cs="Arial" w:eastAsia="Arial" w:hAnsi="Arial"/>
          <w:sz w:val="16"/>
          <w:szCs w:val="16"/>
          <w:i w:val="1"/>
          <w:iCs w:val="1"/>
          <w:color w:val="auto"/>
        </w:rPr>
        <w:t xml:space="preserve"> </w:t>
      </w:r>
      <w:r>
        <w:rPr>
          <w:rFonts w:ascii="Arial" w:cs="Arial" w:eastAsia="Arial" w:hAnsi="Arial"/>
          <w:sz w:val="16"/>
          <w:szCs w:val="16"/>
          <w:color w:val="auto"/>
        </w:rPr>
        <w:t>$4.3 million and $2.8 million for the six months ended June 30, 2018 and July 1, 2017, respectively. The accounting change described in Note 1. “Description of Business and Basis of Presentation” of our unaudited condensed consolidated financial statements included in Part I. Item 1. of this Form 10-Q contributed to the lower increase in deferred revenue for the six months ended June 30, 2018 compared to the six months ended July 1, 2017, due to acceleration of deferred revenue amortization in the six months ended June 30, 2018. Deferred revenue for the six months ended June 30, 2018 was also driven by slower growth in our warranty program sales and Eyecare Club membership sales than other product categories.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Differences between the change in unearned revenue for the six months ended June 30, 2018 and July 1, 2017 were primarily the result of calendar influences on cash basis sales of prescription eyewear in our stores the last few days of the respective quarter, and differences in the average days for delivery and customer pick-up during those periods. Unearned revenue was higher in December 2016 compared to December 2017 due to an extra sales day in the 2016 period as a result of the timing of the Christmas holiday. The combination of these factors resulted in an overall increase in unearned revenue growth in the six months ended June 30, 2018 when compared to the six months ended July 1, 2017.</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applicable to revenue of $357.5 million for the six months ended June 30, 2018 increased $35.3 million, or 11.0%, from $322.2 million for the six months ended July 1, 2017. As a percentage of net revenue, costs applicable to revenue decreased from 45.5% for the six months ended July 1, 2017 to 45.1% for the six months ended June 30, 2018. The decrease was primarily driven by a higher mix of eye exam sales as a result of our growing managed care business and a $2.3 million inventory write-off in the six months ended July 1, 2017, partially offset by increased optometrist costs in the six months ended June 30, 2018.</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Costs of products as a percentage of net product sales decreased from 40.0% for the six months ended July 1, 2017 to 39.3% for the six months ended June 30, 2018, driven by the $2.3 million inventory write-off and the impact of legacy managed care business as further described below, partially offset by our growing AC Lens business. The inventory write-off recorded in our corporate/other segment in the six months ended July 1, 2017 was related to slow-moving contact lens inventory which had expired or would expire prior to possible sale. No such write-off was recorded in the six months ended June 30, 2018. Our AC Lens net revenue grew slightly faster than our store brands in the six months ended June 30, 2018, and AC Lens had a higher cost of products as a percentage of net revenue than our other businesses.</w:t>
      </w:r>
    </w:p>
    <w:p>
      <w:pPr>
        <w:spacing w:after="0" w:line="8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In the owned &amp; host segment, costs of products as a percentage of net product sales was 29.1%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July 1, 2017 compared to 29.0% for the six months ended June 30, 2018.</w:t>
      </w:r>
    </w:p>
    <w:p>
      <w:pPr>
        <w:spacing w:after="0" w:line="6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Legacy segment costs of products. </w:t>
      </w:r>
      <w:r>
        <w:rPr>
          <w:rFonts w:ascii="Arial" w:cs="Arial" w:eastAsia="Arial" w:hAnsi="Arial"/>
          <w:sz w:val="16"/>
          <w:szCs w:val="16"/>
          <w:color w:val="auto"/>
        </w:rPr>
        <w:t>In the legacy segment, costs of products as a percentage of net product sales decreased from 47.3%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July 1, 2017 to 45.3% for the six months ended June 30, 2018. The decrease was primarily driven by increased eyeglass net revenue in the six months ended June 30, 2018 as a result of increased managed care business year-over-year and the one-time sale of contact lens inventory at cost to our legacy partner in the six months ended July 1, 2017. Legacy segment managed care net revenue is recorded in net product sales while revenue associated with servicing non-managed care customers is recorded in net sales of services and plans. Eyeglass costs for both managed care and non-managed care net revenue are recorded in costs of products. Changes in managed care customer mix have no impact on legacy segment EBITDA.</w:t>
      </w:r>
    </w:p>
    <w:p>
      <w:pPr>
        <w:spacing w:after="0" w:line="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Costs of services and plans as a percentage of net sales of services and plans increased from 71.8% for the six months ended July 1, 2017 to 73.1% for the six months ended June 30, 2018. The increase was primarily driven by higher optometrist costs, partially offset by increased eye exam sales as a result of our growing managed care business. Optometrist costs increased as a result of store coverage in new markets and wage pressure in certain geographic markets.</w:t>
      </w:r>
    </w:p>
    <w:p>
      <w:pPr>
        <w:spacing w:after="0" w:line="39"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Owned &amp; host segment costs of services and plans. </w:t>
      </w:r>
      <w:r>
        <w:rPr>
          <w:rFonts w:ascii="Arial" w:cs="Arial" w:eastAsia="Arial" w:hAnsi="Arial"/>
          <w:sz w:val="16"/>
          <w:szCs w:val="16"/>
          <w:color w:val="auto"/>
        </w:rPr>
        <w:t>Costs of services and plans as a percentage of net sales of services and plans in the owned &amp; host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increased from 75.8% for the six months ended July 1, 2017 to 77.8% for the six months ended June 30, 2018. The increase was driven by higher optometrist costs as described above, partially offset by increased eye exam sales as a result of our growing managed care business.</w:t>
      </w:r>
    </w:p>
    <w:p>
      <w:pPr>
        <w:spacing w:after="0" w:line="39"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i w:val="1"/>
          <w:iCs w:val="1"/>
          <w:color w:val="auto"/>
        </w:rPr>
        <w:t xml:space="preserve">Legacy segment costs of services and plans. </w:t>
      </w:r>
      <w:r>
        <w:rPr>
          <w:rFonts w:ascii="Arial" w:cs="Arial" w:eastAsia="Arial" w:hAnsi="Arial"/>
          <w:sz w:val="16"/>
          <w:szCs w:val="16"/>
          <w:color w:val="auto"/>
        </w:rPr>
        <w:t>In the legacy segment, costs of services and plans as a percentage of net sales of services and plans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from 29.3% for the six months ended July 1, 2017 to 37.0% for the six months ended June 30, 2018. The increase was primarily driven by increased optometrist costs and, to a lesser extent, lower management fees, partially offset by increased eye exam sales. The higher optometrist costs and increased eye exam sales were both primarily the result of the FirstSight operations changes discussed in “</w:t>
      </w:r>
      <w:r>
        <w:rPr>
          <w:rFonts w:ascii="Arial" w:cs="Arial" w:eastAsia="Arial" w:hAnsi="Arial"/>
          <w:sz w:val="16"/>
          <w:szCs w:val="16"/>
          <w:i w:val="1"/>
          <w:iCs w:val="1"/>
          <w:color w:val="auto"/>
        </w:rPr>
        <w:t>Net revenue”</w:t>
      </w:r>
      <w:r>
        <w:rPr>
          <w:rFonts w:ascii="Arial" w:cs="Arial" w:eastAsia="Arial" w:hAnsi="Arial"/>
          <w:sz w:val="16"/>
          <w:szCs w:val="16"/>
          <w:color w:val="auto"/>
        </w:rPr>
        <w:t xml:space="preserve"> above. Management fees from our legacy segment declined due to the corresponding impact of the increased managed care business as described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of $335.1 million for the six months ended June 30, 2018 increased $40.7 million, or 13.8%, from the six months ended July 1, 2017. As a percentage of net revenue, SG&amp;A increased from 41.6% for the six months ended July 1, 2017 to 42.2% for the six months ended June 30, 2018. The increase as a percentage of net revenue was primarily driven by advertising expenses.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In the owned &amp; host segment, SG&amp;A as a percentage of net revenue increased from 37.3% for the six months ended July 1, 2017</w:t>
      </w:r>
      <w:r>
        <w:rPr>
          <w:rFonts w:ascii="Arial" w:cs="Arial" w:eastAsia="Arial" w:hAnsi="Arial"/>
          <w:sz w:val="18"/>
          <w:szCs w:val="18"/>
          <w:i w:val="1"/>
          <w:iCs w:val="1"/>
          <w:color w:val="auto"/>
        </w:rPr>
        <w:t xml:space="preserve"> </w:t>
      </w:r>
      <w:r>
        <w:rPr>
          <w:rFonts w:ascii="Arial" w:cs="Arial" w:eastAsia="Arial" w:hAnsi="Arial"/>
          <w:sz w:val="18"/>
          <w:szCs w:val="18"/>
          <w:color w:val="auto"/>
        </w:rPr>
        <w:t>to 37.8% for the six months ended June 30, 2018, driven primarily by advertising expenses.</w:t>
      </w:r>
    </w:p>
    <w:p>
      <w:pPr>
        <w:spacing w:after="0" w:line="6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In the legacy segment, SG&amp;A as a percentage of net revenue was 33.0% for the six months ended July 1,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32.9% for the six months ended June 30,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expense of $35.0 million for the six months ended June 30, 2018 increased $5.9 million, or 20.5%, from $29.1 million for the six months ended July 1, 2017 primarily driven by new store openings, as well as investments in optical laboratories, distribution centers and information technology infrastructure. Our property and equipment balance, net, increased $23.9 million, or 7.9%, during the six months ended June 30, 2018, reflective of $47.1 million in purchases of property and equipment, $7.8 million in new capital leases, less $30.8 million in depreciation expense and $0.2 million in other adjustments. New assets are out-pacing retirements, therefore, we expect continued increases in depreciation expense for the foreseeable future as we continue to execute our growth strategy.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expense, net, of $18.7 million for the six months ended June 30, 2018 decreased $7.4 million, or 28.2%, from $26.1 million for the six months ended July 1, 2017. Interest expense decreased $8.9 million resulting from the payoff of our $125.0 million second lien term loans and $235.0 million in outstanding amount of our first lien term loans, during the fourth quarter of fiscal year 2017, partially offset by approximately $2.2 million in interest paid to counterparties associated with our derivative cash flow hedges which became effective in March 2017, but were in effect for the full six months ended June 30, 2018. An additional decrease of $1.2 million interest expense resulted from the reduction of deferred debt cost amortization, and corresponding reduction of discounts, related to repayment of outstanding debt in connection with our IPO during the fourth quarter of fiscal year 2017. These reductions were partially offset with an increase of $0.5 million in interest expense relating to capital lease obligations during the six months ended June 30, 2018.</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ETR was 18.4% and 36.9% for the six months ended June 30, 2018 and July 1, 2017, respectively. The favorable change in the year to date ETR for the six months ended June 30, 2018 was due to the reduced federal statutory rate from 35% to 21% as part of the Tax Cuts and Jobs Act of 2017, effective for tax years beginning on or after January 1, 2018. During the six months ended June 30, 2018, our expected combined statutory federal and state rate was reduced 8.7% by a $4.1 million income tax benefit resulting from stock option exercises. Other items aggregated to $0.5 million, an increase in ETR of 1.1%, in the same period.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Adjusted EBITDA Margin and Adjusted Net Income</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define EBITDA as net income, plus interest expense, income tax provision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secondary offering expenses and other expenses. We describe these adjustments reconciling net income to EBITDA and Adjusted EBITDA in the tables below.We define Adjusted EBITDA Margin as Adjusted EBITDA as a percentage of total net revenue. We define Adjusted Net Income as net income, plus stock compensation expense, costs associated with debt refinancing, asset impairment, non-cash inventory write-offs, management fees, new store pre-opening expenses, non-cash rent, litigation settlement, secondary offering expenses, amortization of acquisition intangibles and deferred financing costs and other expenses, tax benefit of stock option exercises less the tax effect of these adjustments. We describe these adjustments reconciling net income to Adjusted Net Income in the tables below.</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Adjusted EBITDA, Adjusted EBITDA Margin and Adjusted Net Income have been presented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Adjusted EBITDA Margin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 Adjusted EBITDA Margin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Adjusted EBITDA, Adjusted EBITDA Margin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Adjusted EBITDA Margin and Adjusted Net Income should not be construed to imply that our future results will be unaffected by unusual or non-recurring items. In evaluating EBITDA, Adjusted EBITDA, Adjusted EBITDA Margin and Adjusted Net Income, you should be aware that in the future we may incur expenses that are the same as or similar to some of the adjustments in this presentation. Our presentation of EBITDA, Adjusted EBITDA, Adjusted EBITDA Margin and Adjusted Net Income should not be construed to imply that our future results will be unaffected by any such adjustments. Management compensates for these limitations by primarily relying on our GAAP results in addition to using EBITDA, Adjusted EBITDA, Adjusted EBITDA Margin and Adjusted Net Income supplementally.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32" w:lineRule="exact"/>
        <w:rPr>
          <w:rFonts w:ascii="Arial" w:cs="Arial" w:eastAsia="Arial" w:hAnsi="Arial"/>
          <w:sz w:val="16"/>
          <w:szCs w:val="16"/>
          <w:color w:val="auto"/>
        </w:rPr>
      </w:pPr>
    </w:p>
    <w:p>
      <w:pPr>
        <w:ind w:left="660" w:right="2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Adjusted EBITDA, Adjusted EBITDA Margin and Adjusted Net Income should not be considered as measures of discretionary cash available to invest in business growth or to reduce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our net income to EBITDA, Adjusted EBITDA, Adjusted EBITDA Margin and Adjusted Net Income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6"/>
          </w:tcPr>
          <w:p>
            <w:pPr>
              <w:jc w:val="right"/>
              <w:ind w:right="230"/>
              <w:spacing w:after="0"/>
              <w:rPr>
                <w:sz w:val="20"/>
                <w:szCs w:val="20"/>
                <w:color w:val="auto"/>
              </w:rPr>
            </w:pPr>
            <w:r>
              <w:rPr>
                <w:rFonts w:ascii="Arial" w:cs="Arial" w:eastAsia="Arial" w:hAnsi="Arial"/>
                <w:sz w:val="18"/>
                <w:szCs w:val="18"/>
                <w:color w:val="auto"/>
                <w:w w:val="95"/>
              </w:rPr>
              <w:t>Three Months Ended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40" w:type="dxa"/>
            <w:vAlign w:val="bottom"/>
            <w:gridSpan w:val="4"/>
          </w:tcPr>
          <w:p>
            <w:pPr>
              <w:jc w:val="right"/>
              <w:ind w:right="250"/>
              <w:spacing w:after="0"/>
              <w:rPr>
                <w:sz w:val="20"/>
                <w:szCs w:val="20"/>
                <w:color w:val="auto"/>
              </w:rPr>
            </w:pPr>
            <w:r>
              <w:rPr>
                <w:rFonts w:ascii="Arial" w:cs="Arial" w:eastAsia="Arial" w:hAnsi="Arial"/>
                <w:sz w:val="18"/>
                <w:szCs w:val="18"/>
                <w:color w:val="auto"/>
              </w:rPr>
              <w:t>Six Months Ended</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4"/>
          </w:tcPr>
          <w:p>
            <w:pPr>
              <w:ind w:left="300"/>
              <w:spacing w:after="0"/>
              <w:rPr>
                <w:sz w:val="20"/>
                <w:szCs w:val="20"/>
                <w:color w:val="auto"/>
              </w:rPr>
            </w:pPr>
            <w:r>
              <w:rPr>
                <w:rFonts w:ascii="Arial" w:cs="Arial" w:eastAsia="Arial" w:hAnsi="Arial"/>
                <w:sz w:val="18"/>
                <w:szCs w:val="18"/>
                <w:color w:val="auto"/>
              </w:rPr>
              <w:t>June 30,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ind w:left="260"/>
              <w:spacing w:after="0"/>
              <w:rPr>
                <w:sz w:val="20"/>
                <w:szCs w:val="20"/>
                <w:color w:val="auto"/>
              </w:rPr>
            </w:pPr>
            <w:r>
              <w:rPr>
                <w:rFonts w:ascii="Arial" w:cs="Arial" w:eastAsia="Arial" w:hAnsi="Arial"/>
                <w:sz w:val="18"/>
                <w:szCs w:val="18"/>
                <w:color w:val="auto"/>
              </w:rPr>
              <w:t>July 1, 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200"/>
              <w:spacing w:after="0"/>
              <w:rPr>
                <w:sz w:val="20"/>
                <w:szCs w:val="20"/>
                <w:color w:val="auto"/>
              </w:rPr>
            </w:pPr>
            <w:r>
              <w:rPr>
                <w:rFonts w:ascii="Arial" w:cs="Arial" w:eastAsia="Arial" w:hAnsi="Arial"/>
                <w:sz w:val="18"/>
                <w:szCs w:val="18"/>
                <w:color w:val="auto"/>
              </w:rPr>
              <w:t>June 30, 2018</w:t>
            </w:r>
          </w:p>
        </w:tc>
        <w:tc>
          <w:tcPr>
            <w:tcW w:w="280" w:type="dxa"/>
            <w:vAlign w:val="bottom"/>
          </w:tcPr>
          <w:p>
            <w:pPr>
              <w:spacing w:after="0"/>
              <w:rPr>
                <w:sz w:val="20"/>
                <w:szCs w:val="20"/>
                <w:color w:val="auto"/>
              </w:rPr>
            </w:pPr>
          </w:p>
        </w:tc>
        <w:tc>
          <w:tcPr>
            <w:tcW w:w="1660" w:type="dxa"/>
            <w:vAlign w:val="bottom"/>
            <w:gridSpan w:val="2"/>
          </w:tcPr>
          <w:p>
            <w:pPr>
              <w:jc w:val="right"/>
              <w:ind w:right="410"/>
              <w:spacing w:after="0"/>
              <w:rPr>
                <w:sz w:val="20"/>
                <w:szCs w:val="20"/>
                <w:color w:val="auto"/>
              </w:rPr>
            </w:pPr>
            <w:r>
              <w:rPr>
                <w:rFonts w:ascii="Arial" w:cs="Arial" w:eastAsia="Arial" w:hAnsi="Arial"/>
                <w:sz w:val="18"/>
                <w:szCs w:val="18"/>
                <w:color w:val="auto"/>
              </w:rPr>
              <w:t>July 1, 2017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13,077</w:t>
            </w:r>
          </w:p>
        </w:tc>
        <w:tc>
          <w:tcPr>
            <w:tcW w:w="78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7"/>
              </w:rPr>
              <w:t>3.4%</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38,124</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15,574</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9,424</w:t>
            </w:r>
          </w:p>
        </w:tc>
        <w:tc>
          <w:tcPr>
            <w:tcW w:w="780" w:type="dxa"/>
            <w:vAlign w:val="bottom"/>
            <w:gridSpan w:val="3"/>
          </w:tcPr>
          <w:p>
            <w:pPr>
              <w:jc w:val="center"/>
              <w:ind w:left="90"/>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14,622</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18,737</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26,114</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3.7%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78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7"/>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8,575</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9,104</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17,346</w:t>
            </w:r>
          </w:p>
        </w:tc>
        <w:tc>
          <w:tcPr>
            <w:tcW w:w="780" w:type="dxa"/>
            <w:vAlign w:val="bottom"/>
            <w:gridSpan w:val="3"/>
          </w:tcPr>
          <w:p>
            <w:pPr>
              <w:jc w:val="center"/>
              <w:ind w:left="90"/>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14,629</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29,052</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4.1%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43,139</w:t>
            </w:r>
          </w:p>
        </w:tc>
        <w:tc>
          <w:tcPr>
            <w:tcW w:w="78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6"/>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28,401</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100,436</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79,844</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11.3%</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78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1,989</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2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2,702</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2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2,271</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756</w:t>
            </w:r>
          </w:p>
        </w:tc>
        <w:tc>
          <w:tcPr>
            <w:tcW w:w="780" w:type="dxa"/>
            <w:vAlign w:val="bottom"/>
            <w:gridSpan w:val="3"/>
          </w:tcPr>
          <w:p>
            <w:pPr>
              <w:jc w:val="center"/>
              <w:ind w:left="9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660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1,230</w:t>
            </w: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78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654</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7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2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3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80" w:type="dxa"/>
            <w:vAlign w:val="bottom"/>
            <w:tcBorders>
              <w:bottom w:val="single" w:sz="8" w:color="auto"/>
            </w:tcBorders>
          </w:tcPr>
          <w:p>
            <w:pPr>
              <w:spacing w:after="0"/>
              <w:rPr>
                <w:sz w:val="23"/>
                <w:szCs w:val="23"/>
                <w:color w:val="auto"/>
              </w:rPr>
            </w:pPr>
          </w:p>
        </w:tc>
        <w:tc>
          <w:tcPr>
            <w:tcW w:w="70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87"/>
              </w:rPr>
              <w:t>0.2%</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831</w:t>
            </w:r>
          </w:p>
        </w:tc>
        <w:tc>
          <w:tcPr>
            <w:tcW w:w="6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1,185</w:t>
            </w:r>
          </w:p>
        </w:tc>
        <w:tc>
          <w:tcPr>
            <w:tcW w:w="8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1,213</w:t>
            </w: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ind w:left="180"/>
              <w:spacing w:after="0" w:line="205" w:lineRule="exact"/>
              <w:rPr>
                <w:sz w:val="20"/>
                <w:szCs w:val="20"/>
                <w:color w:val="auto"/>
              </w:rPr>
            </w:pPr>
            <w:r>
              <w:rPr>
                <w:rFonts w:ascii="Arial" w:cs="Arial" w:eastAsia="Arial" w:hAnsi="Arial"/>
                <w:sz w:val="18"/>
                <w:szCs w:val="18"/>
                <w:b w:val="1"/>
                <w:bCs w:val="1"/>
                <w:color w:val="auto"/>
              </w:rPr>
              <w:t>Adjusted EBITDA/ Adjusted EBITDA</w:t>
            </w:r>
          </w:p>
        </w:tc>
        <w:tc>
          <w:tcPr>
            <w:tcW w:w="320" w:type="dxa"/>
            <w:vAlign w:val="bottom"/>
            <w:vMerge w:val="restart"/>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39,619</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107,919</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98,525</w:t>
            </w: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Margin</w:t>
            </w:r>
          </w:p>
        </w:tc>
        <w:tc>
          <w:tcPr>
            <w:tcW w:w="3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12.1%</w:t>
            </w:r>
          </w:p>
        </w:tc>
        <w:tc>
          <w:tcPr>
            <w:tcW w:w="200" w:type="dxa"/>
            <w:vAlign w:val="bottom"/>
            <w:tcBorders>
              <w:bottom w:val="single" w:sz="8" w:color="CCEEFF"/>
            </w:tcBorders>
            <w:gridSpan w:val="2"/>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13.9%</w:t>
            </w:r>
          </w:p>
        </w:tc>
        <w:tc>
          <w:tcPr>
            <w:tcW w:w="0" w:type="dxa"/>
            <w:vAlign w:val="bottom"/>
          </w:tcPr>
          <w:p>
            <w:pPr>
              <w:spacing w:after="0"/>
              <w:rPr>
                <w:sz w:val="1"/>
                <w:szCs w:val="1"/>
                <w:color w:val="auto"/>
              </w:rPr>
            </w:pPr>
          </w:p>
        </w:tc>
      </w:tr>
      <w:tr>
        <w:trPr>
          <w:trHeight w:val="20"/>
        </w:trPr>
        <w:tc>
          <w:tcPr>
            <w:tcW w:w="366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40" w:type="dxa"/>
            <w:vAlign w:val="bottom"/>
            <w:gridSpan w:val="4"/>
          </w:tcPr>
          <w:p>
            <w:pPr>
              <w:ind w:left="200"/>
              <w:spacing w:after="0"/>
              <w:rPr>
                <w:sz w:val="20"/>
                <w:szCs w:val="20"/>
                <w:color w:val="auto"/>
              </w:rPr>
            </w:pPr>
            <w:r>
              <w:rPr>
                <w:rFonts w:ascii="Arial" w:cs="Arial" w:eastAsia="Arial" w:hAnsi="Arial"/>
                <w:sz w:val="14"/>
                <w:szCs w:val="14"/>
                <w:color w:val="auto"/>
              </w:rPr>
              <w:t>Note: Percentages reflect line item as a percentage of net revenue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8"/>
          </w:tcPr>
          <w:p>
            <w:pPr>
              <w:jc w:val="right"/>
              <w:ind w:right="470"/>
              <w:spacing w:after="0"/>
              <w:rPr>
                <w:sz w:val="20"/>
                <w:szCs w:val="20"/>
                <w:color w:val="auto"/>
              </w:rPr>
            </w:pPr>
            <w:r>
              <w:rPr>
                <w:rFonts w:ascii="Arial" w:cs="Arial" w:eastAsia="Arial" w:hAnsi="Arial"/>
                <w:sz w:val="18"/>
                <w:szCs w:val="18"/>
                <w:color w:val="auto"/>
              </w:rPr>
              <w:t>Three Months Ended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4"/>
          </w:tcPr>
          <w:p>
            <w:pPr>
              <w:jc w:val="right"/>
              <w:ind w:right="310"/>
              <w:spacing w:after="0"/>
              <w:rPr>
                <w:sz w:val="20"/>
                <w:szCs w:val="20"/>
                <w:color w:val="auto"/>
              </w:rPr>
            </w:pPr>
            <w:r>
              <w:rPr>
                <w:rFonts w:ascii="Arial" w:cs="Arial" w:eastAsia="Arial" w:hAnsi="Arial"/>
                <w:sz w:val="18"/>
                <w:szCs w:val="18"/>
                <w:color w:val="auto"/>
              </w:rPr>
              <w:t>Six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4"/>
          </w:tcPr>
          <w:p>
            <w:pPr>
              <w:ind w:left="20"/>
              <w:spacing w:after="0"/>
              <w:rPr>
                <w:sz w:val="20"/>
                <w:szCs w:val="20"/>
                <w:color w:val="auto"/>
              </w:rPr>
            </w:pPr>
            <w:r>
              <w:rPr>
                <w:rFonts w:ascii="Arial" w:cs="Arial" w:eastAsia="Arial" w:hAnsi="Arial"/>
                <w:sz w:val="18"/>
                <w:szCs w:val="18"/>
                <w:color w:val="auto"/>
              </w:rPr>
              <w:t>June 30,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ind w:left="100"/>
              <w:spacing w:after="0"/>
              <w:rPr>
                <w:sz w:val="20"/>
                <w:szCs w:val="20"/>
                <w:color w:val="auto"/>
              </w:rPr>
            </w:pPr>
            <w:r>
              <w:rPr>
                <w:rFonts w:ascii="Arial" w:cs="Arial" w:eastAsia="Arial" w:hAnsi="Arial"/>
                <w:sz w:val="18"/>
                <w:szCs w:val="18"/>
                <w:color w:val="auto"/>
              </w:rPr>
              <w:t>July 1, 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40"/>
              <w:spacing w:after="0"/>
              <w:rPr>
                <w:sz w:val="20"/>
                <w:szCs w:val="20"/>
                <w:color w:val="auto"/>
              </w:rPr>
            </w:pPr>
            <w:r>
              <w:rPr>
                <w:rFonts w:ascii="Arial" w:cs="Arial" w:eastAsia="Arial" w:hAnsi="Arial"/>
                <w:sz w:val="18"/>
                <w:szCs w:val="18"/>
                <w:color w:val="auto"/>
              </w:rPr>
              <w:t>June 30, 2018</w:t>
            </w:r>
          </w:p>
        </w:tc>
        <w:tc>
          <w:tcPr>
            <w:tcW w:w="280" w:type="dxa"/>
            <w:vAlign w:val="bottom"/>
          </w:tcPr>
          <w:p>
            <w:pPr>
              <w:spacing w:after="0"/>
              <w:rPr>
                <w:sz w:val="20"/>
                <w:szCs w:val="20"/>
                <w:color w:val="auto"/>
              </w:rPr>
            </w:pPr>
          </w:p>
        </w:tc>
        <w:tc>
          <w:tcPr>
            <w:tcW w:w="1660" w:type="dxa"/>
            <w:vAlign w:val="bottom"/>
            <w:gridSpan w:val="2"/>
          </w:tcPr>
          <w:p>
            <w:pPr>
              <w:jc w:val="right"/>
              <w:ind w:right="430"/>
              <w:spacing w:after="0"/>
              <w:rPr>
                <w:sz w:val="20"/>
                <w:szCs w:val="20"/>
                <w:color w:val="auto"/>
              </w:rPr>
            </w:pPr>
            <w:r>
              <w:rPr>
                <w:rFonts w:ascii="Arial" w:cs="Arial" w:eastAsia="Arial" w:hAnsi="Arial"/>
                <w:sz w:val="18"/>
                <w:szCs w:val="18"/>
                <w:color w:val="auto"/>
              </w:rPr>
              <w:t>July 1, 2017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4"/>
              </w:rPr>
              <w:t>13,077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(j)</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7"/>
              </w:rPr>
              <w:t>Amortization of acquisition intangibles and</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deferred financing costs </w:t>
            </w:r>
            <w:r>
              <w:rPr>
                <w:rFonts w:ascii="Arial" w:cs="Arial" w:eastAsia="Arial" w:hAnsi="Arial"/>
                <w:sz w:val="25"/>
                <w:szCs w:val="25"/>
                <w:color w:val="auto"/>
                <w:vertAlign w:val="superscript"/>
              </w:rPr>
              <w:t>(k)</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(l)</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(m)</w:t>
            </w:r>
          </w:p>
        </w:tc>
        <w:tc>
          <w:tcPr>
            <w:tcW w:w="3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4"/>
              </w:rPr>
              <w:t>16,150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30,229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Fees associated with the borrowing of $175.0 million in additional principal under our first lien credit agreement during the first fiscal quarter of 2017.</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the complete write-off of a cost basis investment.</w:t>
      </w:r>
    </w:p>
    <w:p>
      <w:pPr>
        <w:sectPr>
          <w:pgSz w:w="11900" w:h="16838" w:orient="portrait"/>
          <w:cols w:equalWidth="0" w:num="1">
            <w:col w:w="11420"/>
          </w:cols>
          <w:pgMar w:left="240" w:top="341"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41"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3"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in October 2017</w:t>
      </w:r>
    </w:p>
    <w:p>
      <w:pPr>
        <w:jc w:val="both"/>
        <w:ind w:left="660" w:hanging="328"/>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660" w:hanging="328"/>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Note 7. “Commitments and Contingencies “ in our unaudited condensed consolidated financial statements included in Part I. Item 1. of this Form 10-Q for further details.</w:t>
      </w: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for the three and six months ended June 30, 2018.</w:t>
      </w:r>
    </w:p>
    <w:p>
      <w:pPr>
        <w:spacing w:after="0" w:line="1" w:lineRule="exact"/>
        <w:rPr>
          <w:rFonts w:ascii="Arial" w:cs="Arial" w:eastAsia="Arial" w:hAnsi="Arial"/>
          <w:sz w:val="14"/>
          <w:szCs w:val="14"/>
          <w:color w:val="auto"/>
        </w:rPr>
      </w:pPr>
    </w:p>
    <w:p>
      <w:pPr>
        <w:jc w:val="both"/>
        <w:ind w:left="660" w:hanging="328"/>
        <w:spacing w:after="0" w:line="260" w:lineRule="auto"/>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including our share of losses on equity method investments of $0.4 million, $0.2 million, $0.6 million and $0.3 million for the three months ended June 30, 2018 and July 1, 2017 and six months ended June 30, 2018 and July 1, 2017, respectively; the amortization impact of the KKR Acquisition-related adjustments (e.g., fair value of leasehold interests) of $52,000, $(72,000), $69,000, and $(0.2) million for the three months ended June 30, 2018 and July 1, 2017 and the six months ended June 30, 2018 and July 1, 2017, respectively; expenses related to preparation for being an SEC registrant that were not directly attributable to the IPO and therefore not charged to equity of $0.7 million and $1.2 million for the three and six months ended July 1, 2017; differences between the timing of expense versus cash payments related to contributions to charitable organizations of $(0.3) million for each of the three months ended June 30, 2018 and July 1, 2017 and $(0.5) million for each of the six months ended June 30, 2018 and July 1, 2017, respectively; costs of severance and relocation of $0.3 million for each of the three months ended June 30, 2018 and July 1, 2017 and, $0.5 million and $0.3 million for the six months ended June 30, 2018 and July 1, 2017 respectively; and other expenses and adjustments totaling $0.2 million for the three months ended June 30, 2018 and $0.5 million and $71,000 for the six months ended June 30, 2018 and July 1, 2017, respectively.</w:t>
      </w:r>
    </w:p>
    <w:p>
      <w:pPr>
        <w:jc w:val="both"/>
        <w:ind w:left="660" w:hanging="328"/>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increase in the carrying values of intangible assets as a result of the KKR Acquisition of $1.9 million for each of the three months ended June 30, 2018 and July 1, 2017 and $3.7 million for each of the six months ended June 30, 2018 and July 1, 2017.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and the November 2017 first lien term loan refinancing, aggregating to $0.4 million, $1.0 million, $0.8 million and $2.0 million for the three months ended June 30, 2018 and July 1, 2017 and six months ended June 30, 2018 and July 1, 2017, respectively.</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Tax benefit associated with accounting guidance adopted at the beginning of fiscal year 2017 (Accounting Standards Update 2016-09,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requiring excess tax benefits to be recorded in earnings as discrete items in the reporting period in which they occur.</w:t>
      </w:r>
    </w:p>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annual effective tax rate.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principally rely on cash flows from operations as our primary source of liquidity and, if needed, up to $100.0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other payables, and accrued expenses. Due to the seasonality of our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we had $34.6 million in cash and cash equivalents and $94.5 million of additional availability under our revolving credit facility, which reflects $5.5 million in outstanding letters of credit.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spent $48.7 million in capital expenditures in the six months ended June 30, 2018. Approximately 80% of our planned capital expenditures are related to our expected growth (i.e. new stores, optometric equipment, additional capacity in our optical laboratories and distribution centers, and our IT infrastructure, including omni-channel platform related investments). We plan on opening approximately 75 stores during fiscal year 2018 (inclusive of the 40 new stores opened through June 30, 2018). Our working capital requirements for inventory will increase as we continue to open additional stores. We primarily fund our working capital needs using cash provided by operations.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net cash provided by (used for) operating activities, investing activities and financing activities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5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June 30, 2018</w:t>
            </w:r>
          </w:p>
        </w:tc>
        <w:tc>
          <w:tcPr>
            <w:tcW w:w="62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color w:val="auto"/>
                <w:w w:val="90"/>
              </w:rPr>
              <w:t>July 1, 2017</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for):</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80,135</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67,933</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(48,568)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(44,135)</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(3,466)</w:t>
            </w: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30,628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20,332</w:t>
            </w: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operating activities consists primarily of net income adjusted for non-cash items, including depreciation and amortization, deferred income taxes, non-cash stock option compensation, non-cash inventory adjustments, bad debt expense, and changes in operating assets and liabilities.</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operating activities increased $12.2 million, or 18.0%, during the six months ended June 30, 2018 compared to the six months ended July 1, 2017. Net cash provided by operating activities was $80.1 million for the six months ended June 30, 2018, which consisted of non-cash items of $52.8 million, $38.1 million of net income, offset by an increase in net working capital and other assets and liabilities of $10.8 million. Net cash provided by operating activities was $67.9 million for the six months ended July 1, 2017, as non-cash items of $52.1 million were combined with $15.6 million of net income and a decrease in net working capital and other assets and liabilities of $0.2 million.</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net working capital and other assets and liabilities during the six months ended June 30, 2018 was primarily due to increases in accounts receivable of $5.2 million, inventories of $5.1 million, and other assets of $0.6 million, and decreases in accounts payable of $2.9 million and accrued expenses and other liabilities of $2.2 million. These changes were partially offset by an increase in deferred revenues of $5.3 million. Decreases in accounts payable reflect the timing of payments. Increases in inventory are generally expected each period, and reflect our growth in sales of products, including product replenishment needs at existing stores and inventory needed to outfit new stores. Increases in accounts receivable, deferred revenue and other assets are generally expected each period due to net revenue growth and overall increases in the size of consolidated operations. We opened 40 new stores during the six months ended June 30, 2018, with three closures.</w:t>
      </w:r>
    </w:p>
    <w:p>
      <w:pPr>
        <w:spacing w:after="0" w:line="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decrease in net working capital and other assets and liabilities during the six months ended July 1, 2017 was primarily due to increases in deferred revenues of $7.6 million and accrued expenses and other liabilities of $8.4 million ($7.0 million of which was the litigation settlement on the 1-800 Contacts Matter), and a decrease in other assets of $1.8 million, offset by increases in accounts receivable of $6.4 million and inventories of $6.2 million and a decrease in accounts payable of $5.0 million. Liabilities for deferred and unearned revenues represent cash basis sales that are deferred until we meet our performance obligations to deliver products and provide services. Increases in deferred and unearned revenues are consistent with increased overall net revenue resulting from new stores and positive comparable store sales growth. Increases in accrued expenses and other liabilities is reflective of our growth as new stores are added monthly. We opened 40 new stores during the six months ended July 1, 2017, with three closures. Increases in accounts receivable and inventories are reflective of our growth as new stores were added. Decrease in accounts payable primarily reflect timing of payments to vendors.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investing activities increased by $4.4 million, to $48.6 million, during the six months ended June 30, 2018 from $44.1 million during the six months ended July 1, 2017. The change in cash used for investing activities included an increase of $4.5 million in purchases of property and equipment to support our growth, including new stores, improvements to our optical laboratories and distribution centers, and continued development of our IT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Financing Activities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used for financing activities decreased by $2.5 million, to $0.9 million, during the six months ended June 30, 2018 from $3.5 million during the six months ended July 1, 2017. The primary drivers of the overall cash used for financing activities were quarterly principal payments required under our first lien credit agreement. We paid $2.9 million and $4.2 million in principal payments during the six months ended June 30, 2018 and July 1, 2017, respectively. Additionally, we paid $0.8 million and $0.4 million in capital lease obligations during the six months ended June 30, 2018 and July 1, 2017, respectively. We received $3.5 million and $1.1 million in proceeds related to the exercise of stock options during the three months ended June 30, 2018 and July 1, 2017, respectively. This was partially offset by purchases of treasury stock in the amount of $0.9 million during the six months ended June 30, 2018. No purchases of treasury stock occurred during the six months ended July 1, 2017.</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follow U.S. GAAP in making the determination as to whether or not to record an asset or liability related to our arrangements with third parties. Consistent with current accounting guidance, we do not record an asset or liability associated with operating leases or with long-term marketing and promotional commitments. We have disclosed the amount of future commitments associated with these items in our consolidated financial statements. We are not a party to any other off-balance sheet arrangements during the six months ended June 30, 2018.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2018, there were no material changes outside the ordinary course of business in our contractual obligations and commercial commitments from those reported as of December 30, 2017 in the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Management has evaluated the accounting policies used in the preparation of the Company’s unaudited condensed consolidated financial statements and related notes and believe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Annual Report dated December 31, 2017,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Annual Report, except for the adoption of Accounting Standards Update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ASU No. 2016-18, </w:t>
      </w:r>
      <w:r>
        <w:rPr>
          <w:rFonts w:ascii="Arial" w:cs="Arial" w:eastAsia="Arial" w:hAnsi="Arial"/>
          <w:sz w:val="17"/>
          <w:szCs w:val="17"/>
          <w:i w:val="1"/>
          <w:iCs w:val="1"/>
          <w:color w:val="auto"/>
        </w:rPr>
        <w:t>Restricted Cash</w:t>
      </w:r>
      <w:r>
        <w:rPr>
          <w:rFonts w:ascii="Arial" w:cs="Arial" w:eastAsia="Arial" w:hAnsi="Arial"/>
          <w:sz w:val="17"/>
          <w:szCs w:val="17"/>
          <w:color w:val="auto"/>
        </w:rPr>
        <w:t xml:space="preserve"> discussed in Note 1</w:t>
      </w:r>
      <w:r>
        <w:rPr>
          <w:rFonts w:ascii="Arial" w:cs="Arial" w:eastAsia="Arial" w:hAnsi="Arial"/>
          <w:sz w:val="17"/>
          <w:szCs w:val="17"/>
          <w:i w:val="1"/>
          <w:iCs w:val="1"/>
          <w:color w:val="auto"/>
        </w:rPr>
        <w:t>.</w:t>
      </w:r>
      <w:r>
        <w:rPr>
          <w:rFonts w:ascii="Arial" w:cs="Arial" w:eastAsia="Arial" w:hAnsi="Arial"/>
          <w:sz w:val="17"/>
          <w:szCs w:val="17"/>
          <w:color w:val="auto"/>
        </w:rPr>
        <w:t xml:space="preserve"> “Description of Business and Basis of Presentation” of our unaudited condensed consolidated financial statements included in Part I. Item 1. of this Form 10-Q.</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information set forth in Note 1. “Description of Business and Basis of Presentation” to our unaudited condensed consolidated financial statements under Part I. Item 1. under the heading “</w:t>
      </w:r>
      <w:r>
        <w:rPr>
          <w:rFonts w:ascii="Arial" w:cs="Arial" w:eastAsia="Arial" w:hAnsi="Arial"/>
          <w:sz w:val="17"/>
          <w:szCs w:val="17"/>
          <w:i w:val="1"/>
          <w:iCs w:val="1"/>
          <w:color w:val="auto"/>
        </w:rPr>
        <w:t>Adoption of New Accounting Pronouncements</w:t>
      </w:r>
      <w:r>
        <w:rPr>
          <w:rFonts w:ascii="Arial" w:cs="Arial" w:eastAsia="Arial" w:hAnsi="Arial"/>
          <w:sz w:val="17"/>
          <w:szCs w:val="17"/>
          <w:color w:val="auto"/>
        </w:rPr>
        <w:t>” of this Form 10-Q is incorporated herein by reference.</w:t>
      </w: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market risk exposure from changes in interest rates. We, when appropriate, use derivative financial instruments to mitigate the risk from such exposure. A discussion of our accounting policies for derivative financial instruments is included in Note 3. “Fair Value Measurement of Financial Assets and Liabilities,” to our unaudited condensed consolidated financial statements included in Part I. Item 1. of this Form 10-Q.</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 in the unaudited condensed consolidated balance sheets.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2018, all of our $565.7 million in term loan debt was subject to variable interest rates, with a weighted average borrowing rate of 4.8%. After inclusion of the notional amount of $465.0 million of interest rate swaps fixing a portion of the variable rate debt, $100.7 million, or 17.8% of our debt, is subject to variable rates. Assuming an increase to market rates of 1.0% as of June 30, 2018, we would incur an annual increase to interest expense of approximately $1.0 million related to debt subject to variable rates.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maintain disclosure controls and procedures (as that term is defined in Rules 13a-15(e) and 15d-15(e) of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our CEO and our CFO, evaluated the effectiveness of the design and operation of our disclosure controls and procedures as of the end of the period covered by this Form 10-Q. Based on their evaluation, our CEO and CFO concluded that, because the previously identified material weaknesses in our internal control over financial reporting described below had not been remediated by the end of the period covered by this Form 10-Q, our disclosure controls and procedures were not effective as of the end of the period covered by this Form 10-Q.</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and Status of Material Weakness Remediation</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disclosed in our prospectus, dated October 25, 2017 filed with the SEC on October 27, 2017, and our subsequent periodic reports filed with the SEC, we had identified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Remediation Plan </w:t>
      </w:r>
      <w:r>
        <w:rPr>
          <w:rFonts w:ascii="Arial" w:cs="Arial" w:eastAsia="Arial" w:hAnsi="Arial"/>
          <w:sz w:val="18"/>
          <w:szCs w:val="18"/>
          <w:color w:val="auto"/>
        </w:rPr>
        <w:t>- We have designed and implemented controls to remediate these material weaknesses, which include the following new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and internal controls:</w:t>
      </w:r>
    </w:p>
    <w:p>
      <w:pPr>
        <w:spacing w:after="0" w:line="62" w:lineRule="exact"/>
        <w:rPr>
          <w:sz w:val="20"/>
          <w:szCs w:val="20"/>
          <w:color w:val="auto"/>
        </w:rPr>
      </w:pPr>
    </w:p>
    <w:p>
      <w:pPr>
        <w:jc w:val="both"/>
        <w:ind w:left="660" w:hanging="328"/>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Removed higher obsolescence risk contact lenses from our stores to our Distribution Center in order to better manage inventory turns and related obsolescence potential and established a policy requiring stores to return all contact lenses expiring within the next twelve months to our central distribution center.</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Changed our store inventory observation procedures to monitor the compliance with the policy described above, in order to allow for the Company to sell or exchange products with respective vendors for newer products with similar value.</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Implemented an automated reporting system to report financial results consistent with Regulation S-X and to provide reconciliations between internal and external reporting, highlighting any changes in reporting and business requirements.</w:t>
      </w: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a disclosure committee, consisting of certain key members of management, to assist in formalizing our disclosure, risk assessment, internal controls and procedures.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Established an internal audit department that reports directly to the Audit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Added additional resources to enhance the overall control environment.</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committed to maintaining a strong internal control environment, and we expect to continue our efforts to remediate the material weaknesses described above. During the second quarter of fiscal year 2018, management has begun testing the operating effectiveness of such controls to demonstrate whether successful remediation has occurred. However, the material weaknesses cannot be considered remediated until the applicable remedial controls operate for a sufficient period of time and management has concluded, through testing, that these controls are operating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Rules 13a-15(f) and 15d-15(f) that occurred during the second quarter of fiscal year 2018 that have materially affected, or are reasonably likely to materially affect, our internal control over financial reporting, other than as described above under “Material Weakness and Status of Material Weakness Remediation.”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normal course of our business.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subsidiary,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We believe that the claims alleged are without merit and intend to continue to defend the litigation vigorously.</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a complaint was filed against us and other defendants alleging, on behalf of a proposed class of consumers who purchased contact lenses online, that 1-800 Contacts, Inc. entered into a series of agreements with the other defendants, including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not currently party to any other legal proceedings that we believe would have a material adverse effect on our financial position, results of operations 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principal risks that we believe are material to our business, results of operations, and financial condition from those disclosed in Part I. Item 1A. of our Annual Report.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50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480"/>
        </w:trPr>
        <w:tc>
          <w:tcPr>
            <w:tcW w:w="1280" w:type="dxa"/>
            <w:vAlign w:val="bottom"/>
            <w:tcBorders>
              <w:top w:val="single" w:sz="8" w:color="0000EE"/>
            </w:tcBorders>
            <w:gridSpan w:val="4"/>
          </w:tcPr>
          <w:p>
            <w:pPr>
              <w:spacing w:after="0"/>
              <w:rPr>
                <w:sz w:val="20"/>
                <w:szCs w:val="20"/>
                <w:color w:val="auto"/>
              </w:rPr>
            </w:pPr>
            <w:r>
              <w:rPr>
                <w:rFonts w:ascii="Arial" w:cs="Arial" w:eastAsia="Arial" w:hAnsi="Arial"/>
                <w:sz w:val="18"/>
                <w:szCs w:val="18"/>
                <w:b w:val="1"/>
                <w:bCs w:val="1"/>
                <w:color w:val="auto"/>
                <w:w w:val="95"/>
              </w:rPr>
              <w:t>Item 6. Exhibits</w:t>
            </w:r>
          </w:p>
        </w:tc>
        <w:tc>
          <w:tcPr>
            <w:tcW w:w="220" w:type="dxa"/>
            <w:vAlign w:val="bottom"/>
            <w:gridSpan w:val="2"/>
          </w:tcPr>
          <w:p>
            <w:pPr>
              <w:spacing w:after="0"/>
              <w:rPr>
                <w:sz w:val="24"/>
                <w:szCs w:val="24"/>
                <w:color w:val="auto"/>
              </w:rPr>
            </w:pP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507"/>
        </w:trPr>
        <w:tc>
          <w:tcPr>
            <w:tcW w:w="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8"/>
                <w:szCs w:val="18"/>
                <w:b w:val="1"/>
                <w:bCs w:val="1"/>
                <w:color w:val="auto"/>
              </w:rPr>
              <w:t>Exhibit No.</w:t>
            </w:r>
          </w:p>
        </w:tc>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6"/>
              </w:rPr>
              <w:t>Second Amended and Restated Certificate of Incorporation of National Vision Holdings, Inc. -incorporated herein by reference to</w:t>
            </w:r>
          </w:p>
        </w:tc>
      </w:tr>
      <w:tr>
        <w:trPr>
          <w:trHeight w:val="190"/>
        </w:trPr>
        <w:tc>
          <w:tcPr>
            <w:tcW w:w="260" w:type="dxa"/>
            <w:vAlign w:val="bottom"/>
            <w:gridSpan w:val="2"/>
          </w:tcPr>
          <w:p>
            <w:pPr>
              <w:ind w:left="40"/>
              <w:spacing w:after="0" w:line="190" w:lineRule="exact"/>
              <w:rPr>
                <w:rFonts w:ascii="Arial" w:cs="Arial" w:eastAsia="Arial" w:hAnsi="Arial"/>
                <w:sz w:val="18"/>
                <w:szCs w:val="18"/>
                <w:color w:val="0000FF"/>
                <w:w w:val="79"/>
              </w:rPr>
            </w:pPr>
            <w:hyperlink r:id="rId11">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Exhibit 3.1 to the Company’s Current Report on Form 8-K filed on October 31, 2017.</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8"/>
              </w:rPr>
              <w:t>Second Amended and Restated Bylaws of National Vision Holdings, Inc. -incorporated herein by reference to Exhibit 3.2 to the</w:t>
            </w:r>
          </w:p>
        </w:tc>
      </w:tr>
      <w:tr>
        <w:trPr>
          <w:trHeight w:val="190"/>
        </w:trPr>
        <w:tc>
          <w:tcPr>
            <w:tcW w:w="260" w:type="dxa"/>
            <w:vAlign w:val="bottom"/>
            <w:gridSpan w:val="2"/>
          </w:tcPr>
          <w:p>
            <w:pPr>
              <w:ind w:left="40"/>
              <w:spacing w:after="0" w:line="190" w:lineRule="exact"/>
              <w:rPr>
                <w:rFonts w:ascii="Arial" w:cs="Arial" w:eastAsia="Arial" w:hAnsi="Arial"/>
                <w:sz w:val="18"/>
                <w:szCs w:val="18"/>
                <w:color w:val="0000FF"/>
                <w:w w:val="79"/>
              </w:rPr>
            </w:pPr>
            <w:hyperlink r:id="rId1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Company’s Current Report on Form 8-K filed on October 31, 2017</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7"/>
              </w:rPr>
              <w:t>Certification of Periodic Report by Chief Executive Officer under Section 302 of the Sarbanes-Oxley Act of 2002 (filed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50"/>
        </w:trPr>
        <w:tc>
          <w:tcPr>
            <w:tcW w:w="360" w:type="dxa"/>
            <w:vAlign w:val="bottom"/>
            <w:gridSpan w:val="3"/>
          </w:tcPr>
          <w:p>
            <w:pPr>
              <w:ind w:left="40"/>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8"/>
              </w:rPr>
              <w:t>Certification of Periodic Report by Chief Financial Officer under Section 302 of the Sarbanes-Oxley Act of 2002 (filed herewith)</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r>
      <w:tr>
        <w:trPr>
          <w:trHeight w:val="190"/>
        </w:trPr>
        <w:tc>
          <w:tcPr>
            <w:tcW w:w="360" w:type="dxa"/>
            <w:vAlign w:val="bottom"/>
            <w:gridSpan w:val="3"/>
          </w:tcPr>
          <w:p>
            <w:pPr>
              <w:ind w:left="40"/>
              <w:spacing w:after="0" w:line="190" w:lineRule="exact"/>
              <w:rPr>
                <w:rFonts w:ascii="Arial" w:cs="Arial" w:eastAsia="Arial" w:hAnsi="Arial"/>
                <w:sz w:val="18"/>
                <w:szCs w:val="18"/>
                <w:color w:val="0000FF"/>
                <w:w w:val="79"/>
              </w:rPr>
            </w:pPr>
            <w:hyperlink w:anchor="page49">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Act of 2002 (furnished herewith)</w:t>
            </w:r>
          </w:p>
        </w:tc>
      </w:tr>
      <w:tr>
        <w:trPr>
          <w:trHeight w:val="276"/>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 Sarbanes-Oxley</w:t>
            </w:r>
          </w:p>
        </w:tc>
      </w:tr>
      <w:tr>
        <w:trPr>
          <w:trHeight w:val="190"/>
        </w:trPr>
        <w:tc>
          <w:tcPr>
            <w:tcW w:w="360" w:type="dxa"/>
            <w:vAlign w:val="bottom"/>
            <w:gridSpan w:val="3"/>
          </w:tcPr>
          <w:p>
            <w:pPr>
              <w:ind w:left="40"/>
              <w:spacing w:after="0" w:line="190"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gridSpan w:val="3"/>
          </w:tcPr>
          <w:p>
            <w:pPr>
              <w:ind w:left="20"/>
              <w:spacing w:after="0" w:line="190" w:lineRule="exact"/>
              <w:rPr>
                <w:sz w:val="20"/>
                <w:szCs w:val="20"/>
                <w:color w:val="auto"/>
              </w:rPr>
            </w:pPr>
            <w:r>
              <w:rPr>
                <w:rFonts w:ascii="Arial" w:cs="Arial" w:eastAsia="Arial" w:hAnsi="Arial"/>
                <w:sz w:val="18"/>
                <w:szCs w:val="18"/>
                <w:color w:val="auto"/>
              </w:rPr>
              <w:t>Act of 2002 (furnished herewith)</w:t>
            </w:r>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9920" w:type="dxa"/>
            <w:vAlign w:val="bottom"/>
            <w:gridSpan w:val="3"/>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40" w:type="dxa"/>
            <w:vAlign w:val="bottom"/>
          </w:tcPr>
          <w:p>
            <w:pPr>
              <w:spacing w:after="0"/>
              <w:rPr>
                <w:sz w:val="23"/>
                <w:szCs w:val="23"/>
                <w:color w:val="auto"/>
              </w:rPr>
            </w:pPr>
          </w:p>
        </w:tc>
        <w:tc>
          <w:tcPr>
            <w:tcW w:w="1460" w:type="dxa"/>
            <w:vAlign w:val="bottom"/>
            <w:gridSpan w:val="5"/>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10"/>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gridSpan w:val="2"/>
          </w:tcPr>
          <w:p>
            <w:pPr>
              <w:ind w:left="4120"/>
              <w:spacing w:after="0"/>
              <w:rPr>
                <w:sz w:val="20"/>
                <w:szCs w:val="20"/>
                <w:color w:val="auto"/>
              </w:rPr>
            </w:pPr>
            <w:r>
              <w:rPr>
                <w:rFonts w:ascii="Arial" w:cs="Arial" w:eastAsia="Arial" w:hAnsi="Arial"/>
                <w:sz w:val="18"/>
                <w:szCs w:val="18"/>
                <w:color w:val="auto"/>
              </w:rPr>
              <w:t>45</w:t>
            </w:r>
          </w:p>
        </w:tc>
        <w:tc>
          <w:tcPr>
            <w:tcW w:w="5180" w:type="dxa"/>
            <w:vAlign w:val="bottom"/>
          </w:tcPr>
          <w:p>
            <w:pPr>
              <w:spacing w:after="0"/>
              <w:rPr>
                <w:sz w:val="24"/>
                <w:szCs w:val="24"/>
                <w:color w:val="auto"/>
              </w:rPr>
            </w:pPr>
          </w:p>
        </w:tc>
      </w:tr>
    </w:tbl>
    <w:p>
      <w:pPr>
        <w:sectPr>
          <w:pgSz w:w="11900" w:h="16838" w:orient="portrait"/>
          <w:cols w:equalWidth="0" w:num="1">
            <w:col w:w="11420"/>
          </w:cols>
          <w:pgMar w:left="240" w:top="324"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National Vision Holdings, Inc.</w:t>
      </w:r>
    </w:p>
    <w:p>
      <w:pPr>
        <w:spacing w:after="0" w:line="33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Dated: August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Dated: August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67"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341"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2018 of National Vision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2018</w:t>
      </w:r>
    </w:p>
    <w:p>
      <w:pPr>
        <w:spacing w:after="0" w:line="200" w:lineRule="exact"/>
        <w:rPr>
          <w:sz w:val="20"/>
          <w:szCs w:val="20"/>
          <w:color w:val="auto"/>
        </w:rPr>
      </w:pPr>
    </w:p>
    <w:p>
      <w:pPr>
        <w:spacing w:after="0" w:line="24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36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2018 of National Vision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84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8435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connection with the Quarterly Report of National Vision Holdings, Inc. (the “Company”) on Form 10-Q for the quarterly period ended June 30, 2018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66"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36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3672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 Reade Fahs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June 30, 2018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b w:val="1"/>
          <w:bCs w:val="1"/>
          <w:color w:val="auto"/>
        </w:rPr>
      </w:pPr>
    </w:p>
    <w:p>
      <w:pPr>
        <w:ind w:left="340" w:right="160" w:hanging="332"/>
        <w:spacing w:after="0" w:line="277"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-10160</wp:posOffset>
            </wp:positionV>
            <wp:extent cx="1784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8435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lvl w:ilvl="1">
      <w:lvlJc w:val="left"/>
      <w:lvlText w:val="(%2)"/>
      <w:numFmt w:val="decimal"/>
      <w:start w:val="1"/>
    </w:lvl>
  </w:abstractNum>
  <w:abstractNum w:abstractNumId="8">
    <w:nsid w:val="4E6AFB66"/>
    <w:multiLevelType w:val="hybridMultilevel"/>
    <w:lvl w:ilvl="0">
      <w:lvlJc w:val="left"/>
      <w:lvlText w:val="%1."/>
      <w:numFmt w:val="decimal"/>
      <w:start w:val="4"/>
    </w:lvl>
    <w:lvl w:ilvl="1">
      <w:lvlJc w:val="left"/>
      <w:lvlText w:val="%2"/>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4"/>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1" Type="http://schemas.openxmlformats.org/officeDocument/2006/relationships/hyperlink" Target="http://www.sec.gov/Archives/edgar/data/1710155/000156761917002270/s001582x19_ex3-1.htm" TargetMode="External"/><Relationship Id="rId12" Type="http://schemas.openxmlformats.org/officeDocument/2006/relationships/hyperlink" Target="http://www.sec.gov/Archives/edgar/data/1710155/000156761917002270/s001582x1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2019-12-28T19:42:47Z</dcterms:created>
  <dcterms:modified xsi:type="dcterms:W3CDTF">2019-12-28T19:42:47Z</dcterms:modified>
</cp:coreProperties>
</file>