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 w:lineRule="exact"/>
        <w:rPr>
          <w:sz w:val="24"/>
          <w:szCs w:val="24"/>
          <w:color w:val="auto"/>
        </w:rPr>
      </w:pPr>
    </w:p>
    <w:p>
      <w:pPr>
        <w:ind w:left="42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420"/>
          </w:cols>
          <w:pgMar w:left="240" w:top="616" w:right="239" w:bottom="1440" w:gutter="0" w:footer="0" w:header="0"/>
        </w:sectPr>
      </w:pPr>
    </w:p>
    <w:p>
      <w:pPr>
        <w:spacing w:after="0" w:line="15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14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48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if changed since last report)</w:t>
      </w:r>
    </w:p>
    <w:p>
      <w:pPr>
        <w:spacing w:after="0" w:line="38" w:lineRule="exact"/>
        <w:rPr>
          <w:sz w:val="24"/>
          <w:szCs w:val="24"/>
          <w:color w:val="auto"/>
        </w:rPr>
      </w:pPr>
    </w:p>
    <w:p>
      <w:pPr>
        <w:sectPr>
          <w:pgSz w:w="11900" w:h="16838" w:orient="portrait"/>
          <w:cols w:equalWidth="0" w:num="2">
            <w:col w:w="6740" w:space="720"/>
            <w:col w:w="3960"/>
          </w:cols>
          <w:pgMar w:left="240" w:top="616" w:right="23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right="140"/>
        <w:spacing w:after="0" w:line="24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40"/>
        <w:spacing w:after="0" w:line="249"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30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5"/>
        </w:trPr>
        <w:tc>
          <w:tcPr>
            <w:tcW w:w="5060" w:type="dxa"/>
            <w:vAlign w:val="bottom"/>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22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50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4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1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right="304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8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w:t>
            </w:r>
          </w:p>
        </w:tc>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Outstanding at April 30, 2018</w:t>
            </w:r>
          </w:p>
        </w:tc>
      </w:tr>
      <w:tr>
        <w:trPr>
          <w:trHeight w:val="33"/>
        </w:trPr>
        <w:tc>
          <w:tcPr>
            <w:tcW w:w="51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2"/>
          </w:tcPr>
          <w:p>
            <w:pPr>
              <w:ind w:left="40"/>
              <w:spacing w:after="0"/>
              <w:rPr>
                <w:sz w:val="20"/>
                <w:szCs w:val="20"/>
                <w:color w:val="auto"/>
              </w:rPr>
            </w:pPr>
            <w:r>
              <w:rPr>
                <w:rFonts w:ascii="Arial" w:cs="Arial" w:eastAsia="Arial" w:hAnsi="Arial"/>
                <w:sz w:val="16"/>
                <w:szCs w:val="16"/>
                <w:color w:val="auto"/>
              </w:rPr>
              <w:t>Common stock, $0.01 par value</w:t>
            </w:r>
          </w:p>
        </w:tc>
        <w:tc>
          <w:tcPr>
            <w:tcW w:w="5140" w:type="dxa"/>
            <w:vAlign w:val="bottom"/>
          </w:tcPr>
          <w:p>
            <w:pPr>
              <w:ind w:left="40"/>
              <w:spacing w:after="0"/>
              <w:rPr>
                <w:sz w:val="20"/>
                <w:szCs w:val="20"/>
                <w:color w:val="auto"/>
              </w:rPr>
            </w:pPr>
            <w:r>
              <w:rPr>
                <w:rFonts w:ascii="Arial" w:cs="Arial" w:eastAsia="Arial" w:hAnsi="Arial"/>
                <w:sz w:val="16"/>
                <w:szCs w:val="16"/>
                <w:color w:val="auto"/>
              </w:rPr>
              <w:t>75,225,824</w:t>
            </w:r>
          </w:p>
        </w:tc>
      </w:tr>
      <w:tr>
        <w:trPr>
          <w:trHeight w:val="168"/>
        </w:trPr>
        <w:tc>
          <w:tcPr>
            <w:tcW w:w="5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tcPr>
          <w:p>
            <w:pPr>
              <w:spacing w:after="0"/>
              <w:rPr>
                <w:sz w:val="14"/>
                <w:szCs w:val="14"/>
                <w:color w:val="auto"/>
              </w:rPr>
            </w:pPr>
          </w:p>
        </w:tc>
      </w:tr>
      <w:tr>
        <w:trPr>
          <w:trHeight w:val="122"/>
        </w:trPr>
        <w:tc>
          <w:tcPr>
            <w:tcW w:w="5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1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color w:val="auto"/>
              </w:rPr>
              <w:t>Page</w:t>
            </w:r>
          </w:p>
        </w:tc>
      </w:tr>
      <w:tr>
        <w:trPr>
          <w:trHeight w:val="230"/>
        </w:trPr>
        <w:tc>
          <w:tcPr>
            <w:tcW w:w="92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8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1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 – Financial Information</w:t>
              </w:r>
            </w:hyperlink>
          </w:p>
        </w:tc>
        <w:tc>
          <w:tcPr>
            <w:tcW w:w="3180" w:type="dxa"/>
            <w:vAlign w:val="bottom"/>
            <w:tcBorders>
              <w:top w:val="single" w:sz="8" w:color="0000EE"/>
            </w:tcBorders>
            <w:gridSpan w:val="9"/>
          </w:tcPr>
          <w:p>
            <w:pPr>
              <w:spacing w:after="0"/>
              <w:rPr>
                <w:sz w:val="21"/>
                <w:szCs w:val="21"/>
                <w:color w:val="auto"/>
              </w:rPr>
            </w:pPr>
          </w:p>
        </w:tc>
        <w:tc>
          <w:tcPr>
            <w:tcW w:w="3880" w:type="dxa"/>
            <w:vAlign w:val="bottom"/>
            <w:gridSpan w:val="5"/>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7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180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w:t>
              </w:r>
            </w:hyperlink>
          </w:p>
        </w:tc>
        <w:tc>
          <w:tcPr>
            <w:tcW w:w="4840" w:type="dxa"/>
            <w:vAlign w:val="bottom"/>
            <w:gridSpan w:val="7"/>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Income</w:t>
              </w:r>
            </w:hyperlink>
          </w:p>
        </w:tc>
        <w:tc>
          <w:tcPr>
            <w:tcW w:w="2040" w:type="dxa"/>
            <w:vAlign w:val="bottom"/>
            <w:gridSpan w:val="2"/>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4040" w:type="dxa"/>
            <w:vAlign w:val="bottom"/>
            <w:gridSpan w:val="6"/>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760" w:type="dxa"/>
            <w:vAlign w:val="bottom"/>
            <w:gridSpan w:val="4"/>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77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80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77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8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tcBorders>
              <w:left w:val="single" w:sz="8" w:color="0000EE"/>
            </w:tcBorders>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77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8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940" w:type="dxa"/>
            <w:vAlign w:val="bottom"/>
            <w:gridSpan w:val="5"/>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Part II – Other Information</w:t>
              </w:r>
            </w:hyperlink>
          </w:p>
        </w:tc>
        <w:tc>
          <w:tcPr>
            <w:tcW w:w="7260" w:type="dxa"/>
            <w:vAlign w:val="bottom"/>
            <w:gridSpan w:val="16"/>
          </w:tcPr>
          <w:p>
            <w:pPr>
              <w:spacing w:after="0"/>
              <w:rPr>
                <w:sz w:val="21"/>
                <w:szCs w:val="21"/>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77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8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1A.</w:t>
              </w:r>
            </w:hyperlink>
          </w:p>
        </w:tc>
        <w:tc>
          <w:tcPr>
            <w:tcW w:w="360" w:type="dxa"/>
            <w:vAlign w:val="bottom"/>
          </w:tcPr>
          <w:p>
            <w:pPr>
              <w:spacing w:after="0"/>
              <w:rPr>
                <w:sz w:val="21"/>
                <w:szCs w:val="21"/>
                <w:color w:val="auto"/>
              </w:rPr>
            </w:pPr>
          </w:p>
        </w:tc>
        <w:tc>
          <w:tcPr>
            <w:tcW w:w="77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18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360" w:type="dxa"/>
            <w:vAlign w:val="bottom"/>
          </w:tcPr>
          <w:p>
            <w:pPr>
              <w:spacing w:after="0"/>
              <w:rPr>
                <w:sz w:val="21"/>
                <w:szCs w:val="21"/>
                <w:color w:val="auto"/>
              </w:rPr>
            </w:pPr>
          </w:p>
        </w:tc>
        <w:tc>
          <w:tcPr>
            <w:tcW w:w="776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18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776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18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776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18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5.</w:t>
              </w:r>
            </w:hyperlink>
          </w:p>
        </w:tc>
        <w:tc>
          <w:tcPr>
            <w:tcW w:w="776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18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776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180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Signatures</w:t>
              </w:r>
            </w:hyperlink>
          </w:p>
        </w:tc>
        <w:tc>
          <w:tcPr>
            <w:tcW w:w="7000" w:type="dxa"/>
            <w:vAlign w:val="bottom"/>
            <w:gridSpan w:val="13"/>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ectPr>
          <w:pgSz w:w="11900" w:h="16838" w:orient="portrait"/>
          <w:cols w:equalWidth="0" w:num="1">
            <w:col w:w="11000"/>
          </w:cols>
          <w:pgMar w:left="460" w:top="38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30, 2017 (the “Annual Report”), as filed with the Securities and Exchange Commission (the “SEC”), as such risk factors may be updated from time to time in our periodic filings with the SEC, which are accessible on the SEC’s website at www.sec.gov, and also include the following:</w:t>
      </w:r>
    </w:p>
    <w:p>
      <w:pPr>
        <w:spacing w:after="0" w:line="8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open and operate new stores in a timely and cost-effective manner, and to successfully enter new markets;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128" w:lineRule="exact"/>
        <w:rPr>
          <w:rFonts w:ascii="Arial" w:cs="Arial" w:eastAsia="Arial" w:hAnsi="Arial"/>
          <w:sz w:val="17"/>
          <w:szCs w:val="17"/>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3" w:name="page4"/>
    <w:bookmarkEnd w:id="3"/>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180" w:hanging="172"/>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being a “controlled company.”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“eyecare practitioners” in this Form 10-Q mean optometrists and ophthalmologists and references to “vision care professionals” mean optometrists (including optometrists employed by us or by professional corporations owned by eyecare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 Vision Holdings, Inc. when you enroll your e-mail address by visiting the “Email Alerts” page of the Investor Resources section of our website at www.nationalvision.com/investors. The contents of our website are not, however, a part of this Form 10-Q.</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 and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rPr>
              <w:t>As of March 31,</w:t>
            </w:r>
          </w:p>
        </w:tc>
        <w:tc>
          <w:tcPr>
            <w:tcW w:w="220" w:type="dxa"/>
            <w:vAlign w:val="bottom"/>
          </w:tcPr>
          <w:p>
            <w:pPr>
              <w:spacing w:after="0"/>
              <w:rPr>
                <w:sz w:val="18"/>
                <w:szCs w:val="18"/>
                <w:color w:val="auto"/>
              </w:rPr>
            </w:pPr>
          </w:p>
        </w:tc>
        <w:tc>
          <w:tcPr>
            <w:tcW w:w="1940" w:type="dxa"/>
            <w:vAlign w:val="bottom"/>
          </w:tcPr>
          <w:p>
            <w:pPr>
              <w:jc w:val="right"/>
              <w:ind w:right="290"/>
              <w:spacing w:after="0"/>
              <w:rPr>
                <w:sz w:val="20"/>
                <w:szCs w:val="20"/>
                <w:color w:val="auto"/>
              </w:rPr>
            </w:pPr>
            <w:r>
              <w:rPr>
                <w:rFonts w:ascii="Arial" w:cs="Arial" w:eastAsia="Arial" w:hAnsi="Arial"/>
                <w:sz w:val="18"/>
                <w:szCs w:val="18"/>
                <w:color w:val="auto"/>
                <w:w w:val="96"/>
              </w:rPr>
              <w:t>As of December 30,</w:t>
            </w:r>
          </w:p>
        </w:tc>
        <w:tc>
          <w:tcPr>
            <w:tcW w:w="0" w:type="dxa"/>
            <w:vAlign w:val="bottom"/>
          </w:tcPr>
          <w:p>
            <w:pPr>
              <w:spacing w:after="0"/>
              <w:rPr>
                <w:sz w:val="1"/>
                <w:szCs w:val="1"/>
                <w:color w:val="auto"/>
              </w:rPr>
            </w:pPr>
          </w:p>
        </w:tc>
      </w:tr>
      <w:tr>
        <w:trPr>
          <w:trHeight w:val="122"/>
        </w:trPr>
        <w:tc>
          <w:tcPr>
            <w:tcW w:w="69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vMerge w:val="restart"/>
          </w:tcPr>
          <w:p>
            <w:pPr>
              <w:jc w:val="right"/>
              <w:ind w:right="8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vMerge w:val="restart"/>
          </w:tcPr>
          <w:p>
            <w:pPr>
              <w:jc w:val="right"/>
              <w:ind w:right="8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58,433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93,678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91,151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218,627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162,477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310,964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304,132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792,744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70,809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1,425,927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1,421,314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1,644,554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46,126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29,950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211,309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561,980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42,132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46,044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73,648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other non-current liabilities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149,614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(See Note 7)</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Common stock, $0.01 par value; 200,000 shares authorized; 75,103 and 74,654 shares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issued and outstanding as of March 31, 2018 and December 30, 2017,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635,637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631,798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81,219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Treasury stock, at cost; 53 and 28 shares as of March 31, 2018 and December 30, 2017,</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711,275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659,588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1,644,554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341" w:right="239" w:bottom="98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41" w:right="239" w:bottom="98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880" w:type="dxa"/>
            <w:vAlign w:val="bottom"/>
            <w:gridSpan w:val="2"/>
          </w:tcPr>
          <w:p>
            <w:pPr>
              <w:jc w:val="center"/>
              <w:ind w:left="1890"/>
              <w:spacing w:after="0"/>
              <w:rPr>
                <w:sz w:val="20"/>
                <w:szCs w:val="20"/>
                <w:color w:val="auto"/>
              </w:rPr>
            </w:pPr>
            <w:r>
              <w:rPr>
                <w:rFonts w:ascii="Arial" w:cs="Arial" w:eastAsia="Arial" w:hAnsi="Arial"/>
                <w:sz w:val="18"/>
                <w:szCs w:val="18"/>
                <w:b w:val="1"/>
                <w:bCs w:val="1"/>
                <w:color w:val="auto"/>
                <w:w w:val="92"/>
              </w:rPr>
              <w:t>For the Three Months Ended March 31, 2018 and April 1, 2017</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4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April 1, 2017</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338,777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306,584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63,275</w:t>
            </w:r>
          </w:p>
        </w:tc>
      </w:tr>
      <w:tr>
        <w:trPr>
          <w:trHeight w:val="237"/>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407,975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369,859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130,878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121,033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44,775</w:t>
            </w:r>
          </w:p>
        </w:tc>
      </w:tr>
      <w:tr>
        <w:trPr>
          <w:trHeight w:val="237"/>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180,454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165,808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170,102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149,804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14,423</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187,878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164,329</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39,722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11,492</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25,528</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8,458</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56,261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77,837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57,934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Change in unrealized gain (loss) on hedge instruments</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(provision) benefit of change in unrealized gain (loss) on hedge instruments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29,671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16,866</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2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696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60" w:type="dxa"/>
            <w:vAlign w:val="bottom"/>
            <w:gridSpan w:val="2"/>
          </w:tcPr>
          <w:p>
            <w:pPr>
              <w:jc w:val="center"/>
              <w:ind w:left="18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96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2"/>
              </w:rPr>
              <w:t>For the Three Months Ended March 31, 2018 and April 1, 2017</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In Thousands</w:t>
            </w: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w w:val="93"/>
              </w:rPr>
              <w:t>(Unaudited)</w:t>
            </w: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80" w:type="dxa"/>
            <w:vAlign w:val="bottom"/>
            <w:gridSpan w:val="4"/>
          </w:tcPr>
          <w:p>
            <w:pPr>
              <w:jc w:val="right"/>
              <w:ind w:right="1470"/>
              <w:spacing w:after="0"/>
              <w:rPr>
                <w:sz w:val="20"/>
                <w:szCs w:val="20"/>
                <w:color w:val="auto"/>
              </w:rPr>
            </w:pPr>
            <w:r>
              <w:rPr>
                <w:rFonts w:ascii="Arial" w:cs="Arial" w:eastAsia="Arial" w:hAnsi="Arial"/>
                <w:sz w:val="18"/>
                <w:szCs w:val="18"/>
                <w:color w:val="auto"/>
                <w:w w:val="95"/>
              </w:rPr>
              <w:t>Three Months Ended</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400" w:type="dxa"/>
            <w:vAlign w:val="bottom"/>
            <w:gridSpan w:val="3"/>
          </w:tcPr>
          <w:p>
            <w:pPr>
              <w:ind w:left="580"/>
              <w:spacing w:after="0"/>
              <w:rPr>
                <w:sz w:val="20"/>
                <w:szCs w:val="20"/>
                <w:color w:val="auto"/>
              </w:rPr>
            </w:pPr>
            <w:r>
              <w:rPr>
                <w:rFonts w:ascii="Arial" w:cs="Arial" w:eastAsia="Arial" w:hAnsi="Arial"/>
                <w:sz w:val="18"/>
                <w:szCs w:val="18"/>
                <w:color w:val="auto"/>
              </w:rPr>
              <w:t>March 31, 2018</w:t>
            </w:r>
          </w:p>
        </w:tc>
        <w:tc>
          <w:tcPr>
            <w:tcW w:w="380" w:type="dxa"/>
            <w:vAlign w:val="bottom"/>
          </w:tcPr>
          <w:p>
            <w:pPr>
              <w:spacing w:after="0"/>
              <w:rPr>
                <w:sz w:val="20"/>
                <w:szCs w:val="20"/>
                <w:color w:val="auto"/>
              </w:rPr>
            </w:pP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April 1, 2017</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25,047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17,070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Depreciation of property and equipment</w:t>
            </w:r>
          </w:p>
        </w:tc>
        <w:tc>
          <w:tcPr>
            <w:tcW w:w="15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15,560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12,314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Amortization of loan costs</w:t>
            </w:r>
          </w:p>
        </w:tc>
        <w:tc>
          <w:tcPr>
            <w:tcW w:w="15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1,008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Non-cash stock option compensation</w:t>
            </w:r>
          </w:p>
        </w:tc>
        <w:tc>
          <w:tcPr>
            <w:tcW w:w="15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1,104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Non-cash inventory adjustments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Bad debt expense</w:t>
            </w:r>
          </w:p>
        </w:tc>
        <w:tc>
          <w:tcPr>
            <w:tcW w:w="15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(7,645)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5,857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1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11,863</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77,787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Purchase of property and equipment</w:t>
            </w: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(20,703)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(20,703)</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5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173,712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Principal payments on long-term debt</w:t>
            </w: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(2,079)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treasury stock</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Payments on capital lease obligations</w:t>
            </w: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Dividend to stockholders</w:t>
            </w:r>
          </w:p>
        </w:tc>
        <w:tc>
          <w:tcPr>
            <w:tcW w:w="15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(170,983)</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for financing activities</w:t>
            </w:r>
          </w:p>
        </w:tc>
        <w:tc>
          <w:tcPr>
            <w:tcW w:w="1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1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54,810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25,427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1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5,687</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50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60,003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31,114</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gridSpan w:val="4"/>
          </w:tcPr>
          <w:p>
            <w:pPr>
              <w:jc w:val="right"/>
              <w:ind w:right="1470"/>
              <w:spacing w:after="0"/>
              <w:rPr>
                <w:sz w:val="20"/>
                <w:szCs w:val="20"/>
                <w:color w:val="auto"/>
              </w:rPr>
            </w:pPr>
            <w:r>
              <w:rPr>
                <w:rFonts w:ascii="Arial" w:cs="Arial" w:eastAsia="Arial" w:hAnsi="Arial"/>
                <w:sz w:val="18"/>
                <w:szCs w:val="18"/>
                <w:color w:val="auto"/>
              </w:rPr>
              <w:t>Three Months Ended</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Arial" w:cs="Arial" w:eastAsia="Arial" w:hAnsi="Arial"/>
                <w:sz w:val="18"/>
                <w:szCs w:val="18"/>
                <w:color w:val="auto"/>
              </w:rPr>
              <w:t>March 31, 2018</w:t>
            </w:r>
          </w:p>
        </w:tc>
        <w:tc>
          <w:tcPr>
            <w:tcW w:w="380" w:type="dxa"/>
            <w:vAlign w:val="bottom"/>
          </w:tcPr>
          <w:p>
            <w:pPr>
              <w:spacing w:after="0"/>
              <w:rPr>
                <w:sz w:val="20"/>
                <w:szCs w:val="20"/>
                <w:color w:val="auto"/>
              </w:rPr>
            </w:pP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April 1, 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w:t>
            </w: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1,202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31,114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324" w:right="239" w:bottom="5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24" w:right="239" w:bottom="584"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National Vision Holdings, Inc. (“NVHI,” the “Company,” “we,” “our,” or “us”) is a holding company whose operating subsidiaries include its indirect wholly owned subsidiary, National Vision, Inc. (“NVI”) and NVI’s direct wholly owned subsidiaries. The Company is a leading value retailer of eyeglasses and contact lenses in the United States and its territories. We operated 1,027, and 1,013, retail optical locations as of March 31, 2018 and December 30, 2017, respectively, through our five store brands, America’s Best Contacts and Eyeglasses (“America’s Best”), Eyeglass World, Vista Optical locations on U.S. Army/Air Force military bases and within Fred Meyer stores, and our management &amp; services arrangement with Walmart (“legacy”).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prepared the accompanying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30, 2017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March 31, 2018, and the consolidated results of operations and cash flows for the three months ended March 31, 2018 and April 1, 2017.</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Certain information and disclosures normally included in our annual consolidated financial statements have been condensed or omitted; however, we believe that the disclosures included herein are adequate to make the information presented not misleading. These interim condensed consolidated financial statements should be read in conjunction with our audited consolidated financial statements and the notes thereto for the fiscal year ended December 30, 2017.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in our significant accounting policies during the three months ended March 31, 2018, except for the adoption of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See “Recently Issued Accounting Pronouncements” below for further discussion.</w:t>
      </w:r>
    </w:p>
    <w:p>
      <w:pPr>
        <w:spacing w:after="0" w:line="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Changes to stockholders’ equity related to the adoption of ASU No. 2014-09, stock option exercises, and changes in fair values of interest rate derivatives are discussed in Note 6. “Revenue from Contracts with Customers,” Note 4. “Stock Incentive Plan,” and Note 3. “Fair Value Measurements of Financial Assets and Liabilities,” respectively. No other material non-recurring changes to stockholders’ equity occurred during the three months ended March 31, 2018.</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fiscal year consists of 52 or 53 weeks ending on the Saturday closest to December 31. Fiscal year 2018 contains 52 weeks and will end on December 29, 2018. All three month periods presented herein contain 13 weeks. All references to years and quarters relate to fiscal periods rather than calendar periods.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results of operations for the three months ended March 31, 2018 and April 1, 2017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fiscal quarter, and a lower portion of net revenue, income from operations, and cash flows from operations in the fourth fiscal quarter. The seasonally larger first quarter is attributable primarily to the timing of our customers’ personal income tax refunds and annual health insurance program start or reset periods. Seasonality related to fourth quarter holiday spending by retail customers generally does not impact our business. Our quarterly consolidated results can also be affected by the timing of new store openings, store closings, and certain holidays.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income tax rate, or ETR, was 17.4% and 33.1% for the three months ended March 31, 2018 and April 1, 2017, respectively. Our lower ETR for the three months ended March 31, 2018 was largely due to the reduced federal statutory rate from 35% to 21% as part of the Tax Cuts and Jobs Act of 2017, effective for tax years beginning on or after January 1, 2018. During the three months ended March 31, 2018, our expected combined statutory federal and state rate was reduced 8.9% by a $2.7 million income tax benefit resulting from stock option exercises. Other items aggregated to a 0.5% increase in the rate for the period.</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SEC Staff Accounting Bulletin No. 118, Income Tax Accounting Implications of the Tax Cuts and Jobs Act (“SAB 118”), the ultimate impact of the legislation may differ from these estimates due to our continued analysis or further regulatory guidance that may be issued as a result of the legislation. Adjustments to the provisional amounts recorded by the Company as of December 30, 2017 that are identified within a subsequent measurement period of up to one year from the enactment date will be included as an adjustment to tax expense from continuing operations in the period the amounts are determined. There were no adjustments to provisional amounts during the three months ended March 31,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Correction of Classification Error</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previously disclosed in our 2016 consolidated financial statements, we overstated net sales of services and plans in our legacy segment and consolidated net sales of services and plans and understated net sales of products in our legacy segment and consolidated net product sales. The amounts presented herein reflect the correction of a similar error in the amount of $1.9 million for the three months ended April 1, 2017. There was no impact to total legacy segment net revenues, legacy segment EBITDA, total consolidated net revenues or any measure of profit or income. Management concluded that the error was not material to the condensed consolidated financial statements for the three months ended April 1, 2017.</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No.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It also requires additional disclosure about the nature, amount, timing, and uncertainty of revenue and cash flows arising from customer contracts, including significant judgments and changes in judgments.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there is a five-step model to apply to revenue recognition, consisting of: (1) determination of whether a contract, an agreement between two or more parties that creates legally enforceable rights and obligations, exists; (2) identification of the performance obligations in the contract; (3) determination of the transaction price; (4) allocation of the transaction price to the performance obligations in the contract; and (5) recognition of revenue when (or as) the performance obligation is satisfied.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adopted this new guidance in the first quarter of 2018 using the modified retrospective transition method. We recognized the cumulative effect of adoption in the opening balance of retained earnings related to certain contracts where we satisfy performance obligations over time. Our results of operations for the reported periods after January 1, 2018 are presented under this amended guidance, while prior period amounts are not adjusted and continue to be reported in accordance with historical accounting guidance. Adoption of this new guidance did not result in significant changes to our accounting policies, business processes, systems or controls, or have a material impact on our results of operations and cash flows or related disclosures. The impact of adopting the amended guidance primarily relates to the timing of revenue recognition for our eyecare club memberships, which comprised approximately 3% of our consolidated net revenue during the most recent three fiscal years. See Note 6. “Revenue From Contracts with Customers” for additional information.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14"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w:t>
      </w:r>
      <w:r>
        <w:rPr>
          <w:rFonts w:ascii="Arial" w:cs="Arial" w:eastAsia="Arial" w:hAnsi="Arial"/>
          <w:sz w:val="16"/>
          <w:szCs w:val="16"/>
          <w:color w:val="252525"/>
        </w:rPr>
        <w:t>Disclosure of key information about leasing arrangements</w:t>
      </w:r>
      <w:r>
        <w:rPr>
          <w:rFonts w:ascii="Arial" w:cs="Arial" w:eastAsia="Arial" w:hAnsi="Arial"/>
          <w:sz w:val="16"/>
          <w:szCs w:val="16"/>
          <w:color w:val="auto"/>
        </w:rPr>
        <w:t xml:space="preserve"> </w:t>
      </w:r>
      <w:r>
        <w:rPr>
          <w:rFonts w:ascii="Arial" w:cs="Arial" w:eastAsia="Arial" w:hAnsi="Arial"/>
          <w:sz w:val="16"/>
          <w:szCs w:val="16"/>
          <w:color w:val="252525"/>
        </w:rPr>
        <w:t xml:space="preserve">will also be required. This new guidance is effective for fiscal years beginning after December 15, 2018, and interim reporting periods within that fiscal year. This new guidance requires a modified retrospective transition approach, with certain practical expedients available. </w:t>
      </w:r>
      <w:r>
        <w:rPr>
          <w:rFonts w:ascii="Arial" w:cs="Arial" w:eastAsia="Arial" w:hAnsi="Arial"/>
          <w:sz w:val="16"/>
          <w:szCs w:val="16"/>
          <w:color w:val="000000"/>
        </w:rPr>
        <w:t>We will adopt this new guidance in the</w:t>
      </w:r>
      <w:r>
        <w:rPr>
          <w:rFonts w:ascii="Arial" w:cs="Arial" w:eastAsia="Arial" w:hAnsi="Arial"/>
          <w:sz w:val="16"/>
          <w:szCs w:val="16"/>
          <w:color w:val="252525"/>
        </w:rPr>
        <w:t xml:space="preserve"> </w:t>
      </w:r>
      <w:r>
        <w:rPr>
          <w:rFonts w:ascii="Arial" w:cs="Arial" w:eastAsia="Arial" w:hAnsi="Arial"/>
          <w:sz w:val="16"/>
          <w:szCs w:val="16"/>
          <w:color w:val="000000"/>
        </w:rPr>
        <w:t xml:space="preserve">first quarter of 2019. We have established a cross-functional team to evaluate and implement the new standard. </w:t>
      </w:r>
      <w:r>
        <w:rPr>
          <w:rFonts w:ascii="Arial" w:cs="Arial" w:eastAsia="Arial" w:hAnsi="Arial"/>
          <w:sz w:val="16"/>
          <w:szCs w:val="16"/>
          <w:color w:val="252525"/>
        </w:rPr>
        <w:t>We are in the process of implementing</w:t>
      </w:r>
      <w:r>
        <w:rPr>
          <w:rFonts w:ascii="Arial" w:cs="Arial" w:eastAsia="Arial" w:hAnsi="Arial"/>
          <w:sz w:val="16"/>
          <w:szCs w:val="16"/>
          <w:color w:val="000000"/>
        </w:rPr>
        <w:t xml:space="preserve"> </w:t>
      </w:r>
      <w:r>
        <w:rPr>
          <w:rFonts w:ascii="Arial" w:cs="Arial" w:eastAsia="Arial" w:hAnsi="Arial"/>
          <w:sz w:val="16"/>
          <w:szCs w:val="16"/>
          <w:color w:val="252525"/>
        </w:rPr>
        <w:t xml:space="preserve">changes to our systems and processes in conjunction with our review of lease agreements </w:t>
      </w:r>
      <w:r>
        <w:rPr>
          <w:rFonts w:ascii="Arial" w:cs="Arial" w:eastAsia="Arial" w:hAnsi="Arial"/>
          <w:sz w:val="16"/>
          <w:szCs w:val="16"/>
          <w:color w:val="000000"/>
        </w:rPr>
        <w:t>to support recognition and disclosure upon adoption on December</w:t>
      </w:r>
      <w:r>
        <w:rPr>
          <w:rFonts w:ascii="Arial" w:cs="Arial" w:eastAsia="Arial" w:hAnsi="Arial"/>
          <w:sz w:val="16"/>
          <w:szCs w:val="16"/>
          <w:color w:val="252525"/>
        </w:rPr>
        <w:t xml:space="preserve"> </w:t>
      </w:r>
      <w:r>
        <w:rPr>
          <w:rFonts w:ascii="Arial" w:cs="Arial" w:eastAsia="Arial" w:hAnsi="Arial"/>
          <w:sz w:val="16"/>
          <w:szCs w:val="16"/>
          <w:color w:val="000000"/>
        </w:rPr>
        <w:t xml:space="preserve">30, 2018, which is the first day of our fiscal year 2019. </w:t>
      </w:r>
      <w:r>
        <w:rPr>
          <w:rFonts w:ascii="Arial" w:cs="Arial" w:eastAsia="Arial" w:hAnsi="Arial"/>
          <w:sz w:val="16"/>
          <w:szCs w:val="16"/>
          <w:color w:val="252525"/>
        </w:rPr>
        <w:t>We do not expect the adoption to have a significant impact on the recognition, measurement or</w:t>
      </w:r>
      <w:r>
        <w:rPr>
          <w:rFonts w:ascii="Arial" w:cs="Arial" w:eastAsia="Arial" w:hAnsi="Arial"/>
          <w:sz w:val="16"/>
          <w:szCs w:val="16"/>
          <w:color w:val="000000"/>
        </w:rPr>
        <w:t xml:space="preserve"> </w:t>
      </w:r>
      <w:r>
        <w:rPr>
          <w:rFonts w:ascii="Arial" w:cs="Arial" w:eastAsia="Arial" w:hAnsi="Arial"/>
          <w:sz w:val="16"/>
          <w:szCs w:val="16"/>
          <w:color w:val="252525"/>
        </w:rPr>
        <w:t>presentation of lease expenses within our consolidated statements of operations. While we continue to assess all potential impacts of the standard, we currently believe the most significant impact relates to recording lease assets and related liabilities on the consolidated balance sheets.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This new guidance requires that a statement of cash flows explain the change during the period in the total of cash, cash equivalents, and amounts generally described as restricted cash or restricted cash equivalents. This new guidance is effective in fiscal years, including interim periods, beginning after December 15, 2017. The amendments in this update should be applied using a retrospective transition method to each period presented. The company adopted this new guidance during the first quarter of 2018. The adoption of this new guidance did not have a material effect on the Company’s financial condition, results of operations, or cash flows.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80" w:type="dxa"/>
            <w:vAlign w:val="bottom"/>
          </w:tcPr>
          <w:p>
            <w:pPr>
              <w:jc w:val="center"/>
              <w:ind w:left="630"/>
              <w:spacing w:after="0"/>
              <w:rPr>
                <w:sz w:val="20"/>
                <w:szCs w:val="20"/>
                <w:color w:val="auto"/>
              </w:rPr>
            </w:pPr>
            <w:r>
              <w:rPr>
                <w:rFonts w:ascii="Arial" w:cs="Arial" w:eastAsia="Arial" w:hAnsi="Arial"/>
                <w:sz w:val="18"/>
                <w:szCs w:val="18"/>
                <w:color w:val="auto"/>
                <w:w w:val="97"/>
              </w:rPr>
              <w:t>As of</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97"/>
              </w:rPr>
              <w:t>As of</w:t>
            </w:r>
          </w:p>
        </w:tc>
      </w:tr>
      <w:tr>
        <w:trPr>
          <w:trHeight w:val="216"/>
        </w:trPr>
        <w:tc>
          <w:tcPr>
            <w:tcW w:w="6520" w:type="dxa"/>
            <w:vAlign w:val="bottom"/>
          </w:tcPr>
          <w:p>
            <w:pPr>
              <w:spacing w:after="0"/>
              <w:rPr>
                <w:sz w:val="18"/>
                <w:szCs w:val="18"/>
                <w:color w:val="auto"/>
              </w:rPr>
            </w:pPr>
          </w:p>
        </w:tc>
        <w:tc>
          <w:tcPr>
            <w:tcW w:w="1680" w:type="dxa"/>
            <w:vAlign w:val="bottom"/>
          </w:tcPr>
          <w:p>
            <w:pPr>
              <w:jc w:val="center"/>
              <w:ind w:left="570"/>
              <w:spacing w:after="0"/>
              <w:rPr>
                <w:sz w:val="20"/>
                <w:szCs w:val="20"/>
                <w:color w:val="auto"/>
              </w:rPr>
            </w:pPr>
            <w:r>
              <w:rPr>
                <w:rFonts w:ascii="Arial" w:cs="Arial" w:eastAsia="Arial" w:hAnsi="Arial"/>
                <w:sz w:val="18"/>
                <w:szCs w:val="18"/>
                <w:color w:val="auto"/>
                <w:w w:val="92"/>
              </w:rPr>
              <w:t>March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center"/>
              <w:ind w:right="350"/>
              <w:spacing w:after="0"/>
              <w:rPr>
                <w:sz w:val="20"/>
                <w:szCs w:val="20"/>
                <w:color w:val="auto"/>
              </w:rPr>
            </w:pPr>
            <w:r>
              <w:rPr>
                <w:rFonts w:ascii="Arial" w:cs="Arial" w:eastAsia="Arial" w:hAnsi="Arial"/>
                <w:sz w:val="18"/>
                <w:szCs w:val="18"/>
                <w:color w:val="auto"/>
                <w:w w:val="88"/>
              </w:rPr>
              <w:t>December 30,</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Pr>
          <w:p>
            <w:pPr>
              <w:jc w:val="center"/>
              <w:ind w:left="630"/>
              <w:spacing w:after="0"/>
              <w:rPr>
                <w:sz w:val="20"/>
                <w:szCs w:val="20"/>
                <w:color w:val="auto"/>
              </w:rPr>
            </w:pPr>
            <w:r>
              <w:rPr>
                <w:rFonts w:ascii="Arial" w:cs="Arial" w:eastAsia="Arial" w:hAnsi="Arial"/>
                <w:sz w:val="18"/>
                <w:szCs w:val="18"/>
                <w:color w:val="auto"/>
                <w:w w:val="89"/>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89"/>
              </w:rPr>
              <w:t>2017</w:t>
            </w:r>
          </w:p>
        </w:tc>
      </w:tr>
      <w:tr>
        <w:trPr>
          <w:trHeight w:val="27"/>
        </w:trPr>
        <w:tc>
          <w:tcPr>
            <w:tcW w:w="65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1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680" w:type="dxa"/>
            <w:vAlign w:val="bottom"/>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29,188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28,862</w:t>
            </w:r>
          </w:p>
        </w:tc>
      </w:tr>
      <w:tr>
        <w:trPr>
          <w:trHeight w:val="27"/>
        </w:trPr>
        <w:tc>
          <w:tcPr>
            <w:tcW w:w="6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1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Tenant improvement allowances receivable</w:t>
            </w:r>
          </w:p>
        </w:tc>
        <w:tc>
          <w:tcPr>
            <w:tcW w:w="16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4,794</w:t>
            </w:r>
          </w:p>
        </w:tc>
      </w:tr>
      <w:tr>
        <w:trPr>
          <w:trHeight w:val="27"/>
        </w:trPr>
        <w:tc>
          <w:tcPr>
            <w:tcW w:w="6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1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Allowance for uncollectible accounts</w:t>
            </w:r>
          </w:p>
        </w:tc>
        <w:tc>
          <w:tcPr>
            <w:tcW w:w="16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7"/>
        </w:trPr>
        <w:tc>
          <w:tcPr>
            <w:tcW w:w="65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6520" w:type="dxa"/>
            <w:vAlign w:val="bottom"/>
          </w:tcPr>
          <w:p>
            <w:pPr>
              <w:spacing w:after="0"/>
              <w:rPr>
                <w:sz w:val="24"/>
                <w:szCs w:val="24"/>
                <w:color w:val="auto"/>
              </w:rPr>
            </w:pPr>
          </w:p>
        </w:tc>
        <w:tc>
          <w:tcPr>
            <w:tcW w:w="1680" w:type="dxa"/>
            <w:vAlign w:val="bottom"/>
          </w:tcPr>
          <w:p>
            <w:pPr>
              <w:jc w:val="center"/>
              <w:ind w:left="630"/>
              <w:spacing w:after="0"/>
              <w:rPr>
                <w:sz w:val="20"/>
                <w:szCs w:val="20"/>
                <w:color w:val="auto"/>
              </w:rPr>
            </w:pPr>
            <w:r>
              <w:rPr>
                <w:rFonts w:ascii="Arial" w:cs="Arial" w:eastAsia="Arial" w:hAnsi="Arial"/>
                <w:sz w:val="18"/>
                <w:szCs w:val="18"/>
                <w:color w:val="auto"/>
                <w:w w:val="97"/>
              </w:rPr>
              <w:t>As of</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97"/>
              </w:rPr>
              <w:t>As of</w:t>
            </w:r>
          </w:p>
        </w:tc>
      </w:tr>
      <w:tr>
        <w:trPr>
          <w:trHeight w:val="216"/>
        </w:trPr>
        <w:tc>
          <w:tcPr>
            <w:tcW w:w="6520" w:type="dxa"/>
            <w:vAlign w:val="bottom"/>
          </w:tcPr>
          <w:p>
            <w:pPr>
              <w:spacing w:after="0"/>
              <w:rPr>
                <w:sz w:val="18"/>
                <w:szCs w:val="18"/>
                <w:color w:val="auto"/>
              </w:rPr>
            </w:pPr>
          </w:p>
        </w:tc>
        <w:tc>
          <w:tcPr>
            <w:tcW w:w="1680" w:type="dxa"/>
            <w:vAlign w:val="bottom"/>
          </w:tcPr>
          <w:p>
            <w:pPr>
              <w:jc w:val="center"/>
              <w:ind w:left="570"/>
              <w:spacing w:after="0"/>
              <w:rPr>
                <w:sz w:val="20"/>
                <w:szCs w:val="20"/>
                <w:color w:val="auto"/>
              </w:rPr>
            </w:pPr>
            <w:r>
              <w:rPr>
                <w:rFonts w:ascii="Arial" w:cs="Arial" w:eastAsia="Arial" w:hAnsi="Arial"/>
                <w:sz w:val="18"/>
                <w:szCs w:val="18"/>
                <w:color w:val="auto"/>
                <w:w w:val="92"/>
              </w:rPr>
              <w:t>March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center"/>
              <w:ind w:right="350"/>
              <w:spacing w:after="0"/>
              <w:rPr>
                <w:sz w:val="20"/>
                <w:szCs w:val="20"/>
                <w:color w:val="auto"/>
              </w:rPr>
            </w:pPr>
            <w:r>
              <w:rPr>
                <w:rFonts w:ascii="Arial" w:cs="Arial" w:eastAsia="Arial" w:hAnsi="Arial"/>
                <w:sz w:val="18"/>
                <w:szCs w:val="18"/>
                <w:color w:val="auto"/>
                <w:w w:val="88"/>
              </w:rPr>
              <w:t>December 30,</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Pr>
          <w:p>
            <w:pPr>
              <w:jc w:val="center"/>
              <w:ind w:left="630"/>
              <w:spacing w:after="0"/>
              <w:rPr>
                <w:sz w:val="20"/>
                <w:szCs w:val="20"/>
                <w:color w:val="auto"/>
              </w:rPr>
            </w:pPr>
            <w:r>
              <w:rPr>
                <w:rFonts w:ascii="Arial" w:cs="Arial" w:eastAsia="Arial" w:hAnsi="Arial"/>
                <w:sz w:val="18"/>
                <w:szCs w:val="18"/>
                <w:color w:val="auto"/>
                <w:w w:val="89"/>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89"/>
              </w:rPr>
              <w:t>2017</w:t>
            </w:r>
          </w:p>
        </w:tc>
      </w:tr>
      <w:tr>
        <w:trPr>
          <w:trHeight w:val="27"/>
        </w:trPr>
        <w:tc>
          <w:tcPr>
            <w:tcW w:w="65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1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5"/>
                <w:szCs w:val="25"/>
                <w:color w:val="auto"/>
                <w:vertAlign w:val="superscript"/>
              </w:rPr>
              <w:t>(1)</w:t>
            </w:r>
          </w:p>
        </w:tc>
        <w:tc>
          <w:tcPr>
            <w:tcW w:w="1680" w:type="dxa"/>
            <w:vAlign w:val="bottom"/>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42,687</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43,953</w:t>
            </w: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6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47,198</w:t>
            </w:r>
          </w:p>
        </w:tc>
      </w:tr>
      <w:tr>
        <w:trPr>
          <w:trHeight w:val="237"/>
        </w:trPr>
        <w:tc>
          <w:tcPr>
            <w:tcW w:w="6520" w:type="dxa"/>
            <w:vAlign w:val="bottom"/>
          </w:tcPr>
          <w:p>
            <w:pPr>
              <w:spacing w:after="0"/>
              <w:rPr>
                <w:sz w:val="20"/>
                <w:szCs w:val="20"/>
                <w:color w:val="auto"/>
              </w:rPr>
            </w:pPr>
          </w:p>
        </w:tc>
        <w:tc>
          <w:tcPr>
            <w:tcW w:w="1680" w:type="dxa"/>
            <w:vAlign w:val="bottom"/>
            <w:tcBorders>
              <w:top w:val="single" w:sz="8" w:color="auto"/>
            </w:tcBorders>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93,678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91,151</w:t>
            </w:r>
          </w:p>
        </w:tc>
      </w:tr>
      <w:tr>
        <w:trPr>
          <w:trHeight w:val="27"/>
        </w:trPr>
        <w:tc>
          <w:tcPr>
            <w:tcW w:w="6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660" w:hanging="328"/>
        <w:spacing w:after="0" w:line="27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1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As of</w:t>
            </w:r>
          </w:p>
        </w:tc>
        <w:tc>
          <w:tcPr>
            <w:tcW w:w="400" w:type="dxa"/>
            <w:vAlign w:val="bottom"/>
          </w:tcPr>
          <w:p>
            <w:pPr>
              <w:spacing w:after="0"/>
              <w:rPr>
                <w:sz w:val="18"/>
                <w:szCs w:val="18"/>
                <w:color w:val="auto"/>
              </w:rPr>
            </w:pPr>
          </w:p>
        </w:tc>
        <w:tc>
          <w:tcPr>
            <w:tcW w:w="2000" w:type="dxa"/>
            <w:vAlign w:val="bottom"/>
          </w:tcPr>
          <w:p>
            <w:pPr>
              <w:ind w:left="600"/>
              <w:spacing w:after="0"/>
              <w:rPr>
                <w:sz w:val="20"/>
                <w:szCs w:val="20"/>
                <w:color w:val="auto"/>
              </w:rPr>
            </w:pPr>
            <w:r>
              <w:rPr>
                <w:rFonts w:ascii="Arial" w:cs="Arial" w:eastAsia="Arial" w:hAnsi="Arial"/>
                <w:sz w:val="18"/>
                <w:szCs w:val="18"/>
                <w:color w:val="auto"/>
              </w:rPr>
              <w:t>As of</w:t>
            </w: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March 31,</w:t>
            </w:r>
          </w:p>
        </w:tc>
        <w:tc>
          <w:tcPr>
            <w:tcW w:w="400" w:type="dxa"/>
            <w:vAlign w:val="bottom"/>
          </w:tcPr>
          <w:p>
            <w:pPr>
              <w:spacing w:after="0"/>
              <w:rPr>
                <w:sz w:val="18"/>
                <w:szCs w:val="18"/>
                <w:color w:val="auto"/>
              </w:rPr>
            </w:pP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December 30,</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0"/>
                <w:szCs w:val="20"/>
                <w:color w:val="auto"/>
              </w:rPr>
            </w:pPr>
          </w:p>
        </w:tc>
        <w:tc>
          <w:tcPr>
            <w:tcW w:w="1940" w:type="dxa"/>
            <w:vAlign w:val="bottom"/>
          </w:tcPr>
          <w:p>
            <w:pPr>
              <w:jc w:val="center"/>
              <w:ind w:right="3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ind w:left="620"/>
              <w:spacing w:after="0"/>
              <w:rPr>
                <w:sz w:val="20"/>
                <w:szCs w:val="20"/>
                <w:color w:val="auto"/>
              </w:rPr>
            </w:pPr>
            <w:r>
              <w:rPr>
                <w:rFonts w:ascii="Arial" w:cs="Arial" w:eastAsia="Arial" w:hAnsi="Arial"/>
                <w:sz w:val="18"/>
                <w:szCs w:val="18"/>
                <w:color w:val="auto"/>
              </w:rPr>
              <w:t>2017</w:t>
            </w:r>
          </w:p>
        </w:tc>
      </w:tr>
      <w:tr>
        <w:trPr>
          <w:trHeight w:val="27"/>
        </w:trPr>
        <w:tc>
          <w:tcPr>
            <w:tcW w:w="6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Land and building</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3,608</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220,088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44,063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42,708</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155,369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22,453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18,375</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under capital leases</w:t>
            </w:r>
          </w:p>
        </w:tc>
        <w:tc>
          <w:tcPr>
            <w:tcW w:w="4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11,756</w:t>
            </w:r>
          </w:p>
        </w:tc>
      </w:tr>
      <w:tr>
        <w:trPr>
          <w:trHeight w:val="237"/>
        </w:trPr>
        <w:tc>
          <w:tcPr>
            <w:tcW w:w="65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474,058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451,904</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147,772</w:t>
            </w:r>
          </w:p>
        </w:tc>
      </w:tr>
      <w:tr>
        <w:trPr>
          <w:trHeight w:val="237"/>
        </w:trPr>
        <w:tc>
          <w:tcPr>
            <w:tcW w:w="65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310,964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304,132</w:t>
            </w:r>
          </w:p>
        </w:tc>
      </w:tr>
      <w:tr>
        <w:trPr>
          <w:trHeight w:val="27"/>
        </w:trPr>
        <w:tc>
          <w:tcPr>
            <w:tcW w:w="6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398"/>
        </w:trPr>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As of</w:t>
            </w:r>
          </w:p>
        </w:tc>
        <w:tc>
          <w:tcPr>
            <w:tcW w:w="400" w:type="dxa"/>
            <w:vAlign w:val="bottom"/>
          </w:tcPr>
          <w:p>
            <w:pPr>
              <w:spacing w:after="0"/>
              <w:rPr>
                <w:sz w:val="24"/>
                <w:szCs w:val="24"/>
                <w:color w:val="auto"/>
              </w:rPr>
            </w:pPr>
          </w:p>
        </w:tc>
        <w:tc>
          <w:tcPr>
            <w:tcW w:w="2000" w:type="dxa"/>
            <w:vAlign w:val="bottom"/>
          </w:tcPr>
          <w:p>
            <w:pPr>
              <w:ind w:left="600"/>
              <w:spacing w:after="0"/>
              <w:rPr>
                <w:sz w:val="20"/>
                <w:szCs w:val="20"/>
                <w:color w:val="auto"/>
              </w:rPr>
            </w:pPr>
            <w:r>
              <w:rPr>
                <w:rFonts w:ascii="Arial" w:cs="Arial" w:eastAsia="Arial" w:hAnsi="Arial"/>
                <w:sz w:val="18"/>
                <w:szCs w:val="18"/>
                <w:color w:val="auto"/>
              </w:rPr>
              <w:t>As of</w:t>
            </w: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March 31,</w:t>
            </w:r>
          </w:p>
        </w:tc>
        <w:tc>
          <w:tcPr>
            <w:tcW w:w="400" w:type="dxa"/>
            <w:vAlign w:val="bottom"/>
          </w:tcPr>
          <w:p>
            <w:pPr>
              <w:spacing w:after="0"/>
              <w:rPr>
                <w:sz w:val="18"/>
                <w:szCs w:val="18"/>
                <w:color w:val="auto"/>
              </w:rPr>
            </w:pP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December 30,</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0"/>
                <w:szCs w:val="20"/>
                <w:color w:val="auto"/>
              </w:rPr>
            </w:pPr>
          </w:p>
        </w:tc>
        <w:tc>
          <w:tcPr>
            <w:tcW w:w="1940" w:type="dxa"/>
            <w:vAlign w:val="bottom"/>
          </w:tcPr>
          <w:p>
            <w:pPr>
              <w:jc w:val="center"/>
              <w:ind w:right="3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ind w:left="620"/>
              <w:spacing w:after="0"/>
              <w:rPr>
                <w:sz w:val="20"/>
                <w:szCs w:val="20"/>
                <w:color w:val="auto"/>
              </w:rPr>
            </w:pPr>
            <w:r>
              <w:rPr>
                <w:rFonts w:ascii="Arial" w:cs="Arial" w:eastAsia="Arial" w:hAnsi="Arial"/>
                <w:sz w:val="18"/>
                <w:szCs w:val="18"/>
                <w:color w:val="auto"/>
              </w:rPr>
              <w:t>2017</w:t>
            </w:r>
          </w:p>
        </w:tc>
      </w:tr>
      <w:tr>
        <w:trPr>
          <w:trHeight w:val="27"/>
        </w:trPr>
        <w:tc>
          <w:tcPr>
            <w:tcW w:w="6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payables and 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30,291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21,134</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Self-insurance reserves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6,854</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for customer returns and remakes</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10,782</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Legacy management and services agreement</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Deferred rental expenses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1,140</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Sales and use taxes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1,218</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Supplies and other store support expenses</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3,942</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r>
      <w:tr>
        <w:trPr>
          <w:trHeight w:val="237"/>
        </w:trPr>
        <w:tc>
          <w:tcPr>
            <w:tcW w:w="65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85,763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77,611</w:t>
            </w:r>
          </w:p>
        </w:tc>
      </w:tr>
      <w:tr>
        <w:trPr>
          <w:trHeight w:val="27"/>
        </w:trPr>
        <w:tc>
          <w:tcPr>
            <w:tcW w:w="6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398"/>
        </w:trPr>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As of</w:t>
            </w:r>
          </w:p>
        </w:tc>
        <w:tc>
          <w:tcPr>
            <w:tcW w:w="400" w:type="dxa"/>
            <w:vAlign w:val="bottom"/>
          </w:tcPr>
          <w:p>
            <w:pPr>
              <w:spacing w:after="0"/>
              <w:rPr>
                <w:sz w:val="24"/>
                <w:szCs w:val="24"/>
                <w:color w:val="auto"/>
              </w:rPr>
            </w:pPr>
          </w:p>
        </w:tc>
        <w:tc>
          <w:tcPr>
            <w:tcW w:w="2000" w:type="dxa"/>
            <w:vAlign w:val="bottom"/>
          </w:tcPr>
          <w:p>
            <w:pPr>
              <w:ind w:left="600"/>
              <w:spacing w:after="0"/>
              <w:rPr>
                <w:sz w:val="20"/>
                <w:szCs w:val="20"/>
                <w:color w:val="auto"/>
              </w:rPr>
            </w:pPr>
            <w:r>
              <w:rPr>
                <w:rFonts w:ascii="Arial" w:cs="Arial" w:eastAsia="Arial" w:hAnsi="Arial"/>
                <w:sz w:val="18"/>
                <w:szCs w:val="18"/>
                <w:color w:val="auto"/>
              </w:rPr>
              <w:t>As of</w:t>
            </w: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March 31,</w:t>
            </w:r>
          </w:p>
        </w:tc>
        <w:tc>
          <w:tcPr>
            <w:tcW w:w="400" w:type="dxa"/>
            <w:vAlign w:val="bottom"/>
          </w:tcPr>
          <w:p>
            <w:pPr>
              <w:spacing w:after="0"/>
              <w:rPr>
                <w:sz w:val="18"/>
                <w:szCs w:val="18"/>
                <w:color w:val="auto"/>
              </w:rPr>
            </w:pP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December 30,</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0"/>
                <w:szCs w:val="20"/>
                <w:color w:val="auto"/>
              </w:rPr>
            </w:pPr>
          </w:p>
        </w:tc>
        <w:tc>
          <w:tcPr>
            <w:tcW w:w="1940" w:type="dxa"/>
            <w:vAlign w:val="bottom"/>
          </w:tcPr>
          <w:p>
            <w:pPr>
              <w:jc w:val="center"/>
              <w:ind w:right="3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ind w:left="620"/>
              <w:spacing w:after="0"/>
              <w:rPr>
                <w:sz w:val="20"/>
                <w:szCs w:val="20"/>
                <w:color w:val="auto"/>
              </w:rPr>
            </w:pPr>
            <w:r>
              <w:rPr>
                <w:rFonts w:ascii="Arial" w:cs="Arial" w:eastAsia="Arial" w:hAnsi="Arial"/>
                <w:sz w:val="18"/>
                <w:szCs w:val="18"/>
                <w:color w:val="auto"/>
              </w:rPr>
              <w:t>2017</w:t>
            </w:r>
          </w:p>
        </w:tc>
      </w:tr>
      <w:tr>
        <w:trPr>
          <w:trHeight w:val="27"/>
        </w:trPr>
        <w:tc>
          <w:tcPr>
            <w:tcW w:w="6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9,155</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Tenant improvements </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23,291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22,894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Deferred rental expenses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7,246</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6,749</w:t>
            </w:r>
          </w:p>
        </w:tc>
      </w:tr>
      <w:tr>
        <w:trPr>
          <w:trHeight w:val="237"/>
        </w:trPr>
        <w:tc>
          <w:tcPr>
            <w:tcW w:w="65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46,044</w:t>
            </w:r>
          </w:p>
        </w:tc>
      </w:tr>
      <w:tr>
        <w:trPr>
          <w:trHeight w:val="27"/>
        </w:trPr>
        <w:tc>
          <w:tcPr>
            <w:tcW w:w="6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respective lease term.</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280" w:hanging="110"/>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117" w:lineRule="exact"/>
        <w:rPr>
          <w:rFonts w:ascii="Arial" w:cs="Arial" w:eastAsia="Arial" w:hAnsi="Arial"/>
          <w:sz w:val="18"/>
          <w:szCs w:val="18"/>
          <w:color w:val="auto"/>
        </w:rPr>
      </w:pPr>
    </w:p>
    <w:p>
      <w:pPr>
        <w:jc w:val="both"/>
        <w:ind w:left="180" w:hanging="10"/>
        <w:spacing w:after="0" w:line="264" w:lineRule="auto"/>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jc w:val="both"/>
        <w:ind w:left="180" w:hanging="10"/>
        <w:spacing w:after="0" w:line="264" w:lineRule="auto"/>
        <w:tabs>
          <w:tab w:leader="none" w:pos="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and cash equivalents approximates fair value due to the short 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doubtful accounts.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Credit Agreements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under our first lien credit agreement are traded in private markets on a less-than-daily basis. Fair value is based on the average of trading prices and bid/ask quotes around period-end (Level 2 inputs). The estimated fair values of our first lien term loans were $570.0 million and $570.2 million as of March 31, 2018 and December 30, 2017, respectively, compared to carrying values of $556.3 million and $557.3 million, respectively, which includes the current portion, and is net of unamortized discounts and deferred debt issuance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Capital Leases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capital lease obligations is based on estimated future contractual cash flows discounted at an appropriate market rate of interest (Level 2 inputs). The estimated fair values of our capital leases were $15.4 million and $14.0 million as of March 31, 2018 and December 30, 2017, respectively, compared to carrying values of $13.0 million and $12.0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lien credit agreement. Changes in the cash flows of each derivative have historically been and are expected to be highly effective in offsetting the changes in interest payments on a principal balance equal to the derivative’s notional amount, attributable to the hedged risk. During March 2018, in accordance with the original agreements with the counterparties, the notional amount of the first derivative decreased from $175 million to $140 million. There were no other changes in the terms of the arrangements. The change in notional amount did not impact the results of our assessment of effectiveness as of March 31, 2018.</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swaps prior to their scheduled expiration dates. Fair value is based on information that is model-driven and whose inputs are observable (Level 2 inputs). As of March 31, 2018, the Company expects to reclassify $3.8 million, net of tax, of accumulated other comprehensive loss (“AOCL”) into earnings in the next 12 months. See Note 10. “Accumulated Other Comprehensive Loss”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Other Payables and</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Notional Amount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Final Maturity Date</w:t>
            </w: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Accrued Expenses</w:t>
            </w:r>
          </w:p>
        </w:tc>
        <w:tc>
          <w:tcPr>
            <w:tcW w:w="20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w w:val="95"/>
              </w:rPr>
              <w:t>AOCL, Net of Tax</w:t>
            </w: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As of</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465,000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r>
      <w:tr>
        <w:trPr>
          <w:trHeight w:val="229"/>
        </w:trPr>
        <w:tc>
          <w:tcPr>
            <w:tcW w:w="2420" w:type="dxa"/>
            <w:vAlign w:val="bottom"/>
          </w:tcPr>
          <w:p>
            <w:pPr>
              <w:jc w:val="center"/>
              <w:spacing w:after="0"/>
              <w:rPr>
                <w:sz w:val="20"/>
                <w:szCs w:val="20"/>
                <w:color w:val="auto"/>
              </w:rPr>
            </w:pPr>
            <w:r>
              <w:rPr>
                <w:rFonts w:ascii="Arial" w:cs="Arial" w:eastAsia="Arial" w:hAnsi="Arial"/>
                <w:sz w:val="18"/>
                <w:szCs w:val="18"/>
                <w:color w:val="auto"/>
                <w:w w:val="92"/>
              </w:rPr>
              <w:t>As of</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December 30, 2017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2021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9,155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9,868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Incentive Plan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reserved an aggregate of 10,988,827 shares of our common stock for issuance under our 2014 Stock Incentive Plan. As of March 31, 2018, 347,253 shares remained available for future grants.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roll-forward of stock options for the three months ended March 31, 2018: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Options issued and outstanding</w:t>
            </w:r>
          </w:p>
        </w:tc>
        <w:tc>
          <w:tcPr>
            <w:tcW w:w="1720" w:type="dxa"/>
            <w:vAlign w:val="bottom"/>
            <w:gridSpan w:val="2"/>
          </w:tcPr>
          <w:p>
            <w:pPr>
              <w:ind w:left="380"/>
              <w:spacing w:after="0"/>
              <w:rPr>
                <w:sz w:val="20"/>
                <w:szCs w:val="20"/>
                <w:color w:val="auto"/>
              </w:rPr>
            </w:pPr>
            <w:r>
              <w:rPr>
                <w:rFonts w:ascii="Arial" w:cs="Arial" w:eastAsia="Arial" w:hAnsi="Arial"/>
                <w:sz w:val="18"/>
                <w:szCs w:val="18"/>
                <w:color w:val="auto"/>
              </w:rPr>
              <w:t xml:space="preserve">Rollover </w:t>
            </w:r>
            <w:r>
              <w:rPr>
                <w:rFonts w:ascii="Arial" w:cs="Arial" w:eastAsia="Arial" w:hAnsi="Arial"/>
                <w:sz w:val="25"/>
                <w:szCs w:val="25"/>
                <w:color w:val="auto"/>
                <w:vertAlign w:val="superscript"/>
              </w:rPr>
              <w:t>(1)</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Service-Based</w:t>
            </w:r>
          </w:p>
        </w:tc>
        <w:tc>
          <w:tcPr>
            <w:tcW w:w="1680" w:type="dxa"/>
            <w:vAlign w:val="bottom"/>
            <w:gridSpan w:val="2"/>
          </w:tcPr>
          <w:p>
            <w:pPr>
              <w:ind w:left="80"/>
              <w:spacing w:after="0"/>
              <w:rPr>
                <w:sz w:val="20"/>
                <w:szCs w:val="20"/>
                <w:color w:val="auto"/>
              </w:rPr>
            </w:pPr>
            <w:r>
              <w:rPr>
                <w:rFonts w:ascii="Arial" w:cs="Arial" w:eastAsia="Arial" w:hAnsi="Arial"/>
                <w:sz w:val="18"/>
                <w:szCs w:val="18"/>
                <w:color w:val="auto"/>
                <w:w w:val="98"/>
              </w:rPr>
              <w:t>Performance-Based</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4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30, 2017</w:t>
            </w:r>
          </w:p>
        </w:tc>
        <w:tc>
          <w:tcPr>
            <w:tcW w:w="1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3,822,915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6,524,152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10,516,116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(13,490)</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(458,881)</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(472,371)</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(245,119)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(277,801)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March 31, 2018</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155,559</w:t>
            </w:r>
          </w:p>
        </w:tc>
        <w:tc>
          <w:tcPr>
            <w:tcW w:w="120" w:type="dxa"/>
            <w:vAlign w:val="bottom"/>
            <w:tcBorders>
              <w:bottom w:val="single" w:sz="8" w:color="CCEEFF"/>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3,331,352</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6,279,033</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9,765,944</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vested and exercisable</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December 30, 2017</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169,049</w:t>
            </w:r>
          </w:p>
        </w:tc>
        <w:tc>
          <w:tcPr>
            <w:tcW w:w="12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1,631,023</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1,843,550</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688,341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688,341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(13,490)</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(458,881)</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(472,371)</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155,559</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1,860,483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43,478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2,059,520</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options under the Vision Holding Corp. Amended and Restated 2013 Equity Incentive Plan</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rollover and service-based options were exercised at a weighted average price of $4.89, for a total intrinsic value of $13.2 million. The Company recorded an income tax benefit of $2.7 million in the condensed consolidated statement of operations related to these exercises.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Incentive Plan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Compensation expense associated with service-based stock options is presented in selling, general, and administrative expenses (“SG&amp;A”) in the accompanying condensed consolidated statements of operations. The Company granted 217,390 performance based stock options to one of our named executive officers that vest as a result of certain profitability targets for fiscal years 2017 to 2021. Those targets were met for fiscal year 2017, resulting in vesting of 20 percent of those performance based options as presented in the table above. Vesting of all other performance-based options is conditional upon the achievement by Kohlberg Kravis &amp; Co. L.P. (“KKR Sponsor”), with respect to its investment in NVHI, of both a minimum internal rate of return and a minimum multiple of invested capital and then increases proportionally as the multiple of invested capital increases up to a defined target.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Omnibus Incentive Plan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reserved an aggregate of 4,000,000 shares of our common stock for issuance under our 2017 Omnibus Incentive Plan. As of March 31, 2018, there were equity awards representing 274,976 shares of common stock issued and outstanding, and 3,725,024 shares available for future grants. There was no material activity under the 2017 Omnibus Incentive Plan for the three months ended March 31,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Equity Sponsors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recorded the following fees paid to equity sponsors, which are presented in SG&amp;A in the accompanying condensed consolidated statements of operations, except for $2.3 million in KKR Sponsor fees during the three months ended April 1, 2017, which are presented in debt issuance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88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c>
          <w:tcPr>
            <w:tcW w:w="5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March 31, 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April 1, 2017</w:t>
            </w:r>
          </w:p>
        </w:tc>
        <w:tc>
          <w:tcPr>
            <w:tcW w:w="56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KKR Sponsor</w:t>
            </w: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2,553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Berkshire Partners LLC</w:t>
            </w: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Assets of Non-Consolidated Investee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net in the Company’s condensed consolidated statements of operations. Our interest in the investee’s net losses was $0.2 million and $0.1 million for the three months ended March 31, 2018 and April 1, 2017, respectively. After adjusting our investment for our interest in the investee’s reported net losses, our investment balance in the business was $2.1 million and $2.3 million as of March 31, 2018 and December 30, 2017, respectively, which is included in other assets in the accompanying condensed consolidated balance sheets.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we are a licensee of our investee. We recorded $0.2 million in licensing fees in SG&amp;A in the accompanying condensed consolidated statements of operations for the three months ended March 31, 2018 and April 1, 2017. Additionally, on August 29, 2017, the investee issued a secured convertible promissory note to the Company, in the principal amount of $1.5 million, due on August 29, 2020. Interest income associated with the note was immaterial for the three months ended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performance obligation is a promise in a contract to transfer a distinct good or service to a customer, and is the unit of account under ASU 2014-09, codified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discussed in Note 1, we adopted ASC 606 in the first quarter of fiscal year 2018 using the modified retrospective transition method. All of our revenue is derived from contracts with customers and is reported as net revenue in the condensed consolidated statements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3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 revenue from the products and services we provide in accordance with the five-step process outlined in ASC 606. 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between when we invoice customers and when revenues are recognized, we record either a contract asset (accounts receivable) or a contract liability (deferred revenue or unearned revenue), as appropriate. See further discussion related to contract assets and liabilities below.</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revenue arrangements generally consist of a single performance obligation to transfer promised goods or services. Based on our evaluation process and review of our contracts with customers, in most circumstances the timing and amount of revenue recognized under the new guidance is consistent with our past revenue recognition policy. The majority of our annual revenues are recognized either at the point of sale or upon delivery and customer acceptance, paid for at the time of sale in cash, credit card, or on account with health care plans and programs located throughout the United States (“managed care”) having terms generally between 14 and 120 days, with most paying within 90 days. Revenues recognized over time primarily include product protection plans, eyecare club memberships and management fees earned from our legacy partner.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 to Note 8 for the Company’s disaggregation of net revenue by reportable segment. As the reportable segments are aligned by similar economic factors, trends and customers, this disaggregation view best depicts how the nature, amount, and uncertainty of revenue and cash flows are affected by economic factors. The following disaggregation of revenues depicts our revenues based on the timing of revenue recognition.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Arial" w:cs="Arial" w:eastAsia="Arial" w:hAnsi="Arial"/>
                <w:sz w:val="18"/>
                <w:szCs w:val="18"/>
                <w:b w:val="1"/>
                <w:bCs w:val="1"/>
                <w:color w:val="auto"/>
              </w:rPr>
              <w:t>Disaggregation of Revenues: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72"/>
        </w:trPr>
        <w:tc>
          <w:tcPr>
            <w:tcW w:w="9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w w:val="91"/>
              </w:rPr>
              <w:t>Three Months Ended</w:t>
            </w:r>
          </w:p>
        </w:tc>
      </w:tr>
      <w:tr>
        <w:trPr>
          <w:trHeight w:val="230"/>
        </w:trPr>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color w:val="auto"/>
              </w:rPr>
              <w:t>March 31, 2018</w:t>
            </w:r>
          </w:p>
        </w:tc>
      </w:tr>
      <w:tr>
        <w:trPr>
          <w:trHeight w:val="27"/>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recognized at a point in time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372,765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Revenues recognized over time</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35,210</w:t>
            </w:r>
          </w:p>
        </w:tc>
      </w:tr>
      <w:tr>
        <w:trPr>
          <w:trHeight w:val="27"/>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407,975</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at a Point in Time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revenues include 1) retail sales of prescription and non-prescription eyewear, contact lenses, and related accessories to retail customers (including those covered by managed care), 2) eye exams and 3) wholesale sales of inventory in which our customer is another retail entity.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product revenues include sales of prescription and non-prescription eyewear, contact lenses and related accessories to retail customers.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net of sales taxes and returns. The returns allowance is based on historical return patterns. Provisions for estimated returns are established and the expected costs continue to be recognized as contra-revenue per ASC 606 when the products are sold.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lead offer is two pairs of eyeglasses and a free eye exam for one low price (“two-pair deal”). Since an eye exam is a key component in the ability for acceptable prescription eyewear to be delivered to a customer, we concluded that the eye exam service, while capable of being distinct from the eyeglass product delivery, was not distinct in the context of the two-pair deal. As a result, we do not allocate revenue to the eye exam associated with the two-pair deal, and we record all revenue associated with the offer in owned &amp; host net product sales when the customer has received and accepted the merchandise.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our owned &amp; host segment services and plans revenues, eye exam services revenues sold on a stand-alone basis are also recognized at the point of sale which occurs immediately after the exam is performed.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our legacy segment, product revenues include 1) sales of prescription and non-prescription eyewear, contact lenses and related accessories to retail customers in transactions where the retail customer uses a managed-care payor, and 2) wholesale sales of the same inventory types to the legacy partner.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for the retail sales are identical to similar sales in the owned &amp; host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and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our legacy segment services and plans revenues, eye exam services sold to retail customers covered by a managed care payor are recognized identically to similar sales in the owned &amp; host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Corporate/Other</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from our non-reportable corporate/other segment are attributable to wholly owned subsidiaries Arlington Contact Lens Services, Inc. (“AC Lens”) and FirstSight Vision Services, Inc. (“FirstSight”). AC Lens sells contact lenses and optical accessory products to retail customers through e-commerce. AC Lens also distributes contact lenses to Walmart and Sam’s Club under fee for services arrangements, reports revenue on a gross basis and is the principal in the arrangement since AC Lens controls the products in those transactions before the products are transferred to the customer. FirstSight issues individual vision care benefit plans in connection with our America’s Best operations in California, and provides or arranges for the provision of optometric services at certain optometric offices next to Walmart and Sam’s Club stores in California.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our Owned &amp; Host segment, services and plans revenues include revenues from product protection plans (i.e. warranties), eyecare club memberships and HMO membership fees. We offer extended warranty plans in our Owned &amp; Host segment that generally provide for repair and replacement of eyeglasses for primarily a one-year term after purchase. We recognize service revenue under these programs on a straight-line basis over the warranty or service period which is consistent with our efforts expended to satisfy the obligation. Amounts collected in advance for these programs are reported as deferred revenue in the accompanying condensed consolidated balance sheets.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offer three- and five-year eyecare club memberships in our Owned &amp; Host segment to our contact lens customers. For these plans we apply the guidance in ASC 606 to a portfolio of contracts with similar characteristics. We use estimates and assumptions when accounting for a portfolio that reflect the size and composition of the portfolio of contracts. We selected the portfolio approach because our historical club membership data demonstrated that our club customers behave similarly, such that the difference between the portfolio approach and applying ASC 606 to each contract is not material. We recognize revenue across the contract portfolio based on the value delivered to the customers relative to the remaining services promised under the membership program. We determine the value delivered based on the expected timing and amount of customer usage of eyecare club benefits over the terms of the contracts. Under previous guidance, we recognized revenue for eyecare club memberships on a ratable basis over the service period. Under the new guidance the timing of revenue for three- and five-year eyecare club memberships will be accelerated when compared to straight-line amortization. This change is not expected to have a significant impact on our ongoing consolidated results of operations. The cumulative effect and the impact on revenues is described in the impact section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allowed under ASC 606 because our right to payment corresponds directly with the value of the management services provided to our legacy partner.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of applying ASC 606 to the Company’s consolidated balance sheet as of December 31, 2017 was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2140" w:type="dxa"/>
            <w:vAlign w:val="bottom"/>
            <w:gridSpan w:val="2"/>
          </w:tcPr>
          <w:p>
            <w:pPr>
              <w:ind w:left="6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rPr>
              <w:t>Net Adjustments</w:t>
            </w:r>
          </w:p>
        </w:tc>
        <w:tc>
          <w:tcPr>
            <w:tcW w:w="220" w:type="dxa"/>
            <w:vAlign w:val="bottom"/>
          </w:tcPr>
          <w:p>
            <w:pPr>
              <w:spacing w:after="0"/>
              <w:rPr>
                <w:sz w:val="20"/>
                <w:szCs w:val="20"/>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color w:val="auto"/>
                <w:w w:val="95"/>
              </w:rPr>
              <w:t>Current Presentation</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62,993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49,009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19,430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73,648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6,604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80,252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145,726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56,317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659,588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678,760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cumulative effect of adoption of ASC 606 on the Company’s condensed consolidated balance sheet as of March 31, 2018, which reflects the change in timing of revenue recognition relating to eyecare club memberships.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With ASC 606 Adoption</w:t>
            </w:r>
          </w:p>
        </w:tc>
        <w:tc>
          <w:tcPr>
            <w:tcW w:w="2260" w:type="dxa"/>
            <w:vAlign w:val="bottom"/>
            <w:gridSpan w:val="3"/>
          </w:tcPr>
          <w:p>
            <w:pPr>
              <w:ind w:left="60"/>
              <w:spacing w:after="0"/>
              <w:rPr>
                <w:sz w:val="20"/>
                <w:szCs w:val="20"/>
                <w:color w:val="auto"/>
              </w:rPr>
            </w:pPr>
            <w:r>
              <w:rPr>
                <w:rFonts w:ascii="Arial" w:cs="Arial" w:eastAsia="Arial" w:hAnsi="Arial"/>
                <w:sz w:val="18"/>
                <w:szCs w:val="18"/>
                <w:color w:val="auto"/>
              </w:rPr>
              <w:t>Without ASC 606 Adoption</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Impact of Adoption</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52,500</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67,303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(14,803)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221,663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87,282</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80,468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6,814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149,614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711,275</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691,494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19,781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adoption on the Company’s condensed consolidated statement of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earnings per share</w:t>
            </w:r>
          </w:p>
        </w:tc>
        <w:tc>
          <w:tcPr>
            <w:tcW w:w="16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With ASC 606 Adoption</w:t>
            </w:r>
          </w:p>
        </w:tc>
        <w:tc>
          <w:tcPr>
            <w:tcW w:w="2260" w:type="dxa"/>
            <w:vAlign w:val="bottom"/>
            <w:gridSpan w:val="3"/>
          </w:tcPr>
          <w:p>
            <w:pPr>
              <w:ind w:left="60"/>
              <w:spacing w:after="0"/>
              <w:rPr>
                <w:sz w:val="20"/>
                <w:szCs w:val="20"/>
                <w:color w:val="auto"/>
              </w:rPr>
            </w:pPr>
            <w:r>
              <w:rPr>
                <w:rFonts w:ascii="Arial" w:cs="Arial" w:eastAsia="Arial" w:hAnsi="Arial"/>
                <w:sz w:val="18"/>
                <w:szCs w:val="18"/>
                <w:color w:val="auto"/>
              </w:rPr>
              <w:t>Without ASC 606 Adoption</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Impact of Adoption</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407,975</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407,156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819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30,330</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29,511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819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25,047</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24,438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609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material impacts on our condensed consolidated financial statements as a result of our adoption of this new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Accounts receivable associated with revenues consist primarily of trade receivables and credit card receivables. Trade receivables consist primarily of receivables from managed care payers and receivables from major retailers. Trade receivables and credit card receivables are included in accounts receivable, net, on our condensed consolidated balance sheets, and are presented separately in Note 2. “Details of Certain Balance Sheet Accounts.” Accounts receivable are reduced by allowances for amounts that may become uncollectible. Estimates of our allowance for uncollectible accounts are based on our historical and current operating, billing, and collection trends. Impairment losses recognized on our receivables were approximately $1.6 million and $1.1 million in the first quarter of fiscal years 2018 and 2017, respectively. There was no impact of adoption of ASC 606 on accounts receivable, 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and generally ranges from four to 10 days. All unearned revenue at the end of a reporting period is recognized in the next fiscal period. There was no impact of adoption of ASC 606 on our unearned revenue accounts.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contract liabilities also consist of deferred revenue on services and plans obligations, primarily product protection plans and eyecare club memberships. The unamortized portion of amounts we collect in advance for these services and plans are reported as deferred revenue in the accompanying condensed consolidated balance sheets (current and non- current portions). Our deferred revenue balance as of March 31, 2018 was $72.7 million. We expect future revenue recognition of this balance of $44.7 million, $20.0 million, $7.3 million, $0.6 million and $0.1 million in fiscal years 2018, 2019, 2020, 2021, and 2022 respectively. We recognized $25.9 million of previously deferred revenues for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incidental to its business. The Company reviews the status of its legal proceedings and records a provision for a liability when it is considered probable that both a liability has been incurred and the amount of the loss can be reasonably estimated.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FirstSight subsidiary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On March 23, 2017, the court granted the motion to dismiss previously filed by FirstSight and dismissed the complaint with prejudice. The plaintiffs filed an appeal to the U.S. Court of Appeals for the Ninth Circuit in April 2017. The Company believes that the claims are without merit.</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AC Lens subsidiary, to suppress certain online advertising and that each defendant thereby engaged in anticompetitive conduct in violation of the Sherman Antitrust Act (the “1-800 Contacts Matter”). The Company has settled the 1-800 Contacts Matter for $7.0 million, without admitting liability. Accordingly, the Company recorded a $7.0 million charge in the second quarter of fiscal year 2017.</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with the terms of the settlement agreement and any further order of the court.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62" w:lineRule="exact"/>
        <w:rPr>
          <w:sz w:val="20"/>
          <w:szCs w:val="20"/>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Owned &amp; host store brands - Our owned brands consist of our America’s Best and Eyeglass World operating segments. Our host brands consist of our Vista Optical operating segments at certain U.S. Military Branches and inside Fred Meyer stores. We have aggregated our owned and host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63" w:lineRule="exact"/>
        <w:rPr>
          <w:rFonts w:ascii="Arial" w:cs="Arial" w:eastAsia="Arial" w:hAnsi="Arial"/>
          <w:sz w:val="17"/>
          <w:szCs w:val="17"/>
          <w:color w:val="auto"/>
        </w:rPr>
      </w:pPr>
    </w:p>
    <w:p>
      <w:pPr>
        <w:jc w:val="both"/>
        <w:ind w:left="660" w:hanging="328"/>
        <w:spacing w:after="0" w:line="28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Legacy - The Company manages the operations of 227 legacy retail vision centers within Walmart stores.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services for the finished eyeglasses and frames expected to be sold to our legacy partner’s customers. We lease space from our legacy partner within or adjacent to each of the locations we manage and use this space for the provision of optometric examination services.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$9.3 million and $9.7 million for the three months ended March 31, 2018 and April 1, 2017, respectively. During the three months ended March 31, 2018, sales associated with our legacy partner arrangement represented 10.5% of consolidated net revenue. This exposes us to concentration of customer risk.</w:t>
      </w:r>
    </w:p>
    <w:p>
      <w:pPr>
        <w:spacing w:after="0" w:line="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Revenues from the Corporate/Other segments are attributable to the AC Lens, and FirstSight operating segments and the Company’s corporate function. AC Lens sells contact lenses and optical accessory products to retail customers through e-commerce. AC Lens also distributes contact lenses to Walmart and Sam’s Club under fee for services arrangements. FirstSight sells single service health plans in connection with the operations of America’s Best in California,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 (continued)</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reportable segment profit measure is EBITDA, or net revenue, less cost applicable to revenue, less selling, general and administrative costs. Depreciation and amortization and other corporate costs that are not allocated to the segments, including interest expense and debt issuance costs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condensed consolidated financial statements, except for net revenue, which is presented on a cash basis, excluding the effects of unearned and deferred revenue, consistent with the basis on which the CODM regularly reviews performance segments. Asset information is not included in the following summary since the CODM does not regularly review such information for the reportable segments.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Three Months Ended March 31, 2018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338,777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69,198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407,975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74,158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130,878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49,576</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117,804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17,851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180,454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117,937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57,297</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17,654</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30,330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8"/>
            <w:vMerge w:val="restart"/>
          </w:tcPr>
          <w:p>
            <w:pPr>
              <w:jc w:val="center"/>
              <w:ind w:right="360"/>
              <w:spacing w:after="0"/>
              <w:rPr>
                <w:sz w:val="20"/>
                <w:szCs w:val="20"/>
                <w:color w:val="auto"/>
              </w:rPr>
            </w:pPr>
            <w:r>
              <w:rPr>
                <w:rFonts w:ascii="Arial" w:cs="Arial" w:eastAsia="Arial" w:hAnsi="Arial"/>
                <w:sz w:val="18"/>
                <w:szCs w:val="18"/>
                <w:color w:val="auto"/>
                <w:w w:val="92"/>
              </w:rPr>
              <w:t>Three Months Ended April 1, 2017</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8"/>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306,584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63,275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369,859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67,179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121,033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44,775</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104,722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17,370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165,808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149,804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78,774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11,641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51,443</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25,528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7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00" w:lineRule="exact"/>
        <w:rPr>
          <w:sz w:val="20"/>
          <w:szCs w:val="20"/>
          <w:color w:val="auto"/>
        </w:rPr>
      </w:pPr>
    </w:p>
    <w:p>
      <w:pPr>
        <w:spacing w:after="0" w:line="3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exercise of stock options and vesting of restricted stock units. Potentially dilutive securities are excluded from the computation of diluted EPS if their effect is anti-dilutive. A reconciliation of the numerators and denominators of the basic and diluted EPS calculations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March 31,</w:t>
            </w:r>
          </w:p>
        </w:tc>
        <w:tc>
          <w:tcPr>
            <w:tcW w:w="340" w:type="dxa"/>
            <w:vAlign w:val="bottom"/>
          </w:tcPr>
          <w:p>
            <w:pPr>
              <w:spacing w:after="0"/>
              <w:rPr>
                <w:sz w:val="19"/>
                <w:szCs w:val="19"/>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April 1,</w:t>
            </w: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 data</w:t>
            </w: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basic EPS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74,714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56,261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diluted EPS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77,837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57,934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options outstanding excluded from EPS</w:t>
            </w:r>
          </w:p>
        </w:tc>
        <w:tc>
          <w:tcPr>
            <w:tcW w:w="2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fair value of the Company’s cash flow hedge derivative instruments since inception are recorded in AOCL. The following table presents the change in AOCL during the three months ended March 31, 2018 and April 1, 2017,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7"/>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2018</w:t>
            </w:r>
          </w:p>
        </w:tc>
        <w:tc>
          <w:tcPr>
            <w:tcW w:w="24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April 1, 2017</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hedging activity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(9,868)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(14,556)</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 reclassification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 reclassified from AOCL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Tax effect of amount reclassified from AOCL</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current period other comprehensive income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(14,760)</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reclassified from AOCL to earnings are included in interest expense in the accompanying condensed consolidated statements of operations. See Note 3. “Fair Value Measurements of Financial Assets and Liabilities” for a description of the Company’s use of cash flow hedging derivatives.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and the audited consolidated financial statements and “Management’s Discussion and Analysis of Financial Condition and Results of Operations” included in the Annual Report. This discussion contains forward-looking statements that reflect our plans, estimates and beliefs and involve numerous risks and uncertainties, including, but not limited to, those described in the “Risk Factors” section of the Annual Report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1,027 retail stores across five brands and 20 consumer websites as of March 31,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7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Owned &amp; host - As of March 31, 2018, our owned brands consisted of 608 America’s Best Contacts and Eyeglasses (“America’s Best”) retail stores and 107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many customer orders and make repairs on site. Eyeglass World stores are primarily located in freestanding or in-suite locations near high-foot-traffic shopping centers. Our two host brands consisted of 56 Vista Optical locations on military bases and 29 Vista Optical locations within Fred Meyer stores. We have strong, long-standing relationships with our host partners and have maintained each partnership for over 18 years. Both host brands compete within the value segment of the U.S. optical retail industry. These brands provide eye exams principally by independent optometrists in nearly all locations. All brands utilize our centralized laboratories. This segment also includes sales from our four store websites, three of which are omni-channel.</w:t>
      </w:r>
    </w:p>
    <w:p>
      <w:pPr>
        <w:spacing w:after="0" w:line="69"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Legacy - We managed the operations of, and supplied inventory and laboratory processing services to, 227 Vision Centers in Walmart retail locations as of March 31, 2018. Under our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to Walmart’s customers on a net basis. Our management &amp; services agreement also allows our legacy partner to collect penalties if the Vision Centers do not generate a requisite amount of revenues. We also sell to our legacy partner merchandise that is stocked in retail locations we manage pursuant to a separate supplier agreement, and provide to our legacy partner centralized laboratory services for the finished eyeglasses for our legacy partner’s customers in stores that we manage. We lease space from Walmart within or adjacent to each of the locations we manage and use this space for the provision of optometric examination services. During the three months ended March 31, 2018, sales associated with our legacy partner arrangement represented 10.5% of consolidated net revenue. This exposes us to concentration of customer risk. Our agreements with our legacy partner expire on August 23, 2020, and will automatically renew for a three-year period unless a party elects not to renew.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other non-reportable segment activity recorded in our corporate/other category, which include:</w:t>
      </w:r>
    </w:p>
    <w:p>
      <w:pPr>
        <w:spacing w:after="0" w:line="117" w:lineRule="exact"/>
        <w:rPr>
          <w:sz w:val="20"/>
          <w:szCs w:val="20"/>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e-commerce platform of 16 dedicated websites managed by our wholly-owned subsidiary, Arlington Contact Lens Service, Inc. (“AC Lens”). Our e-commerce business consists of six proprietary branded websites, including aclens.com, discountglasses.com and discountcontactlenses.com, and 10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eyecare accessories.</w:t>
      </w:r>
    </w:p>
    <w:p>
      <w:pPr>
        <w:spacing w:after="0" w:line="8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 Lens also distributes contact lenses to Walmart and Sam’s Club under fee for service arrangements. We record revenue for these activities and we incur costs at a higher percentage of sales than other product categories, given the wholesale nature of the business.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Managed care business conducted by FirstSight Vision Services, Inc. (“FirstSight”), our wholly-owned subsidiary that is licensed as a single-service health plan under California law, which arranges for the provision of optometric services at the offices next to Eyeglass World, Walmart and Sam’s Club stores throughout California, and also issues individual vision care benefit plans in connection with our America’s Best operations in California.</w:t>
      </w:r>
    </w:p>
    <w:p>
      <w:pPr>
        <w:spacing w:after="0" w:line="78"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Reportable segment information is presented on the same basis as our consolidated financial statements, except for owned &amp; host reportable segment revenue, which is presented on a cash basis,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deferred and unearned revenue items previously described.</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Deferred revenue represents cash basis sales of product protection plans and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Note 8. “Segment Reporting” in Part 1. Item 1. of this Form 10-Q to adjust segment revenues on a cash basis to revenues as presented in our condensed consolidated financial statements.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may vary depending on various factors such as the store opening date, the time of year of a particular opening, the amount of store opening costs, the amount of store occupancy costs, its level of participation in managed care plans,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margins.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Various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recurring nature of eyecare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items purchased per store visit;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new store is included in the comparable store sales calculation during the thirteenth full fiscal month following the store’s opening. Closed stores are removed from the calculation for time periods that are not comparable. In the past, we have closed our stores as a result of poor store performance, lease expiration or non-renewal and/or the terms of our arrangements with our host and legacy partners.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managed care business relates to vision care programs and associated benefits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increasing percentage of our customers receive vision insurance coverage through managed care payors. These payors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and Coverage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operate our stores is largely dependent upon our ability to attract and retain qualified vision care professionals, and to maintain our relationships with independent optometrists and professional corporations owned by eyecare practitioners that provide vision care services in our stores.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However, eyecare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significant investments in information technology systems, supply chain systems and marketing. These investments include significant additions to our personnel, including experienced industry executives, and management and merchandising teams to support our long-term growth objectives. We intend to continue making targeted investments in our infrastructure as necessary to support our growth.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results can be expected to be directly impacted by substantial increases in product costs due to materials cost increases or general inflation which could lead to greater profitability pressure as costs may not be able to be passed on to consumers. To date, changes in materials prices and general inflation have not materially impacted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during that period is deferred until January due to our policy of recognizing revenue only after the product has been accepted by the customer, further contributing to higher first quarter results. In addition to reduced revenues in the fourth quarter compared to the other quarters, our fourth quarter operating income may include annual impairment charges, and to a lesser extent, higher depreciation of property and equipment due to timing of placing property and equipment in service, which further reduces operating income relative to other quarters. 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optical retail industry is highly competitive. Competition is generally based upon brand name recognition, price, selection, service, product quality and convenience.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in the Industry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Recently announced mergers of large, global competitors will create organizations that are 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 Other trends include the formation of buying groups and similar forms of practice affiliations.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Adjusted EBITDA, Adjusted EBITDA Margin and Adjusted Net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sales of eye exams, discount clubs memberships, product protection plans (i.e. warranties), and HMO memberships. Net sales of services and plans also includes fees we earn for managing certain Vision Centers located in Walmart stores, for laboratory services to Walmart, and fulfillment fees earned by AC Lens.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eyecare and discount club memberships, HMO membership fees, eyecare practitioner and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remodels,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as described above in “— Trends and Other Factors Affecting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and Adjusted Net Income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Adjusted EBITDA as net income, plus interest expense, income tax provision and depreciation and amortization, as further adjusted to exclude stock compensation expense, costs associated with debt refinancing, non-cash inventory write-offs, new store pre-opening expenses, non-cash rent, secondary offering expenses and other expenses. We define Adjusted EBITDA Margin as Adjusted EBITDA as a percentage of total revenue. We define Adjusted Net Income as net income, plus stock compensation expense, costs associated with debt refinancing, non-cash inventory write-offs, new store pre-opening expenses, non-cash rent, secondary offering expenses, amortization of acquisition intangibles and deferred financing costs and other expenses, tax benefit of stock option exercises less the tax effect of these adjustments. Adjusted EBITDA, Adjusted EBITDA Margin and Adjusted Net Income are key metrics used by management to assess our financial performance. Adjusted EBITDA, Adjusted EBITDA Margin and Adjusted Net Income are also frequently used by analysts, investors and other interested parties. We use Adjusted EBITDA, Adjusted EBITDA Margin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key components of our results of operations for the periods indicated, both in dollars and as a percentage of our net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6"/>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store data</w:t>
            </w:r>
          </w:p>
        </w:tc>
        <w:tc>
          <w:tcPr>
            <w:tcW w:w="140" w:type="dxa"/>
            <w:vAlign w:val="bottom"/>
          </w:tcPr>
          <w:p>
            <w:pPr>
              <w:spacing w:after="0"/>
              <w:rPr>
                <w:sz w:val="20"/>
                <w:szCs w:val="20"/>
                <w:color w:val="auto"/>
              </w:rPr>
            </w:pPr>
          </w:p>
        </w:tc>
        <w:tc>
          <w:tcPr>
            <w:tcW w:w="1680" w:type="dxa"/>
            <w:vAlign w:val="bottom"/>
            <w:gridSpan w:val="4"/>
          </w:tcPr>
          <w:p>
            <w:pPr>
              <w:ind w:left="14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April 1, 2017</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338,777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306,584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63,275</w:t>
            </w:r>
          </w:p>
        </w:tc>
      </w:tr>
      <w:tr>
        <w:trPr>
          <w:trHeight w:val="237"/>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407,975</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369,859</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130,878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121,033</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44,775</w:t>
            </w:r>
          </w:p>
        </w:tc>
      </w:tr>
      <w:tr>
        <w:trPr>
          <w:trHeight w:val="237"/>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180,454</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165,808</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170,102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149,804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14,423</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187,878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164,329</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39,643</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39,722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11,492</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21"/>
                <w:szCs w:val="21"/>
                <w:color w:val="auto"/>
              </w:rPr>
            </w:pPr>
          </w:p>
        </w:tc>
        <w:tc>
          <w:tcPr>
            <w:tcW w:w="16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25,528</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5,283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8,458</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1"/>
        </w:trPr>
        <w:tc>
          <w:tcPr>
            <w:tcW w:w="7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Number of stores open at end of period</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962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stores opened</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61,089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58,906</w:t>
            </w:r>
          </w:p>
        </w:tc>
      </w:tr>
      <w:tr>
        <w:trPr>
          <w:trHeight w:val="513"/>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6"/>
          </w:tcPr>
          <w:p>
            <w:pPr>
              <w:jc w:val="right"/>
              <w:ind w:right="950"/>
              <w:spacing w:after="0"/>
              <w:rPr>
                <w:sz w:val="20"/>
                <w:szCs w:val="20"/>
                <w:color w:val="auto"/>
              </w:rPr>
            </w:pPr>
            <w:r>
              <w:rPr>
                <w:rFonts w:ascii="Arial" w:cs="Arial" w:eastAsia="Arial" w:hAnsi="Arial"/>
                <w:sz w:val="18"/>
                <w:szCs w:val="18"/>
                <w:color w:val="auto"/>
              </w:rPr>
              <w:t>Three Months Ended</w:t>
            </w:r>
          </w:p>
        </w:tc>
      </w:tr>
      <w:tr>
        <w:trPr>
          <w:trHeight w:val="27"/>
        </w:trPr>
        <w:tc>
          <w:tcPr>
            <w:tcW w:w="7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4"/>
          </w:tcPr>
          <w:p>
            <w:pPr>
              <w:ind w:left="4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April 1, 2017</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Percentage of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margin</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820"/>
        <w:spacing w:after="0" w:line="378" w:lineRule="auto"/>
        <w:rPr>
          <w:sz w:val="20"/>
          <w:szCs w:val="20"/>
          <w:color w:val="auto"/>
        </w:rPr>
      </w:pPr>
      <w:r>
        <w:rPr>
          <w:rFonts w:ascii="Arial" w:cs="Arial" w:eastAsia="Arial" w:hAnsi="Arial"/>
          <w:sz w:val="18"/>
          <w:szCs w:val="18"/>
          <w:b w:val="1"/>
          <w:bCs w:val="1"/>
          <w:color w:val="auto"/>
        </w:rPr>
        <w:t xml:space="preserve">Three Months Ended March 31, 2018 compared to Three Months Ended April 1, 2017 </w:t>
      </w:r>
      <w:r>
        <w:rPr>
          <w:rFonts w:ascii="Arial" w:cs="Arial" w:eastAsia="Arial" w:hAnsi="Arial"/>
          <w:sz w:val="18"/>
          <w:szCs w:val="18"/>
          <w:i w:val="1"/>
          <w:iCs w:val="1"/>
          <w:color w:val="auto"/>
        </w:rPr>
        <w:t>Net revenue</w:t>
      </w:r>
    </w:p>
    <w:p>
      <w:pPr>
        <w:jc w:val="both"/>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March 31, 2018 compared to the three months ended April 1, 2017.</w:t>
      </w:r>
    </w:p>
    <w:p>
      <w:pPr>
        <w:sectPr>
          <w:pgSz w:w="11900" w:h="16838" w:orient="portrait"/>
          <w:cols w:equalWidth="0" w:num="1">
            <w:col w:w="11420"/>
          </w:cols>
          <w:pgMar w:left="240" w:top="34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41"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Comparable store sales growth</w:t>
            </w:r>
            <w:r>
              <w:rPr>
                <w:rFonts w:ascii="Arial" w:cs="Arial" w:eastAsia="Arial" w:hAnsi="Arial"/>
                <w:sz w:val="8"/>
                <w:szCs w:val="8"/>
                <w:b w:val="1"/>
                <w:bCs w:val="1"/>
                <w:color w:val="auto"/>
                <w:w w:val="93"/>
              </w:rPr>
              <w:t>(1)</w:t>
            </w: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Stores open at end of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8"/>
                <w:szCs w:val="8"/>
                <w:b w:val="1"/>
                <w:bCs w:val="1"/>
                <w:color w:val="auto"/>
              </w:rPr>
              <w:t>(2)</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Three Months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vMerge w:val="continue"/>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17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March 31,</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gridSpan w:val="2"/>
            <w:vMerge w:val="continue"/>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April 1, 2017</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percentage and store data</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April 1, 2017</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2017</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264,243</w:t>
            </w:r>
          </w:p>
        </w:tc>
        <w:tc>
          <w:tcPr>
            <w:tcW w:w="72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3"/>
              <w:spacing w:after="0"/>
              <w:rPr>
                <w:sz w:val="20"/>
                <w:szCs w:val="20"/>
                <w:color w:val="auto"/>
              </w:rPr>
            </w:pPr>
            <w:r>
              <w:rPr>
                <w:rFonts w:ascii="Arial" w:cs="Arial" w:eastAsia="Arial" w:hAnsi="Arial"/>
                <w:sz w:val="18"/>
                <w:szCs w:val="18"/>
                <w:color w:val="auto"/>
              </w:rPr>
              <w:t>235,791</w:t>
            </w:r>
          </w:p>
        </w:tc>
        <w:tc>
          <w:tcPr>
            <w:tcW w:w="52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45,414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41,219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6,879</w:t>
            </w: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93"/>
              <w:spacing w:after="0"/>
              <w:rPr>
                <w:sz w:val="20"/>
                <w:szCs w:val="20"/>
                <w:color w:val="auto"/>
              </w:rPr>
            </w:pPr>
            <w:r>
              <w:rPr>
                <w:rFonts w:ascii="Arial" w:cs="Arial" w:eastAsia="Arial" w:hAnsi="Arial"/>
                <w:sz w:val="18"/>
                <w:szCs w:val="18"/>
                <w:color w:val="auto"/>
              </w:rPr>
              <w:t>6,644</w:t>
            </w:r>
          </w:p>
        </w:tc>
        <w:tc>
          <w:tcPr>
            <w:tcW w:w="5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3,861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3,642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Owned &amp; host segment total</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320,397</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color w:val="auto"/>
              </w:rPr>
              <w:t>287,296</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42,758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41,740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Corporate/Other</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51,833</w:t>
            </w:r>
          </w:p>
        </w:tc>
        <w:tc>
          <w:tcPr>
            <w:tcW w:w="7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93"/>
              <w:spacing w:after="0"/>
              <w:rPr>
                <w:sz w:val="20"/>
                <w:szCs w:val="20"/>
                <w:color w:val="auto"/>
              </w:rPr>
            </w:pPr>
            <w:r>
              <w:rPr>
                <w:rFonts w:ascii="Arial" w:cs="Arial" w:eastAsia="Arial" w:hAnsi="Arial"/>
                <w:sz w:val="18"/>
                <w:szCs w:val="18"/>
                <w:color w:val="auto"/>
              </w:rPr>
              <w:t>47,732</w:t>
            </w:r>
          </w:p>
        </w:tc>
        <w:tc>
          <w:tcPr>
            <w:tcW w:w="5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(7,013)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(6,909)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rPr>
              <w:t>407,975</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8"/>
                <w:szCs w:val="18"/>
                <w:color w:val="auto"/>
              </w:rPr>
              <w:t>369,859</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100 %</w:t>
            </w: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w w:val="96"/>
              </w:rPr>
              <w:t>Adjusted comparable store sales growth</w:t>
            </w:r>
            <w:r>
              <w:rPr>
                <w:rFonts w:ascii="Arial" w:cs="Arial" w:eastAsia="Arial" w:hAnsi="Arial"/>
                <w:sz w:val="25"/>
                <w:szCs w:val="25"/>
                <w:color w:val="auto"/>
                <w:w w:val="96"/>
                <w:vertAlign w:val="superscript"/>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4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8. “Segment Reporting” in our condensed consolidated financial statements included in Part I. Item 1. of this Form 10-Q, with the exception of the legacy segment, which is adjusted as noted in clause (ii) of footnote (3) below.</w:t>
      </w: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0.8% from total comparable store sales growth based on consolidated net revenue for the three months ended March 31, 2018 and April 1, 2017, respectively, and (ii) adjusted comparable store sales growth includes retail sales to the legacy partner’s customers (rather than the revenues recognized consistent with the management &amp; services agreement), resulting in an increase of 0.1% and a decrease of 0.5% from total comparable store sales growth based on consolidated net revenue for the three months ended March 31, 2018 and April 1, 2017, respectively.</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$408.0 million for the three months ended March 31, 2018 increased $38.1 million, or 10.3%, from $369.9 million for the three months ended April 1, 2017. This increase was driven approximately 50% by new stores, approximately 40% by comparable store sales growth and approximately 10% by order volume in our AC Lens business within the corporate/other segment.</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three months ended March 31, 2018, we opened 15 new stores, all of which were in our America’s Best brand. Additionally, we closed one America’s Best store. Overall, store count grew 6.8% from April 1, 2017 to March 31, 2018 (62 net new America’s Best locations and three net new Eyeglass World location were added in the 12 months ended March 31, 2018). Comparable store sales growth and adjusted comparable store sales growth were each 4.6% for the three months ended March 31, 2018. Comparable store sales growth and adjusted comparable store sales growth were driven by increases in both customer transactions and average ticket. We believe the increases in net revenue and customer transactions were primarily due to execution of our key strategies, including new store maturation, advertising and expansion of our participation in managed care programs.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product sales increased $32.2 million, or 10.5%, in the three months ended March 31, 2018 compared to the three months ended April 1, 2017, driven primarily by eyeglass sales and, to a lesser extent, contact lens sales. Net sales of services and plans increased $5.9 million, or 9.4%, driven primarily by eye exam sales in our owned &amp; host segment. The eye exam increase was driven primarily by expanding participation in managed care programs and our store growth. To a lesser extent, warranty program sales and Eyecare Club membership sales also contributed to the increase. The warranty program sales increase was driven by increased sales in our America’s Best brand. The increase in Eyecare Club membership sales was primarily driven by the $0.8 million deferred revenue accounting change discussed in Note 6. “Revenue From Contracts With Customers” of our condensed consolidated financial statements included in Part 1. Item 1. of this Form 10-Q.</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changes in applicable California law, certain optometrists employed by FirstSight were transferred to a professional corporation that contracts directly with our legacy segment in the third quarter of fiscal year 2017. This change led to an increase in legacy segment eye exam revenue and optometrist payroll costs of $1.2 million and $0.8 million, respectively, in the three months ended March 31, 2018. A corresponding decrease was recorded in our FirstSight subsidiary within the corporate/other segment. Therefore, the change had no impact on consolidated income from operations. As of March 31, 2018, approximately half of the applicable optometrists have been transferred, and we expect the remaining half to be transferred in the fourth quarter of fiscal year 2018.</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in connection with these changes in California law, effective October 1, 2017, FirstSight ceased the sale of vision managed care products in Walmart locations in California that are not operated by the Company. As a result, FirstSight net revenue and associated costs in the first quarter of fiscal year 2018 were both approximately $1.8 million lower than the first quarter of fiscal year 2017, and there was an immaterial impact on income from operations. In the balance of fiscal year 2018, we expect this change to negatively impact both FirstSight net revenue and associated costs by approximately $1.8 million to $2.0 million in each of the second and third quarters, with an immaterial impact on income from operations.</w:t>
      </w:r>
    </w:p>
    <w:p>
      <w:pPr>
        <w:spacing w:after="0" w:line="3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increased $33.1 million, or 11.5%, due to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store openings which increased sales across our key product categories. The growth was predominately driven by performance in America’s Best and Eyeglass World.</w:t>
      </w:r>
    </w:p>
    <w:p>
      <w:pPr>
        <w:spacing w:after="0" w:line="7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for our legacy segment grew $1.0 million, or 2.4%, primarily driven by $1.3 million in incremental eye exam</w:t>
      </w:r>
      <w:r>
        <w:rPr>
          <w:rFonts w:ascii="Arial" w:cs="Arial" w:eastAsia="Arial" w:hAnsi="Arial"/>
          <w:sz w:val="18"/>
          <w:szCs w:val="18"/>
          <w:i w:val="1"/>
          <w:iCs w:val="1"/>
          <w:color w:val="auto"/>
        </w:rPr>
        <w:t xml:space="preserve"> </w:t>
      </w:r>
      <w:r>
        <w:rPr>
          <w:rFonts w:ascii="Arial" w:cs="Arial" w:eastAsia="Arial" w:hAnsi="Arial"/>
          <w:sz w:val="18"/>
          <w:szCs w:val="18"/>
          <w:color w:val="auto"/>
        </w:rPr>
        <w:t>sales, partially offset by lower customer transactions. The increased eye exam sales were primarily the result of changes to our FirstSight operations required by changes in applicable California law discussed above. The FirstSight operations changes resulted in a favorable impact of approximately 205 basis points in comparable store sales growth in the legacy segment.</w:t>
      </w:r>
    </w:p>
    <w:p>
      <w:pPr>
        <w:spacing w:after="0" w:line="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 the corporate/other segment increased $4.1 million, or 8.6%, driven by unit growth in our AC Lens</w:t>
      </w:r>
      <w:r>
        <w:rPr>
          <w:rFonts w:ascii="Arial" w:cs="Arial" w:eastAsia="Arial" w:hAnsi="Arial"/>
          <w:sz w:val="18"/>
          <w:szCs w:val="18"/>
          <w:i w:val="1"/>
          <w:iCs w:val="1"/>
          <w:color w:val="auto"/>
        </w:rPr>
        <w:t xml:space="preserve"> </w:t>
      </w:r>
      <w:r>
        <w:rPr>
          <w:rFonts w:ascii="Arial" w:cs="Arial" w:eastAsia="Arial" w:hAnsi="Arial"/>
          <w:sz w:val="18"/>
          <w:szCs w:val="18"/>
          <w:color w:val="auto"/>
        </w:rPr>
        <w:t>online retail business and, to a lesser extent, unit growth in our wholesale order fulfillment business, partially offset by a $3.0 million reduction in sales as a result of the FirstSight operations changes discussed above.</w:t>
      </w:r>
    </w:p>
    <w:p>
      <w:pPr>
        <w:spacing w:after="0" w:line="73"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include increases in deferred revenue of $4.3 million and $5.9 million, and increases in unearned revenue of</w:t>
      </w:r>
      <w:r>
        <w:rPr>
          <w:rFonts w:ascii="Arial" w:cs="Arial" w:eastAsia="Arial" w:hAnsi="Arial"/>
          <w:sz w:val="16"/>
          <w:szCs w:val="16"/>
          <w:i w:val="1"/>
          <w:iCs w:val="1"/>
          <w:color w:val="auto"/>
        </w:rPr>
        <w:t xml:space="preserve"> </w:t>
      </w:r>
      <w:r>
        <w:rPr>
          <w:rFonts w:ascii="Arial" w:cs="Arial" w:eastAsia="Arial" w:hAnsi="Arial"/>
          <w:sz w:val="16"/>
          <w:szCs w:val="16"/>
          <w:color w:val="auto"/>
        </w:rPr>
        <w:t>$2.7 million and $1.1 million for the three months ended March 31, 2018 and April 1, 2017, respectively. The accounting change described in Note 1. “Description of Business and Basis of Presentation” of our condensed consolidated financial statements included in Part 1. Item 1. of this Form 10-Q contributed to the lower increase in deferred revenue for the three months ended March 31, 2018 compared to the three months ended April 1, 2017, due to acceleration of deferred revenue amortization in the three months ended March 31, 2018. Deferred revenue for the three months ended March 31, 2018 was also driven by slower growth in our warranty program sales and Eyecare Club membership sales than other product categories.</w:t>
      </w:r>
    </w:p>
    <w:p>
      <w:pPr>
        <w:spacing w:after="0" w:line="5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Differences between the change in unearned revenue for the three months ended March 31, 2018 and April 1, 2017 were primarily the result of calendar influences on cash basis sales of prescription eyewear in our stores the last few days of the respective quarter, and differences in the average days for delivery and customer pick-up during those periods. Unearned revenue was higher in December 2016 compared to December 2017 due to an extra sales day in the 2016 period as a result of the timing of the Christmas holiday. The combination of these factors resulted in an overall increase in unearned revenue growth in the three months ended March 31, 2018 when compared to the three months ended April 1, 2017.</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applicable to revenue of $180.5 million for the three months ended March 31, 2018 increased $14.6 million, or 8.8%, from $165.8 million for the three months ended April 1, 2017. As a percentage of net revenue, costs applicable to revenue decreased from 44.8% for the three months ended April 1, 2017 to 44.2% for the three months ended March 31, 2018. The decrease was primarily driven by a $2.0 million inventory write-off in the first quarter of fiscal year 2017, partially offset by increased optometrist costs in the three months ended March 31, 2018.</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Costs of products as a percentage of net product sales decreased from 39.5% for the three months ended April 1, 2017 to 38.6% for the three months ended March 31, 2018, driven by the $2.0 million inventory write-off and lower eyeglass costs, partially offset by our growing AC Lens business. The inventory write-off recorded in our corporate/other segment in the three months ended April 1, 2017 was related to slow-moving contact lens inventory which had expired or would expire prior to possible sale. No such write-off was recorded in the three months ended March 31, 2018. Eyeglass costs were impacted by incremental vendor credits received in the three months ended March 31, 2018. Our AC Lens net revenue grew faster than our store brands in the three months ended March 31, 2018, and AC Lens had a higher cost of products as a percentage of net revenue than our other businesses.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In the owned &amp; host segment, costs of products as a percentage of net product sales decreased from 28.6%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April 1, 2017 to 28.3% for the three months ended March 31, 2018. The decrease was primarily driven by lower eyeglass costs as described above.</w:t>
      </w:r>
    </w:p>
    <w:p>
      <w:pPr>
        <w:spacing w:after="0" w:line="7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In the legacy segment, costs of products as a percentage of net product sales decreased from 47.2%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1, 2017 to 44.3% for the three months ended March 31, 2018. The decrease was primarily driven by the one-time sale of contact lens inventory at cost to our wholesale partner in the three months ended April 1, 2017 and increased eyeglass net revenue in the three months ended March 31, 2018 as a result of increased managed care penetration year-over-year. Legacy managed care net revenue is recorded in net product sales while revenue associated with servicing non-managed care customers is recorded in net sales of services and plans. Eyeglass costs for both managed care and non-managed care net revenue are recorded in costs of products. Changes in managed care customer mix have no impact on combined legacy segment products and services margin.</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of services and plans as a percentage of net sales of services and plans increased from 70.8% for the three months ended April 1, 2017 to 71.6% for the three months ended March 31, 2018. The increase was primarily driven by higher optometrist costs, partially offset by increased eye exam sales as a result of our growing managed care penetration. Optometrist costs increased as a result of store coverage in new markets and wage pressure in certain geographic markets.</w:t>
      </w:r>
    </w:p>
    <w:p>
      <w:pPr>
        <w:spacing w:after="0" w:line="7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 the owned &amp; host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increased from 71.9% for the three months ended April 1, 2017 to 74.3% for the three months ended March 31, 2018. The increase was driven by higher optometrist costs as described above, partially offset by increased eye exam sales as a result of our growing managed care business.</w:t>
      </w:r>
    </w:p>
    <w:p>
      <w:pPr>
        <w:spacing w:after="0" w:line="3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In the legacy segment, costs of services and plans as a percentage of net sales of services and plans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from 29.0% for the three months ended April 1, 2017 to 36.4% for the three months ended March 31, 2018. The increase was primarily driven by increased optometrist costs and, to a lesser extent, lower management fees, partially offset by increased eye exam sales. The higher optometrist costs and increased eye exam sales mix were both primarily the result of the FirstSight operations changes discussed in “—</w:t>
      </w:r>
      <w:r>
        <w:rPr>
          <w:rFonts w:ascii="Arial" w:cs="Arial" w:eastAsia="Arial" w:hAnsi="Arial"/>
          <w:sz w:val="16"/>
          <w:szCs w:val="16"/>
          <w:i w:val="1"/>
          <w:iCs w:val="1"/>
          <w:color w:val="auto"/>
        </w:rPr>
        <w:t>Net revenue”</w:t>
      </w:r>
      <w:r>
        <w:rPr>
          <w:rFonts w:ascii="Arial" w:cs="Arial" w:eastAsia="Arial" w:hAnsi="Arial"/>
          <w:sz w:val="16"/>
          <w:szCs w:val="16"/>
          <w:color w:val="auto"/>
        </w:rPr>
        <w:t xml:space="preserve"> above. Management fees from our legacy segment declined due to the corresponding impact of the increased managed care penetration as described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SG&amp;A of $170.1 million for the three months ended March 31, 2018 increased $20.3 million, or 13.5%, from the three months ended April 1, 2017. As a percentage of net revenue, SG&amp;A increased from 40.5% for the three months ended April 1, 2017 to 41.7% for the three months ended March 31, 2018. The increase as a percentage of net revenue was primarily driven by store and corporate payroll and, to a lesser extent, advertising, occupancy and performance-based incentive compensation. Payroll growth as a percentage of net revenue was primarily driven by the Company’s expansion into new markets and, to a lesser extent, incremental corporate payroll as a result of becoming a public company in the fourth quarter of fiscal year 2017. The increase in advertising as a percentage of net revenue was primarily driven by increased digital marketing in our peak season. The increase in occupancy as a percentage of net revenue was primarily driven by the addition of 65 net new stores in our owned &amp; host segment in the 12 months ended March 31, 2018. We incurred higher performance-based incentive compensation expense as a percentage of net revenue in the three months ended March 31, 2018 compared to the three months ended April 1, 2017 based on our lower 2017 performance compared to plan.</w:t>
      </w:r>
    </w:p>
    <w:p>
      <w:pPr>
        <w:spacing w:after="0" w:line="7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In the owned &amp; host segment, SG&amp;A as a percentage of net revenue was 36.8% for the three months ended March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36.1% for the three months ended April 1, 2017, driven primarily by store payroll and, to a lesser extent, advertising and occupancy, all of which are described above.</w:t>
      </w:r>
    </w:p>
    <w:p>
      <w:pPr>
        <w:spacing w:after="0" w:line="7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In the legacy segment, SG&amp;A as a percentage of net revenue increased from 30.5% for the three months ended April 1,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31.5% for the three months ended March 31, 2018, driven primarily by store payroll as a result of wage pressure.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expense of $17.7 million for the three months ended March 31, 2018 increased $3.2 million, or 22.4%, from $14.4 million for the three months ended April 1, 2017 primarily driven by new store openings, as well as investments in optical laboratories, distribution centers and information technology infrastructure. Our property and equipment balance, net, increased $6.3 million, or 2.2%, during the three months ended March 31, 2018, reflective of $20.9 million in purchases of property and equipment, $1.7 million in new capital leases, less $15.6 million in depreciation expense and $0.7 million in other adjustments. New assets are out-pacing retirements by a significant margin and, therefore, we expect continued increases in depreciation expense for the foreseeable future as we continue to execute our growth strategy.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expense, net, of $9.3 million for the three months ended March 31, 2018 decreased $2.2 million, or 19.0%, from $11.5 million for the three months ended April 1, 2017. Interest expense decreased $3.4 million resulting from the payoff of our $125.0 million second lien term loans and $235.0 million in outstanding amount of our first lien term loans, during the fourth quarter of fiscal year 2017. An additional decrease of interest expense resulted from the reduction of deferred debt cost amortization, and corresponding reduction of discounts, related to repayment of outstanding debt in connection with our initial public offering (the “IPO”) during the fourth quarter of fiscal year 2017. These reductions were partially offset with $1.5 million in additional interest expense during the three months ended March 31, 2018 related to interest payments paid to counterparties associated with our derivative cash flow hedges.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income tax rate, or ETR, was 17.4% and 33.1% for three months ended March 31, 2018 and April 1, 2017, respectively. Our lower ETR for the three months ended March 31, 2018 was largely due to the reduced federal statutory rate from 35% to 21% as part of the Tax Cuts and Jobs Act of 2017, effective for tax years beginning on or after January 1, 2018. During the three months ended March 31, 2018, our expected combined statutory federal and state rate was reduced 8.9% by a $2.7 million income tax benefit resulting from stock option exercises. Other items aggregated to a 0.5% increase in the rate for the period.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Adjusted EBITDA Margin and Adjusted Net Income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define EBITDA as net income, plus interest expense, income tax provision and depreciation and amortization. We define Adjusted EBITDA as EBITDA, further adjusted to exclude stock compensation expense, costs associated with debt refinancing, non-cash inventory write-offs, new store pre-opening expenses, non-cash rent, secondary offering expenses and other expenses. We describe these adjustments reconciling net income to EBITDA and Adjusted EBITDA in the tables below.We define Adjusted EBITDA Margin as Adjusted EBITDA as a percentage of total net revenue. We define Adjusted Net Income as net income, plus stock compensation expense, costs associated with debt refinancing, non-cash inventory write-offs, new store pre-opening expenses, non-cash rent, secondary offering costs, amortization of acquisition intangibles and deferred financing costs and other expenses, tax benefit of stock option exercises less the tax effect of these adjustments. We describe these adjustments reconciling net income to Adjusted Net Income in the tables below.</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Adjusted EBITDA, Adjusted EBITDA Margin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 supplementally.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our net income to EBITDA, Adjusted EBITDA, Adjusted EBITDA Margin and Adjusted Net Income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60" w:type="dxa"/>
            <w:vAlign w:val="bottom"/>
            <w:gridSpan w:val="4"/>
          </w:tcPr>
          <w:p>
            <w:pPr>
              <w:jc w:val="right"/>
              <w:ind w:right="550"/>
              <w:spacing w:after="0"/>
              <w:rPr>
                <w:sz w:val="20"/>
                <w:szCs w:val="20"/>
                <w:color w:val="auto"/>
              </w:rPr>
            </w:pPr>
            <w:r>
              <w:rPr>
                <w:rFonts w:ascii="Arial" w:cs="Arial" w:eastAsia="Arial" w:hAnsi="Arial"/>
                <w:sz w:val="18"/>
                <w:szCs w:val="18"/>
                <w:color w:val="auto"/>
                <w:w w:val="95"/>
              </w:rPr>
              <w:t>Three Months Ended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w w:val="89"/>
              </w:rPr>
              <w:t>March 31, 2018</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6"/>
              </w:rPr>
              <w:t>April 1, 2017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25,047</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9,313</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11,492</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5,283</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8,458</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17,654</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14,423</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57,297</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51,443</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13.9%</w:t>
            </w:r>
          </w:p>
        </w:tc>
        <w:tc>
          <w:tcPr>
            <w:tcW w:w="0" w:type="dxa"/>
            <w:vAlign w:val="bottom"/>
          </w:tcPr>
          <w:p>
            <w:pPr>
              <w:spacing w:after="0"/>
              <w:rPr>
                <w:sz w:val="1"/>
                <w:szCs w:val="1"/>
                <w:color w:val="auto"/>
              </w:rPr>
            </w:pPr>
          </w:p>
        </w:tc>
      </w:tr>
      <w:tr>
        <w:trPr>
          <w:trHeight w:val="324"/>
        </w:trPr>
        <w:tc>
          <w:tcPr>
            <w:tcW w:w="4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(c)</w:t>
            </w:r>
          </w:p>
        </w:tc>
        <w:tc>
          <w:tcPr>
            <w:tcW w:w="2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(d)</w:t>
            </w:r>
          </w:p>
        </w:tc>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(e)</w:t>
            </w:r>
          </w:p>
        </w:tc>
        <w:tc>
          <w:tcPr>
            <w:tcW w:w="2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(f)</w:t>
            </w:r>
          </w:p>
        </w:tc>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(g)</w:t>
            </w:r>
          </w:p>
        </w:tc>
        <w:tc>
          <w:tcPr>
            <w:tcW w:w="21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57"/>
        </w:trPr>
        <w:tc>
          <w:tcPr>
            <w:tcW w:w="4800" w:type="dxa"/>
            <w:vAlign w:val="bottom"/>
          </w:tcPr>
          <w:p>
            <w:pPr>
              <w:ind w:left="180"/>
              <w:spacing w:after="0"/>
              <w:rPr>
                <w:sz w:val="20"/>
                <w:szCs w:val="20"/>
                <w:color w:val="auto"/>
              </w:rPr>
            </w:pPr>
            <w:r>
              <w:rPr>
                <w:rFonts w:ascii="Arial" w:cs="Arial" w:eastAsia="Arial" w:hAnsi="Arial"/>
                <w:sz w:val="18"/>
                <w:szCs w:val="18"/>
                <w:b w:val="1"/>
                <w:bCs w:val="1"/>
                <w:color w:val="auto"/>
              </w:rPr>
              <w:t>Adjusted EBITDA/ Adjusted EBITDA Margin</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61,089</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58,906</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0"/>
              <w:spacing w:after="0"/>
              <w:rPr>
                <w:sz w:val="20"/>
                <w:szCs w:val="20"/>
                <w:color w:val="auto"/>
              </w:rPr>
            </w:pPr>
            <w:r>
              <w:rPr>
                <w:rFonts w:ascii="Arial" w:cs="Arial" w:eastAsia="Arial" w:hAnsi="Arial"/>
                <w:sz w:val="14"/>
                <w:szCs w:val="14"/>
                <w:color w:val="auto"/>
              </w:rPr>
              <w:t>Note: Percentages reflect line item as a percentage of net revenue</w:t>
            </w:r>
          </w:p>
        </w:tc>
        <w:tc>
          <w:tcPr>
            <w:tcW w:w="2180" w:type="dxa"/>
            <w:vAlign w:val="bottom"/>
            <w:vMerge w:val="restart"/>
          </w:tcPr>
          <w:p>
            <w:pPr>
              <w:jc w:val="right"/>
              <w:ind w:right="109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9"/>
        </w:trPr>
        <w:tc>
          <w:tcPr>
            <w:tcW w:w="48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4"/>
          </w:tcPr>
          <w:p>
            <w:pPr>
              <w:jc w:val="right"/>
              <w:ind w:right="1350"/>
              <w:spacing w:after="0"/>
              <w:rPr>
                <w:sz w:val="20"/>
                <w:szCs w:val="20"/>
                <w:color w:val="auto"/>
              </w:rPr>
            </w:pPr>
            <w:r>
              <w:rPr>
                <w:rFonts w:ascii="Arial" w:cs="Arial" w:eastAsia="Arial" w:hAnsi="Arial"/>
                <w:sz w:val="18"/>
                <w:szCs w:val="18"/>
                <w:color w:val="auto"/>
              </w:rPr>
              <w:t>Three Months Ended</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March 31, 2018</w:t>
            </w:r>
          </w:p>
        </w:tc>
        <w:tc>
          <w:tcPr>
            <w:tcW w:w="36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April 1, 2017</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1,104</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3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(d)</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(e)</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(f)</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(g)</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666</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and deferred financing costs </w:t>
            </w:r>
            <w:r>
              <w:rPr>
                <w:rFonts w:ascii="Arial" w:cs="Arial" w:eastAsia="Arial" w:hAnsi="Arial"/>
                <w:sz w:val="25"/>
                <w:szCs w:val="25"/>
                <w:color w:val="auto"/>
                <w:vertAlign w:val="superscript"/>
              </w:rPr>
              <w:t>(h)</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(i)</w:t>
            </w:r>
          </w:p>
        </w:tc>
        <w:tc>
          <w:tcPr>
            <w:tcW w:w="3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(j)</w:t>
            </w:r>
          </w:p>
        </w:tc>
        <w:tc>
          <w:tcPr>
            <w:tcW w:w="3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r>
      <w:tr>
        <w:trPr>
          <w:trHeight w:val="257"/>
        </w:trPr>
        <w:tc>
          <w:tcPr>
            <w:tcW w:w="6980" w:type="dxa"/>
            <w:vAlign w:val="bottom"/>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26,870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23,263</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associated with the borrowing of $175.0 million in additional principal under our first lien credit agreement during the first fiscal quarter of 2017.</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1" w:lineRule="exact"/>
        <w:rPr>
          <w:rFonts w:ascii="Arial" w:cs="Arial" w:eastAsia="Arial" w:hAnsi="Arial"/>
          <w:sz w:val="14"/>
          <w:szCs w:val="14"/>
          <w:color w:val="auto"/>
        </w:rPr>
      </w:pPr>
    </w:p>
    <w:p>
      <w:pPr>
        <w:jc w:val="both"/>
        <w:ind w:left="660" w:hanging="328"/>
        <w:spacing w:after="0" w:line="260"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related to our secondary public offering for the three months ended March 31, 2018.</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including our share of losses on equity method investments of $0.2 million and $0.1 million for the three months ended March 31, 2018 and April 1, 2017, respectively; management fees of $0.3 million paid to KKR Sponsor and Berkshire in accordance with our monitoring agreement for the three months ended April 1, 2017 that was terminated automatically in accordance with its terms upon the consummation of the IPO in October 2017; the amortization impact of the KKR Acquisition-related adjustments (e.g., fair value of leasehold interests) of $17 thousand and $(0.1) million for the three months ended March 31, 2018 and April 1, 2017, respectively, related to prior acquisitions; expenses related to preparation for being an SEC registrant that were not directly attributable to the IPO and therefore not charged to equity of $0.5 million for the three months ended April 1, 2017; differences between the timing of expense versus cash payments related to contributions to charitable organizations of $(0.3) million during the three months ended March 31, 2018 and April 1, 2017; costs of severance and relocation of $0.2 million and $16 thousand for the three months ended March 31, 2018 and April 1, 2017 respectively; and other expenses and adjustments totaling $0.1 million and $0.1 million for the three months ended March 31, 2018 and April 1, 2017, respectively.</w:t>
      </w:r>
    </w:p>
    <w:p>
      <w:pPr>
        <w:spacing w:after="0" w:line="3"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additional expense incurred due to the increase in the carrying values of amortizing intangible assets as a result of the KKR Acquisition of $1.9 million for the three months ended March 31, 2018 and April 1, 2017.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and the November 2017 first lien term loan refinancing, aggregating to $0.4 million and $1.0 million for the three months ended March 31, 2018 and April 1, 2017, respectively.</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Tax benefit associated with accounting guidance adopted at the beginning of fiscal year 2017 (Accounting Standards Update 2016-09,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requiring excess tax benefits to be recorded in earnings as discrete items in the reporting period in which they occur.</w:t>
      </w: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normalized effective tax rate.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$100.0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our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2018, we had $58.4 million in cash and cash equivalents and $94.5 million of additional availability under our revolving credit facility, which reflects $5.5 million in outstanding letters of credit.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spent $22.8 million in capital expenditures in the three months ended March 31, 2018. Approximately 80% of our planned capital expenditures are related to our expected growth (i.e. new stores, optometric equipment, additional capacity in our optical laboratories and distribution centers, and our IT infrastructure). We plan on opening approximately 75 stores during fiscal year 2018 (inclusive of the fifteen new stores opened through March 31, 2018). Our working capital requirements for inventory will increase as we continue to open additional stores. We primarily fund our working capital needs using cash provided by operations.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net cash provided by (used for) operating activities, investing activities and financing activities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4"/>
          </w:tcPr>
          <w:p>
            <w:pPr>
              <w:jc w:val="right"/>
              <w:ind w:right="1350"/>
              <w:spacing w:after="0"/>
              <w:rPr>
                <w:sz w:val="20"/>
                <w:szCs w:val="20"/>
                <w:color w:val="auto"/>
              </w:rPr>
            </w:pPr>
            <w:r>
              <w:rPr>
                <w:rFonts w:ascii="Arial" w:cs="Arial" w:eastAsia="Arial" w:hAnsi="Arial"/>
                <w:sz w:val="18"/>
                <w:szCs w:val="18"/>
                <w:color w:val="auto"/>
              </w:rPr>
              <w:t>Three Months Ended</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March 31, 2018</w:t>
            </w:r>
          </w:p>
        </w:tc>
        <w:tc>
          <w:tcPr>
            <w:tcW w:w="36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April 1, 2017</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for):</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77,787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46,505</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(20,703)</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25,427</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operating activities consists primarily of net income adjusted for non-cash items, including depreciation and amortization, deferred income taxes, non-cash stock option compensation, non-cash inventory adjustments, bad debt expense, and changes in operating assets and liabilities.</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operating activities increased $31.3 million, or 67.3%, during the three months ended March 31, 2018 compared to the three months ended April 1, 2017. Net cash provided by operating activities was $77.8 million for the three months ended March 31, 2018, which consisted of non-cash items of $27.2 million, $25.0 million of net income and a decrease in net working capital and other assets and liabilities of $25.6 million. Net cash provided by operating activities was $46.5 million for the three months ended April 1, 2017, as non-cash items of $31.3 million and $17.1 million of net income were partially offset by an increase in net working capital and other assets and liabilities of $1.9 million.</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net working capital and other assets and liabilities during the three months ended March 31, 2018 was primarily due to increases in accrued expenses and other liabilities of $12.5 million, deferred and unearned revenue of $6.5 million, and accounts payable of $10.4 million. Increases in accrued expenses and other liabilities is reflective of our growth as new stores are added monthly. We opened 15 new stores during the three months ended March 31, 2018, with one closure. Increases in deferred and unearned revenues are consistent with increased overall net revenue resulting from new stores and positive comparable store sales growth. Increases in accounts payable primarily reflect timing of payments to vendors. These changes were partially offset by increases in inventories of $3.0 million, accounts receivable of $0.2 million, and other assets of $0.6 million. Increases in inventory are generally expected each period, and reflect our growth in sales of products, including product replenishment needs at existing stores and inventory needed to outfit new stores. Increases in accounts receivable and other assets are generally expected each period due to net revenue growth and overall increases in the size of consolidated operations.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net working capital and other assets and liabilities during the three months ended April 1, 2017 was primarily due to an increase in accounts receivable of $7.6 million, inventories of $1.7 million, increase in other assets of $0.8 million, and a decrease of accounts payable of $9.4 million partially offset by an increase in deferred and unearned revenue of $6.3 million and an increase in accrued expenses and other liabilities of $11.4 million. The accounts payable decrease was primarily due to a large vendor payment on the last day of the fiscal quarter. Increases in accounts receivable, inventories, other assets and accrued expenses reflect the Company’s overall growth. We opened 21 new stores during the three months ended April 1, 2017, with two closures. Increases in deferred and unearned revenue are consistent with increased overall revenue resulting from new stores added monthly.</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the $31.3 million increase in operating cash flow, $19.8 million was due to changes in timing of payments made to vendors on accounts payable. During the three months ended April 1, 2017, the net change in accounts payable represented a $9.4 million use of cash, compared to the three months ended March 31, 2018, where the change in accounts payable provided cash of $10.4 million. Additionally, net income increased by $8.0 million. Therefore, $27.8 million, or approximately 89% of the increase, was due to increased net income and timing of payments to vendors.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increased by $2.0 million, to $22.7 million, during the three months ended March 31, 2018 from $20.7 million during the three months ended April 1, 2017. The change in cash used for investing activities included an increase of $2.1 million in purchases of property and equipment to support our growth, including new stores, improvements to our optical laboratories and distribution centers, and continued development of our IT infrastructure.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for financing activities decreased by $0.1 million, to $0.3 million, during the three months ended March 31, 2018 from $0.4 million during the three months ended April 1, 2017. The primary drivers of the overall cash used for financing activities were quarterly principal payments required under our first lien credit agreement. We paid $1.4 million and $2.1 million in principal payments during the three months ended March 31, 2018 and April 1, 2017, respectively. Additionally, we paid $0.3 million and $0.2 million in capital lease obligations during the three months ended March 31, 2018 and April 1, 2017, respectively. During the three months ended March 31, 2018, we purchased treasury stock in the amount of $0.9 million. This was partially offset by $2.3 million and $1.9 million in proceeds related to the exercise of stock options during the three months ended March 31, 2018 and April 1, 2017,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are not a party to any other off-balance sheet arrangements during the three months ended March 31,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2018, there were no material changes outside the ordinary course of business in our contractual obligations and commercial commitments from those reported as of December 30, 2017 in the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Management has evaluated the accounting policies used in the preparation of the Company’s condensed consolidated financial statements and related notes and believe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Annual Report dated December 31, 2017,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Annual Report, except for the adoption of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discussed in Note 1</w:t>
      </w:r>
      <w:r>
        <w:rPr>
          <w:rFonts w:ascii="Arial" w:cs="Arial" w:eastAsia="Arial" w:hAnsi="Arial"/>
          <w:sz w:val="17"/>
          <w:szCs w:val="17"/>
          <w:i w:val="1"/>
          <w:iCs w:val="1"/>
          <w:color w:val="auto"/>
        </w:rPr>
        <w:t>.</w:t>
      </w:r>
      <w:r>
        <w:rPr>
          <w:rFonts w:ascii="Arial" w:cs="Arial" w:eastAsia="Arial" w:hAnsi="Arial"/>
          <w:sz w:val="17"/>
          <w:szCs w:val="17"/>
          <w:color w:val="auto"/>
        </w:rPr>
        <w:t xml:space="preserve"> “Description of Business and Basis of Presentation” of our condensed consolidated financial statements included in Part 1. Item 1. of this Form 10-Q</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in Note 1. “Description of Business and Basis of Presentation” to our condensed consolidated financial statements under Part I. Item</w:t>
      </w:r>
    </w:p>
    <w:p>
      <w:pPr>
        <w:spacing w:after="0" w:line="46"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heading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of this Form 10-Q is incorporated herein by reference.</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market risk exposure from changes in interest rates. We, when appropriate, use derivative financial instruments to mitigate the risk from such exposure. A discussion of our accounting policies for derivative financial instruments is included in Note 3. “Fair Value Measurement of Financial Assets and Liabilities,” to our condensed consolidated financial statements included in Part I. Item 1. of this Form 10-Q.</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condensed consolidated balance sheets.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2018, all of our $567.2 million in term loan debt was subject to variable interest rates, with a weighted average borrowing rate of 4.3%. After inclusion of the notional amount of $465.0 million of interest rate swaps fixing a portion of the variable rate debt, $102.2 million, or 18.0% of our debt, is subject to variable rates. Assuming an increase to market rates of 1.0% as of March 31, 2018, we would incur an annual increase to interest expense of approximately $1.0 million related to debt subject to variable rates.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CEO and our CFO, evaluated the effectiveness of the design and operation of our disclosure controls and procedures as of the end of the period covered by this Form 10-Q. Based on their evaluation, our CEO and CFO concluded that, because the previously identified material weaknesses in our internal control over financial reporting described below had not been remediated by the end of the period covered by this Form 10-Q, our disclosure controls and procedures were not effective as of the end of the period covered by this Form 10-Q.</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and Status of Material Weakness Remediation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our prospectus, dated October 25, 2017 filed with the SEC on October 27, 2017, and the Annual Report, we had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Remediation Plan </w:t>
      </w:r>
      <w:r>
        <w:rPr>
          <w:rFonts w:ascii="Arial" w:cs="Arial" w:eastAsia="Arial" w:hAnsi="Arial"/>
          <w:sz w:val="18"/>
          <w:szCs w:val="18"/>
          <w:color w:val="auto"/>
        </w:rPr>
        <w:t>- We have designed and are implementing controls to remediate these material weaknesses, which include the following new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and internal controls:</w:t>
      </w:r>
    </w:p>
    <w:p>
      <w:pPr>
        <w:spacing w:after="0" w:line="62" w:lineRule="exact"/>
        <w:rPr>
          <w:sz w:val="20"/>
          <w:szCs w:val="20"/>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Removed higher obsolescence risk contact lenses from our stores to our Distribution Center in order to better manage inventory turns and related obsolescence potential and established a policy requiring stores to return all contact lenses expiring within the next twelve months to our central distribution center.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Changed our store inventory observation procedures to monitor the compliance with the policy described above, in order to allow for the Company to sell or exchange products with respective vendors for newer products with similar value.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Implemented an automated reporting system to report financial results consistent with Regulation S-X and to provide reconciliations between internal and external reporting, highlighting any changes in reporting and business requirements.</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a disclosure committee, consisting of certain key members of management, to assist in formalizing our disclosure, risk assessment, internal controls and procedures.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an internal audit department that reports directly to the Audit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Added additional resources to enhance the overall control environment.</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maintaining a strong internal control environment, and we expect to continue our efforts to remediate the material weaknesses described above. However, the material weaknesses cannot be considered remediated until the applicable remedial controls operate for a sufficient period of time and management has concluded, through testing, that these controls are operating effectively.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that occurred during the first quarter of fiscal year 2018 that have materially affected, or are reasonably likely to materially affect, our internal control over financial reporting, other than as described above under “Material Weakness and Status of Material Weakness Remediation.”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normal course of our business.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We intend to continue to defend the litigation vigorously. We believe that the claims alleged are without merit.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May 2017, a complaint was filed against us and other defendants alleging, on behalf of a proposed class of consumers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currently party to any other legal proceedings that we believe would have a material adverse effect on our financial position, results of operations or cash flows.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principal risks that we believe are material to our business, results of operations, and financial condition from those disclosed in Part I. Item 1A. of our Annual Report.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341"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480"/>
        </w:trPr>
        <w:tc>
          <w:tcPr>
            <w:tcW w:w="128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507"/>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6"/>
              </w:rPr>
              <w:t>Second Amended and Restated Certificate of Incorporation of National Vision Holdings, Inc. -incorporated herein by reference to</w:t>
            </w:r>
          </w:p>
        </w:tc>
      </w:tr>
      <w:tr>
        <w:trPr>
          <w:trHeight w:val="190"/>
        </w:trPr>
        <w:tc>
          <w:tcPr>
            <w:tcW w:w="260" w:type="dxa"/>
            <w:vAlign w:val="bottom"/>
            <w:gridSpan w:val="2"/>
          </w:tcPr>
          <w:p>
            <w:pPr>
              <w:ind w:left="40"/>
              <w:spacing w:after="0" w:line="190" w:lineRule="exact"/>
              <w:rPr>
                <w:rFonts w:ascii="Arial" w:cs="Arial" w:eastAsia="Arial" w:hAnsi="Arial"/>
                <w:sz w:val="18"/>
                <w:szCs w:val="18"/>
                <w:color w:val="0000FF"/>
                <w:w w:val="79"/>
              </w:rPr>
            </w:pPr>
            <w:hyperlink r:id="rId1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8"/>
              </w:rPr>
              <w:t>Second Amended and Restated Bylaws of National Vision Holdings, Inc. -incorporated herein by reference to Exhibit 3.2 to the</w:t>
            </w:r>
          </w:p>
        </w:tc>
      </w:tr>
      <w:tr>
        <w:trPr>
          <w:trHeight w:val="190"/>
        </w:trPr>
        <w:tc>
          <w:tcPr>
            <w:tcW w:w="260" w:type="dxa"/>
            <w:vAlign w:val="bottom"/>
            <w:gridSpan w:val="2"/>
          </w:tcPr>
          <w:p>
            <w:pPr>
              <w:ind w:left="40"/>
              <w:spacing w:after="0" w:line="190" w:lineRule="exact"/>
              <w:rPr>
                <w:rFonts w:ascii="Arial" w:cs="Arial" w:eastAsia="Arial" w:hAnsi="Arial"/>
                <w:sz w:val="18"/>
                <w:szCs w:val="18"/>
                <w:color w:val="0000FF"/>
                <w:w w:val="79"/>
              </w:rPr>
            </w:pPr>
            <w:hyperlink r:id="rId1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Company’s Current Report on Form 8-K filed on October 31, 2017</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Letter Agreement between National Vision, Inc. and Essilor of America, Inc. dated as of March 9, 2018</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3"/>
              </w:rPr>
              <w:t>Certification of Periodic Report by Chief Executive Officer under Section 302 of the Sarbanes-Oxley 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4"/>
              </w:rPr>
              <w:t>Certification of Periodic Report by Chief Financial Officer under Section 302 of the Sarbanes-Oxley Act of 2002 (furnished herewith)</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Act of 2002 (furnished herewith)</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1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2"/>
          </w:tcPr>
          <w:p>
            <w:pPr>
              <w:ind w:left="4120"/>
              <w:spacing w:after="0"/>
              <w:rPr>
                <w:sz w:val="20"/>
                <w:szCs w:val="20"/>
                <w:color w:val="auto"/>
              </w:rPr>
            </w:pPr>
            <w:r>
              <w:rPr>
                <w:rFonts w:ascii="Arial" w:cs="Arial" w:eastAsia="Arial" w:hAnsi="Arial"/>
                <w:sz w:val="18"/>
                <w:szCs w:val="18"/>
                <w:color w:val="auto"/>
              </w:rPr>
              <w:t>40</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324"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341"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March 9, 2018</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Megan Molony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National Vision, Inc.</w:t>
      </w:r>
    </w:p>
    <w:p>
      <w:pPr>
        <w:spacing w:after="0"/>
        <w:rPr>
          <w:sz w:val="20"/>
          <w:szCs w:val="20"/>
          <w:color w:val="auto"/>
        </w:rPr>
      </w:pPr>
      <w:r>
        <w:rPr>
          <w:rFonts w:ascii="Arial" w:cs="Arial" w:eastAsia="Arial" w:hAnsi="Arial"/>
          <w:sz w:val="20"/>
          <w:szCs w:val="20"/>
          <w:color w:val="auto"/>
        </w:rPr>
        <w:t>296 Grayson Highway</w:t>
      </w:r>
    </w:p>
    <w:p>
      <w:pPr>
        <w:spacing w:after="0"/>
        <w:rPr>
          <w:sz w:val="20"/>
          <w:szCs w:val="20"/>
          <w:color w:val="auto"/>
        </w:rPr>
      </w:pPr>
      <w:r>
        <w:rPr>
          <w:rFonts w:ascii="Arial" w:cs="Arial" w:eastAsia="Arial" w:hAnsi="Arial"/>
          <w:sz w:val="20"/>
          <w:szCs w:val="20"/>
          <w:color w:val="auto"/>
        </w:rPr>
        <w:t>Lawrenceville, GA 30046</w:t>
      </w:r>
    </w:p>
    <w:p>
      <w:pPr>
        <w:spacing w:after="0"/>
        <w:rPr>
          <w:sz w:val="20"/>
          <w:szCs w:val="20"/>
          <w:color w:val="auto"/>
        </w:rPr>
      </w:pPr>
      <w:r>
        <w:rPr>
          <w:rFonts w:ascii="Arial" w:cs="Arial" w:eastAsia="Arial" w:hAnsi="Arial"/>
          <w:sz w:val="20"/>
          <w:szCs w:val="20"/>
          <w:color w:val="auto"/>
        </w:rPr>
        <w:t>Megan.Molony@nationalvision.com</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Via </w:t>
      </w:r>
      <w:r>
        <w:rPr>
          <w:rFonts w:ascii="Arial" w:cs="Arial" w:eastAsia="Arial" w:hAnsi="Arial"/>
          <w:sz w:val="20"/>
          <w:szCs w:val="20"/>
          <w:b w:val="1"/>
          <w:bCs w:val="1"/>
          <w:color w:val="auto"/>
        </w:rPr>
        <w:t>Electronic Mail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Dear Ms. Molony:</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Letter of Third Amendment (“Third Amendment”) reflects the mutual understanding of National Vision, Inc. (“Customer”) and Essilor of America, Inc. (“Essilor”) regarding the amendment of that certain Direct Lens Supply Letter Agreement dated May 25, 2011, as amended on December 2, 2014 and February , 2017, by and between the parties hereto regarding the Customer’s purchase of Direct Lenses from Essilor (the “Original Agreement” and, as hereby amended by the First and Second Amendments, the “Agreement”). All terms not defined herein will have the same meaning as set forth in the Agreement. The purpose of this Letter of Third Amendment is to extend the Term of the Agreement.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section “Term” of the Agreement shall be deleted and replaced in its entirety with the following paragraph:</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term of this Letter Agreement shall extend for a period starting on the date set forth above and expiring on June 30, 2019 (the “Initial Term”), unless terminated earlier (or extended) in accordance with the provisions of this Letter Agreement, and the Price List will be effective as of the date of this Letter Agreement for any orders Customer may submit to Essilor on or after this date. Thereafter, the Letter Agreement shall extend for addition one year extensions (each a “Renewal Year”, and together with Initial Term, the “Term”), unless either party gives the other at least ninety (90) days prior written notice of the end of the Initial Term or Renewal Term, as applicable, of its desire to terminate this Letter Agreement. Notwithstanding the foregoing, Customer shall have the ability to unilaterally extend this Letter Agreement an additional calendar quarter after the proposed termination date. In addition, the exclusivity provisions set forth above shall, with respect to any Direct Lenses described on the Price List, become effective if, when, and during such time as Essilor is able to supply the Direct Lenses to Customer in accordance with the provisions of this Letter Agreement. Essilor understands and acknowledges that Customer and its Retail Stores will rely upon the timely availability and delivery by Essilor of Direct Lenses to Customer. Customer understands and acknowledges that certain products may not be immediately available for shipment.”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Kodak Agreement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This Section shall be deleted in its entirety.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Third Amendment may be executed in any number of counterparts, each of which shall be deemed to be an original and all of which together shall be deemed to be one and the same instrument. A signature sent by telecopy or facsimile transmission shall be as valid and binding upon the party as an original signature of such party. Except as set forth in this Third Amendment, all terms, provisions and covenants of the Original Agreement shall remain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420"/>
          </w:cols>
          <w:pgMar w:left="240" w:top="152" w:right="2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ESSILOR OF AMERICA,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 Steve Nussbaumer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0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Steve Nussbaumer</w:t>
      </w:r>
    </w:p>
    <w:p>
      <w:pPr>
        <w:spacing w:after="0"/>
        <w:rPr>
          <w:sz w:val="20"/>
          <w:szCs w:val="20"/>
          <w:color w:val="auto"/>
        </w:rPr>
      </w:pPr>
      <w:r>
        <w:rPr>
          <w:rFonts w:ascii="Arial" w:cs="Arial" w:eastAsia="Arial" w:hAnsi="Arial"/>
          <w:sz w:val="20"/>
          <w:szCs w:val="20"/>
          <w:color w:val="auto"/>
        </w:rPr>
        <w:t>Vice President, Retail Key Accounts</w:t>
      </w:r>
    </w:p>
    <w:p>
      <w:pPr>
        <w:spacing w:after="0"/>
        <w:rPr>
          <w:sz w:val="20"/>
          <w:szCs w:val="20"/>
          <w:color w:val="auto"/>
        </w:rPr>
      </w:pPr>
      <w:r>
        <w:rPr>
          <w:rFonts w:ascii="Arial" w:cs="Arial" w:eastAsia="Arial" w:hAnsi="Arial"/>
          <w:sz w:val="20"/>
          <w:szCs w:val="20"/>
          <w:color w:val="auto"/>
        </w:rPr>
        <w:t>Essilor of America,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executing below, the undersigned hereby represents and warrants that he/she has the authority to execute this Letter of Third Amendment on behalf of National Vision, Inc., and in furtherance of this Letter of Third Amendment.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 BY: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NATIONAL VISION,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Megan Molony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619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680" w:type="dxa"/>
            <w:vAlign w:val="bottom"/>
          </w:tcPr>
          <w:p>
            <w:pPr>
              <w:spacing w:after="0" w:line="206" w:lineRule="exact"/>
              <w:rPr>
                <w:sz w:val="20"/>
                <w:szCs w:val="20"/>
                <w:color w:val="auto"/>
              </w:rPr>
            </w:pPr>
            <w:r>
              <w:rPr>
                <w:rFonts w:ascii="Arial" w:cs="Arial" w:eastAsia="Arial" w:hAnsi="Arial"/>
                <w:sz w:val="20"/>
                <w:szCs w:val="20"/>
                <w:color w:val="auto"/>
              </w:rPr>
              <w:t>Name:</w:t>
            </w:r>
          </w:p>
        </w:tc>
        <w:tc>
          <w:tcPr>
            <w:tcW w:w="100" w:type="dxa"/>
            <w:vAlign w:val="bottom"/>
          </w:tcPr>
          <w:p>
            <w:pPr>
              <w:spacing w:after="0"/>
              <w:rPr>
                <w:sz w:val="17"/>
                <w:szCs w:val="17"/>
                <w:color w:val="auto"/>
              </w:rPr>
            </w:pPr>
          </w:p>
        </w:tc>
        <w:tc>
          <w:tcPr>
            <w:tcW w:w="226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20"/>
                <w:szCs w:val="20"/>
                <w:color w:val="auto"/>
              </w:rPr>
              <w:t>Megan Molony</w:t>
            </w:r>
          </w:p>
        </w:tc>
        <w:tc>
          <w:tcPr>
            <w:tcW w:w="780" w:type="dxa"/>
            <w:vAlign w:val="bottom"/>
          </w:tcPr>
          <w:p>
            <w:pPr>
              <w:spacing w:after="0"/>
              <w:rPr>
                <w:sz w:val="17"/>
                <w:szCs w:val="17"/>
                <w:color w:val="auto"/>
              </w:rPr>
            </w:pPr>
          </w:p>
        </w:tc>
      </w:tr>
      <w:tr>
        <w:trPr>
          <w:trHeight w:val="210"/>
        </w:trPr>
        <w:tc>
          <w:tcPr>
            <w:tcW w:w="680" w:type="dxa"/>
            <w:vAlign w:val="bottom"/>
          </w:tcPr>
          <w:p>
            <w:pPr>
              <w:spacing w:after="0" w:line="209" w:lineRule="exact"/>
              <w:rPr>
                <w:sz w:val="20"/>
                <w:szCs w:val="20"/>
                <w:color w:val="auto"/>
              </w:rPr>
            </w:pPr>
            <w:r>
              <w:rPr>
                <w:rFonts w:ascii="Arial" w:cs="Arial" w:eastAsia="Arial" w:hAnsi="Arial"/>
                <w:sz w:val="20"/>
                <w:szCs w:val="20"/>
                <w:color w:val="auto"/>
              </w:rPr>
              <w:t>Title:</w:t>
            </w:r>
          </w:p>
        </w:tc>
        <w:tc>
          <w:tcPr>
            <w:tcW w:w="3140" w:type="dxa"/>
            <w:vAlign w:val="bottom"/>
            <w:tcBorders>
              <w:bottom w:val="single" w:sz="8" w:color="auto"/>
            </w:tcBorders>
            <w:gridSpan w:val="3"/>
          </w:tcPr>
          <w:p>
            <w:pPr>
              <w:ind w:left="100"/>
              <w:spacing w:after="0" w:line="209" w:lineRule="exact"/>
              <w:rPr>
                <w:sz w:val="20"/>
                <w:szCs w:val="20"/>
                <w:color w:val="auto"/>
              </w:rPr>
            </w:pPr>
            <w:r>
              <w:rPr>
                <w:rFonts w:ascii="Arial" w:cs="Arial" w:eastAsia="Arial" w:hAnsi="Arial"/>
                <w:sz w:val="20"/>
                <w:szCs w:val="20"/>
                <w:color w:val="auto"/>
                <w:w w:val="90"/>
              </w:rPr>
              <w:t>Senior Vice President, Merchandising</w:t>
            </w: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400"/>
          </w:cols>
          <w:pgMar w:left="240" w:top="366"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2018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2018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8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March 31, 2018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March 31, 2018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b w:val="1"/>
          <w:bCs w:val="1"/>
          <w:color w:val="auto"/>
        </w:rPr>
      </w:pPr>
    </w:p>
    <w:p>
      <w:pPr>
        <w:ind w:left="340" w:right="160" w:hanging="332"/>
        <w:spacing w:after="0" w:line="277"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84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Archives/edgar/data/1710155/000156761917002270/s001582x19_ex3-1.htm" TargetMode="External"/><Relationship Id="rId11" Type="http://schemas.openxmlformats.org/officeDocument/2006/relationships/hyperlink" Target="http://www.sec.gov/Archives/edgar/data/1710155/000156761917002270/s001582x1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2019-12-28T21:38:28Z</dcterms:created>
  <dcterms:modified xsi:type="dcterms:W3CDTF">2019-12-28T21:38:28Z</dcterms:modified>
</cp:coreProperties>
</file>