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30, 2023</w:t>
      </w:r>
    </w:p>
    <w:p>
      <w:pPr>
        <w:spacing w:after="0" w:line="12"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57" w:lineRule="exact"/>
        <w:rPr>
          <w:rFonts w:ascii="MS PGothic" w:cs="MS PGothic" w:eastAsia="MS PGothic" w:hAnsi="MS PGothic"/>
          <w:sz w:val="17"/>
          <w:szCs w:val="17"/>
          <w:color w:val="auto"/>
        </w:rPr>
      </w:pPr>
    </w:p>
    <w:p>
      <w:pPr>
        <w:ind w:left="4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ectPr>
          <w:pgSz w:w="11900" w:h="16838" w:orient="portrait"/>
          <w:cols w:equalWidth="0" w:num="1">
            <w:col w:w="11240"/>
          </w:cols>
          <w:pgMar w:left="320" w:top="980" w:right="339" w:bottom="1440" w:gutter="0" w:footer="0" w:header="0"/>
        </w:sectPr>
      </w:pPr>
    </w:p>
    <w:p>
      <w:pPr>
        <w:spacing w:after="0" w:line="12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46-4841717</w:t>
      </w:r>
    </w:p>
    <w:p>
      <w:pPr>
        <w:spacing w:after="0" w:line="57" w:lineRule="exact"/>
        <w:rPr>
          <w:sz w:val="24"/>
          <w:szCs w:val="24"/>
          <w:color w:val="auto"/>
        </w:rPr>
      </w:pPr>
    </w:p>
    <w:p>
      <w:pPr>
        <w:sectPr>
          <w:pgSz w:w="11900" w:h="16838" w:orient="portrait"/>
          <w:cols w:equalWidth="0" w:num="2">
            <w:col w:w="7320" w:space="720"/>
            <w:col w:w="3200"/>
          </w:cols>
          <w:pgMar w:left="320" w:top="980"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2">
            <w:col w:w="6620" w:space="720"/>
            <w:col w:w="3900"/>
          </w:cols>
          <w:pgMar w:left="320" w:top="98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2435 Commerce Ave,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Building 2200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Duluth, Georgia 30096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5" w:lineRule="exact"/>
        <w:rPr>
          <w:sz w:val="24"/>
          <w:szCs w:val="24"/>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(770) 822</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3600</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9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40" w:type="dxa"/>
            <w:vAlign w:val="bottom"/>
          </w:tcPr>
          <w:p>
            <w:pPr>
              <w:spacing w:after="0"/>
              <w:rPr>
                <w:sz w:val="13"/>
                <w:szCs w:val="13"/>
                <w:color w:val="auto"/>
              </w:rPr>
            </w:pPr>
          </w:p>
        </w:tc>
        <w:tc>
          <w:tcPr>
            <w:tcW w:w="264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26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40" w:type="dxa"/>
            <w:vAlign w:val="bottom"/>
          </w:tcPr>
          <w:p>
            <w:pPr>
              <w:spacing w:after="0"/>
              <w:rPr>
                <w:sz w:val="18"/>
                <w:szCs w:val="18"/>
                <w:color w:val="auto"/>
              </w:rPr>
            </w:pPr>
          </w:p>
        </w:tc>
        <w:tc>
          <w:tcPr>
            <w:tcW w:w="26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EYE</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w:t>
            </w:r>
          </w:p>
        </w:tc>
      </w:tr>
      <w:tr>
        <w:trPr>
          <w:trHeight w:val="284"/>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3" w:lineRule="exact"/>
        <w:rPr>
          <w:sz w:val="24"/>
          <w:szCs w:val="24"/>
          <w:color w:val="auto"/>
        </w:rPr>
      </w:pPr>
    </w:p>
    <w:p>
      <w:pPr>
        <w:ind w:right="354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14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16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of July 1, 2023, the last day of the registrant’s most recently completed second quarter, the aggregate market value of the registrant’s common stock held by non-affiliates of the registrant was approximately $1.7 billion (based upon the closing sale price of the common stock on last trading date of the quarter on the Nasdaq).</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February 16, 2024</w:t>
            </w:r>
          </w:p>
        </w:tc>
      </w:tr>
      <w:tr>
        <w:trPr>
          <w:trHeight w:val="24"/>
        </w:trPr>
        <w:tc>
          <w:tcPr>
            <w:tcW w:w="51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18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040" w:type="dxa"/>
            <w:vAlign w:val="bottom"/>
          </w:tcPr>
          <w:p>
            <w:pPr>
              <w:spacing w:after="0"/>
              <w:rPr>
                <w:sz w:val="15"/>
                <w:szCs w:val="15"/>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78,312,620</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2024 Annual Meeting of Stockholders are incorporated by reference into Part III of this Annual Report on Form 10-K. The Proxy Statement will be filed with the Securities and Exchange Commission within 120 days of the registrant’s fiscal year ended December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53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780" w:type="dxa"/>
            <w:vAlign w:val="bottom"/>
            <w:gridSpan w:val="9"/>
          </w:tcPr>
          <w:p>
            <w:pPr>
              <w:spacing w:after="0"/>
              <w:rPr>
                <w:sz w:val="19"/>
                <w:szCs w:val="19"/>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RISK FACTORS SUMMARY</w:t>
            </w:r>
          </w:p>
        </w:tc>
        <w:tc>
          <w:tcPr>
            <w:tcW w:w="3120" w:type="dxa"/>
            <w:vAlign w:val="bottom"/>
            <w:gridSpan w:val="11"/>
          </w:tcPr>
          <w:p>
            <w:pPr>
              <w:spacing w:after="0"/>
              <w:rPr>
                <w:sz w:val="20"/>
                <w:szCs w:val="20"/>
                <w:color w:val="auto"/>
              </w:rPr>
            </w:pPr>
          </w:p>
        </w:tc>
        <w:tc>
          <w:tcPr>
            <w:tcW w:w="4780" w:type="dxa"/>
            <w:vAlign w:val="bottom"/>
            <w:gridSpan w:val="9"/>
          </w:tcPr>
          <w:p>
            <w:pPr>
              <w:spacing w:after="0"/>
              <w:rPr>
                <w:sz w:val="20"/>
                <w:szCs w:val="20"/>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40" w:type="dxa"/>
            <w:vAlign w:val="bottom"/>
            <w:gridSpan w:val="4"/>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40" w:type="dxa"/>
            <w:vAlign w:val="bottom"/>
            <w:gridSpan w:val="22"/>
          </w:tcPr>
          <w:p>
            <w:pPr>
              <w:spacing w:after="0"/>
              <w:rPr>
                <w:sz w:val="21"/>
                <w:szCs w:val="21"/>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0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20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0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00" w:type="dxa"/>
            <w:vAlign w:val="bottom"/>
          </w:tcPr>
          <w:p>
            <w:pPr>
              <w:spacing w:after="0"/>
              <w:rPr>
                <w:sz w:val="20"/>
                <w:szCs w:val="20"/>
                <w:color w:val="auto"/>
              </w:rPr>
            </w:pP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40" w:type="dxa"/>
            <w:vAlign w:val="bottom"/>
            <w:gridSpan w:val="13"/>
          </w:tcPr>
          <w:p>
            <w:pPr>
              <w:spacing w:after="0"/>
              <w:rPr>
                <w:sz w:val="20"/>
                <w:szCs w:val="20"/>
                <w:color w:val="auto"/>
              </w:rPr>
            </w:pPr>
          </w:p>
        </w:tc>
        <w:tc>
          <w:tcPr>
            <w:tcW w:w="700" w:type="dxa"/>
            <w:vAlign w:val="bottom"/>
            <w:gridSpan w:val="3"/>
          </w:tcPr>
          <w:p>
            <w:pPr>
              <w:spacing w:after="0"/>
              <w:rPr>
                <w:sz w:val="20"/>
                <w:szCs w:val="20"/>
                <w:color w:val="auto"/>
              </w:rPr>
            </w:pPr>
          </w:p>
        </w:tc>
        <w:tc>
          <w:tcPr>
            <w:tcW w:w="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0000FF"/>
                <w:w w:val="99"/>
              </w:rPr>
              <w:t>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540" w:type="dxa"/>
            <w:vAlign w:val="bottom"/>
            <w:tcBorders>
              <w:top w:val="single" w:sz="8" w:color="0000FF"/>
            </w:tcBorders>
            <w:gridSpan w:val="4"/>
          </w:tcPr>
          <w:p>
            <w:pPr>
              <w:spacing w:after="0"/>
              <w:rPr>
                <w:sz w:val="19"/>
                <w:szCs w:val="19"/>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80" w:type="dxa"/>
            <w:vAlign w:val="bottom"/>
            <w:gridSpan w:val="18"/>
          </w:tcPr>
          <w:p>
            <w:pPr>
              <w:spacing w:after="0"/>
              <w:rPr>
                <w:sz w:val="19"/>
                <w:szCs w:val="19"/>
                <w:color w:val="auto"/>
              </w:rPr>
            </w:pP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40" w:type="dxa"/>
            <w:vAlign w:val="bottom"/>
            <w:gridSpan w:val="4"/>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360" w:type="dxa"/>
            <w:vAlign w:val="bottom"/>
            <w:gridSpan w:val="17"/>
          </w:tcPr>
          <w:p>
            <w:pPr>
              <w:spacing w:after="0"/>
              <w:rPr>
                <w:sz w:val="21"/>
                <w:szCs w:val="21"/>
                <w:color w:val="auto"/>
              </w:rPr>
            </w:pPr>
          </w:p>
        </w:tc>
        <w:tc>
          <w:tcPr>
            <w:tcW w:w="700" w:type="dxa"/>
            <w:vAlign w:val="bottom"/>
            <w:gridSpan w:val="3"/>
          </w:tcPr>
          <w:p>
            <w:pPr>
              <w:spacing w:after="0"/>
              <w:rPr>
                <w:sz w:val="21"/>
                <w:szCs w:val="21"/>
                <w:color w:val="auto"/>
              </w:rPr>
            </w:pPr>
          </w:p>
        </w:tc>
        <w:tc>
          <w:tcPr>
            <w:tcW w:w="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540" w:type="dxa"/>
            <w:vAlign w:val="bottom"/>
            <w:gridSpan w:val="4"/>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540" w:type="dxa"/>
            <w:vAlign w:val="bottom"/>
            <w:gridSpan w:val="4"/>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00" w:type="dxa"/>
            <w:vAlign w:val="bottom"/>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88"/>
              </w:rPr>
              <w:t>113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3"/>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80" w:type="dxa"/>
            <w:vAlign w:val="bottom"/>
            <w:tcBorders>
              <w:bottom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00" w:type="dxa"/>
            <w:vAlign w:val="bottom"/>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0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1"/>
                <w:szCs w:val="21"/>
                <w:color w:val="auto"/>
              </w:rPr>
            </w:pPr>
          </w:p>
        </w:tc>
        <w:tc>
          <w:tcPr>
            <w:tcW w:w="6920" w:type="dxa"/>
            <w:vAlign w:val="bottom"/>
            <w:gridSpan w:val="15"/>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115</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0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88"/>
              </w:rPr>
              <w:t>115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10.</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115</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60" w:type="dxa"/>
            <w:vAlign w:val="bottom"/>
            <w:gridSpan w:val="3"/>
          </w:tcPr>
          <w:p>
            <w:pPr>
              <w:spacing w:after="0"/>
              <w:rPr>
                <w:sz w:val="21"/>
                <w:szCs w:val="21"/>
                <w:color w:val="auto"/>
              </w:rPr>
            </w:pP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580" w:type="dxa"/>
            <w:vAlign w:val="bottom"/>
            <w:gridSpan w:val="8"/>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116</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12.</w:t>
            </w:r>
          </w:p>
        </w:tc>
        <w:tc>
          <w:tcPr>
            <w:tcW w:w="440" w:type="dxa"/>
            <w:vAlign w:val="bottom"/>
            <w:gridSpan w:val="2"/>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116</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440" w:type="dxa"/>
            <w:vAlign w:val="bottom"/>
            <w:gridSpan w:val="2"/>
          </w:tcPr>
          <w:p>
            <w:pPr>
              <w:spacing w:after="0"/>
              <w:rPr>
                <w:sz w:val="21"/>
                <w:szCs w:val="21"/>
                <w:color w:val="auto"/>
              </w:rPr>
            </w:pPr>
          </w:p>
        </w:tc>
        <w:tc>
          <w:tcPr>
            <w:tcW w:w="7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gridSpan w:val="2"/>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116</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14.</w:t>
            </w:r>
          </w:p>
        </w:tc>
        <w:tc>
          <w:tcPr>
            <w:tcW w:w="440" w:type="dxa"/>
            <w:vAlign w:val="bottom"/>
            <w:gridSpan w:val="2"/>
          </w:tcPr>
          <w:p>
            <w:pPr>
              <w:spacing w:after="0"/>
              <w:rPr>
                <w:sz w:val="21"/>
                <w:szCs w:val="21"/>
                <w:color w:val="auto"/>
              </w:rPr>
            </w:pPr>
          </w:p>
        </w:tc>
        <w:tc>
          <w:tcPr>
            <w:tcW w:w="5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80" w:type="dxa"/>
            <w:vAlign w:val="bottom"/>
            <w:gridSpan w:val="5"/>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116</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7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117</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15.</w:t>
            </w:r>
          </w:p>
        </w:tc>
        <w:tc>
          <w:tcPr>
            <w:tcW w:w="440" w:type="dxa"/>
            <w:vAlign w:val="bottom"/>
            <w:gridSpan w:val="2"/>
          </w:tcPr>
          <w:p>
            <w:pPr>
              <w:spacing w:after="0"/>
              <w:rPr>
                <w:sz w:val="21"/>
                <w:szCs w:val="21"/>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20" w:type="dxa"/>
            <w:vAlign w:val="bottom"/>
            <w:gridSpan w:val="11"/>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117</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16.</w:t>
            </w:r>
          </w:p>
        </w:tc>
        <w:tc>
          <w:tcPr>
            <w:tcW w:w="440" w:type="dxa"/>
            <w:vAlign w:val="bottom"/>
            <w:gridSpan w:val="2"/>
          </w:tcPr>
          <w:p>
            <w:pPr>
              <w:spacing w:after="0"/>
              <w:rPr>
                <w:sz w:val="21"/>
                <w:szCs w:val="21"/>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520" w:type="dxa"/>
            <w:vAlign w:val="bottom"/>
            <w:gridSpan w:val="11"/>
          </w:tcPr>
          <w:p>
            <w:pPr>
              <w:spacing w:after="0"/>
              <w:rPr>
                <w:sz w:val="21"/>
                <w:szCs w:val="21"/>
                <w:color w:val="auto"/>
              </w:rPr>
            </w:pPr>
          </w:p>
        </w:tc>
        <w:tc>
          <w:tcPr>
            <w:tcW w:w="1100" w:type="dxa"/>
            <w:vAlign w:val="bottom"/>
            <w:gridSpan w:val="9"/>
          </w:tcPr>
          <w:p>
            <w:pPr>
              <w:jc w:val="center"/>
              <w:ind w:left="410"/>
              <w:spacing w:after="0"/>
              <w:rPr>
                <w:sz w:val="20"/>
                <w:szCs w:val="20"/>
                <w:color w:val="auto"/>
              </w:rPr>
            </w:pPr>
            <w:r>
              <w:rPr>
                <w:rFonts w:ascii="Times New Roman" w:cs="Times New Roman" w:eastAsia="Times New Roman" w:hAnsi="Times New Roman"/>
                <w:sz w:val="18"/>
                <w:szCs w:val="18"/>
                <w:color w:val="0000FF"/>
              </w:rPr>
              <w:t>120</w:t>
            </w: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140" w:type="dxa"/>
            <w:vAlign w:val="bottom"/>
            <w:gridSpan w:val="16"/>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top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rPr>
              <w:t>121</w:t>
            </w:r>
          </w:p>
        </w:tc>
        <w:tc>
          <w:tcPr>
            <w:tcW w:w="160" w:type="dxa"/>
            <w:vAlign w:val="bottom"/>
          </w:tcPr>
          <w:p>
            <w:pPr>
              <w:spacing w:after="0"/>
              <w:rPr>
                <w:sz w:val="21"/>
                <w:szCs w:val="21"/>
                <w:color w:val="auto"/>
              </w:rPr>
            </w:pPr>
          </w:p>
        </w:tc>
      </w:tr>
      <w:tr>
        <w:trPr>
          <w:trHeight w:val="1377"/>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 set forth in the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entitled “Risk Factors” in this Form 10-K.</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67" w:lineRule="exact"/>
        <w:rPr>
          <w:sz w:val="20"/>
          <w:szCs w:val="20"/>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termination of our partnership with Walmart, including the transition period and other wind down activities, will have an impact on our business, revenues, profitability and cash flows, which impact could be material.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Market volatility, an overall decline in the health of the economy and other factors impacting consumer spending, including inflation, uncertainty in financial markets, recessionary conditions, escalated interest rates,</w:t>
      </w:r>
      <w:r>
        <w:rPr>
          <w:rFonts w:ascii="Times New Roman" w:cs="Times New Roman" w:eastAsia="Times New Roman" w:hAnsi="Times New Roman"/>
          <w:sz w:val="18"/>
          <w:szCs w:val="18"/>
          <w:color w:val="0000FF"/>
        </w:rPr>
        <w:t xml:space="preserve"> the timing and issuance of tax refunds, governmental instability, </w:t>
      </w:r>
      <w:r>
        <w:rPr>
          <w:rFonts w:ascii="Times New Roman" w:cs="Times New Roman" w:eastAsia="Times New Roman" w:hAnsi="Times New Roman"/>
          <w:sz w:val="18"/>
          <w:szCs w:val="18"/>
          <w:u w:val="single" w:color="auto"/>
          <w:color w:val="0000FF"/>
        </w:rPr>
        <w:t>war and natural disasters, may affect consumer purchases, which could reduce demand for our products and materially harm our sales, profitability and financial condition.</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Failure to recruit and retain vision care professionals for in-store roles or to provide remote care offerings could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optical retail industry is highly competitive, and if we do not compete successfully, our business may be adversely impacted.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we fail to open and operate new stores in a timely and cost-effective manner or fail to successfully enter new markets, our financial performance could be materially and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the performance of our Host and Legacy brands declines or we are unable to maintain or extend our operating relationships with our Host partners, our business, profitability and cash flows may be adversely affected and we may be required to incur impairment charges.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a low-cost provider and our business model relies on the low cost of inputs. Factors such as wage rate increases, inflation, cost increases, increases in the price of raw materials and energy prices could have a material adverse effect on our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require significant capital to fund our expanding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growth strategy could strain our existing resources and cause the performance of our existing stores to suffer.</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COVID-19 pandemic and related impacts, have had, and may in the future continue to have, a material adverse impact on our business.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risks associated with leasing substantial amounts of space, including future increases in occupancy costs.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we fail to retain our existing senior management team or attract qualified new personnel, such failure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profitability and cash flows may be negatively affected if we are not successful in managing our inventory balances and inventory shrinkage.</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operating results and inventory levels fluctuate on a seasonal basis.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e-commerce and omni-channel business faces distinct risks, and our failure to successfully manage those risks could have a negative impact on our profitability.</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depend on our distribution centers and optical laboratories.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incur losses arising from our investments in technological innovators in the optical retail industry, including artificial intelligence, which would negatively affect our financial results.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Environmental, social and governance (“ESG”) issues, including those related to climate change,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Changing climate and weather patterns leading to severe weather and disasters may cause significant business interruptions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-5459730</wp:posOffset>
            </wp:positionV>
            <wp:extent cx="3001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10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67" w:lineRule="exact"/>
        <w:rPr>
          <w:sz w:val="20"/>
          <w:szCs w:val="20"/>
          <w:color w:val="auto"/>
        </w:rPr>
      </w:pPr>
    </w:p>
    <w:p>
      <w:pPr>
        <w:ind w:left="660" w:right="20" w:hanging="328"/>
        <w:spacing w:after="0" w:line="281"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future operational success depends on our ability to develop, maintain and extend relationships with managed vision care companies, vision insurance providers and other third-party payors.</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face risks associated with vendors from whom our products are sourced and are dependent on a limited number of suppliers.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13" w:lineRule="exact"/>
        <w:rPr>
          <w:rFonts w:ascii="Times New Roman" w:cs="Times New Roman" w:eastAsia="Times New Roman" w:hAnsi="Times New Roman"/>
          <w:sz w:val="18"/>
          <w:szCs w:val="18"/>
          <w:color w:val="auto"/>
        </w:rPr>
      </w:pPr>
    </w:p>
    <w:p>
      <w:pPr>
        <w:ind w:left="660" w:hanging="328"/>
        <w:spacing w:after="0" w:line="279"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rely on third-party coverage and reimbursement, including government programs, for an increasing portion of our revenues, the future reduction of which could adversely affect our results of operations.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67" w:lineRule="exact"/>
        <w:rPr>
          <w:sz w:val="20"/>
          <w:szCs w:val="20"/>
          <w:color w:val="auto"/>
        </w:rPr>
      </w:pPr>
    </w:p>
    <w:p>
      <w:pPr>
        <w:ind w:left="660" w:hanging="328"/>
        <w:spacing w:after="0" w:line="281"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extensive state, local and federal vision care and healthcare laws and regulations and failure to adhere to such laws and regulations would adversely affect our business.</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managed vision care laws and regulations.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w:t>
      </w:r>
    </w:p>
    <w:p>
      <w:pPr>
        <w:spacing w:after="0" w:line="1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could be adversely affected by product liability, product recall or personal injury issues.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Failure to comply with laws, regulations and enforcement activities or changes in statutory, regulatory, accounting and other legal requirements could potentially impact our operating and financial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Adverse judgments or settlements resulting from legal proceedings relating to our business operations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not be able to adequately protect our intellectual property, which could harm the value of our brand and adversely affect our business.</w:t>
      </w:r>
    </w:p>
    <w:p>
      <w:pPr>
        <w:spacing w:after="0" w:line="59"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Indebtedness</w:t>
      </w:r>
    </w:p>
    <w:p>
      <w:pPr>
        <w:spacing w:after="0" w:line="67"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have a significant amount of indebtedness which could adversely affect our business and financial position, including by limiting our business flexibility and preventing us from meeting our debt obligations.</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 change in interest rates may adversely affect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credit agreement contains restrictions that limit our flexibility in operating our business.</w:t>
      </w:r>
    </w:p>
    <w:p>
      <w:pPr>
        <w:spacing w:after="0" w:line="63" w:lineRule="exact"/>
        <w:rPr>
          <w:rFonts w:ascii="Times New Roman" w:cs="Times New Roman" w:eastAsia="Times New Roman" w:hAnsi="Times New Roman"/>
          <w:sz w:val="18"/>
          <w:szCs w:val="18"/>
          <w:color w:val="auto"/>
        </w:rPr>
      </w:pPr>
    </w:p>
    <w:p>
      <w:pPr>
        <w:ind w:left="660" w:right="20" w:hanging="328"/>
        <w:spacing w:after="0" w:line="279"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Conversion of the 2025 Notes could dilute the ownership interest of existing stockholders or may otherwise depress the price of our common stock.</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Ownership of Common Stock</w:t>
      </w:r>
    </w:p>
    <w:p>
      <w:pPr>
        <w:spacing w:after="0" w:line="67" w:lineRule="exact"/>
        <w:rPr>
          <w:sz w:val="20"/>
          <w:szCs w:val="20"/>
          <w:color w:val="auto"/>
        </w:rPr>
      </w:pPr>
    </w:p>
    <w:p>
      <w:pPr>
        <w:ind w:left="900" w:hanging="56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stock price may be volatile or may decline regardless of our operating performance.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Because we have no current plans to pay cash dividends on our common stock, investors may not receive any return on investment unless they sell their common stock for a price greater than that which they paid for it.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a holding company with no operations of our own and, as such, we depend on our subsidiaries for cash to fund all of our operations and expenses, including future dividend payments, if any.</w:t>
      </w:r>
    </w:p>
    <w:p>
      <w:pPr>
        <w:spacing w:after="0" w:line="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Board of Directors is authorized to issue and designate shares of our preferred stock in additional series without stockholder approval.</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securities or industry analysts do not publish research or reports about our business or if they downgrade our stock or our sector, our stock price and trading volume could decline.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0563C1"/>
        </w:rPr>
        <w:t>www.nationalvision.com</w:t>
      </w:r>
      <w:r>
        <w:rPr>
          <w:rFonts w:ascii="Times New Roman" w:cs="Times New Roman" w:eastAsia="Times New Roman" w:hAnsi="Times New Roman"/>
          <w:sz w:val="18"/>
          <w:szCs w:val="18"/>
          <w:color w:val="auto"/>
        </w:rPr>
        <w:t>. Investors can obtain copies free of charge of our Annual Reports on Form 10-K, Quarterly Reports on Form 10-Q and Current Reports on Form 8-K, and amendments to these reports, as soon as reasonably practicable after we electronically file such material with, or furnish such material to, the SEC. You may access these documents on the “Investors” section of our website. The SEC maintains a website that contains reports, proxy and information statements, and other information regarding issuers that file electronically with the SEC at the following address: http://www.sec.gov.</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our Corporate Governance Guidelines, our Code of Conduct and the charters of our Audit Committee, our Compensation Committee and our Nominating and Corporate Governance Committee. The information posted to our website is not incorporated into this Form 10-K or any other report we file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optical retailers in the United States (“U.S.”)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We reach our customers through a diverse portfolio of 1,413 retail stores across five brands and 13 consumer websites as of December 30, 2023, our 2023 fiscal year end.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Through our corporate predecessors, we commenced operations in 1990. In 2005, private equity funds managed by Berkshire Partners LLC (“Berkshire”) acquired us as well as the entity that owned America’s Best Contacts and Eyeglasses (“America’s Best”) stores, merging our operations. We acquired the Eyeglass World store chain in 2009 and, after a multi-year partnership, we acquired Arlington Contact Lens Service, Inc. (“AC Lens”) in 2011 to bolster our e-commerce platform.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2014, we were acquired (the “KKR Acquisition”) by affiliates of KKR &amp; Co. Inc. (“KKR”). In October 2017, we completed the initial public offering of our common stock (the “IPO”). By August 2019, each of KKR and Berkshire had sold their remaining holdings of our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history of profitable growth is founded on a commitment to providing exceptional value and convenience to customers.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60960</wp:posOffset>
            </wp:positionV>
            <wp:extent cx="5349240" cy="2366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 Represents stores in operations across all five company retail brands at the end of each fiscal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fundamentals of our model are described below:</w:t>
      </w:r>
    </w:p>
    <w:p>
      <w:pPr>
        <w:spacing w:after="0" w:line="113" w:lineRule="exact"/>
        <w:rPr>
          <w:sz w:val="20"/>
          <w:szCs w:val="20"/>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Differentiated and Defensible Value Proposition</w:t>
      </w:r>
      <w:r>
        <w:rPr>
          <w:rFonts w:ascii="Times New Roman" w:cs="Times New Roman" w:eastAsia="Times New Roman" w:hAnsi="Times New Roman"/>
          <w:sz w:val="18"/>
          <w:szCs w:val="18"/>
          <w:color w:val="auto"/>
        </w:rPr>
        <w:t>. We believe our success is driven by our value-based offerings, convenient locations,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assortment of branded and private label merchandise and the high levels of in-store service provided by our well-trained and passionate store associates and vision care professionals. We believe our bundled offers, including two pairs of eyeglasses plus an eye exam for $79.95 at America’s Best and two-pairs of eyeglasses for $89 at Eyeglass World, are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7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Recurring Revenue Characteristics</w:t>
      </w:r>
      <w:r>
        <w:rPr>
          <w:rFonts w:ascii="Times New Roman" w:cs="Times New Roman" w:eastAsia="Times New Roman" w:hAnsi="Times New Roman"/>
          <w:sz w:val="18"/>
          <w:szCs w:val="18"/>
          <w:color w:val="auto"/>
        </w:rPr>
        <w:t>. Eye care purchases are predominantly a medical necessity and are therefore considered non-discretionary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nature. While there are ranges of customer behaviors based on demographics and other factors, it is estimated that optical consumers typically replace their eyeglasses every two to three years and their contact lenses every six to 12 months, reflecting the predictability of these recurring purchase behaviors. This is further demonstrated by the customer mix of our mature stores, with existing customers representing 66% of total customers in 2023 and new customers representing the remaining 34% of total customers in 2023.</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Attractive Store Economics</w:t>
      </w:r>
      <w:r>
        <w:rPr>
          <w:rFonts w:ascii="Times New Roman" w:cs="Times New Roman" w:eastAsia="Times New Roman" w:hAnsi="Times New Roman"/>
          <w:sz w:val="18"/>
          <w:szCs w:val="18"/>
          <w:color w:val="auto"/>
        </w:rPr>
        <w:t>. Since 2006, we have opened 1,000 stores in the aggregate, including 970 stores under our America’s Best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Eyeglass World retail brands. Our store economics are based on low capital investment, steady ramping of sales in new locations, low operating costs and consistent sales volume and earnings growth in mature stores, which result in attractive returns on capital. By consistently replicating the key characteristics of our store model, we execute a formula-based approach to opening new stores and managing existing stores, which has delivered predictable store performance across vintages, diverse geographies, and new and existing markets. Our new store model targets a store size between 3,500 to 4,500 square feet and an average new store cash investment of approximately $0.4 million to $0.6 million, in furniture, fixtures, leaseholds and equipment for new stores, net of tenant incentives. Our new store model targets sales in the fifth year of operation in the range of $1.5 million to $1.7 million, with at least 55% of year five sales targeted in the first full year of operation. Our new store model targets vary for America’s Best and Eyeglass World stores to reflect differences by brand, markets and geography. The majority of our owned stores have achieved profitability during the second year of operation and have paid back invested capital in three to five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Store Base. </w:t>
      </w:r>
      <w:r>
        <w:rPr>
          <w:rFonts w:ascii="Times New Roman" w:cs="Times New Roman" w:eastAsia="Times New Roman" w:hAnsi="Times New Roman"/>
          <w:sz w:val="18"/>
          <w:szCs w:val="18"/>
          <w:color w:val="auto"/>
        </w:rPr>
        <w:t>We believe that we continue to have significant expansion opportunities in the U.S. We have adopted a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have an established partnership with a third-party real estate data analytics firm to evaluate potential new America’s Best and Eyeglass World stores. The analysis suggests that we can grow America’s Best to at least 1,300 stores and Eyeglass World to at least 850 stores, inclusive of those already open. We believe that these two brands can accordingly grow from 1,105 stores as of December 30, 2023 to a total of at least 2,150 stores in the long-term.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provides an overview of our portfolio of brands, excluding the Legacy segment stores and websites that we operated as of December 30, 2023 but no longer operate or will cease to operate in 2024 (see “Our Partner Brands” below for more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8580" cy="1979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979930"/>
                    </a:xfrm>
                    <a:prstGeom prst="rect">
                      <a:avLst/>
                    </a:prstGeom>
                    <a:noFill/>
                  </pic:spPr>
                </pic:pic>
              </a:graphicData>
            </a:graphic>
          </wp:anchor>
        </w:drawing>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2720" w:type="dxa"/>
            <w:vAlign w:val="bottom"/>
            <w:tcBorders>
              <w:top w:val="single" w:sz="8" w:color="ACACAC"/>
            </w:tcBorders>
            <w:shd w:val="clear" w:color="auto" w:fill="CCEEFF"/>
          </w:tcPr>
          <w:p>
            <w:pPr>
              <w:spacing w:after="0"/>
              <w:rPr>
                <w:sz w:val="22"/>
                <w:szCs w:val="22"/>
                <w:color w:val="auto"/>
              </w:rPr>
            </w:pPr>
          </w:p>
        </w:tc>
        <w:tc>
          <w:tcPr>
            <w:tcW w:w="3600" w:type="dxa"/>
            <w:vAlign w:val="bottom"/>
            <w:tcBorders>
              <w:top w:val="single" w:sz="8" w:color="ACACAC"/>
            </w:tcBorders>
            <w:shd w:val="clear" w:color="auto" w:fill="CCEEFF"/>
          </w:tcPr>
          <w:p>
            <w:pPr>
              <w:ind w:left="1980"/>
              <w:spacing w:after="0"/>
              <w:rPr>
                <w:sz w:val="20"/>
                <w:szCs w:val="20"/>
                <w:color w:val="auto"/>
              </w:rPr>
            </w:pPr>
            <w:r>
              <w:rPr>
                <w:rFonts w:ascii="Arial" w:cs="Arial" w:eastAsia="Arial" w:hAnsi="Arial"/>
                <w:sz w:val="15"/>
                <w:szCs w:val="15"/>
                <w:b w:val="1"/>
                <w:bCs w:val="1"/>
                <w:color w:val="auto"/>
              </w:rPr>
              <w:t>Owned &amp; Host Brands</w:t>
            </w:r>
          </w:p>
        </w:tc>
        <w:tc>
          <w:tcPr>
            <w:tcW w:w="2060" w:type="dxa"/>
            <w:vAlign w:val="bottom"/>
            <w:tcBorders>
              <w:top w:val="single" w:sz="8" w:color="ACACAC"/>
            </w:tcBorders>
            <w:shd w:val="clear" w:color="auto" w:fill="CCEEFF"/>
          </w:tcPr>
          <w:p>
            <w:pPr>
              <w:spacing w:after="0"/>
              <w:rPr>
                <w:sz w:val="22"/>
                <w:szCs w:val="22"/>
                <w:color w:val="auto"/>
              </w:rPr>
            </w:pPr>
          </w:p>
        </w:tc>
        <w:tc>
          <w:tcPr>
            <w:tcW w:w="2620" w:type="dxa"/>
            <w:vAlign w:val="bottom"/>
            <w:tcBorders>
              <w:top w:val="single" w:sz="8" w:color="ACACAC"/>
            </w:tcBorders>
            <w:shd w:val="clear" w:color="auto" w:fill="CCEEFF"/>
          </w:tcPr>
          <w:p>
            <w:pPr>
              <w:spacing w:after="0"/>
              <w:rPr>
                <w:sz w:val="22"/>
                <w:szCs w:val="22"/>
                <w:color w:val="auto"/>
              </w:rPr>
            </w:pPr>
          </w:p>
        </w:tc>
        <w:tc>
          <w:tcPr>
            <w:tcW w:w="120" w:type="dxa"/>
            <w:vAlign w:val="bottom"/>
            <w:tcBorders>
              <w:top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2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jc w:val="center"/>
              <w:ind w:left="255"/>
              <w:spacing w:after="0"/>
              <w:rPr>
                <w:sz w:val="20"/>
                <w:szCs w:val="20"/>
                <w:color w:val="auto"/>
              </w:rPr>
            </w:pPr>
            <w:r>
              <w:rPr>
                <w:rFonts w:ascii="Arial" w:cs="Arial" w:eastAsia="Arial" w:hAnsi="Arial"/>
                <w:sz w:val="15"/>
                <w:szCs w:val="15"/>
                <w:b w:val="1"/>
                <w:bCs w:val="1"/>
                <w:color w:val="auto"/>
              </w:rPr>
              <w:t>Lowest Price</w:t>
            </w:r>
          </w:p>
        </w:tc>
        <w:tc>
          <w:tcPr>
            <w:tcW w:w="3600" w:type="dxa"/>
            <w:vAlign w:val="bottom"/>
            <w:shd w:val="clear" w:color="auto" w:fill="CCEEFF"/>
          </w:tcPr>
          <w:p>
            <w:pPr>
              <w:jc w:val="center"/>
              <w:ind w:right="173"/>
              <w:spacing w:after="0"/>
              <w:rPr>
                <w:sz w:val="20"/>
                <w:szCs w:val="20"/>
                <w:color w:val="auto"/>
              </w:rPr>
            </w:pPr>
            <w:r>
              <w:rPr>
                <w:rFonts w:ascii="Arial" w:cs="Arial" w:eastAsia="Arial" w:hAnsi="Arial"/>
                <w:sz w:val="15"/>
                <w:szCs w:val="15"/>
                <w:b w:val="1"/>
                <w:bCs w:val="1"/>
                <w:color w:val="auto"/>
              </w:rPr>
              <w:t>Eyewear Value Superstore</w:t>
            </w:r>
          </w:p>
        </w:tc>
        <w:tc>
          <w:tcPr>
            <w:tcW w:w="2060" w:type="dxa"/>
            <w:vAlign w:val="bottom"/>
            <w:shd w:val="clear" w:color="auto" w:fill="CCEEFF"/>
          </w:tcPr>
          <w:p>
            <w:pPr>
              <w:jc w:val="center"/>
              <w:ind w:right="495"/>
              <w:spacing w:after="0"/>
              <w:rPr>
                <w:sz w:val="20"/>
                <w:szCs w:val="20"/>
                <w:color w:val="auto"/>
              </w:rPr>
            </w:pPr>
            <w:r>
              <w:rPr>
                <w:rFonts w:ascii="Arial" w:cs="Arial" w:eastAsia="Arial" w:hAnsi="Arial"/>
                <w:sz w:val="15"/>
                <w:szCs w:val="15"/>
                <w:b w:val="1"/>
                <w:bCs w:val="1"/>
                <w:color w:val="auto"/>
              </w:rPr>
              <w:t>Shop-Within-A-Shop</w:t>
            </w:r>
          </w:p>
        </w:tc>
        <w:tc>
          <w:tcPr>
            <w:tcW w:w="26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Commissary Store</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20" w:type="dxa"/>
            <w:vAlign w:val="bottom"/>
          </w:tcPr>
          <w:p>
            <w:pPr>
              <w:jc w:val="center"/>
              <w:ind w:left="255"/>
              <w:spacing w:after="0"/>
              <w:rPr>
                <w:sz w:val="20"/>
                <w:szCs w:val="20"/>
                <w:color w:val="auto"/>
              </w:rPr>
            </w:pPr>
            <w:r>
              <w:rPr>
                <w:rFonts w:ascii="Arial" w:cs="Arial" w:eastAsia="Arial" w:hAnsi="Arial"/>
                <w:sz w:val="13"/>
                <w:szCs w:val="13"/>
                <w:b w:val="1"/>
                <w:bCs w:val="1"/>
                <w:color w:val="auto"/>
                <w:w w:val="95"/>
              </w:rPr>
              <w:t>Employed ODs</w:t>
            </w:r>
          </w:p>
        </w:tc>
        <w:tc>
          <w:tcPr>
            <w:tcW w:w="3600" w:type="dxa"/>
            <w:vAlign w:val="bottom"/>
          </w:tcPr>
          <w:p>
            <w:pPr>
              <w:jc w:val="center"/>
              <w:ind w:right="173"/>
              <w:spacing w:after="0"/>
              <w:rPr>
                <w:sz w:val="20"/>
                <w:szCs w:val="20"/>
                <w:color w:val="auto"/>
              </w:rPr>
            </w:pPr>
            <w:r>
              <w:rPr>
                <w:rFonts w:ascii="Arial" w:cs="Arial" w:eastAsia="Arial" w:hAnsi="Arial"/>
                <w:sz w:val="13"/>
                <w:szCs w:val="13"/>
                <w:b w:val="1"/>
                <w:bCs w:val="1"/>
                <w:color w:val="auto"/>
                <w:w w:val="97"/>
              </w:rPr>
              <w:t>Mostly Independent ODs</w:t>
            </w:r>
          </w:p>
        </w:tc>
        <w:tc>
          <w:tcPr>
            <w:tcW w:w="2060" w:type="dxa"/>
            <w:vAlign w:val="bottom"/>
          </w:tcPr>
          <w:p>
            <w:pPr>
              <w:jc w:val="center"/>
              <w:ind w:right="515"/>
              <w:spacing w:after="0"/>
              <w:rPr>
                <w:sz w:val="20"/>
                <w:szCs w:val="20"/>
                <w:color w:val="auto"/>
              </w:rPr>
            </w:pPr>
            <w:r>
              <w:rPr>
                <w:rFonts w:ascii="Arial" w:cs="Arial" w:eastAsia="Arial" w:hAnsi="Arial"/>
                <w:sz w:val="13"/>
                <w:szCs w:val="13"/>
                <w:b w:val="1"/>
                <w:bCs w:val="1"/>
                <w:color w:val="auto"/>
                <w:w w:val="97"/>
              </w:rPr>
              <w:t>Mostly Independent ODs</w:t>
            </w: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5"/>
              </w:rPr>
              <w:t>Mostly Independent ODs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jc w:val="center"/>
              <w:ind w:left="255"/>
              <w:spacing w:after="0"/>
              <w:rPr>
                <w:sz w:val="20"/>
                <w:szCs w:val="20"/>
                <w:color w:val="auto"/>
              </w:rPr>
            </w:pPr>
            <w:r>
              <w:rPr>
                <w:rFonts w:ascii="Arial" w:cs="Arial" w:eastAsia="Arial" w:hAnsi="Arial"/>
                <w:sz w:val="13"/>
                <w:szCs w:val="13"/>
                <w:color w:val="auto"/>
                <w:w w:val="95"/>
              </w:rPr>
              <w:t>957 Stores</w:t>
            </w:r>
          </w:p>
        </w:tc>
        <w:tc>
          <w:tcPr>
            <w:tcW w:w="3600" w:type="dxa"/>
            <w:vAlign w:val="bottom"/>
          </w:tcPr>
          <w:p>
            <w:pPr>
              <w:jc w:val="center"/>
              <w:ind w:right="173"/>
              <w:spacing w:after="0"/>
              <w:rPr>
                <w:sz w:val="20"/>
                <w:szCs w:val="20"/>
                <w:color w:val="auto"/>
              </w:rPr>
            </w:pPr>
            <w:r>
              <w:rPr>
                <w:rFonts w:ascii="Arial" w:cs="Arial" w:eastAsia="Arial" w:hAnsi="Arial"/>
                <w:sz w:val="13"/>
                <w:szCs w:val="13"/>
                <w:color w:val="auto"/>
                <w:w w:val="95"/>
              </w:rPr>
              <w:t>148 Stores</w:t>
            </w:r>
          </w:p>
        </w:tc>
        <w:tc>
          <w:tcPr>
            <w:tcW w:w="2060" w:type="dxa"/>
            <w:vAlign w:val="bottom"/>
          </w:tcPr>
          <w:p>
            <w:pPr>
              <w:jc w:val="center"/>
              <w:ind w:right="495"/>
              <w:spacing w:after="0"/>
              <w:rPr>
                <w:sz w:val="20"/>
                <w:szCs w:val="20"/>
                <w:color w:val="auto"/>
              </w:rPr>
            </w:pPr>
            <w:r>
              <w:rPr>
                <w:rFonts w:ascii="Arial" w:cs="Arial" w:eastAsia="Arial" w:hAnsi="Arial"/>
                <w:sz w:val="13"/>
                <w:szCs w:val="13"/>
                <w:color w:val="auto"/>
                <w:w w:val="96"/>
              </w:rPr>
              <w:t>29 Stores</w:t>
            </w:r>
          </w:p>
        </w:tc>
        <w:tc>
          <w:tcPr>
            <w:tcW w:w="27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54 Stores</w:t>
            </w:r>
          </w:p>
        </w:tc>
        <w:tc>
          <w:tcPr>
            <w:tcW w:w="0" w:type="dxa"/>
            <w:vAlign w:val="bottom"/>
          </w:tcPr>
          <w:p>
            <w:pPr>
              <w:spacing w:after="0"/>
              <w:rPr>
                <w:sz w:val="1"/>
                <w:szCs w:val="1"/>
                <w:color w:val="auto"/>
              </w:rPr>
            </w:pPr>
          </w:p>
        </w:tc>
      </w:tr>
      <w:tr>
        <w:trPr>
          <w:trHeight w:val="175"/>
        </w:trPr>
        <w:tc>
          <w:tcPr>
            <w:tcW w:w="2720" w:type="dxa"/>
            <w:vAlign w:val="bottom"/>
          </w:tcPr>
          <w:p>
            <w:pPr>
              <w:jc w:val="center"/>
              <w:ind w:left="255"/>
              <w:spacing w:after="0"/>
              <w:rPr>
                <w:sz w:val="20"/>
                <w:szCs w:val="20"/>
                <w:color w:val="auto"/>
              </w:rPr>
            </w:pPr>
            <w:r>
              <w:rPr>
                <w:rFonts w:ascii="Arial" w:cs="Arial" w:eastAsia="Arial" w:hAnsi="Arial"/>
                <w:sz w:val="13"/>
                <w:szCs w:val="13"/>
                <w:color w:val="auto"/>
                <w:w w:val="95"/>
              </w:rPr>
              <w:t>~3,500 sq. ft.</w:t>
            </w:r>
          </w:p>
        </w:tc>
        <w:tc>
          <w:tcPr>
            <w:tcW w:w="3600" w:type="dxa"/>
            <w:vAlign w:val="bottom"/>
          </w:tcPr>
          <w:p>
            <w:pPr>
              <w:jc w:val="center"/>
              <w:ind w:right="173"/>
              <w:spacing w:after="0"/>
              <w:rPr>
                <w:sz w:val="20"/>
                <w:szCs w:val="20"/>
                <w:color w:val="auto"/>
              </w:rPr>
            </w:pPr>
            <w:r>
              <w:rPr>
                <w:rFonts w:ascii="Arial" w:cs="Arial" w:eastAsia="Arial" w:hAnsi="Arial"/>
                <w:sz w:val="13"/>
                <w:szCs w:val="13"/>
                <w:color w:val="auto"/>
                <w:w w:val="95"/>
              </w:rPr>
              <w:t>~4,500 sq. ft.</w:t>
            </w:r>
          </w:p>
        </w:tc>
        <w:tc>
          <w:tcPr>
            <w:tcW w:w="2060" w:type="dxa"/>
            <w:vAlign w:val="bottom"/>
          </w:tcPr>
          <w:p>
            <w:pPr>
              <w:jc w:val="center"/>
              <w:ind w:right="495"/>
              <w:spacing w:after="0"/>
              <w:rPr>
                <w:sz w:val="20"/>
                <w:szCs w:val="20"/>
                <w:color w:val="auto"/>
              </w:rPr>
            </w:pPr>
            <w:r>
              <w:rPr>
                <w:rFonts w:ascii="Arial" w:cs="Arial" w:eastAsia="Arial" w:hAnsi="Arial"/>
                <w:sz w:val="13"/>
                <w:szCs w:val="13"/>
                <w:color w:val="auto"/>
                <w:w w:val="95"/>
              </w:rPr>
              <w:t>~800 sq. ft.</w:t>
            </w:r>
          </w:p>
        </w:tc>
        <w:tc>
          <w:tcPr>
            <w:tcW w:w="274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~1,000 sq. ft.</w:t>
            </w:r>
          </w:p>
        </w:tc>
        <w:tc>
          <w:tcPr>
            <w:tcW w:w="0" w:type="dxa"/>
            <w:vAlign w:val="bottom"/>
          </w:tcPr>
          <w:p>
            <w:pPr>
              <w:spacing w:after="0"/>
              <w:rPr>
                <w:sz w:val="1"/>
                <w:szCs w:val="1"/>
                <w:color w:val="auto"/>
              </w:rPr>
            </w:pPr>
          </w:p>
        </w:tc>
      </w:tr>
      <w:tr>
        <w:trPr>
          <w:trHeight w:val="176"/>
        </w:trPr>
        <w:tc>
          <w:tcPr>
            <w:tcW w:w="2720" w:type="dxa"/>
            <w:vAlign w:val="bottom"/>
          </w:tcPr>
          <w:p>
            <w:pPr>
              <w:jc w:val="center"/>
              <w:ind w:left="255"/>
              <w:spacing w:after="0"/>
              <w:rPr>
                <w:sz w:val="20"/>
                <w:szCs w:val="20"/>
                <w:color w:val="auto"/>
              </w:rPr>
            </w:pPr>
            <w:r>
              <w:rPr>
                <w:rFonts w:ascii="Arial" w:cs="Arial" w:eastAsia="Arial" w:hAnsi="Arial"/>
                <w:sz w:val="13"/>
                <w:szCs w:val="13"/>
                <w:color w:val="auto"/>
                <w:w w:val="98"/>
              </w:rPr>
              <w:t>~1,400 SKUs</w:t>
            </w:r>
          </w:p>
        </w:tc>
        <w:tc>
          <w:tcPr>
            <w:tcW w:w="3600" w:type="dxa"/>
            <w:vAlign w:val="bottom"/>
          </w:tcPr>
          <w:p>
            <w:pPr>
              <w:jc w:val="center"/>
              <w:ind w:right="193"/>
              <w:spacing w:after="0"/>
              <w:rPr>
                <w:sz w:val="20"/>
                <w:szCs w:val="20"/>
                <w:color w:val="auto"/>
              </w:rPr>
            </w:pPr>
            <w:r>
              <w:rPr>
                <w:rFonts w:ascii="Arial" w:cs="Arial" w:eastAsia="Arial" w:hAnsi="Arial"/>
                <w:sz w:val="13"/>
                <w:szCs w:val="13"/>
                <w:color w:val="auto"/>
                <w:w w:val="96"/>
              </w:rPr>
              <w:t>~1,400 SKUs</w:t>
            </w:r>
          </w:p>
        </w:tc>
        <w:tc>
          <w:tcPr>
            <w:tcW w:w="2060" w:type="dxa"/>
            <w:vAlign w:val="bottom"/>
          </w:tcPr>
          <w:p>
            <w:pPr>
              <w:jc w:val="center"/>
              <w:ind w:right="515"/>
              <w:spacing w:after="0"/>
              <w:rPr>
                <w:sz w:val="20"/>
                <w:szCs w:val="20"/>
                <w:color w:val="auto"/>
              </w:rPr>
            </w:pPr>
            <w:r>
              <w:rPr>
                <w:rFonts w:ascii="Arial" w:cs="Arial" w:eastAsia="Arial" w:hAnsi="Arial"/>
                <w:sz w:val="13"/>
                <w:szCs w:val="13"/>
                <w:color w:val="auto"/>
                <w:w w:val="96"/>
              </w:rPr>
              <w:t>~600 SKUs</w:t>
            </w: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~800 SKUs</w:t>
            </w:r>
          </w:p>
        </w:tc>
        <w:tc>
          <w:tcPr>
            <w:tcW w:w="0" w:type="dxa"/>
            <w:vAlign w:val="bottom"/>
          </w:tcPr>
          <w:p>
            <w:pPr>
              <w:spacing w:after="0"/>
              <w:rPr>
                <w:sz w:val="1"/>
                <w:szCs w:val="1"/>
                <w:color w:val="auto"/>
              </w:rPr>
            </w:pPr>
          </w:p>
        </w:tc>
      </w:tr>
      <w:tr>
        <w:trPr>
          <w:trHeight w:val="183"/>
        </w:trPr>
        <w:tc>
          <w:tcPr>
            <w:tcW w:w="2720" w:type="dxa"/>
            <w:vAlign w:val="bottom"/>
          </w:tcPr>
          <w:p>
            <w:pPr>
              <w:jc w:val="center"/>
              <w:ind w:left="255"/>
              <w:spacing w:after="0"/>
              <w:rPr>
                <w:sz w:val="20"/>
                <w:szCs w:val="20"/>
                <w:color w:val="auto"/>
              </w:rPr>
            </w:pPr>
            <w:r>
              <w:rPr>
                <w:rFonts w:ascii="Arial" w:cs="Arial" w:eastAsia="Arial" w:hAnsi="Arial"/>
                <w:sz w:val="13"/>
                <w:szCs w:val="13"/>
                <w:color w:val="auto"/>
                <w:w w:val="96"/>
              </w:rPr>
              <w:t>Centralized Lab</w:t>
            </w:r>
          </w:p>
        </w:tc>
        <w:tc>
          <w:tcPr>
            <w:tcW w:w="3600" w:type="dxa"/>
            <w:vAlign w:val="bottom"/>
          </w:tcPr>
          <w:p>
            <w:pPr>
              <w:jc w:val="center"/>
              <w:ind w:right="173"/>
              <w:spacing w:after="0"/>
              <w:rPr>
                <w:sz w:val="20"/>
                <w:szCs w:val="20"/>
                <w:color w:val="auto"/>
              </w:rPr>
            </w:pPr>
            <w:r>
              <w:rPr>
                <w:rFonts w:ascii="Arial" w:cs="Arial" w:eastAsia="Arial" w:hAnsi="Arial"/>
                <w:sz w:val="13"/>
                <w:szCs w:val="13"/>
                <w:color w:val="auto"/>
                <w:w w:val="97"/>
              </w:rPr>
              <w:t>Lab in Store / Centralized Lab</w:t>
            </w:r>
          </w:p>
        </w:tc>
        <w:tc>
          <w:tcPr>
            <w:tcW w:w="2060" w:type="dxa"/>
            <w:vAlign w:val="bottom"/>
          </w:tcPr>
          <w:p>
            <w:pPr>
              <w:jc w:val="center"/>
              <w:ind w:right="515"/>
              <w:spacing w:after="0"/>
              <w:rPr>
                <w:sz w:val="20"/>
                <w:szCs w:val="20"/>
                <w:color w:val="auto"/>
              </w:rPr>
            </w:pPr>
            <w:r>
              <w:rPr>
                <w:rFonts w:ascii="Arial" w:cs="Arial" w:eastAsia="Arial" w:hAnsi="Arial"/>
                <w:sz w:val="13"/>
                <w:szCs w:val="13"/>
                <w:color w:val="auto"/>
                <w:w w:val="96"/>
              </w:rPr>
              <w:t>Centralized Lab</w:t>
            </w:r>
          </w:p>
        </w:tc>
        <w:tc>
          <w:tcPr>
            <w:tcW w:w="274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Centralized Lab</w:t>
            </w:r>
          </w:p>
        </w:tc>
        <w:tc>
          <w:tcPr>
            <w:tcW w:w="0" w:type="dxa"/>
            <w:vAlign w:val="bottom"/>
          </w:tcPr>
          <w:p>
            <w:pPr>
              <w:spacing w:after="0"/>
              <w:rPr>
                <w:sz w:val="1"/>
                <w:szCs w:val="1"/>
                <w:color w:val="auto"/>
              </w:rPr>
            </w:pPr>
          </w:p>
        </w:tc>
      </w:tr>
      <w:tr>
        <w:trPr>
          <w:trHeight w:val="61"/>
        </w:trPr>
        <w:tc>
          <w:tcPr>
            <w:tcW w:w="2720" w:type="dxa"/>
            <w:vAlign w:val="bottom"/>
            <w:shd w:val="clear" w:color="auto" w:fill="ACACAC"/>
          </w:tcPr>
          <w:p>
            <w:pPr>
              <w:spacing w:after="0"/>
              <w:rPr>
                <w:sz w:val="5"/>
                <w:szCs w:val="5"/>
                <w:color w:val="auto"/>
              </w:rPr>
            </w:pPr>
          </w:p>
        </w:tc>
        <w:tc>
          <w:tcPr>
            <w:tcW w:w="3600" w:type="dxa"/>
            <w:vAlign w:val="bottom"/>
            <w:shd w:val="clear" w:color="auto" w:fill="ACACAC"/>
          </w:tcPr>
          <w:p>
            <w:pPr>
              <w:spacing w:after="0"/>
              <w:rPr>
                <w:sz w:val="5"/>
                <w:szCs w:val="5"/>
                <w:color w:val="auto"/>
              </w:rPr>
            </w:pPr>
          </w:p>
        </w:tc>
        <w:tc>
          <w:tcPr>
            <w:tcW w:w="2060" w:type="dxa"/>
            <w:vAlign w:val="bottom"/>
            <w:shd w:val="clear" w:color="auto" w:fill="ACACAC"/>
          </w:tcPr>
          <w:p>
            <w:pPr>
              <w:spacing w:after="0"/>
              <w:rPr>
                <w:sz w:val="5"/>
                <w:szCs w:val="5"/>
                <w:color w:val="auto"/>
              </w:rPr>
            </w:pPr>
          </w:p>
        </w:tc>
        <w:tc>
          <w:tcPr>
            <w:tcW w:w="2620" w:type="dxa"/>
            <w:vAlign w:val="bottom"/>
            <w:shd w:val="clear" w:color="auto" w:fill="ACACAC"/>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-1259205</wp:posOffset>
            </wp:positionV>
            <wp:extent cx="77470" cy="1945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94564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-1071245</wp:posOffset>
            </wp:positionV>
            <wp:extent cx="101155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22288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-1054100</wp:posOffset>
            </wp:positionV>
            <wp:extent cx="10718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880" cy="1968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-1113790</wp:posOffset>
            </wp:positionV>
            <wp:extent cx="58293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930" cy="3175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-1122680</wp:posOffset>
            </wp:positionV>
            <wp:extent cx="68580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 cy="3257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5"/>
          <w:szCs w:val="15"/>
          <w:b w:val="1"/>
          <w:bCs w:val="1"/>
          <w:color w:val="00497F"/>
        </w:rPr>
        <w:t>OMNI-CHANNEL &amp; 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542290</wp:posOffset>
            </wp:positionV>
            <wp:extent cx="698627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342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19050</wp:posOffset>
            </wp:positionV>
            <wp:extent cx="526351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35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Note: Store count as of December 30, 2023. SKU figures refer to eyeglass frame SKUs. ODs are Doctors of Optometry.</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reach customers through a portfolio of brands described below. All of our brands leverage our highly efficient centralized laboratory network and distribution system, which helps us minimize production and distribution costs. As one of the largest purchasers of eyeglass frames, eyeglass lenses and contact lenses in the U.S., we also benefit from centralized procurement efforts and purchasing economies of scale.</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America’s Best Brand. </w:t>
      </w:r>
      <w:r>
        <w:rPr>
          <w:rFonts w:ascii="Times New Roman" w:cs="Times New Roman" w:eastAsia="Times New Roman" w:hAnsi="Times New Roman"/>
          <w:sz w:val="18"/>
          <w:szCs w:val="18"/>
          <w:color w:val="auto"/>
        </w:rPr>
        <w:t>America’s Best strives to be the value leader in virtually every market in which it operates. Its signature offer of “two pairs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eyeglasses for $79.95, including a free eye exam,” is typically priced significantly lower than the competition and provides customers with a wide selection of frame choices at this entry point. In America’s Best stores, vision care services are provided by optometrists employed either by us or by independent professional corporations or similar entities.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eyeglass frame imports from low-cost overseas manufacturers, higher-margin private label brands and discounted well-known frame brands. America’s Best stores are primarily located in high-traffic strip centers next to other value-focused retailers.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Eyeglass World Brand. </w:t>
      </w:r>
      <w:r>
        <w:rPr>
          <w:rFonts w:ascii="Times New Roman" w:cs="Times New Roman" w:eastAsia="Times New Roman" w:hAnsi="Times New Roman"/>
          <w:sz w:val="18"/>
          <w:szCs w:val="18"/>
          <w:color w:val="auto"/>
        </w:rPr>
        <w:t>Eyeglass World also offers a value price point for customers, with an opening offer of “two pairs of eyeglasses for $89.”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is positioned as an eyeglass superstore with a broad selection of designer brands and price points and offers a highly personalized level of service. We source eyeglass frames for our Eyeglass World stores from leading designer brands, private label manufacturers and low-cost overseas manufacturers. Eyeglass World locations offer eye exams, primarily from independent optometrists and optometrists employed by independent professional corporations or similar entities and have on-site laboratories that enable stores to quickly fulfill customer orders and make repairs on site. Lens orders that are not completed in store are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completed by our centralized laboratory network. These stores are primarily located in freestanding or in-line locations near high-foot-traffic shopping centers.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Partner Brands. </w:t>
      </w:r>
      <w:r>
        <w:rPr>
          <w:rFonts w:ascii="Times New Roman" w:cs="Times New Roman" w:eastAsia="Times New Roman" w:hAnsi="Times New Roman"/>
          <w:sz w:val="18"/>
          <w:szCs w:val="18"/>
          <w:color w:val="auto"/>
        </w:rPr>
        <w:t>We have two continuing partner brands consisting of 54 Vista Optical locations on military bases and 29 Vista Optical locations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select Fred Meyer stores as of December 30, 2023. Our partner brands all compete within the value segment of the U.S. optical retail industry.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30, 2023, our partner brands also included the operation of 225 Vision Centers in select Walmart stores through the Management &amp; Services Agreement by and between NVI and Walmart Inc. (“Walmart”), dated as of May 1, 2012 (as amended, supplemented or otherwise modified from time to time, the “Walmart MSA”). On July 20, 2023, we received a notice of non-renewal from Walmart of the Walmart MSA (the “MSA Termination”). In accordance with the terms of the Walmart MSA and the notice, the agreement terminated on February 23, 2024 and we no longer operate Vision Centers for Walmart.</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Omni-Channel and E-Commerce Platforms. </w:t>
      </w:r>
      <w:r>
        <w:rPr>
          <w:rFonts w:ascii="Times New Roman" w:cs="Times New Roman" w:eastAsia="Times New Roman" w:hAnsi="Times New Roman"/>
          <w:sz w:val="18"/>
          <w:szCs w:val="18"/>
          <w:color w:val="auto"/>
        </w:rPr>
        <w:t>We offer our customers an engaging digital shopping experience through an established platform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omni-channel store websites, and dedicated e-commerce consumer websites. Our omni-channel store websites augment our America’s Best, Eyeglass World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30, 2023, our dedicated e-commerce websites were managed by our subsidiary, AC Lens. AC Lens has historically operated proprietary, branded websites and operated and provided support services for third-party websites owned by other companies, including Walmart and Sam’s Club. Following the receipt of the MSA Termination, AC Lens delivered notices of non-renewal of the agreements it has with Walmart and Sam’s Club regarding wholesale contact lenses distribution and related services, such that these agreements will terminate as of June 30, 2024, unless an earlier date is agreed by the parties and the Company will wind down its remaining AC Lens operations, including the closure of its Ohio distribution center, which largely supported the wholesale distribution and e-commerce contact lens services that the Company provided to Walmart and Sam’s Club. Our e-commerce platform related to websites associated with our store brands will continue to operate, as will certain websites historically managed by AC Lens. We are planning to transition the order fulfillment functions currently handled by AC Lens to a third-party vendor.</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aggregate, sales from our omni-channel and e-commerce platforms, which include “buy-in-store and ship-to-home” transactions, represented approximately 9.9% and 11.2% of net revenue in fiscal year 2023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Reportable segments: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two reportable segments as of December 30, 2023: our Owned &amp; Host segment and our Legacy segment. Our Owned &amp; Host segment includes our two owned brands, America’s Best and Eyeglass World, as well as our partner brands, Vista Optical locations within select Fred Meyer stores and Vista Optical locations on select military bases. Our Legacy segment consisted of our partnership with Walmart to operate Vision Centers in select Walmart stores that ended on February 23, 2024. See Part II. Item 8. Note 15. “Segment Reporting” for more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not classified in reportable segments include:</w:t>
      </w:r>
    </w:p>
    <w:p>
      <w:pPr>
        <w:spacing w:after="0" w:line="117" w:lineRule="exact"/>
        <w:rPr>
          <w:sz w:val="20"/>
          <w:szCs w:val="20"/>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subsidiary, FirstSight Vision Services, Inc. (“FirstSight”), which is licensed as a single-service health plan under California law, issues individual vision plans in connection with our America’s Best operations in California. Until February 23, 2024, it also arranged for the provision of optometric services at optometric offices next to certain Walmart stores throughout California.</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platform, which is managed by our wholly-owned subsidiary, AC Lens, serves our proprietary e-commerce websites and the e-commerce websites of third parties, including Walmart, Sam’s Club and Giant Eagle. AC Lens handles site management, customer relationship management (“CRM”) and order fulfillment and also sells a wide variety of contact lenses, eyeglasses and eye care accessories. Refer to “Our Omni-Channel and E-Commerce Platforms.” above for more information about the wind down of AC Lens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r>
        <w:rPr>
          <w:rFonts w:ascii="Times New Roman" w:cs="Times New Roman" w:eastAsia="Times New Roman" w:hAnsi="Times New Roman"/>
          <w:sz w:val="23"/>
          <w:szCs w:val="23"/>
          <w:b w:val="1"/>
          <w:bCs w:val="1"/>
          <w:color w:val="auto"/>
          <w:vertAlign w:val="superscript"/>
        </w:rPr>
        <w:t>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U.S. optical retail industry, which is defined by The Vision Council to include the sale of exams, frames, lenses, contact lenses, plano</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sunglasses and readers. We believe the industry’s continued growth and its resilience to economic cycles is due in large part to the medical, non-discretionary and recurring nature of eye care purchases.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replace or purchase new eyewear for a variety of reasons, including changes in prescriptions, fashion trends and necessity (e.g., lost or broken eyewear).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there are four key secular growth trends that will continue to contribute to the stability and growth of the U.S. optical retail industry:</w:t>
      </w:r>
    </w:p>
    <w:p>
      <w:pPr>
        <w:spacing w:after="0" w:line="113" w:lineRule="exact"/>
        <w:rPr>
          <w:sz w:val="20"/>
          <w:szCs w:val="20"/>
          <w:color w:val="auto"/>
        </w:rPr>
      </w:pPr>
    </w:p>
    <w:p>
      <w:pPr>
        <w:jc w:val="both"/>
        <w:ind w:left="660" w:hanging="328"/>
        <w:spacing w:after="0" w:line="25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Aging Population</w:t>
      </w:r>
      <w:r>
        <w:rPr>
          <w:rFonts w:ascii="Times New Roman" w:cs="Times New Roman" w:eastAsia="Times New Roman" w:hAnsi="Times New Roman"/>
          <w:sz w:val="18"/>
          <w:szCs w:val="18"/>
          <w:color w:val="auto"/>
        </w:rPr>
        <w:t>. According to The Vision Council, approximately 80% of adults in the U.S. use some form of vision correction, and there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increase in the use of vision correction above age 45, with further increases above age 55.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Consistent Replacement Cycle</w:t>
      </w:r>
      <w:r>
        <w:rPr>
          <w:rFonts w:ascii="Times New Roman" w:cs="Times New Roman" w:eastAsia="Times New Roman" w:hAnsi="Times New Roman"/>
          <w:sz w:val="18"/>
          <w:szCs w:val="18"/>
          <w:color w:val="auto"/>
        </w:rPr>
        <w:t>. The repetitive and predictable nature of customer behavior results in a significant volume of recurring revenue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approximately 115 million eye exams were performed in the U.S. during 2023. While there are ranges of customer behaviors based on demographics and other factors, it is estimated that optical consumers typically replace their eyeglasses every two to three years and their contact lenses every six to 12 months, reflecting the predictability of these recurring purchase behaviors.</w:t>
      </w:r>
    </w:p>
    <w:p>
      <w:pPr>
        <w:spacing w:after="0" w:line="74"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Increased Usage of Computer and Mobile Screens</w:t>
      </w:r>
      <w:r>
        <w:rPr>
          <w:rFonts w:ascii="Times New Roman" w:cs="Times New Roman" w:eastAsia="Times New Roman" w:hAnsi="Times New Roman"/>
          <w:sz w:val="18"/>
          <w:szCs w:val="18"/>
          <w:color w:val="auto"/>
        </w:rPr>
        <w:t>. Due to the proliferation of smartphones, laptops, tablets and other electronic devices,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has experienced a dramatic increase in the amount of time spent viewing electronic screens. According to The Vision Council, about 90% of American adults reported using digital devices for more than three hours per day with approximately 80%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 Additionally, we believe that remote working and learning arrangements that were necessitated by the COVID-19 pandemic have led to increased use of electronic screens.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Focus on Health and Wellness</w:t>
      </w:r>
      <w:r>
        <w:rPr>
          <w:rFonts w:ascii="Times New Roman" w:cs="Times New Roman" w:eastAsia="Times New Roman" w:hAnsi="Times New Roman"/>
          <w:sz w:val="18"/>
          <w:szCs w:val="18"/>
          <w:color w:val="auto"/>
        </w:rPr>
        <w:t>. The optical retail industry is poised to continue to benefit from expansive trends underlying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4" w:lineRule="exact"/>
        <w:rPr>
          <w:sz w:val="20"/>
          <w:szCs w:val="20"/>
          <w:color w:val="auto"/>
        </w:rPr>
      </w:pPr>
    </w:p>
    <w:p>
      <w:pPr>
        <w:jc w:val="both"/>
        <w:ind w:firstLine="8"/>
        <w:spacing w:after="0" w:line="239" w:lineRule="auto"/>
        <w:tabs>
          <w:tab w:leader="none" w:pos="9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recent years, the Vision Council has made multiple updates to its methodology for estimating the size of the optical retail industry including the use of new and updated sources for such data that had not been previously utilized for past industry estimates. As more recent estimates are not comparable to estimates that the Company had disclosed in previous annual reports on Form 10-K, the Company continues to evaluate the updated methodology and the new market estimate of a $65.6 billion optical retail industry in 2023 under such revised methodology at this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our store brands, we primarily offer two products and one service: eyeglasses, contact lenses and eye exams. Nonetheless, our diverse product portfolio encompasses many brand names and thousands of stock keeping units (“SKUs”). Offerings include both brand name designers, like Ray-Ban, Coach and Calvin Klein, and private label options at attractive prices. Our brand-name frame offerings are manufactured by market leaders and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signature or opening offer. We also offer in our America’s Best and Eyeglass World stores accessories and contact lenses from all major contact lens manufacturers, including our own private label brands (Sofmed and Natural Eyes HydraWear, made by CooperVision). Collectively, our broad product offerings deliver consistent financial results and reduce our reliance on any individual product, style or trend.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Eye exam services are provided by optometrists employed by us, or by professional corporations or similar entities owned by eye care practitioners with whom we have contractual arrangements or by independent optometrists with whom we have contracted. In addition, as part of our efforts to provide quality, accessible eye care, we have deployed a telehealth solution in certain locations that allows optometrists working remotely to provide eye exam services to patients. Through this remote medicine platform, patients still visit our stores for eye care services, but instead of seeing the optometrists in person, the patients are connected with optometrists licensed in their state through video conferencing technology. The optometrists work with trained optometric technicians and clinical assistants to collect preliminary data, and then the optometrists control the optometric equipment remotely to conduct the refractions and eye health examinations while communicating with the patients in real time via 2-way synchronous audio and visual connection. As of December 30, 2023, this technology has been enabled in over 500 of our America’s Best locations. We believe remote medicine not only helps provide quality, accessible eye care to more patients, but also helps address constraints in exam capacity from optometrist availability in store. As part of the rollout, we have also invested in the transition to an electronic health record (“EHR”) platform. We anticipate continuing to invest in these capabilities, including implementing the EHR platform in all America’s Best locations by the end of 2024.</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Within our Owned &amp; Host segment, America’s Best offers its Eyecare Club programs primarily to its contact lens customers. As of December 30, 2023, the Eyecare Club had approximately 1.6 million active members. Eyecare Club members receive two free eye exams per year and 10% off all contact lenses and eyeglasses for the duration of the three-year membership, as well as other periodic benefits and discounts, for a one-time fixed payment. Memberships can be purchased in stores or on our America’s Best website.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which customers pay in full at the time they join, facilitates repeat traffic to America’s Best stores for exams and contact lens purchases and builds customer loyalty.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“Revenue from Contracts with Customers” in our audited consolidated financial statements included in Part II. Item 8. of this Form 10-K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need to see their best to perform their jobs, care for their families and contribute to their communities. Purchasing decisions are based on value, quality of service, fashion, location and eye health, among other factors.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and Marketing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developed our marketing strategy based on the in-depth knowledge we have of our customers. Our brands are positioned to stand for low prices and great value, both of which resonate with our target consumers and leave a lasting impression that is distinct from the competition.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video is a key channel for connecting with our customers. A significant portion of America’s Best and Eyeglass World’s advertising investments are on awareness-driving video advertisements, network television and digital platforms, which we leverage broadly across multiple stores in each market to gain a larger share of voice and, in turn, drive traffic and margins. We continue to benefit from America’s Best national advertising campaigns, which we believe are cost effective and help raise our brand awareness in both new and existing markets. Additional advertising investments include digital media, search engine, direct mail, email and local store marketing. We are continually tracking consumer media consumption behaviors and adjusting our media plan accordingly.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Host brands, we rely on our Host partners’ marketing initiatives to drive traffic into their stores. We then develop and execute highly targeted local marketing campaigns within stores to create awareness of our service and product offerings.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CRM system is used to collect customer demographic data. With this information and the third-party data that we use to supplement the customer information, we enhance our customer relationships with communications based on their individual vision needs and interests to help improve existing customer retention. We are also in the early stages of an upgrade to our CRM capabilities.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Sourcing and Supplier Relationships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purchase our frame merchandise from a wide variety of vendors, with a limited number of vendors supplying the majority of our eyeglass lenses and contact lenses. We are a large customer for all of our suppliers and we strive to form meaningful, long-lasting and mutually beneficial relationships with our vendors. We have long-term contracts with certain of our key suppliers, including Essilor and CooperVision. Under our agreement with Essilor, Essilor has the sole and exclusive right to supply certain eyeglass lenses to us. The current term of our agreement with Essilor runs through May 2026. We are collaborative in our vendor negotiations so as to develop a partnership with our vendors and, in time, a sense of loyalty to National Vision. Each of our top 10 vendors has been with us for approximately 10 years, and several of these vendors have been with us since our inception in 1990. We focus on sourcing low-cost products, including well-known frame brands, secondary frame brands, direct import and private label frames and private label contact lenses. Our well-developed capability of direct-to-factory sourcing and importing of frames allows us to offer high-quality, low-priced frames while generating strong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Optical Laboratories and Distribution Network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highly efficient mix of four domestic, company-operated processing facilities and have two outsourcing relationships with international, third-party facilities. We have state-of-the-art lens processing capabilities in our geographically 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Eyeglass World stores are equipped with on-site laboratories, which typically process less complicated customer orders with same-day service. All lens orders that are not processed or completed in store are processed or completed by our centralized laboratory network.</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30, 2023, we had a 118,000 square foot distribution center in Lawrenceville, Georgia and a 52,000 square foot distribution center in Columbus, Ohio, the latter of which is expected to be closed in 2024 as part of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18"/>
          <w:szCs w:val="18"/>
          <w:color w:val="auto"/>
        </w:rPr>
        <w:t xml:space="preserve">aforementioned wind down of AC Lens operations. We utilize third-party carriers to transport products from these centers to customers and store locations. </w:t>
      </w:r>
      <w:r>
        <w:rPr>
          <w:rFonts w:ascii="Times New Roman" w:cs="Times New Roman" w:eastAsia="Times New Roman" w:hAnsi="Times New Roman"/>
          <w:sz w:val="18"/>
          <w:szCs w:val="18"/>
          <w:b w:val="1"/>
          <w:bCs w:val="1"/>
          <w:color w:val="auto"/>
        </w:rPr>
        <w:t>Our Mission and Philanthropic Efforts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help people by making quality eye care and eyewear more affordable and accessible. Our philanthropic culture instills a sense of purpose and engagement in our associates, from in-store team members to senior management. Our associates feel pride in the positive work they are doing, which allows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success has helped fuel our ever-growing philanthropic engine. In the U.S., through our partnership with charitable organizations, we provide free vision screenings, eye exams and eyeglasses to young Americans and other underserved communities. In addition, through multiple charitable partnerships with organizations such as VisionSpring, RestoringVision, the International Agency for the Prevention of Blindness and VOSH International, we both directly assist and indirectly help to improve the vision of millions of individuals globally. We also work collaboratively with others in the industry to help a portion of the world’s population who live with uncorrected vision problems.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2023, we had 13,998 full-time and part-time associates, including 582 directly employed optometrists. As of December 30, 2023, our network of optometrists included 2,645 optometrists, which consists of the 582 directly employed optometrists, 1,621 optometrists employed by professional corporations or similar entities with which we contract, and 442 optometrists who sublease in our store locations.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13,975 full-time and part-time associates, including 471 directly employed optometrists. As of December 31, 2022, our network of optometrists included 2,312 optometrists, which consists of the 471 directly employed optometrists, 1,337 optometrists employed by professional corporations or similar entities with which we contract, and 504 optometrists who sublease in our store 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network of optometrists includes a mix of full-time and part-time optometrists, and this mix can change over time.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collective bargaining agreements. We have never experienced a strike or work stoppage, and we believe that our relations with our associates and optometrists are good.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through its committees oversees human capital matters with regular updates and discussion on organizational structure, hiring and retention, compensation and benefits, health and safety matters, employee training and development, succession planning, and associate survey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and Culture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maintain a strong and resonating culture guided by our Vision, Mission and Values. We believe everyone deserves to see their best to live their best and our goal is to help people achieve this by making quality eye care and eyewear more affordable and accessible. This purpose is supported by our associates and their values – passion for people, committed to community, results done right, and be your best self.</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an inclusive and people-first culture, we are focused on celebrating and respecting our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National Vision, we are committed to attracting talent aligned with our Vision, Mission and Values. We continue to refine our technology to improve both the candidate and hiring manager experience.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proven record of opening new stores with high-quality training support. We have adapted our new store training approach by introducing and enhancing virtual instructor-led training classes, allowing for high-touch training in a remote setting to prepare stores to open safely and effectively. We have also increased ongoing training in recent years, especially in the areas of safety protocol procedures and customer interactions. We provide associates and optometrists with several opportunities and mechanisms through which they can provide feedback and that allows us to continue developing programs for training and growth. We have invested in supporting our store managers through a Training Store Manager program, which provides training during their critical first steps as new managers. The program offers high-performing store managers the opportunity to certify as Training Store Managers through a five-week certification process focused on coaching, self-awareness, giving and receiving feedback, and time management. Once participants are certified as Training Store Managers, they provide onboarding and training support to store managers across their district. In addition to providing valuable support to new managers and new store teams, the program provides our associates with a new avenue for leadership opportunities and professional development. We continued to grow and invest in the Training Store Manager Program in 2023, building on our culture of developing and promoting our associates.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Wellness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vacation pay,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work and personal challenges affect an associate’s overall well-being. Additionally, our associates receive an annual associate eyewear ticket and eyewear gift tickets that provide them, along with their friends and family, discounted eyewear purchases in our stores.</w:t>
      </w:r>
    </w:p>
    <w:p>
      <w:pPr>
        <w:spacing w:after="0" w:line="5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Our college scholarship program was established to assist associates with children age 24 or under, who are high school seniors or graduates and planning to enroll in a full-time undergraduate course of study at an accredited U.S. college or university. Each year, ten recipients are granted an award of $2,500</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and awards are renewable for up to three years for a total scholarship of $10,000. We also provide current and former associates who are in pursuit of a Doctor of Optometry degree with financial support through a tuition reimbursement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programs are designed to reinforce our growth agenda and talent acquisition strategy. In addition to competitive base pay, we seek to reward associates with annual incentive awards, recognition programs and equity awards for associates at certain levels.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2019, we established the National Vision Crisis Relief Fund to help support associates who are facing financial hardship as a result of a natural disaster, family emergency or other unexpected events. Since its creation, the fund has provided over $1.7 million to associates for assistance.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promoting an inclusive culture and in 2020, we formed a Diversity, Equity and Inclusion department within the Company. We remain focused on advancing diversity in our recruitment, training, career mentorship and development, employment, branding and community service. We were named one of Newsweek’s America’s Most Responsible Companies for 2023 for our corporate responsibility and citizenship.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health and well-being efforts are built on a foundational commitment to the safety of our associates and the doctors in our network. We believe that we are in material compliance with applicable Occupational Safety and Health Administration (“OSHA”)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In our retail locations, we support managers and field leaders in understanding and complying with applicable laws and regulations.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 our customers and patients with everyone’s health and safety in mind. Health and safety remain at the forefront for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Vision Care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managed care business relates to vision care programs and associated benefits provided by stand-alone vision insurance entities, healthcare plans and government programs. National Vision participates as a provider of both vision care and related vision product solutions, including eyeglasses and contact lenses, and primarily participates in private managed care programs. While our managed care business has continued to grow, we are underpenetrated in the managed care market relative to the broader optical retail industry, and we believe that this continues to represent a growth opportunity.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point-of-sale system and our back-office electronic data interchange, or EDI, capabilities, we attempt to create a seamless transactional experience for our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claims transmission processes via application programming interfaces.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optical retail industry is highly competitive. Competition is generally based upon brand name recognition, price, convenience, selection, service and product quality.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within the value segment of the U.S. optical retail industry, which emphasizes price and affordability. This segment is fragmented. We compete with mass merchants and warehouse club stores, specialty retail chains, and independent eye care practitioners and opticians. In the broader optical retail industry, we also compete with large national retailers such as LensCrafters, Pearle Vision and Visionworks, both in physical retail locations and online.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compete with online sellers of contact lenses and eyewear. The online sale of contact lenses has steadily increased in particular since the passage of the Fairness to Contact Lens Consumers Act. See “Government Regulation” below for more detail. The online sale of eyeglasses has not developed as quickly, but a number of firms are primarily focused on this market, including Warby Parker and Zenni Optical. We may also face competition in the future as companies increasingly employ emerging technologies in the optical retail industry, including, for example, online vision exams.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managed care business, we also compete with other managed care payors, several of which are vertically integrated, with substantial retail networks. As a provider under managed care contracts, we may have access to new customers while better serving our existing customers who are covered by managed care by filing claims directly with the payor and collecting only the applicable co-pay amount from these customers. Competition in our managed care business is based on many factors, including price and the density of the provider network. We have, in the past, and may, in the future, experience heightened challenges to be admitted as a provider to these networks or to maintain our status in them.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are value seeking and lower income consumers who rely on tax refunds to pay for eyewear and eye care. A delay in the issuance of tax refunds can accordingly have a timing impact on our quarterly financial results in the first half of the year. Consumer behavior with respect to the utilization of tax refund proceeds is also subject to change.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 Changes in consumer behavior driven by lingering effects of the COVID-19 pandemic have resulted in a departure from seasonal norms we have experienced in recent years and may continue to disrupt the historical quarterly cadence of our results of operations for an unknown period of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technology systems are critical to our day-to-day operations as well as to our long-term growth strategy. Our systems are designed to deliver a consistent, scalable, high-performing and secure experience for our customers and partners. We utilize a combination of co-location data centers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Areas in which we have invested and continue to invest in include, among others, software systems to enhance the growth of omni-channel, customer engagement efforts, CRM, remote medicine and EHR platforms rollout, cybersecurity programs, our overall security posture, point-of-sale systems and enterprise resource planning (“ERP”). We believe these investments, along with maintenance of our existing information technology capabilities, will provide the flexibility and capacity to accommodate our future growth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 number of registered and common law trademarks and pending applications for trademark registrations in the U.S.,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Medicine/Optometry and Similar Laws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states prohibit the corporate practice of medicine/optometry where an unlicensed entity practices medicine or employs a physician or optometrist to provide professional medical services. Further, many states interpret these or similar rules broadly to prohibit employment of eye care practitioners by corporations like us and to prohibit various financial arrangements, such as fee-splitting, between eye care practitioners and other entities. Many states also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subject to the interpretation of regulators and enforcement authorities, which may change over time. States periodically revisit these laws and regulations and we are subject to the ongoing risk that the regulatory scheme in any state could change in ways adverse to us. Our America’s Best operations, which feature a bundled offer of eyeglasses and an eye examination, are particularly implicated by these laws. Additionally, state legislators and regulators may be reluctant to accept telehealth and remote medicine as a way to provide access to quality patient care. Recently, there has been an increase in legislative and rulemaking activity that creates disparity across jurisdictions in how telehealth is regulated and how we are able to implement our remote medicine solution. Our ability to launch our remote medicine solution in certain jurisdictions at all or in the most cost-efficient manner is highly dependent on the evolution of these state-by-state requirements and restrictions.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Licensure and Regulation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subject to state licensing laws. All states license the practice of ophthalmology and optometry and many states license opticians. The dispensing of prescription eyewear is also regulated in most states in which we do business and, in some states, we are required to register our stores as optical dispensaries.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Fairness to Contact Lens Consumers Act (“FCLCA”) and E-commerce 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sales of contact lenses, we must comply with the FCLCA, and its implementing regulations, including the Contact Lens Rule, promulgated by the Federal Trade Commission (“FTC”), which establish a national uniform standard in the U.S. with regard to issuing, releasing and verifying contact lens prescriptions. This law and rule require that we verify prescriptions we receive from our customers prior to selling contact lenses online. Recent changes to the Contact Lens Rule include, among others, updates to the verification requirements, updates to certain prescription requirements, and new requirements regarding automated telephone messages. A violation of the Contact Lens Rule constitutes an unfair or deceptive act or practice under the Federal Trade Commission Act (the “FTC Act”).</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e-commerce business must comply with various federal and state laws, most notably the FCLCA. Our online business must also be registered in various states as a non-resident contact lens seller.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Care 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laws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thus subject to various registration, disclosure and solvency requirements.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We believe that the Office of Civil Rights, which is the enforcement agency for HIPAA, may implement modest changes to HIPAA in 2024, pursuant to a notice of proposed rulemaking that was issued in December 2020. Moreover, nearly all states have adopted their own data breach laws with comparable (and sometimes conflicting) standards and requirements. These state laws apply to breaches of specified elements of PII. In addition, California and a number of other states have adopted comprehensive consumer privacy laws, and additional states may amend or adopt new laws or regulations regarding data privacy that may be applicable to us, including additional consumer privacy laws.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Related to Reimbursement by Government Programs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participation in federal reimbursement programs, such as Medicare and Medicaid, subjects us to state and federal laws and regulations with respect to anti-kickback, false claims and physician self-referral, among other similar areas.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office space or services, credit arrangements, payment of cash and waivers of payments. Healthcare providers that have financial relationships may structure their arrangements to meet certain voluntary safe harbors under the federal Anti-Kickback Statute so that such financial relationships and business practices are not treated as offenses under the statute. Several courts have found a violation of the statute’s intent requirement where the single purpose of an arrangement involving remuneration is to induce referrals of patients or consumers purchasing healthcare goods or services paid for, in whole or in part, by federal government programs.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third-party payors including commercial plans.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Times New Roman" w:cs="Times New Roman" w:eastAsia="Times New Roman" w:hAnsi="Times New Roman"/>
          <w:sz w:val="18"/>
          <w:szCs w:val="18"/>
          <w:i w:val="1"/>
          <w:iCs w:val="1"/>
          <w:color w:val="auto"/>
        </w:rPr>
        <w:t xml:space="preserve">qui tam </w:t>
      </w:r>
      <w:r>
        <w:rPr>
          <w:rFonts w:ascii="Times New Roman" w:cs="Times New Roman" w:eastAsia="Times New Roman" w:hAnsi="Times New Roman"/>
          <w:sz w:val="18"/>
          <w:szCs w:val="18"/>
          <w:color w:val="auto"/>
        </w:rPr>
        <w:t>or “whistleblower” lawsuits on behalf of the federal or state government. The Social Security Act also imposes significant penalties for false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improper Medicare and Medicaid billings.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Physician Self-Referral Law, or the Stark Law, generally prohibits physicians (which the Stark Law defines to include optometrists) from referring, for “designated health services” (as defined by the Centers for Medicare &amp; Medicaid Services), Medicare or Medicaid beneficiaries to any entity with which the physician or an immediate family member of the physician has a financial relationship. Designated health services do not include physician referrals for optometric services. The Stark Law further prohibits the entity receiving a prohibited referral from presenting a claim for reimbursement by Medicare or Medicaid for services furnished pursuant to the prohibited referral. The Stark Law has a number of specific mandatory exceptions for financial hardships between regulated healthcare providers that do not pose a risk of abuse to Medicare programs or patient abuse. Many states have adopted similar self-referral laws which are not limited to Medicare or Medicaid reimbursed services. In some cases, the rental of space constitutes a financial relationship under this law. The Stark Law is a strict liability law, meaning that intent is not required; the mere presence of a prohibited relationship may constitute a violation if certain mandatory exceptions are not met.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Food and Drug Administration (“FDA”)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generally has authority to, among other things, regulate the manufacture, distribution, sale and labeling of medical devices, including contact and eyeglass lenses. Under the U.S. Federal Food, Drug and Cosmetic Act (the “FDC Act”), medical devices must meet a number of regulatory requirements. We engage in certain manufacturing, repackaging and relabeling activities at our optical laboratories and in certain Eyeglass World stores, which subject us to the FDA’s registration, listing and quality requirements. We are required to register our centralized laboratories with the FDA.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false advertising to consumers or corporate practice of optometry prohibitions.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(“FCPA”)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source a significant portion of our products from outside of the U.S.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laws and regulations, including these.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Card Industry Data Security Standard (“PCI Standard”)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any fines or assessments imposed by the credit card companies in the event of a compromise of card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 Regulations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product protection plans for our eyeglasses. In certain states, laws governing service contracts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Safety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optical laboratories in the U.S. and our in-store laboratories within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Laws and Occupational Safety and Health 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labor-intensive business that is subject to complex labor and employment laws established by federal, state and local laws and regulations. These laws and regulations govern areas that include working conditions, paid time off, workplace safety, wage and hour standards and hiring and employment practices.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particular, we are subject to the requirements of OSHA and other federal and state agencies that address employee health, including from infectious diseases and safety.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processes in place to support our compliance with these requirements. Based on new or revised regulatory developments, we may be required to take additional actions or increase expenditures in the future to comply with changing employment requirements and higher industry and regulatory safety standards.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combination of purchased insurance and self-insurance for workers’ compensation, general liability, property, director and officers’ liability, and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our partnership with Walmart, including the transition period and other wind down activities, will have an impact on our business, revenues, profitability and cash flows, which impact could be material.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receipt of notice of non-renewal by Walmart on July 20, 2023, our partnership with Walmart, which includes supplying and operating Vision Centers in select Walmart stores and arranging for the provision of optometric services at certain Walmart locations in California, ended effective as of February 23, 2024. Additionally, the agreements governing our provision of contact lens distribution and related services to Walmart and Sam’s Club will terminate effective as of June 30, 2024 and the Company will also wind down its remaining AC Lens operations, including the closure of its Ohio distribution center, which largely supported the whole distribution and e-commerce contact lens services that we provided to Walmart and Sam’s Club. The termination of the Walmart partnership and the wind down of AC Lens operations will result in a reduction of our revenues, profitability and cash flows, and therefore, will adversely affect our business, financial condition and results of operations, which could be material. In addition, in connection with the termination of these agreements, we recorded impairment charges of $79.7 million for the year ended December 30, 2023, including $60.1 million related to goodwill, $9.1 million related to contracts and relationships, and $10.5 million related to property &amp; equipment, which adversely impacted our profitability during this period. Additional asset impairment charges may be possible as we further evaluate the effect of the termination on our business.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these agreements include pre-termination transition and post-termination obligations of the parties, including a solicitation period for Walmart to offer employment or similar arrangements to certain associates and optometrists from specified Vision Centers. The transition period presents numerous risks and may cause disruption to these businesses including, without limitation, a potential reduction in sales, productivity and focus, and may make it harder to retain associates and optometrists, which in turn could adversely affect our financial condition and results of operations. The termination of the Walmart partnership and related wind down of AC Lens operations could negatively impact other parts of our business, including, without limitation, impairing our ability to attract and retain management, associates and optometrists, to compete for managed vision care contracts, to obtain favorable terms from vendors, or to generate cash to fund our business. While we are seeking to reduce costs and replace any lost business with new America’s Best or Eyeglass World stores and by other means, including outsourcing certain services, we may not be successful in our efforts. In addition, the termination of the Walmart partnership has adversely affected, and may continue to adversely affect, the market price of our common stock, regardless of our actual operating performance during the transition period and thereafter.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developments related to the U.S. federal debt ceiling, global conflict (including the Russia-Ukraine war and the Israel-Hamas conflict), impacts of climate change, inclement weather, natural disasters, terrorism, cybersecurity incidents, outbreak of viruses or widespread illness and consumer perceptions of personal well-being and security. Over the past few years, global markets and economic conditions have been challenging, particularly in light of rising interest rates and historic inflation throughout 2023 and global conflict, which has created continued economic uncertainty. These conditions have impacted customer demand and may continue to have similar impacts in the future. Reduced customer confidence and spending cutbacks may result in reduced demand for our merchandise and may force us to mark down inventory, increase selling and promotional expenses or, if part of a prolonged or pervasive economic downturn, may slow the pace of new store openings or cause current stores to close.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business is seasonal in nature, with the first and second quarters typically representing a higher portion of net sales to us than other quarters, due in part to the issuance of tax refunds that many consumers have historically utilized for eyewear and eye care spending in the first half of the year. As such, a significant downward trend in the first half of the year could have a substantial negative impact on our annual financial results. From time to time, we have also temporarily closed certain stores due to widespread health concerns like the COVID-19 pandemic, hurricanes and other severe weather, natural disasters or civil unrest. Such store closures due to factors that are outside of our control could materially adversely affect our sales and profitability.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our target market of value-seeking and lower income consumers, is sensitive to a number of these and other factors outside of our control. A continuation of these or other similar circumstances could have a material negative impact on our financial performance.</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recruit and retain vision care professionals for in-store roles or to provide remote care offerings could adversely affect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hire and/or contract with vision care professionals for in-store roles and remote care offerings is critical to our operations as well as our growth strategy. Our operations, like those of many of our competitors, depend on our ability to offer both eyewear and eye exams, which requires the availability of optometrists in or near our stores. Many states require that opticians be licensed to dispense and fit eyeglasses and contact lenses. Failure to have vision care professionals available in or near our stores could adversely affect our ability to win managed vision care contracts. Additionally, as we enable remote medicine solutions at an increased number of our stores, the ability to hire and retain vision care professionals for such remote care offerings and the continued successful installation, implementation and operation of the applicable equipment and remote medicine technology platform is essential to the expansion of our remote medicine strategy. The inability to attract and retain vision care professionals or enable and maintain remote medicine at applicable locations, could have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for vision care professionals has increased, especially with the increased demand for optometrists in the current constrained labor market. We compete with other optical retail companies, health systems and group practices for vision care professionals. Failure to attract, hire and retain vision care professionals, or to design and successfully implement more flexibility to meet the expectations of prospective and existing vision care professionals, could have a material adverse effect on our business, financial condition and results of operations. There can be no assurance that flexibility initiatives provided to vision care professionals, including with respect to scheduling, will be successful in attracting or retaining vision care professionals or addressing constraints in exam capacity. Due to the COVID-19 pandemic and related effects, we experienced an unexpected degree of vision care professional shortages and related exam capacity constraints, which continued over the course of 2023, and may continue into 2024 and beyond, despite increased recruitment and retention efforts including wage investments and other enhanced compensation efforts. Such efforts have increased, and may continue to increase, our operating costs which could adversely impact our results, and ultimately may be unsuccessful. In addition, due to these same factors, we experienced wage pressure for our vision care professionals and associates in 2023, which we expect to continue in 2024, and which may continue thereafter.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could be required to restructure these arrangements, which may make it more difficult for us to attract and retain vision care professionals. See Item 1. “Business-Government Regulation.”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a limited number of professional corporations or similar entities provide for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partners.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optical retail industry is highly competitive, and if we do not compete successfully, our business may be adversely impacted.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the highly competitive optical retail industry and we may be unable to successfully compete against existing or future competitors. Our inability to respond effectively to competitive pressure or improved performance by our competitors could result in lost market share and have a material adverse effect on our business, financial condition and results of operations. For additional information on our competitive environment and our major competitors, see Part I. Item 1. “Business-Competition.”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or vertically integrated and engaged in the manufacture and distribution of eyewear as well as managed care. Larger competitors who have greater financial and operational resources, greater brand recognition or broader geographic presence than we do, have large marketing and advertising spends and may be able to offer more competitive prices. Vertically integrated competitors may advantageously leverage their structure, making it more difficult for others in the industry, including us, to compete. We purchase many of our products from suppliers who are affiliates of our competitors. We also compete for managed vision care contracts with certain of our competitors who are affiliates of managed care payors. The termination of one or more relationships we have with these larger vertically integrated competitors could have a material adverse effect on our business, financial condition and results of operations. In addition, if any of our competitors were to consolidate operations, such consolidation would exacerbate the aforementioned risks. While we strive to evolve in line with changing consumer shopping habits and new technologies, our business and results of operations may be adversely affected if we are not able to effectively respond to changes in the retail markets at the same rate as our competitors.</w:t>
      </w:r>
    </w:p>
    <w:p>
      <w:pPr>
        <w:spacing w:after="0" w:line="3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Achieving our growth strategy depends, in large part, on growing our store base and expanding our operations, both in new and existing markets, and operating our new stores successfully.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contemplated expansion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qualified vision care professionals (who may be licensed or unlicensed, depending on state regulations) for any new store;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an expanded workforce of store managers and other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laboratory, distribution facility, information technology and other operational system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management structure and operations, including information technology integration;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at suitable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levels of inventory at acceptable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and open our stores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managed care arrangements for new stores;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satisfy the merchandise, lifestyle and other preferences of our customers.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cannot assure you that we will achieve our planned growth or that our new stores will perform as expected or achieve net sales or profitability levels comparable to those of our existing stores in the time periods estimated by us or at all.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3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performance of our Host and Legacy brands declines or we are unable to maintain or extend our operating relationships with our Host partners, our business, profitability and cash flows may be adversely affected and we may be required to incur impairment charges.</w:t>
      </w:r>
    </w:p>
    <w:p>
      <w:pPr>
        <w:spacing w:after="0" w:line="3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Historically, we derived revenues and operating cash flows from our relationships with our Host and Legacy partners through our operations of 225 Vision Centers in select Walmart stores until February 2024, and as of December 30, 2023, 29 Vista Optical locations within select Fred Meyer stores and 54 Vista Optical locations on select military bases. With respect to the loss of business related to our Vision Centers, see “The termination of our partnership with Walmart, including the transition period, will have a significant impact on our business, revenues, profitability and cash flows, which impact could be material” above. Termination or expiration of our Host agreements would result in a reduction of our revenues and operating cash flows, which could be material and which could adversely affect our business, financial condition and results of operations including an impairment of the intangible assets.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loss of our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support the carrying value of the intangible assets at these brands or replace the lost revenues and cash flows.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30, 2023, the carrying value of intangible assets at our Host and Legacy brands was $20.1 million and $0.1 million, respectively.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Future changes in the business profitability, expected cash flows, changes in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w:t>
      </w:r>
    </w:p>
    <w:p>
      <w:pPr>
        <w:spacing w:after="0" w:line="3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low-cost provider and our business model relies on the low cost of inputs. Factors such as wage rate increases, inflation, cost increases, increases in the price of raw materials and energy prices could have a material adverse effect on our business, financial condition and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Increases in compensation, wage pressure and other expenses for vision care professionals, as well as our other associates, have adversely affected, and may continue to adversely affect, our profitability. Increases in minimum wages and other wage and hour regulations and labor shortages can exacerbate this risk. Since the beginning of the COVID-19 pandemic, we have experienced an increasingly competitive labor market for vision care professionals and increased preferences for adjusted work schedules, resulting in the demand for optometrists exceeding supply in certain areas during fiscal year 2023 and causing constraints in exam capacity. Due to these factors, we experienced wage pressure for our vision care professionals and associates in 2023, which we expect to continue in 2024 and may continue thereafter. Targeted wage investments, including increases in compensation and other expenses for our optometrists and associates, along with other initiatives, were implemented in response to these factors that have and will continue to impact our costs applicable to revenue and selling, general and administrative expenses. The costs associated with employment or retention of vision care professionals may increase further, potentially materially. See “Failure to recruit and retain vision care professionals could adversely affect our business, financial condition and results of operations” above.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low-price model and competitive pressures in the optical retail industry may inhibit our ability to reflect these increased costs in the price of our products, in which case such increased costs could have a material adverse effect on our business, financial condition and results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To support our expanding business and execute our growth strategy, we need significant amounts of capital, including funds to pay our lease obligations, build out new store spaces, laboratories and distribution centers, implement and operate remote medicine technology and EHR platforms, purchase inventory, pay personnel and further invest in our infrastructure and facilities, including investments in transitioning and updating our enterprise resource planning (“ERP”) and other technological systems and capabilities. In 2024, we intend to continue to progress our ERP initiatives and to expand the installation of the EHR platform to the remaining America’s Best locations. We cannot guarantee that these projects will be completed on time or within established budgets. Any delay or increased costs could have a material adverse effect on our business, financial condition and results of operations. Further, our plans to grow our store base may create cash flow pressure if new locations do not perform as projected. We have primarily depended, and expect to continue to primarily depend, on cash flow from operations to fund our business and growth plans. If we do not generate sufficient cash flow from operations, we may need to obtain additional equity or debt financing. Tightening in the credit markets, low liquidity, volatility in the capital markets or a downturn in the economy could result in diminished availability of credit, higher cost of borrowing or lack of confidence in the equity markets, any of which may make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could strain our existing resources and cause the performance of our existing stores to suffer.</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planned expansion has placed, and continues to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our store base grows, we will need to continually evaluate the adequacy of our laboratory, distribution and information technology capabilities, including those related to our remote medicine offerings.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anticipate all of the demands that our expanding operations will impose on our business, personnel and systems and our failure to address such demands or to profitably manage our growth could have a material adverse effect on our business, financial condition and results of operations.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 From time to time, we update the whitespace analysis prepared for us through an established partnership with a third-party real estate data analytics firm. There are many variables that impact this analysis and there can be no guarantee that updates will lead to the same or greater whitespace opportunity, which could impact our ability to execute our growth strategy.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and related impacts, have had, and may in the future continue to have, a material adverse impact on our business.</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COVID-19 pandemic and the related actions taken by governments and the private sector to contain and combat the outbreak and spread of COVID-19 adversely affected global economies, financial markets and the overall environment for our business. As a result of the pandemic, we have seen shifts in consumer behaviors and preferences, as well as impacts in the demand for our products. In the event of a resurgence or another pandemic, the extent to which these may impact our future results of operations and overall financial performance remains uncertain. The global macroeconomic effects of pandemics, including weakened economic conditions, consumer spending and supply chain disruptions, and financial market volatility have continued, and may continue for an indefinite period of time.</w:t>
      </w:r>
    </w:p>
    <w:p>
      <w:pPr>
        <w:spacing w:after="0" w:line="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refer you to “Management’s Discussion and Analysis of Financial Position and Results of Operations” for a more detailed discussion of the actual operational and financial impacts that we have experienced due to COVID-19.</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marketing and promotional programs to attract customers to our stores and to encourage purchases by our customers. If we fail to successfully or efficiently develop and implement marketing, advertising and promotional strategies or to incorporate innovative approaches in such endeavors,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we may experience a material adverse effect on our business, financial condition and results of operations.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our America’s Best and Eyeglass World store locations, our corporate office, the FirstSight corporate office, our laboratories in Georgia, Texas and Utah, and our distribution centers. We leased space for the AC Lens corporate office through February 2024, and the lease related to our Ohio distribution center expires in March 2028. We also lease our Vista Optical locations inside Fred Meyer stores. As a result, we are susceptible to changes in the property rental market and increases in our occupancy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identify suitable premises for our stores and to negotiate acceptable lease terms.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Any of these factors could have a material adverse impact on our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store leases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which are highly variable over time. Our substantial lease obligations could have significant negative consequences, including:</w:t>
      </w:r>
    </w:p>
    <w:p>
      <w:pPr>
        <w:spacing w:after="0" w:line="72"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reducing cash available for other purposes and reducing our operating profitability;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 and/or be required to pay substantial termination fees.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3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Technological advances in vision care, including the development of artificial intelligence, remote medicine and other new or improved products, as well as future drug development for the correction of vision-related problems, could significantly change how eye exams may be conducted and make our existing products less attractive or even obsolete. Although we have enabled remote medicine technologies in a number of locations to enable the provision of eye examinations by remote doctors to patients in our stores, several companies have developed technologies for, and some companies are incorporating the remote delivery of, eye examinations and eye refractions more broadly.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photo-refractive keratotomy, or PRK and LASIK, may reduce the demand for our products, lower our sales and thereby adversely impact our business and profitability.</w:t>
      </w:r>
    </w:p>
    <w:p>
      <w:pPr>
        <w:spacing w:after="0" w:line="3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negatively affected if we are not successful in managing our inventory balances and inventory shrinkage.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best-performing products, we may have a shortfall in inventory of such products, likely leading to unfulfilled orders, reduced revenue and customer dissatisfaction.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partly dependent on our ability to strategically source a sufficient volume and variety of brand name merchandise at opportunistic pricing. Some of our products are sourced from suppliers or at significantly reduced prices.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inventory levels fluctuate on a seasonal basis.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seasonal fluctuation. We typically realize a higher portion of net sales during the first half of the fiscal year, due to, among other things,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it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3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e-commerce and omni-channel business faces distinct risks, and our failure to successfully manage those risks could have a negative impact on our profitability.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e-commerce and omni-channel retailer, we encounter risks and difficulties frequently experienced by Internet-based businesses. The successful operation of our business and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72" w:lineRule="exact"/>
        <w:rPr>
          <w:sz w:val="20"/>
          <w:szCs w:val="20"/>
          <w:color w:val="auto"/>
        </w:rPr>
      </w:pPr>
    </w:p>
    <w:p>
      <w:pPr>
        <w:jc w:val="both"/>
        <w:ind w:left="6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our websites, mobile applications and in-store systems,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telephone service or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web-hosting, and delivery of merchandise to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costs associated with training and implementing new technologies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related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federal, state and international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consumer and HIPAA privacy concerns and regulations;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adverse weather conditions.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contractual relationships with certain third parties whereby we host websites for the online sale of contact lenses and other optical products and perform related back office functions for these parties. We could be exposed to contractual liability to these third parties in the event of a failure, security breach or disruption to these websites or our failure to properly provide the services called for by these agreements.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or damage to our reputation and brands.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30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or to our online customers. We operate laboratory facilities in Lawrenceville, Georgia; St. Cloud, Minnesota; Plano, Texas; and Salt Lake City, Utah. We also have outsourcing relationships with third-party laboratories in Mexico. These laboratories process most of the lenses ordered by customers in our stores, as well as on our websites. Once processed at the laboratories, the finished products are returned to our distribution centers for shipment to stores, our customers or our business partners. In connection with the MSA Termination, and as part of an ongoing effort to reduce exposure to China, we recently terminated our outsourced laboratory relationship in China.</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in large part on the orderly operation of this receiving and distribution process, which depends, in turn, on adherence to shipping schedules and effective management of our distribution centers. Increases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our international outsourcing laboratory relationships, including port of entry risks such as longshoremen strikes, import restrictions, foreign government regulations, trade restrictions, customs and duties.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change the transportation companies we use, we may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Events beyond our control, including, but not limited to, disruptions in operations due to natural or man-made disasters, inclement weather conditions, accidents, system failures, or public health emergencies could also result in delays in our receipt of inventory or the delivery of merchandise between our stores, our optical laboratories and our distribution centers, significantly higher costs and longer lead times, or an adverse effect on our ability to fulfill customer orders in a timely manner. Any disruption to our laboratories’ operations may reduce or impair the quality of assembled eyeglasses.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insurance we maintain for business interruption may not cover all risk or be sufficient to cover all of our potential losses or may not continue to be available to us on acceptable terms, if at all, and any insurance proceeds may not be paid to us in a timely manner.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arising from our investments in technological innovators in the optical retail industry, including artificial intelligence, which would negatively affect our financial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regularly presented with opportunities to invest. We have recently invested in an entity specializing in applying artificial intelligence-powered screening and diagnostic tools to retinal imaging and historically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3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issues, including those related to climate change, could have a material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customers, employees and other stakeholders have increasingly focused on the ESG practices of companies in recent years. As we published our third Corporate Responsibility Report in 2023 and continue to develop our corporate responsibility strategy, our ESG practices will be evaluated against stakeholders’ evolving expectations and standards for responsible corporate citizenship. If our practices in the areas of social impact, employee empowerment, environmental stewardship and corporate governance fail to meet such expectations and standards, our reputation or employee and customer retention may be negatively impacted. Additionally, increased regulatory requirements regarding climate and ESG disclosures, as well as environmental stewardship, could also lead to increased operational costs. If we do not adapt to new regulations or meet evolving stakeholder expectations on ESG issues, investors may reconsider their investment in the company and customers may choose to find alternative providers, which could have a material adverse effect on our business, financial condition and results of operations.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climate and weather patterns leading to severe weather and disasters may cause significant business interruptions and expenditures.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Severe weather conditions and other natural phenomena resulting from changing weather patterns and rising sea levels or other causes, including hurricanes, floods, fires, landslides, extreme temperatures, significant precipitation, and earthquakes, may result in damage to our stores or other facilities and unavailability of our workforce. Additionally, shifts in weather patterns caused by climate change are expected to increase the frequency, severity or duration of certain adverse weather conditions, which could cause more significant business interruptions that result in increased costs, increased liabilities, and decreased revenues. Such losses could materially and adversely affect our business, financial condition and results of operations. Climate change may also have indirect effects on our business, including for example, leading to increased costs (or unavailability) of property or other insurance policies. Additionally, changes in federal or state legislation and regulation on climate change could result in increased capital expenditures to improve the energy efficiency of our existing stores and other facilities and could also require us to spend more on new stores or facilities without a corresponding increase in revenue.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operational success depends on our ability to develop, maintain and extend relationships with managed vision care companies, vision insurance providers and other third-party payors.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increasing percentage of our customers receive vision insurance coverage through managed care payors. These payors represent an increasingly significant portion of our overall revenues and our revenue growth and represented approximately 35% of our overall revenues in fiscal year 2023. While we have relationships with almost all vision care insurers in the U.S. and with all of the major carriers, a relatively small number of payors currently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retail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 and are dependent on a limited number of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our contracts for the supply of eyeglass lenses and our private label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merchandise to us;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competitors that could impair our ability to sell their products, including by giving our competitors exclusivity arrangements or limiting our access to certain products;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return merchandise purchased from them;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their products to retail customers directly through their own stores, catalogs or on the Internet and compete with us directly.</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source merchandise directly from suppliers outside of the U.S.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public health emergencies, and economic uncertainties in the countries from which we or our vendors source our products. Moreover, negative press or reports about internationally manufactured products may sway public opinion, and thus customer confidence, away from the products sold in our stores. These and other issues affecting our international vendors or internationally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manufactured merchandise could have a material adverse effect on our business, financial condition and results of operations.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U.S. were to withdraw from or materially modify any other international trade agreement to which it is a party or if the U.S. imposes significant additional tariffs or other restrictions on imports from Mexico, where our outsourced optical laboratories are located, or China, where the majority of our frames are sourced and manufactured, it could have an adverse impact on our business. Any such tariffs, restrictions or other changes could lead to additional costs, delays in shipments, embargoes or other uncertainties that could negatively impact our relationships with our international vendors and labs and materially adversely affect our business, including by requiring us to increase our prices and identify alternative sources for merchandise and labs. For example, we source merchandise from suppliers located in China and a significant amount of domestically-purchased merchandise is manufactured in China. Historically, tariffs have not materially affected our financial results, and we believe that less than 10% of costs applicable to revenue are subject to tariffs on Chinese imports; however, tariff rates are subject to change and have varied over the past few years. Effective September 1, 2019, the U.S. government implemented a 15% tariff on specified products imported into the U.S. from China and, effective February 14, 2020, the 15% tariff was reduced to 7.5%. In June 2020, the U.S. government granted a temporary exclusion for plastic and metal frames with a retroactive effective date of September 1, 2019, and such exclusion expired in September 2020. Given the current U.S. presidential administration, there is uncertainty as to whether there will be any changes to U.S. government trade policy and what the resulting impacts of those changes may be. 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 In connection with the MSA Termination, and as part of an ongoing effort to reduce exposure to China, we recently terminated our outsourced laboratory relationship in China.</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changes in the pricing practices of our suppliers could negatively impact our profitability. For example, we have in the past been subject to the unilateral pricing policies implemented by certain contact lens manufacturers, which mandated the minimum prices at which certain contact lenses could be sold to consumers. Such manufacturers could refuse to supply us with their products if they deem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 We have faced such price increases previously and could face material changes in the future, impacting our ability to continue to provide our products to customers at competitive prices.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rely on a limited number of vendors to supply the majority of our eyeglass lenses and contact lenses and are thus exposed to concentration of supplier risk. In particular, we have agreed to exclusively purchase almost all of our eyeglass lenses from one supplier. During fiscal year 2023, 89% of lens expenditures were from this vendor and 92% of contact lens expenditures were with three vendors. We are less exposed to a supplier risk for our eyeglass frames as only 60% of frame expenditures were with two vendors. If we were to lose any significant supplier, we may be unable to establish additional or replacement sources for our products that meet our quality controls and standards in a timely manner, on commercially reasonable terms or at all. As a few major suppliers dominate the optical retail industry, the risks associated with finding alternative sources may be exacerbated.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heavily on our information technology systems for many functions across our operations, including ERP, managing our supply chain and inventory, processing customer transactions in our stores, allocating lens processing jobs to the appropriate laboratories, providing and maintaining our remote medicine and EHR platforms, our financial accounting and reporting systems, maintenance of certain of our cybersecurity programs, CRM and customer engagement efforts, operating our websites, growing our omni-channel and e-commerce business, and human resources administration. Our ability to effectively manage our business and coordinate the sourcing,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 and sale of our products depends significantly on the reliability and capacity of these systems. We also collect, process and store sensitive and confidential information, including our proprietary business information and that of our customers, associates, suppliers and business partners. The secure processing, maintenance and transmission of this information is critical to our operations.</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systems may be subject to damage or interruption from power outages or damages, telecommunications problems, data corruption, software errors, network failures, acts of war or terrorist attacks, fire, flood, ransomware attacks, and natural disasters. Our existing safety systems, data backup, access protection, user management and information technology emergency planning may not be sufficient to prevent data loss or long-term network outages. In addition, we may need to upgrade our existing information technology systems or choose to incorporate new technology systems from time to time in order for such systems to support the increasing needs of our expanding business. Costs and potential problems or interruptions associated with the implementation of new or upgraded systems and technology or with maintenance or adequate support of existing systems could disrupt or reduce the efficiency of our operations. In particular, we are in the process of implementing a new ERP system. This system will replace many of our existing operating and financial systems. The implementation is a major undertaking, both financially and from a management and personnel perspective. Any material disruptions, delays or deficiencies in the design and implementation of our new ERP system could adversely affect our ability to process orders, ship products, provide services and customer support, send invoices and track payments, fulfill contractual obligations or otherwise operate our business.</w:t>
      </w:r>
    </w:p>
    <w:p>
      <w:pPr>
        <w:spacing w:after="0" w:line="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systems and those of our third-party service providers and business partners may be vulnerable to security breaches, attacks by hackers, acts of vandalism, computer viruses, misplaced or lost data, human errors, or other similar events and are from time to time subject to such incidents. Security breaches, computer malware and computer hacking have become more prevalent across industries and are increasing in their frequency, level of persistence, sophistication and intensity, and are being conducted by sophisticated, organized groups and individuals. We may face increased cybersecurity risks due to our reliance on Internet technology and the increased number of employees working remotely following the pandemic. If unauthorized parties gain access to our networks or databases or those of our third-party service providers or business partners they may be able to steal, publish, delete, use inappropriately or modify our private and sensitive third-party information including protected health information, payment card information and personal identification information. In addition, associates may intentionally or inadvertently cause data or security breaches that result in unauthorized release of sensitive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vulnerabilities or implement adequate preventive measures for all situations. Like most corporations, our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or negative publicity that could adversely affect our financial condition, results of operations and reputation.</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timely manner or at all, which could negatively impact our relationship with managed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may reduce or eliminate coverage or reimbursement rates of insurance-funded eye exams or eyewear.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arrangements we have implemented with optometrists and professional corporations or similar entities owned by eye care practitioners could subject us to scrutiny by federal and state regulatory bodies regarding federal and state anti-kickback,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 as well as fines and penalties for dispensing prescription eyewear without such licensed professionals.</w:t>
      </w:r>
    </w:p>
    <w:p>
      <w:pPr>
        <w:spacing w:after="0" w:line="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w:t>
      </w:r>
    </w:p>
    <w:p>
      <w:pPr>
        <w:spacing w:after="0" w:line="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State legislators and regulators may also be reluctant to accept telehealth and remote medicine as an additional way to provide access to quality patient care. Recently, there has been an increase in legislative and rulemaking activity that creates disparity across jurisdictions with respect to how telehealth is regulated and how we are able to implement our remote medicine solution. Our ability to launch our remote medicine solution in certain jurisdictions or in the most cost-efficient manner is highly dependent on the evolution of these state-by-state requirements and restrictions. Some states have taken positions on telehealth that significantly limit our ability to deploy our current remote medicine solution, or that prohibit the use of telehealth by optometrists to conduct eye examinations. The ever-changing regulatory landscape may cause disruption as we launch our remote medicine solution in various states, causing us to significantly reconfigure the solution or potentially decide to not deploy the solution in that particular state. This may have an abrupt and material effect on our business operations or financial status. If a legal challenge to our chosen remote medicine solution were successful, and we are unable to modify the model to comply with the requirements and still meet the needs of patients and optometrists, this may have a material effect on our business operations or financial status in that jurisdiction. We cannot provide any assurances that we will not be subject to reprimands, sanctions, probation, fines, suspension or revocation of operating or business permits, or that our ability to offer remote medicine services in that jurisdiction will not be challenged. We also may be the subject of administrative complaints or actions in the future. Our ability to recruit optometrists who are willing and able to provide telehealth services where permitted may be affected by their respective licensing authorities or state optometry boards or association’s view on telehealth practice. We must continuously monitor legislative and rulemaking activities for changes in telehealth requirements and work with various stakeholders to educate lawmakers on how remote optometry services may be provided safely and effectively. We cannot guarantee that our interpretation of existing or future requirements is aligned with how regulators may interpret such requirements, and we cannot assure that, if challenged, our current remote medicine solution will be found to be in compliance with the law.</w:t>
      </w:r>
    </w:p>
    <w:p>
      <w:pPr>
        <w:spacing w:after="0" w:line="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or insurance-like arrangements.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or be at risk of cease and desist orders and monetary penalties.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physician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payment under federally funded programs.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false advertising to consumers or corporate practice of optometry prohibitions. To the extent our promotional programs are found to be inconsistent with applicable laws, we may be required to restructure or discontinue such programs, or be subject to other significant penalties.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Eyeglasses and contact lenses are regulated as medical devices in the U.S.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regulations could have severe consequences, including the closure of our stores, possible breaches of the agreements relating to certain of our brands, changes to our way of doing business and the imposition of fines and penalties.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managed vision care laws and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America’s Best operations in California, and the suspension or loss of our license or our failure to otherwise comply with applicable regulatory requirements could have a material adverse impact on such business in California.</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adversely affect our business, operations and financial performance.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as well as our operations as a business associate to multiple healthcare providers. HIPAA has several rules with which we must comply, including the HIPAA Privacy, Security, and Breach Notification rules. Each of these rules sets forth specific standards and controls that covered entities and business associates must implement, and ongoing implementation of these requirements take significant time, effort and resources, including external resources to audit compliance against these rules. While we take precautions to detect and prevent non-compliance among our employees, subcontractors and service providers, it is not always possible to identify and deter misconduct related to unauthorized access, use, disclosure or destruction of PHI.</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there are existing state privacy, security and breach notification laws and regulations that apply to both PHI and PII collected and/or processed by us. These existing laws and regulations may be amended and states may adopt new laws or regulations regarding consumer data privacy and individual rights to their data (such as rights to request a business for access to, deletion or modification of, or a portable copy of such individual’s personal information). In the states that have already implemented comprehensive consumer privacy and data protection laws, individuals also have the right to receive detailed information about how their personal information is used and shared with service providers, contractors, and third parties. Moreover, such individuals can opt out of the sharing of their personal information and restrict the use of cookies and similar tracking technologies for non-essential purposes. Our failure to effectively implement the required or addressable data privacy and security safeguards, breach notification procedures, and implement consumer data rights processes, or our failure to accurately anticipate the application or interpretation of these statutes,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loss of consumer trust, and have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and privacy is increasingly demanding, with the frequent imposition of new and changing requirements across our business. For instance, as an entity that collects and maintains PII and PHI, we could be forced, in the event of a data breach, to report the breach not only to affected customers, but also to various public agencies and media outlets, potentially harming our reputation and our business. Our business partners may have contractual rights of indemnification against us or seek to terminate our contracts with them in the event that their customer or proprietary business information is released as a result of a breach of our information technology. Additionally, business partners may also face a data breach, allowing for our customer or proprietary business information to be released, which could result in a loss of consumer confidence in our security measures, harm our business and also lead to costly investigations and litigation. Such a breach also may not be adequately covered under contractual rights of indemnification or by cyber insurance. Further, if we are unable to comply with the security standards established by banks and the payment card industry, we may be subject to fines, restrictions or expulsion from card acceptance programs, which could adversely affect our retail operations. As privacy and information security laws and regulations change and vary from state to state, we may incur additional compliance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product liability, product recall or personal injury issues.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or face fines or penalties which could materially adversely affect our financial results.</w:t>
      </w: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vision care and healthcare laws and regulations discussed above, we are subject to numerous federal, state, local and foreign laws and governmental regulations including those relating to environmental protection, building, land use and zoning requirements, workplace regulations, wage and hour, privacy and information security, consumer protection, immigration, and employment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transactions with vendors engaged in international trade including the non-U.S. laboratories we contract with may subject us to the FCPA and trade sanction laws, and similar anti-corruption, anti-bribery and international trade laws, any violation of which could create substantial liability for us and also harm our reputation.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four laboratories in the U.S. and our in-store laboratories at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of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We rely on third-party vendors to handle PCI matters and ensure compliance. Any material interruptions or failures in our payment-related systems could have a material adverse effect on our business, financial condition and results of operations. If there are amendments to the PCI Standard, the cost of compliance with new requirements could also be substantial and we may suffer loss of critical data and interruptions or delays in our operations as a result.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judgments or settlements resulting from legal proceedings relating to our business operations could materially adversely affect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shareholders, customers, associates, governmental or regulatory bodies, or competitors and may include class actions. Defending against such claims and proceedings is costly and time consuming and may divert management’s attention and resources from our normal business operations, and the outcome of many of these claims and proceedings cannot be predicted. If any of these claims or proceedings were to be determined adversely to us, if a judgment, a fine or a settlement involving a payment of a material sum of money were to occur, or if injunctive relief were issued against us, our business, financial condition and results of operations could be materially adversely affected.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and may in the future be the target of securities-related litigation. Litigation can divert our management’s attention and resources, result in substantial costs, and have an adverse effect on our business, results of operations, financial condition and stock price.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director and officer insurance to mitigate the risks associated with potential claims; however, we are responsible for meeting certain deductibles under such policies, and there can be no assurance that our insurance coverage will adequately protect us from all claims made against us. Further, as a result of the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There also may be adverse publicity associated with litigation that could negatively affect customer perception of our business and materially damage our reputation.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ultimately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indebtedness which could adversely affect our business and financial position, including by limiting our business flexibility and preventing us from meeting our debt obligations.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30, 2023, we had approximately $448.7 million of aggregate principal amount of indebtedness associated with our first lien term loan in the aggregate principal amount of $146.3 million (the “Term Loan A”) due in 2028, subject to springing maturity, and $302.5 million of 2.50% convertible senior notes due on May 15, 2025 (the “2025 Notes”) outstanding (excluding finance lease obligations). Our leverage could have a number of consequences for us, including:</w:t>
      </w:r>
    </w:p>
    <w:p>
      <w:pPr>
        <w:spacing w:after="0" w:line="7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capitalizing on business opportunities;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execution of our business strategy, debt service requirements, acquisitions or other general corporate purposes;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effecting any of these alternatives. Any refinancing of our debt could be at higher interest rates and may require us to comply with more onerous covenants, which could further restrict our business operations. In addition to refinancing, we may elect to deploy capital to reduce outstanding debt and such capital deployment would reduce our ability to use funds for other purposes. For example, we repurchased $100.0 million aggregate principal amount of our 2025 Notes in November 2023, and the Company is continuing to evaluate its alternatives in light of the impending maturity date of the 2025 Notes on May 15, 2025, including, repayment, refinancing and further repurchase prior to maturity. The Company may also elect to pay all or a portion of the conversion price relating to the 2025 Notes in cash to the extent a holder elects to convert.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interest rates may adversely affect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30, 2023, $146.3 million of term loan borrowings were subject to variable interest rates and we had total borrowings of $448.7 million with a weighted average borrowing rate of 3.4%, inclusive of the effects of our interest rate collar. In fiscal year 2021, following the maturity of the interest rate swaps, the interest rate collar hedged some of the variability in our interest rates. A decrease in the applicable rate below a certain threshold could require payments to the counterparty of our interest rate collar derivative and could materially reduce our profitability and cash flows. An increase in interest rates, whether because of an increase in market interest rates or a decrease in our creditworthiness, could increase the cost of servicing our debt and could materially reduce our profitability and cash flows.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on January 1, 2022, the publication of the one-week and two-months U.S. Dollar LIBOR maturities and all non-U.S. Dollar LIBOR maturities ceased and the remaining U.S. Dollar LIBOR maturities ceased immediately after June 30, 2023. Accordingly, many of our existing LIBOR obligations that were not already replaced by a different rate, transitioned to another benchmark after June 30, 2023. At this time, it is not possible to predict the full effect that the discontinuance of LIBOR, or the establishment of alternative reference rates such as SOFR, will have on us or our borrowing costs and such changes may result in an increase in the cost of our variable rate indebtedness. SOFR is a relatively new reference rate and its composition and characteristics are not the same as LIBOR. Given the limited history of this rate and potential volatility as compared to other benchmark or market rates, the future performance of this rate cannot be predicted based on historical performance.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that limit our flexibility in operating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modify the terms of certain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2025 Notes could dilute the ownership interest of existing stockholders or may otherwise depress the price of our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30, 2023, $302.5 million aggregate principal amount of our 2025 Notes were outstanding. The 2025 Notes are convertible into cash, shares of common stock or a combination of cash and shares of common stock at our election, based on the applicable conversion rate at such time. Prior to February 15, 2025, the 2025 Notes are convertible at the option of the holders of such notes under certain circumstances as provided in the governing indenture and, as of December 30, 2023, those circumstances were not in effect. As of December 30, 2023, based on the initial conversion rate of the 2025 Notes, which is subject to adjustment, the 2025 Notes are convertible into 9.7 million shares of our common stock with a maximum possible issuance of 12.4 million shares. The conversion of some or all of the 2025 Notes could dilute the ownership interests of existing stockholders to the extent we elect to deliver shares of our common stock upon conversion of any of the 2025 Notes. Any sales in the public market of the common stock issuable upon such conversion could adversely affect prevailing market prices of our common stock.</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including 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investors may not receive any return on investment unless they sell their common stock for a price greater than that which they paid for it.</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investors may not receive any return on an investment in our common stock unless they sell our common stock for a price greater than their purchase price.</w:t>
      </w: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in parity with our common stock, which may reduce its value.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developed processes for assessing, identifying and managing material risks from cybersecurity threats. Our enterprise risk assessment and management system incorporates risks from cybersecurity threats alongside other risks to the Company. We also have a management level risk management council that supports our processes to assess and manage cybersecurity and other risks. Our information security team oversees and implements security controls designed to minimize the risk or impact of any breach or unauthorized disclosure of our confidential and sensitive data, including protected health and personal information. These controls include endpoint protection and response software (anti-virus), network intrusion detection devices, a vulnerability management program, IT and third-party risk management programs, and multifactor authentication. We provide annual security awareness training for corporate and store associates, and we administer periodic phishing testing and training to associates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who have access to a company email address. The security of the National Vision network is monitored by a Security Operations Center (“SOC”), which works with our information security team with the aim of preventing realization of attacks by threat actors. We also maintain an incident response plan which, among other things, is designed to mitigate the impact of an incident, assist in restoring normal business operations, comply with applicable regulatory obligations arising from an incident and prevent similar future incidents. Our risk management processes also address cybersecurity threat risks associated with our use of third-party service providers. Our Chief Technology Officer (“CTO”) collaborates with our information security and legal teams to conduct periodic table-top exercises and testing of our data security and incident response procedures. Periodically, we engage specialized third parties to conduct exercises that stress test our data security systems and practice company-wide response tactics. We also conduct third-party HIPAA risk assessments to identify and catalog potential risks to health data.</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are not aware of any cybersecurity threats that have materially affected or are reasonably likely to materially affect us, including our business strategy, results of operations, or financial condition. However, as discussed under “Item 1A. Risk Factors –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the sophistication of cyber threats continues to increase, and the actions we take to reduce the risk of cyber incidents and protect our systems and information may be insufficient. As such, no matter how well our controls are designed or implemented, we cannot assure that we will be able to anticipate all security breaches, and we may not be able to implement effective preventive measures against such security breaches in a timely manner.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CTO oversees our approach to cybersecurity and is responsible for assessing and managing our material risks from cybersecurity threats. Our CTO has served in this role at the Company since 2020, and has more than 25 years of experience in the aggregate in various senior roles involving managing global information technology and security teams spanning strategy, implementation, operations and compliance. The Vice President of Information Technology Infrastructure collaborates with the CTO and a supporting team to maintain and update the Company’s technology infrastructure and corresponding safety measures. Our VP of Information Technology Infrastructure has served in this role at the Company for over six years, has over 25 years of experience in information technology systems and holds a bachelor of science degree in computer information systems.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CTO is informed about, and monitors the prevention, detection, mitigation and remediation of, cybersecurity incidents through the management of and participation in the cybersecurity risk management and strategy processes described above, including the operation of our incident response plan. When a cybersecurity incident occurs or we identify a vulnerability, we have cross-functional teams that are responsible for leading the initial assessment of priority and severity, and external experts may also be engaged as appropriate.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oversees our enterprise risk management process, which includes risks from cybersecurity threats. The audit committee regularly receives reports from management with respect to risks from cybersecurity threats and quarterly reviews cybersecurity and data security risks and mitigation strategies, along with program assessments, planned improvements and the status of information technology initiatives with the CTO. These risks and mitigation strategies are also periodically reviewed by the entire Board.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lease all of our America’s Best and Eyeglass World retail stores. Our leases generally have noncancelable lease terms of between five and 10 years, with an option to renew for additional terms of one to 10 years or more. In recent years, we have entered into more leases with 10-year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occupy our Host locations through master agreements with our Host partners, which contain standard terms and conditions, such as fixed and percentage-based payments.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summary of our stores by location as of December 30, 2023 is shown below. This summary includes the Legacy stores we operated as of December 30, 2023. As a result of the MSA Termination, we no longer operate the Legacy stores listed below. Refer to Item 1. “Our Business - Overview of Our Brands and Omni-channel &amp; E-commerce Platform” for more information on the MSA Termination.</w:t>
      </w:r>
    </w:p>
    <w:p>
      <w:pPr>
        <w:sectPr>
          <w:pgSz w:w="11900" w:h="16838" w:orient="portrait"/>
          <w:cols w:equalWidth="0" w:num="1">
            <w:col w:w="11260"/>
          </w:cols>
          <w:pgMar w:left="320" w:top="121" w:right="319" w:bottom="1440" w:gutter="0" w:footer="0" w:header="0"/>
        </w:sectPr>
      </w:pP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1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America’s</w:t>
            </w:r>
          </w:p>
        </w:tc>
        <w:tc>
          <w:tcPr>
            <w:tcW w:w="11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Eyeglass</w:t>
            </w:r>
          </w:p>
        </w:tc>
        <w:tc>
          <w:tcPr>
            <w:tcW w:w="108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08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29"/>
        </w:trPr>
        <w:tc>
          <w:tcPr>
            <w:tcW w:w="980" w:type="dxa"/>
            <w:vAlign w:val="bottom"/>
            <w:tcBorders>
              <w:left w:val="single" w:sz="8" w:color="auto"/>
            </w:tcBorders>
            <w:vMerge w:val="continue"/>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Best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980" w:type="dxa"/>
            <w:vAlign w:val="bottom"/>
            <w:tcBorders>
              <w:left w:val="single" w:sz="8" w:color="auto"/>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AK</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AL</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AZ</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CO</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FL</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GA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HI</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4"/>
              </w:rPr>
              <w:t>IL</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3"/>
              </w:rPr>
              <w:t>KS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KY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LA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ME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3"/>
              </w:rPr>
              <w:t>MI</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MO</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MS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6"/>
        </w:trPr>
        <w:tc>
          <w:tcPr>
            <w:tcW w:w="1000" w:type="dxa"/>
            <w:vAlign w:val="bottom"/>
            <w:tcBorders>
              <w:top w:val="single" w:sz="8" w:color="auto"/>
              <w:lef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12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America’s</w:t>
            </w:r>
          </w:p>
        </w:tc>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Eyeglass</w:t>
            </w:r>
          </w:p>
        </w:tc>
        <w:tc>
          <w:tcPr>
            <w:tcW w:w="108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080" w:type="dxa"/>
            <w:vAlign w:val="bottom"/>
            <w:tcBorders>
              <w:top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29"/>
        </w:trPr>
        <w:tc>
          <w:tcPr>
            <w:tcW w:w="1000" w:type="dxa"/>
            <w:vAlign w:val="bottom"/>
            <w:tcBorders>
              <w:left w:val="single" w:sz="8" w:color="auto"/>
            </w:tcBorders>
            <w:vMerge w:val="continue"/>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Best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0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NC</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NE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NH</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NJ</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NM</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NV</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OH</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OK</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3"/>
              </w:rPr>
              <w:t>PA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RI</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TX</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UT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5"/>
              </w:rPr>
              <w:t>VA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VT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4"/>
              </w:rPr>
              <w:t>WA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WI</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WV</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WY</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340" w:lineRule="exact"/>
        <w:rPr>
          <w:sz w:val="20"/>
          <w:szCs w:val="20"/>
          <w:color w:val="auto"/>
        </w:rPr>
      </w:pPr>
    </w:p>
    <w:p>
      <w:pPr>
        <w:sectPr>
          <w:pgSz w:w="11900" w:h="16838" w:orient="portrait"/>
          <w:cols w:equalWidth="0" w:num="2">
            <w:col w:w="5400" w:space="420"/>
            <w:col w:w="5440"/>
          </w:cols>
          <w:pgMar w:left="320" w:top="1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Note: ‘Other’ includes Vista Optical in Fred Meyer stores and on military bases. There is one Vista Optical location in Puerto Rico.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laboratories in Georgia, Texas and Utah and distribution centers in Georgia and Ohio, and we own our laboratory in Minnesota.</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corporate offices are located in leased space in Duluth, Georgia. In addition, we lease office space for our FirstSight corporate office in Upland, California and leased office space for our AC Lens corporate office in Columbus, Ohio through February 2024.</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12.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executive officers is incorporated by reference from Part III—Item 10 of this annual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“EYE.”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16, 2024, there were approximately 12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30, 2023, we did not purchase any of our equity securities that are registered under Section 12(b) of the Exchange Act.</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Effective November 8, 2021, the Company’s Board of Directors (the “Board”) authorized the Company to repurchase up to $50 million aggregate amount of shares of the Company’s common stock. On November 29, 2021, the Board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During fiscal years 2023, 2022, and 2021, the Company repurchased 1.1 million shares of its common stock for $25.0 million, 2.7 million shares of its common stock for $80.0 million, and 1.4 million shares of its common stock for $69.9 million, respectively,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dividends in the past and have no current plans to pay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below presents the Company’s cumulative total stockholder returns relative to the performance of the Nasdaq Global Composite Index and the Nasdaq US Benchmark Retail Index commencing December 28, 2018 and through December 29, 2023. All values assume a $100 initial investment in the Company’s common stock on Nasdaq and data for the Nasdaq Global Composite Index and the Nasdaq US Benchmark Retail Index assumes all dividends were reinvested on the date paid. The points on the graph represent fiscal year-end values based on the last trading day of each fiscal year.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5349240" cy="3103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We conduct substantially all of our activities through our indirect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2023” relate to the 52 weeks ended December 30, 2023, references herein to “fiscal year 2022” relate to the 52 weeks ended December 31, 2022 and references herein to “fiscal year 2021” relate to the 52 weeks ended January 1, 2022.</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largest optical retailers in the United States (the “U.S.”)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We reach our customers through a diverse portfolio of 1,413 retail stores across five brands and 13 consumer websites as of fiscal year end 2023.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Segment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30, 2023, our operations consisted of two reportable segments:</w:t>
      </w:r>
    </w:p>
    <w:p>
      <w:pPr>
        <w:spacing w:after="0" w:line="99" w:lineRule="exact"/>
        <w:rPr>
          <w:sz w:val="20"/>
          <w:szCs w:val="20"/>
          <w:color w:val="auto"/>
        </w:rPr>
      </w:pP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fiscal year end 2023, our owned brands consisted of 957 America’s Best Contacts and Eyeglasses (“America’s Best”) retail stores and 148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offer eye exams, provided primarily by independent optometrists and optometrists employed by independent professional corporations or similar entities, and have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fiscal year end 2023.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As of fiscal year end 2023, we managed the operations of, and supplied inventory and laboratory processing services to, 225 Vision Centers in Walmart retail locations. On July 20, 2023, we received a notice of non-renewal from Walmart of the Walmart MSA. The Walmart MSA terminated on February 23, 2024 and we no longer operate Vision Centers for Walmart. Refer to Note 2. “Termination of Walmart Partnership” included in Part II. Item 8. of this Form 10-K for further information. During fiscal year 2023, sales associated with this arrangement represented 7.1% of consolidated net revenue.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for all periods presented in this Form 10-K also include the following activity recorded in our Corporate/Other category: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5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platform managed by AC Lens comprising multiple proprietary branded websites and third-party websites with established retailers and mid-sized vision insurance providers. AC Lens handles site management, CRM and order fulfillment and also sells a wide variety of contact lenses, eyeglasses and eye care accessories. In 2024, we will wind down AC Lens operations, including the closure of the Ohio distribution center, which largely supported the wholesale distribution and e-commerce contact lens services that the Company has provided to Walmart and Sam’s Club. We are reviewing our portfolio of websites and deciding how best to position the portfolio after the wind down of the AC Lens operations.</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contact lenses distribution to Walmart and Sam’s Club by AC Lens. We incur costs at a higher percentage of sales than other product categories. AC Lens sales associated with Walmart and Sam’s Club contact lenses distribution arrangements represented 6.9% of consolidated net revenue during fiscal year 2023. In connection with the MSA Termination, AC Lens has delivered notices of non-renewal of the agreements it has with Walmart and Sam’s Club such that those agreements are expected to terminate on June 30, 2024.</w:t>
      </w:r>
    </w:p>
    <w:p>
      <w:pPr>
        <w:jc w:val="both"/>
        <w:ind w:left="660" w:hanging="328"/>
        <w:spacing w:after="0" w:line="238" w:lineRule="auto"/>
        <w:tabs>
          <w:tab w:leader="none" w:pos="65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Managed care business conducted by FirstSight, our wholly-owned subsidiary that is licensed as a single-service health plan under California law, which issues individual vision plans in connection with our America’s Best operations in California and, until the termination of the agreement between FirstSight and Walmart on February 23, 2024, arranged for the provision of optometric services at the offices next to certain Walmart stores throughout California.</w:t>
      </w: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(“U.S. GAAP”), specifically the change in unearned and deferred revenues during the period. There are no revenue transactions between reportable segments, and there are no other items in the reconciliations other than the effects of unearned and deferred revenue. See Note 15. “Segment Reporting” in our consolidated financial statements included in Part II. Item 8. of this Form 10-K.</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Unearned revenue represents the timing difference of when we collect cash from the customer and 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remained focused on our long-term growth initiatives despite the ongoing macroeconomic uncertainty. We opened 70 new stores in 2023, and as of December 30, 2023 enabled remote medicine in over 500 stores.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growth initiatives include, but are not limited to, continuing with the expansion of our remote medicine capabilities; maintaining and improving our optometric retention levels; increasing our marketing efficiency and omnichannel capabilities; increasing our participation in vision insurance programs; the further digitization of our stores and corporate office; continuing to position ourselves to capture whitespace opportunity for our stores; and incorporating our corporate sustainability strategy into our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the highly competitive and fragmented U.S. optical retail industry. We face competition from mass merchants, specialty retail chains, online retailers and independent eye practitioners and opticians, along with large national retailers. Increased consolidation activity in the industry may enable our competitors to benefit from purchasing advantages and the ability to leverage management capabilities across a larger business base. Along with our competitors, we are affected by a number of various trends and factors, including, but not limited to, economic conditions, availability of vision care professionals, inflation, consumer preferences and demand.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continues to be challenging and macroeconomic factors that may affect customer spending patterns, and thereby our results of operations, include inflation, employment rates, business conditions, changes in the housing market, the availability of credit, interest rates, tax rates and fuel and energy costs.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are investing in the digitization of our stores, including remote medicine capabilities and an EHR platform. As of December 30, 2023, remote medicine technology has been enabled in over 500 of our America’s Best locations. We believe remote medicine not only helps provide more access to eye care for patients, it also helps address constraints in exam capacity. We have also invested in the transition to an EHR platform. We anticipate continuing the investment in these capabilities primarily in America’s Best stores in the near term, including implementing the EHR platform in all America’s Best locations by the end of 2024. While the remote medicine and EHR platforms have increased exam capacity, revenue and profitability, we have experienced higher costs applicable to revenue as a percentage of revenue, when compared with in-store exams.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continue to attract and retain qualified vision care professionals may affect exam capacity. Our operations, like those of many of our competitors, depend on our ability to offer both eyewear and eye exams. We believe the impacts of the COVID-19 pandemic on vision care professional availability, including a competitive recruiting market and preferences for adjusted work schedules, and the demand for optometrists exceeding supply in certain areas during fiscal year 2023 have caused constraints in exam capacity which are continuing. Due to these factors, the costs to employ or retain optometrists have increased and may increase further, potentially materially. Targeted wage investments, including increases in compensation for our optometrists and associates, and flexibility initiatives have impacted our costs applicable to revenue and selling, general and administrative expenses. We</w:t>
      </w:r>
    </w:p>
    <w:p>
      <w:pPr>
        <w:spacing w:after="0" w:line="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anticipate that wage pressures in certain markets will continue in 2024. Wage investment pressure and increases to costs applicable to revenue from increases in raw materials prices may not be able to be fully offset by leverage from revenue growth, productivity efficiency and, as appropriate, various pricing actions. We are continuing to strategically invest in recruitment and retention initiatives, including flexible adjusted work schedules, along with continuing our implementation of remote medicine technologies, which has expanded our offerings while also increasing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there are ranges of customer behaviors based on demographics and other factors, it is estimated that optical consumers typically replace their eyeglasses every two to three years and their contact lenses every six to 12 months, reflecting the predictability of these recurring purchase behaviors; however, the effects of the current macroeconomic environment and geopolitical uncertainty, as well as the ongoing effects of the COVID-19 pandemic, resulted in reduced customer demand in 2023 and have caused shifts in consumer behaviors and preferences, which impact the demand for our products. As a result, the predictability of recurring purchase behavior for the future remains uncertain.</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central factors impacting our business outlined above, we have identified the following key drivers, challenges and risks on which we are focused and which are detailed below</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Rising inflation can result in increased costs and greater profitability pressure for us. While pressures from increases to the price of our raw materials have had an impact on our costs applicable to revenue in fiscal year 2023, we have been able to offset these pressures with efficiencies in our laboratory network, pricing actions and lower freight costs. We anticipate that pressures from increases to our raw materials prices could have an impact on our costs applicable to revenue in fiscal year 2024. Such an inflationary environment and labor market challenges can also result in wage pressures in certain markets. Wage investments as a result of inflation and an increasingly competitive recruiting market for vision care professionals due to the pandemic and related effects have had, and may continue to have, an impact on our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time of year of a particular opening, the amount of store pre-opening costs, labor and occupancy costs in the specified market, level of participation in managed care plans, and location, including whether they are in new or existing markets.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Store Sales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jc w:val="center"/>
        <w:ind w:left="5540" w:right="280" w:hanging="5208"/>
        <w:spacing w:after="0" w:line="783"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preferences and buying trends and overall economic trends including inflation and the amount and timing of tax refunds;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optometrists and other vision care professionals;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strategies;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managed care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nature of eye care 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customer preferences and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assortment of high quality/low-cost product offerings that generate new and repeat visits to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traffic in retail shopping centers where our stores are predominantly located;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experience we provide in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receive products accurately and timely;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including promotional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items purchased per store visit;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that have been in operation for more than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competition and consolidation in the U.S. optical retail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timing of weather-related store closures;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 like COVID-19, which may exacerbate the effects and relevant risk exposures listed above.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Care and Insurance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Managed care has become increasingly important to the optical retail industry. An increasing percentage of our customers receive vision care insurance coverage through managed care payors. Our participation in these programs represent an increasingly significant portion of our overall revenues and represented approximately 35% of our overall revenues in fiscal year 2023. While we have relationships with almost all vision care insurers in the U.S.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comparable store sales growth as noted above as well as overall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a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results of operations reflect the impact of our ongoing investments in infrastructure to support our growth. We have made and continue to make significant investments in information technology systems, including those to support our point-of-sale system, ERP, supply chain systems, marketing, and personnel, as well as experienced industry executives, and management and merchandising teams to support our long-term growth objectives. We intend to continue to make targeted investments in our infrastructure to support our growth and continue the digitization of our stores and corporate office.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Strategy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 Effective May 9, 2022, we changed the price of our America’s Best signature offer to “two pairs of eyeglasses for $79.95, including a free eye exam” from its prior $69.95 price. Effective March 14, 2022, we changed the price of our Eyeglass World opening offer to “two pairs of eyeglasses for $89” from its prior price of $78. We believe that these changes will enable us to continue to offer the best possible value and service to our customers at prices that allow us to maintain our brands’ strong value propositions in the marketplace.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Results and Seasonality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are value seeking and lower income consumers who rely on tax refunds to pay for eyewear and eye care.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the following fiscal period due to our policy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 Changes in consumer behavior driven by lingering effects of the COVID-19 pandemic have resulted in a departure from seasonal norms we have experienced in recent years and may continue to disrupt the historical quarterly cadence of our results of operations for an unknown period of time.</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years 2023 and 2022, approximately 24% and 23% of our revenue was recorded in the fourth quarter, but approximately 25% and 26% of annual SG&amp;A costs were recorded in the respective fourth quarters of these fiscal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Walmart partnership termination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termination of the Walmart partnership and related wind down of AC Lens operations will impact our revenues and profitability. Effective as of February 23, 2024, the Company has completed the transition of 229 Walmart Vision Center stores. Additionally, the agreements governing our provision of contact lens distribution and related services to Walmart and Sam’s Club will terminate effective as of June 30, 2024. The Company will wind down its remaining AC Lens operations, including the closure of its Ohio distribution center, which largely supported the whole distribution and e-commerce contact lens services that we provided to Walmart and Sam’s Club. We are planning to transition the order fulfillment functions currently handled by AC Lens to a third-party vendor. While we are seeking to reduce costs and replace lost business with new America’s Best or Eyeglass World stores and by other means, including non-headline pricing actions, we may not be successful in our efforts, which could impact our revenues and profitability. In fiscal year 2023, we have incurred costs in connection with the MSA Termination and related wind down of AC Lens operations. We anticipate that we will incur approximately $8 million of additional costs in fiscal year 2024.</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which are described further in Note 1. “Business and Significant Accounting Policies,” to our consolidated financial statements included in Part</w:t>
      </w:r>
    </w:p>
    <w:p>
      <w:pPr>
        <w:spacing w:after="0" w:line="1" w:lineRule="exact"/>
        <w:rPr>
          <w:sz w:val="20"/>
          <w:szCs w:val="20"/>
          <w:color w:val="auto"/>
        </w:rPr>
      </w:pPr>
    </w:p>
    <w:p>
      <w:pPr>
        <w:ind w:firstLine="8"/>
        <w:spacing w:after="0" w:line="260" w:lineRule="auto"/>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8. of this Form 10-K. In addition, we also review store growth, Adjusted Comparable Store Sales Growth, Adjusted Operating Income, Adjusted Operating Margin, Adjusted EBITDA, Adjusted EBITDA Margin and Adjusted Diluted EPS.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We opened 70 stores during fiscal year 2023. We will continue to monitor and determine our plans for future new store openings based on health, safety and economic conditions.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Operating Income, Adjusted Operating Margin, Adjusted EBITDA, Adjusted EBITDA Margin, and Adjusted Diluted EPS (collectively, the “Company Non-GAAP Measures”)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 percentage and store data</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1,718,344</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361,181</w:t>
            </w: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2,079,525</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633,116</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271,663</w:t>
            </w: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904,779</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900,798</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97,089</w:t>
            </w: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23"/>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999,809</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174,937</w:t>
            </w: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149,325</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operating data:</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9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Operating Income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204,749</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9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6"/>
        </w:trPr>
        <w:tc>
          <w:tcPr>
            <w:tcW w:w="59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294,350</w:t>
            </w:r>
          </w:p>
        </w:tc>
      </w:tr>
    </w:tbl>
    <w:p>
      <w:pPr>
        <w:ind w:left="40"/>
        <w:spacing w:after="0"/>
        <w:rPr>
          <w:sz w:val="20"/>
          <w:szCs w:val="20"/>
          <w:color w:val="auto"/>
        </w:rPr>
      </w:pPr>
      <w:r>
        <w:rPr>
          <w:rFonts w:ascii="Times New Roman" w:cs="Times New Roman" w:eastAsia="Times New Roman" w:hAnsi="Times New Roman"/>
          <w:sz w:val="14"/>
          <w:szCs w:val="14"/>
          <w:color w:val="auto"/>
        </w:rPr>
        <w:t>(1) Refer to Non-GAAP Financial Measures section below for our presentation of Adjusted Operating Income, Adjusted Diluted EPS and Adjusted EBITDA.</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Fiscal Year 2023</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Fiscal Year 2022</w:t>
            </w: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compared to Fiscal Year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fiscal year 2023 compared to fiscal year 2022.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Comparable store sales growth</w:t>
            </w:r>
            <w:r>
              <w:rPr>
                <w:rFonts w:ascii="Times New Roman" w:cs="Times New Roman" w:eastAsia="Times New Roman" w:hAnsi="Times New Roman"/>
                <w:sz w:val="18"/>
                <w:szCs w:val="18"/>
                <w:color w:val="auto"/>
                <w:vertAlign w:val="superscript"/>
              </w:rPr>
              <w:t>(1)</w:t>
            </w: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Stores open at end of period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18"/>
                <w:szCs w:val="18"/>
                <w:color w:val="auto"/>
                <w:vertAlign w:val="superscript"/>
              </w:rPr>
              <w:t>(2)</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 except percentage and store</w:t>
            </w:r>
          </w:p>
        </w:tc>
        <w:tc>
          <w:tcPr>
            <w:tcW w:w="104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Fiscal Year</w:t>
            </w:r>
          </w:p>
        </w:tc>
        <w:tc>
          <w:tcPr>
            <w:tcW w:w="92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Fiscal Year</w:t>
            </w: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Fiscal Year</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Fiscal Year 2023</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w w:val="98"/>
              </w:rPr>
              <w:t>Fiscal Year 2022</w:t>
            </w: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data</w:t>
            </w: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1,470,411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1,366,019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225,906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217,727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22,758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22,114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10,973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11,508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 segment total</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1,730,048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1,617,368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150,894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151,877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252,427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242,822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Reconciliations</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(6,901)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(6,663)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2,126,468</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99"/>
              </w:rPr>
              <w:t>2,005,404</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Comparable Store Sales</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7" w:lineRule="exact"/>
        <w:rPr>
          <w:sz w:val="20"/>
          <w:szCs w:val="20"/>
          <w:color w:val="auto"/>
        </w:rPr>
      </w:pPr>
    </w:p>
    <w:p>
      <w:pPr>
        <w:jc w:val="both"/>
        <w:ind w:left="340" w:right="660" w:hanging="332"/>
        <w:spacing w:after="0" w:line="257"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15. “Segment Reporting” in our consolidated financial statements included in Part II. Item 8. of this Form 10-K, with the exception of the Legacy segment, which is adjusted as noted in clause (ii) of footnote (3) below.</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4" w:lineRule="exact"/>
        <w:rPr>
          <w:rFonts w:ascii="Times New Roman" w:cs="Times New Roman" w:eastAsia="Times New Roman" w:hAnsi="Times New Roman"/>
          <w:sz w:val="14"/>
          <w:szCs w:val="14"/>
          <w:color w:val="auto"/>
        </w:rPr>
      </w:pPr>
    </w:p>
    <w:p>
      <w:pPr>
        <w:jc w:val="both"/>
        <w:ind w:left="340" w:right="660" w:hanging="332"/>
        <w:spacing w:after="0" w:line="26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an increase of 0.7% from total comparable store sales growth based on consolidated net revenue for fiscal years 2023 and 2022, respectively,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the fiscal years 2023 and 2022, respectively.</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$2,126.5 million for fiscal year 2023 increased $121.1 million, or 6.0%, from $2,005.4 million for fiscal year 2022. The increase was driven by approximately 55% from growth from new store sales, 40% from Adjusted Comparable Store Sales Growth, 10% by our AC Lens business, partially offset by closed stores and effects of deferred and unearned revenue.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2023, we opened 58 new America’s Best stores and 12 new Eyeglass World stores and closed six America’s Best stores and one Legacy store as a result of our Legacy partner’s decision to cease its overall operations at the location. During the fourth quarter of 2023, we also transitioned four Legacy stores to Walmart leading up to the MSA Termination. The total net new locations in fiscal year 2023 for America’s Best and Eyeglass World are 52 and 12, respectively. Overall, store count grew 4.4% from the end of fiscal year 2022 to the end of fiscal year 2023.</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for fiscal year 2023 were 3.1% and 2.9%, respectively, both reflecting an increase in customer transactions and higher average ticket.</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product sales comprised 82.0% and 82.2% of total net revenue for fiscal years 2023 and 2022, respectively. Net product sales increased $95.8 million, or 5.8% during fiscal year 2023 compared to fiscal year 2022, primarily due to a $71.8 million, or 6.4%, increase in eyeglass sales, a $16.1 million, or 4.2%, increase in contact lens sales and a $6.6 million, or 4.7%, increase in wholesale fulfillment.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of services and plans increased $25.2 million, or 7.1%, driven primarily by higher exam revenues of $30.9 million, or 15.8%, increase which was partially offset by a $4.1 million, or 11.7%, decrease in management fees from our Legacy partner and a $3.1 million, or 4.1%, decrease in product protection plan revenues.</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$112.7 million, or 7.0%,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decreased $1.0 million, or 0.6%, driven primarily by negative comparable store sales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$9.6 million, or 4.0%, driven primarily by increases in wholesale fulfillment.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negatively impacted net revenue by $0.2 million during fiscal year 2023 compared to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Net revenue was positively impacted by $5.0 million due to the timing of unearned revenue. Net revenue was negatively impacted by $5.2 million due to higher sales of club memberships and product protection plans, and lower recognition of product protection plan revenue in fiscal year 2023 compared to fiscal year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applicable to revenue of $1,000.9 million for fiscal year 2023 increased $75.3 million, or 8.1%, from $925.6 million for fiscal year 2022. As a percentage of net revenue, costs applicable to revenue increased from 46.2% for fiscal year 2022 to 47.1% for fiscal year 2023. This increase as a percentage of net revenue was primarily driven by higher growth in optometrist-related costs of 150 basis points and by 60 basis points due to reduction in components of service revenue, including product protection plan revenue, and other mix and margin effects. These costs were partially offset by a 90-basis point effect from higher exam revenue and a 30-basis point effect from increased eyeglass mix and higher eyeglass margin.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decreased from 38.6% for fiscal year 2022 to 38.1% for fiscal year 2023 primarily driven by increased eyeglass mix and higher eyeglass margin.</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decreased from 28.9% for fiscal year 2022 to 28.7%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2023 primarily driven by increased eyeglass mix and higher eyeglass margin.</w:t>
      </w:r>
    </w:p>
    <w:p>
      <w:pPr>
        <w:spacing w:after="0" w:line="50"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decreased from 46.8% for fiscal year 2022 to 45.2%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2023.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81.0% for fiscal year 2022 to 88.0% for fiscal year 2023. The increase was primarily driven by higher growth in optometrist-related costs, lower product protection plan revenues and lower management fees from our Legacy partner, partially offset by higher eye exam revenue.</w:t>
      </w:r>
    </w:p>
    <w:p>
      <w:pPr>
        <w:spacing w:after="0" w:line="6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88.6%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2022 to 93.1% for fiscal year 2023. The increase was primarily driven by higher growth in optometrist-related costs, partially offset by higher eye exam revenue.</w:t>
      </w:r>
    </w:p>
    <w:p>
      <w:pPr>
        <w:spacing w:after="0" w:line="6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44.9%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2022 to 50.6% for fiscal year 2023. The increase was primarily driven by lower management fees from our Legacy partner and growth in optometrist-related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of $991.9 million for fiscal year 2023 increased $76.5 million, or 8.4%, from fiscal year 2022. As a percentage of net revenue, SG&amp;A increased from 45.6% for fiscal year 2022 to 46.6% for fiscal year 2023. The increase in SG&amp;A as a percentage of net revenue was primarily driven by higher performance-based incentive compensation of 70 basis points, higher payroll of 50 basis points, as well as 50 basis points of other expenses, such as stock-based compensation and expenses related to the termination of the Walmart partnership, partially offset by lower advertising expense of 50 basis points and other operating expenses of 20 basis points.</w:t>
      </w:r>
    </w:p>
    <w:p>
      <w:pPr>
        <w:spacing w:after="0" w:line="73"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SG&amp;A. </w:t>
      </w:r>
      <w:r>
        <w:rPr>
          <w:rFonts w:ascii="Times New Roman" w:cs="Times New Roman" w:eastAsia="Times New Roman" w:hAnsi="Times New Roman"/>
          <w:sz w:val="18"/>
          <w:szCs w:val="18"/>
          <w:color w:val="auto"/>
        </w:rPr>
        <w:t>SG&amp;A as a percentage of net revenue decreased from 38.9% for fiscal year 2022 to 38.7% for fiscal year 2023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lower advertising expense, partially offset by higher payroll.</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decreased from 38.3% for fiscal year 2022 to 37.6% for fiscal year 2023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lower payroll and lower advertising expense.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of $98.3 million for fiscal year 2023 decreased $1.7 million, or 1.7%, from $100.0 million for fiscal year 2022 primarily driven by a decrease in amortization of intangible assets as a result of impairing the Walmart contracts and customer relationship asset during fiscal year 2023 and a shift to cloud-based software investments that are amortized in SG&amp;A, partially offset by investments in remote medicine technology and new store openings.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impairment charges of $82.4 million for fiscal year 2023 compared to $5.8 million recognized in fiscal year 2022. The majority of the impairment charges in the current period were recorded in connection with the termination of the Walmart partnership and included impairments at our Legacy and AC Lens operating segments. Refer to Note 2 “Termination of Walmart Partnership” included in Part II. Item 8. of this Form 10-K for further information. In addition, we recorded impairment charges of $2.8 million related to tangible long-lived assets and ROU assets associated with our Owned</w:t>
      </w:r>
    </w:p>
    <w:p>
      <w:pPr>
        <w:spacing w:after="0" w:line="3" w:lineRule="exact"/>
        <w:rPr>
          <w:sz w:val="20"/>
          <w:szCs w:val="20"/>
          <w:color w:val="auto"/>
        </w:rPr>
      </w:pPr>
    </w:p>
    <w:p>
      <w:pPr>
        <w:jc w:val="both"/>
        <w:ind w:firstLine="8"/>
        <w:spacing w:after="0" w:line="255" w:lineRule="auto"/>
        <w:tabs>
          <w:tab w:leader="none" w:pos="2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 segment for fiscal year 2023, which were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(income), net was $(0.2) million for fiscal year 2023 compared to $(2.6) million for fiscal year 2022. This change was primarily a result of a gain of $2.7 million in Other expense (income), net in fiscal year 2022 that did not occur in fiscal year 2023 in connection with the acquisition of our equity method investee by a third party. See Note 1. “Business and Significant Accounting Policies” for further details.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of $14.3 million for fiscal year 2023 increased $13.9 million, or 3001%, from $0.5 million for fiscal year 2022. The increase was primarily a result of lower derivative income of $15.8 million and higher Term Loan A expense of $5.4 million, partially offset by higher income on cash balances of $6.8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for fiscal year 2023 and fiscal year 2022 were (6.7)% and 30.7%, respectively. The change in effective tax rates reflects our statutory federal and state rate of 25.2% and 25.4%, respectively, the disallowance of the Legacy segment goodwill impairment loss for income tax purposes and other permanent items.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compared to Fiscal Year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fiscal year 2021 compared to fiscal year 2020.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Comparable store sales growth</w:t>
            </w:r>
            <w:r>
              <w:rPr>
                <w:rFonts w:ascii="Times New Roman" w:cs="Times New Roman" w:eastAsia="Times New Roman" w:hAnsi="Times New Roman"/>
                <w:sz w:val="18"/>
                <w:szCs w:val="18"/>
                <w:color w:val="auto"/>
                <w:vertAlign w:val="superscript"/>
              </w:rPr>
              <w:t>(1)</w:t>
            </w: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Stores open at end of period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18"/>
                <w:szCs w:val="18"/>
                <w:color w:val="auto"/>
                <w:vertAlign w:val="superscript"/>
              </w:rPr>
              <w:t>(2)</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i w:val="1"/>
                <w:iCs w:val="1"/>
                <w:color w:val="auto"/>
              </w:rPr>
              <w:t>In thousands, except percentage and store</w:t>
            </w:r>
          </w:p>
        </w:tc>
        <w:tc>
          <w:tcPr>
            <w:tcW w:w="108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960" w:type="dxa"/>
            <w:vAlign w:val="bottom"/>
            <w:tcBorders>
              <w:top w:val="single" w:sz="8" w:color="auto"/>
            </w:tcBorders>
          </w:tcPr>
          <w:p>
            <w:pPr>
              <w:jc w:val="right"/>
              <w:ind w:right="73"/>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820" w:type="dxa"/>
            <w:vAlign w:val="bottom"/>
            <w:tcBorders>
              <w:top w:val="single" w:sz="8" w:color="auto"/>
            </w:tcBorders>
          </w:tcPr>
          <w:p>
            <w:pPr>
              <w:jc w:val="right"/>
              <w:ind w:right="13"/>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Fiscal Year 2022</w:t>
            </w:r>
          </w:p>
        </w:tc>
        <w:tc>
          <w:tcPr>
            <w:tcW w:w="3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Fiscal Year 2021</w:t>
            </w:r>
          </w:p>
        </w:tc>
        <w:tc>
          <w:tcPr>
            <w:tcW w:w="0" w:type="dxa"/>
            <w:vAlign w:val="bottom"/>
          </w:tcPr>
          <w:p>
            <w:pPr>
              <w:spacing w:after="0"/>
              <w:rPr>
                <w:sz w:val="1"/>
                <w:szCs w:val="1"/>
                <w:color w:val="auto"/>
              </w:rPr>
            </w:pPr>
          </w:p>
        </w:tc>
      </w:tr>
      <w:tr>
        <w:trPr>
          <w:trHeight w:val="19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data</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1,366,019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7"/>
              </w:rPr>
              <w:t>1,423,386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217,727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225,096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22,114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23,103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11,508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12,130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 segment total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1,617,368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7"/>
              </w:rPr>
              <w:t>1,683,715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151,877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165,477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242,822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236,299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Reconciliations</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(6,663)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(5,966)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2,005,404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97"/>
              </w:rPr>
              <w:t>2,079,525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Comparable Store Sales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jc w:val="both"/>
        <w:ind w:left="340" w:right="660" w:hanging="332"/>
        <w:spacing w:after="0" w:line="257"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15. “Segment Reporting” in our consolidated financial statements included in Part II. Item 8. of this Form 10-K, with the exception of the Legacy segment, which is adjusted as noted in clause (ii) of footnote (3) below.</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1" w:lineRule="exact"/>
        <w:rPr>
          <w:rFonts w:ascii="Times New Roman" w:cs="Times New Roman" w:eastAsia="Times New Roman" w:hAnsi="Times New Roman"/>
          <w:sz w:val="14"/>
          <w:szCs w:val="14"/>
          <w:color w:val="auto"/>
        </w:rPr>
      </w:pPr>
    </w:p>
    <w:p>
      <w:pPr>
        <w:jc w:val="both"/>
        <w:ind w:left="340" w:right="640" w:hanging="332"/>
        <w:spacing w:after="0" w:line="262"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0.7% from total comparable store sales growth based on consolidated net revenue for fiscal year 2021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the fiscal years 2022 and 2021, respectively.</w:t>
      </w:r>
    </w:p>
    <w:p>
      <w:pPr>
        <w:spacing w:after="0" w:line="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net revenue of $2,005.4 million for fiscal year 2022 decreased $74.1 million, or 3.6%, from $2,079.5 million for fiscal year 2021. The decrease was driven primarily by reduced Adjusted Comparable Store Sales Growth and to a lesser extent the negative impact of unearned revenue, partially offset by growth from new store sales and recognition of deferred revenue.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2022, we opened 69 new America’s Best stores and 11 new Eyeglass World stores and closed four America’s Best stores. The total net new locations in fiscal year 2022 for America’s Best and Eyeglass World are 65 and 11, respectively. Overall, store count grew 5.9% from the end of fiscal year 2021 to the end of fiscal year 2022.</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for fiscal year 2022 were (7.5)% and (7.6)%, respectively, primarily due to a decrease in customer transactions, and to a lesser extent, lower average ticket. The decreases in comparable store sales growth and Adjusted Comparable Store Sales growth during fiscal year 2022 reflect overall economic trends impacting customer demand, constraints affecting exam capacity in certain markets and the Omicron COVID-19 variant impacting customer transactions.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comprised 82.2% and 82.6% of total net revenue for fiscal years 2022 and 2021, respectively. Net product sales decreased $70.0 million, or 4.1% during fiscal year 2022 compared to fiscal year 2021, primarily due to a $80.7 million, or 6.7%, decrease in eyeglass sales, which was partially offset by a $6.4 million, or 1.7%, increase in contact lens sales and a $4.3 million, or 3.2%, increase in wholesale fulfillment.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of services and plans decreased $4.1 million, or 1.1%, driven primarily by a $7.1 million, or 16.9%, decrease in management fees from our Legacy partner, which was partially offset by a $5.6 million, or 2.9%, increase in exam revenues.</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declined $66.3 million, or 3.9%, driven primarily by negative comparable store sales growth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new store openings.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declined $13.6 million, or 8.2%, driven by negative comparable store sales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$6.5 million, or 2.8%, driven primarily by increases in wholesale fulfillment.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negatively impacted net revenue by $0.7 million during fiscal year 2022 compared to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Net revenue was negatively impacted by $14.2 million due to the timing of unearned revenue. The balance of unearned revenue reflected increased sales in the last week of fiscal year 2022 compared to the same period in 2021. Net revenue was positively impacted by $13.5 million due to higher sales of product protection plan and club memberships in fiscal year 2021 compared to fiscal year 2022, thus causing recognition of previous deferrals to exceed cash collected for sales in fiscal year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applicable to revenue of $925.6 million for fiscal year 2022 increased $20.8 million, or 2.3%, from $904.8 million for fiscal year 2021. As a percentage of net revenue, costs applicable to revenue increased from 43.5% for fiscal year 2021 to 46.2% for fiscal year 2022. This increase as a percentage of net revenue was primarily driven by higher growth in optometrist-related costs, reduced eyeglass mix and lower eyeglass margin.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36.8% for fiscal year 2021 to 38.6% for fiscal year 2022 primarily driven by reduced eyeglass mix and lower eyeglass margin.</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27.4% for fiscal year 2021 to 28.9%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2022 primarily driven by reduced eyeglass mix and lower eyeglass margin.</w:t>
      </w:r>
    </w:p>
    <w:p>
      <w:pPr>
        <w:spacing w:after="0" w:line="50"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decreased from 47.7% for fiscal year 2021 to 46.8%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75.2% for fiscal year 2021 to 81.0% for fiscal year 2022. The increase was primarily driven by higher growth in optometrist-related costs, which were partially offset by higher eye exam revenue.</w:t>
      </w:r>
    </w:p>
    <w:p>
      <w:pPr>
        <w:spacing w:after="0" w:line="5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80.1%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2021 to 88.6% for fiscal year 2022. The increase was primarily driven by higher growth in optometrist-related costs, which were partially offset by higher eye exam revenue.</w:t>
      </w:r>
    </w:p>
    <w:p>
      <w:pPr>
        <w:spacing w:after="0" w:line="6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40.7%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2021 to 44.9% for fiscal year 2022. The increase was primarily driven by higher growth in optometrist-related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of $915.4 million for fiscal year 2022 increased $14.6 million, or 1.6%, from fiscal year 2021. As a percentage of net revenue, SG&amp;A increased from 43.3% for fiscal year 2021 to 45.6% for fiscal year 2022. The increase in SG&amp;A as a percentage of net revenue was primarily driven by increases in store payroll, other corporate overhead, including legal, professional, travel and entertainment, and occupancy expense, partially offset by lower performance-based incentive compensation and lower advertising expense. The Company paid $5.0 million of discretionary bonuses during fiscal year 2022.</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for fiscal year 2022 and fiscal year 2021 includes $0.6 million and $1.5 million, respectively, of incremental costs directly related to adapting the Company’s operations during the COVID-19 pandemic.</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SG&amp;A. </w:t>
      </w:r>
      <w:r>
        <w:rPr>
          <w:rFonts w:ascii="Times New Roman" w:cs="Times New Roman" w:eastAsia="Times New Roman" w:hAnsi="Times New Roman"/>
          <w:sz w:val="18"/>
          <w:szCs w:val="18"/>
          <w:color w:val="auto"/>
        </w:rPr>
        <w:t>SG&amp;A as a percentage of net revenue increased from 36.7% for fiscal year 2021 to 38.9% for fiscal year 2022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higher payroll and occupancy expense, partially offset by lower advertising expense.</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increased from 35.0% for fiscal year 2021 to 38.3% for fiscal year 2022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higher payroll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$100.0 million for fiscal year 2022 increased $2.9 million, or 3.0%, from $97.1 million for fiscal year 2021 primarily driven by new store openings and investments in remote medicine.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$5.8 million for impairment primarily of tangible long-lived assets and ROU assets associated with our retail stores in fiscal year 2022 compared to $4.4 million recognized in fiscal year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The asset impairment expense for fiscal year 2021 also includes $0.8 million, related to a write-off of certain software assets that were deemed to be obsolete. Asset impairment expenses were recognized in Corporate/Other.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a gain of $2.7 million and $2.4 million in Other expense (income), net in fiscal years 2022 and 2021, respectively, in connection with the acquisition of our equity method investee by a third party. See Note 1. “Business and Significant Accounting Policies” for further details.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of $0.5 million for fiscal year 2022 decreased $25.2 million, or 98.2%, from $25.6 million for fiscal year 2021. The decrease was primarily a result of lower derivative costs of $19.0 million on our interest rate derivatives, reduced term loan outstanding balance and income on cash balances.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year 2022 was 30.7%, reflecting our statutory federal and state rate of 25.4% and effects of other permanent items. Our effective tax rate for fiscal year 2021 was 14.1%, reflecting a benefit of $16.5 million primarily from the exercise of stock options and stranded tax effect associated with our matured interest rate swaps during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 Adjusted Operating Margin, EBITDA, Adjusted EBITDA, Adjusted EBITDA Margin and Adjusted Diluted EPS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define Adjusted Operating Income as net income,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amortization of acquisition intangibles, ERP implementation expenses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stock-based compensation expense, loss on extinguishment of debt, asset impairment, litigation settlement, secondary offering expenses, management realignment expenses, long-term incentive plan expenses, ERP implementation expenses and certain other expenses. We define Adjusted EBITDA Margin as Adjusted EBITDA as a percentage of net revenue. We define Adjusted Diluted EPS as diluted earnings per share, adjusted for the per share impact of stock-based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implementation expenses, certain other expenses, and tax expense (benefit) from stock-based compensation, less the tax effect of these adjustments.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 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5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the interest expense (income), net or the cash requirements necessary to service interest or principal payments, on our debt;</w:t>
      </w:r>
    </w:p>
    <w:p>
      <w:pPr>
        <w:ind w:left="660" w:right="2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period to period changes in taxes, income tax provision or the cash necessary to pay income taxes;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and the Company Non-GAAP Measures should not be considered as measures of discretionary cash available to invest in business growth or to reduce indebtedness.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Adjusted Operating Income, Adjusted Operating Margin, EBITDA, Adjusted EBITDA, Adjusted EBITDA Margin to net income; and Adjusted Diluted EPS to diluted EPS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Fiscal Year 2023</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Fiscal Year 2022</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Fiscal Year 2021</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(65,901)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128,244</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(h)</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(i)</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 Adjusted 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87,795</w:t>
            </w:r>
          </w:p>
        </w:tc>
        <w:tc>
          <w:tcPr>
            <w:tcW w:w="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204,749</w:t>
            </w:r>
          </w:p>
        </w:tc>
        <w:tc>
          <w:tcPr>
            <w:tcW w:w="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3"/>
            <w:vMerge w:val="restart"/>
          </w:tcPr>
          <w:p>
            <w:pPr>
              <w:ind w:left="20"/>
              <w:spacing w:after="0" w:line="125" w:lineRule="exact"/>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w:t>
            </w: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600" w:type="dxa"/>
            <w:vAlign w:val="bottom"/>
            <w:gridSpan w:val="3"/>
            <w:vMerge w:val="continue"/>
          </w:tcPr>
          <w:p>
            <w:pPr>
              <w:spacing w:after="0"/>
              <w:rPr>
                <w:sz w:val="7"/>
                <w:szCs w:val="7"/>
                <w:color w:val="auto"/>
              </w:rPr>
            </w:pPr>
          </w:p>
        </w:tc>
        <w:tc>
          <w:tcPr>
            <w:tcW w:w="1060" w:type="dxa"/>
            <w:vAlign w:val="bottom"/>
            <w:gridSpan w:val="3"/>
          </w:tcPr>
          <w:p>
            <w:pPr>
              <w:spacing w:after="0" w:line="85" w:lineRule="exact"/>
              <w:rPr>
                <w:sz w:val="20"/>
                <w:szCs w:val="20"/>
                <w:color w:val="auto"/>
              </w:rPr>
            </w:pPr>
            <w:r>
              <w:rPr>
                <w:rFonts w:ascii="Times New Roman" w:cs="Times New Roman" w:eastAsia="Times New Roman" w:hAnsi="Times New Roman"/>
                <w:sz w:val="9"/>
                <w:szCs w:val="9"/>
                <w:i w:val="1"/>
                <w:iCs w:val="1"/>
                <w:color w:val="auto"/>
              </w:rPr>
              <w:t>rounding.</w:t>
            </w: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66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Fiscal Year 2023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Fiscal Year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Fiscal Year 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128,244</w:t>
            </w:r>
          </w:p>
        </w:tc>
        <w:tc>
          <w:tcPr>
            <w:tcW w:w="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99,956</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97,089</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50,827</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161,231</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272,026</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of extinguishment of debt </w:t>
            </w:r>
            <w:r>
              <w:rPr>
                <w:rFonts w:ascii="Times New Roman" w:cs="Times New Roman" w:eastAsia="Times New Roman" w:hAnsi="Times New Roman"/>
                <w:sz w:val="23"/>
                <w:szCs w:val="23"/>
                <w:color w:val="auto"/>
                <w:vertAlign w:val="superscript"/>
              </w:rPr>
              <w:t>(b)</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(h)</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(i)</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 Adjusted EBITDA Margin</w:t>
            </w:r>
          </w:p>
        </w:tc>
        <w:tc>
          <w:tcPr>
            <w:tcW w:w="260" w:type="dxa"/>
            <w:vAlign w:val="bottom"/>
            <w:tcBorders>
              <w:bottom w:val="single" w:sz="8" w:color="auto"/>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165,322</w:t>
            </w:r>
          </w:p>
        </w:tc>
        <w:tc>
          <w:tcPr>
            <w:tcW w:w="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180,263</w:t>
            </w:r>
          </w:p>
        </w:tc>
        <w:tc>
          <w:tcPr>
            <w:tcW w:w="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294,350</w:t>
            </w: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spacing w:after="0" w:line="211" w:lineRule="auto"/>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-80645</wp:posOffset>
            </wp:positionV>
            <wp:extent cx="668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-80645</wp:posOffset>
            </wp:positionV>
            <wp:extent cx="6686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-80645</wp:posOffset>
            </wp:positionV>
            <wp:extent cx="6686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2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6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Fiscal Year 2023</w:t>
            </w:r>
          </w:p>
        </w:tc>
        <w:tc>
          <w:tcPr>
            <w:tcW w:w="26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Fiscal Year 2022</w:t>
            </w:r>
          </w:p>
        </w:tc>
        <w:tc>
          <w:tcPr>
            <w:tcW w:w="260" w:type="dxa"/>
            <w:vAlign w:val="bottom"/>
          </w:tcPr>
          <w:p>
            <w:pPr>
              <w:spacing w:after="0"/>
              <w:rPr>
                <w:sz w:val="24"/>
                <w:szCs w:val="24"/>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Fiscal Year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discounts and deferred financing costs </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fair value adjustments </w:t>
            </w:r>
            <w:r>
              <w:rPr>
                <w:rFonts w:ascii="Times New Roman" w:cs="Times New Roman" w:eastAsia="Times New Roman" w:hAnsi="Times New Roman"/>
                <w:sz w:val="23"/>
                <w:szCs w:val="23"/>
                <w:color w:val="auto"/>
                <w:vertAlign w:val="superscript"/>
              </w:rPr>
              <w:t>(g)</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(h)</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(l)</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expense (benefit) from stock-based compensation </w:t>
            </w:r>
            <w:r>
              <w:rPr>
                <w:rFonts w:ascii="Times New Roman" w:cs="Times New Roman" w:eastAsia="Times New Roman" w:hAnsi="Times New Roman"/>
                <w:sz w:val="23"/>
                <w:szCs w:val="23"/>
                <w:color w:val="auto"/>
                <w:vertAlign w:val="superscript"/>
              </w:rPr>
              <w:t>(j)</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(k)</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0" w:type="dxa"/>
            <w:vAlign w:val="bottom"/>
          </w:tcPr>
          <w:p>
            <w:pPr>
              <w:spacing w:after="0"/>
              <w:rPr>
                <w:sz w:val="1"/>
                <w:szCs w:val="1"/>
                <w:color w:val="auto"/>
              </w:rPr>
            </w:pPr>
          </w:p>
        </w:tc>
      </w:tr>
    </w:tbl>
    <w:p>
      <w:pPr>
        <w:ind w:left="16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do not foot due to rounding differences.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2023, reflects the extinguishment loss related to the repurchase of $100 million of the 2025 Notes on November 14, 2023.</w:t>
      </w:r>
    </w:p>
    <w:p>
      <w:pPr>
        <w:spacing w:after="0" w:line="14" w:lineRule="exact"/>
        <w:rPr>
          <w:rFonts w:ascii="Times New Roman" w:cs="Times New Roman" w:eastAsia="Times New Roman" w:hAnsi="Times New Roman"/>
          <w:sz w:val="14"/>
          <w:szCs w:val="14"/>
          <w:color w:val="auto"/>
        </w:rPr>
      </w:pPr>
    </w:p>
    <w:p>
      <w:pPr>
        <w:ind w:left="420" w:right="660" w:hanging="412"/>
        <w:spacing w:after="0" w:line="261" w:lineRule="auto"/>
        <w:tabs>
          <w:tab w:leader="none" w:pos="41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impairment of long-lived assets, primarily goodwill of the Legacy Segment, Walmart contracts and relationship asset, property and equipment at Walmart stores and associated with our AC Lens business, and impairment of property, equipment and lease-related assets on closed or underperforming stores.</w:t>
      </w:r>
    </w:p>
    <w:p>
      <w:pPr>
        <w:ind w:left="400" w:hanging="392"/>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4"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KKR Acquisition.</w:t>
      </w:r>
    </w:p>
    <w:p>
      <w:pPr>
        <w:spacing w:after="0" w:line="11" w:lineRule="exact"/>
        <w:rPr>
          <w:rFonts w:ascii="Times New Roman" w:cs="Times New Roman" w:eastAsia="Times New Roman" w:hAnsi="Times New Roman"/>
          <w:sz w:val="14"/>
          <w:szCs w:val="14"/>
          <w:color w:val="auto"/>
        </w:rPr>
      </w:pPr>
    </w:p>
    <w:p>
      <w:pPr>
        <w:ind w:left="420" w:right="660" w:hanging="412"/>
        <w:spacing w:after="0" w:line="261" w:lineRule="auto"/>
        <w:tabs>
          <w:tab w:leader="none" w:pos="41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jc w:val="both"/>
        <w:ind w:left="420" w:right="660" w:hanging="412"/>
        <w:spacing w:after="0" w:line="254" w:lineRule="auto"/>
        <w:tabs>
          <w:tab w:leader="none" w:pos="4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implementation.</w:t>
      </w:r>
    </w:p>
    <w:p>
      <w:pPr>
        <w:spacing w:after="0" w:line="14" w:lineRule="exact"/>
        <w:rPr>
          <w:rFonts w:ascii="Times New Roman" w:cs="Times New Roman" w:eastAsia="Times New Roman" w:hAnsi="Times New Roman"/>
          <w:sz w:val="14"/>
          <w:szCs w:val="14"/>
          <w:color w:val="auto"/>
        </w:rPr>
      </w:pPr>
    </w:p>
    <w:p>
      <w:pPr>
        <w:jc w:val="both"/>
        <w:ind w:left="420" w:right="660" w:hanging="412"/>
        <w:spacing w:after="0" w:line="257" w:lineRule="auto"/>
        <w:tabs>
          <w:tab w:leader="none" w:pos="40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the termination of the Walmart partnership of $7.0 million for fiscal year 2023, costs associated with the digitization of paper-based records of $2.2 million for fiscal year 2023, excess payroll taxes on vesting of restricted stock units and exercises of stock options, executive severance and relocation and other expenses and adjustments, including our share of (gains) losses on equity method investments of $(2.7) million and $(2.4) million for fiscal years 2022 and 2021, respectively, and losses on other investments of $0.3 million for fiscal year 2022.</w:t>
      </w:r>
    </w:p>
    <w:p>
      <w:pPr>
        <w:spacing w:after="0" w:line="2" w:lineRule="exact"/>
        <w:rPr>
          <w:rFonts w:ascii="Times New Roman" w:cs="Times New Roman" w:eastAsia="Times New Roman" w:hAnsi="Times New Roman"/>
          <w:sz w:val="14"/>
          <w:szCs w:val="14"/>
          <w:color w:val="auto"/>
        </w:rPr>
      </w:pPr>
    </w:p>
    <w:p>
      <w:pPr>
        <w:ind w:left="420" w:right="660" w:hanging="412"/>
        <w:spacing w:after="0" w:line="261" w:lineRule="auto"/>
        <w:tabs>
          <w:tab w:leader="none" w:pos="40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ind w:left="420" w:right="660" w:hanging="412"/>
        <w:spacing w:after="0" w:line="251" w:lineRule="auto"/>
        <w:tabs>
          <w:tab w:leader="none" w:pos="4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excluding Walmart goodwill impairment charges of $60.1 million for fiscal year 2023.</w:t>
      </w:r>
    </w:p>
    <w:p>
      <w:pPr>
        <w:ind w:left="420" w:right="660" w:hanging="412"/>
        <w:spacing w:after="0" w:line="283" w:lineRule="auto"/>
        <w:tabs>
          <w:tab w:leader="none" w:pos="40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(i) above, including the impact of stranded tax effect of $(2.1) million for fiscal year 2021 associated with our interest rate swaps that matured in 2021, and $0.2 million and $0.1 million of debt issuance costs for fiscal years 2023 and 2021,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where possible. However,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fiscal year end 2023, we had $149.9 million in cash and cash equivalents and $293.6 million of availability under our revolving credit facility, which includes $6.4 million in outstanding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258,938</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(92,897)</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(234,324)</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increased by $53.8 million to $173.0 million, during fiscal year 2023 from $119.2 million during fiscal year 2022 as a result of changes in net working capital and other assets and liabilities, which contributed an additional $81.9 million in cash, partially offset by a decrease in net income and non-cash reconciling items of $28.0 million as compared to fiscal year 2022.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was most significantly impacted by changes in other liabilities and accounts receivable. Increases in other liabilities contributed $54.6 million in year-over-year cash primarily due to increases in compensation related accruals. Decreases in accounts receivable balances contributed $17.0 million in year-over-year cash primarily due to payments of deferred social security taxes in fiscal year 2022 pursuant to the CARES Act that did not recur in fiscal year 2023, and a decrease in managed care receivables due to timing.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decreased by $139.7 million to $119.2 million, during fiscal year 2022 from $258.9 million during fiscal year 2021 as a result of a $86.1 million decrease in net income, changes in net working capital and other assets and liabilities, which used an additional $39.9 million in cash and a decrease in non-cash expense adjustments of $13.7 million, in each case, as compared to fiscal year 2021.</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Working capital was most significantly impacted by changes in other liabilities, accounts receivable and inventories. Decreases in other liabilities used $30.9 million in year-over-year cash primarily due to decreases in compensation related and advertising accruals, partially offset by increases in payroll taxes payable. Increases in accounts receivable balances used $26.0 million in year-over-year cash primarily due to year-over-year increases in trade and credit card receivables as a result of higher sales in the last week of fiscal year 2022 when compared to the same period of 2021, as well as increases in other receivables. Decreases in inventory contributed $13.0 million in year-over-year cash primarily due to increased purchases, including inventory forward buys, during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increased by $4.9 million, to $115.8 million, during fiscal year 2023 from $110.9 million during fiscal year 2022. The increase was primarily due to investments in our labs and distribution centers, and store remodeling costs, partially offset by decreased investments in remote medicine. We purchased $114.8 million in capital items during fiscal year 2023. Approximately 80% to 85% of our capital spend is related to our expected growth (i.e., new stores, remote medicine infrastructure, EHR, optometric equipment, additional capacity in our optical laboratories and distribution centers, and our IT infrastructure, including ERP and omni-channel platform related investments).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increased by $18.0 million, to $110.9 million, during fiscal year 2022 from $92.9 million during fiscal year 2021. The increase was primarily due to increased capital investments in remote medicine and new store openings. We purchased $113.5 million in capital items during fiscal year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for) 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increased $52.3 million, from $84.6 million use of cash during fiscal year 2022 to $136.8 million use of cash during fiscal year 2023. The increase in cash used for financing activities was primarily due to a repurchase of $100.0 million aggregate principal amount of the 2025 Notes for an aggregate cash repurchase price of $99.3 million in fiscal year 2023, partially offset by decreases in purchases of treasury stock of $56.0 million during fiscal year 2023 as compared with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decreased $149.8 million, from $234.3 million use of cash during fiscal year 2021 to $84.6 million use of cash during fiscal year 2022. The decrease in cash used for financing activities was primarily due to voluntary term loan prepayments of $167.4 million in fiscal year 2021 that did not recur in fiscal year 2022, partially offset by increases in purchases of treasury stock of $11.1 million and decreases in proceeds from issuance of common stock of $8.1 million during fiscal year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owed under our term loan and the 2025 Notes and the interest rate on such outstanding amounts, and the amount available for additional borrowing thereunder, as of the end of fiscal year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4"/>
              </w:rPr>
              <w:t xml:space="preserve">Interest Rate </w:t>
            </w:r>
            <w:r>
              <w:rPr>
                <w:rFonts w:ascii="Times New Roman" w:cs="Times New Roman" w:eastAsia="Times New Roman" w:hAnsi="Times New Roman"/>
                <w:sz w:val="23"/>
                <w:szCs w:val="23"/>
                <w:color w:val="auto"/>
                <w:w w:val="94"/>
                <w:vertAlign w:val="superscript"/>
              </w:rPr>
              <w:t>(2)</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 Available for</w:t>
            </w:r>
          </w:p>
        </w:tc>
        <w:tc>
          <w:tcPr>
            <w:tcW w:w="0" w:type="dxa"/>
            <w:vAlign w:val="bottom"/>
          </w:tcPr>
          <w:p>
            <w:pPr>
              <w:spacing w:after="0"/>
              <w:rPr>
                <w:sz w:val="1"/>
                <w:szCs w:val="1"/>
                <w:color w:val="auto"/>
              </w:rPr>
            </w:pPr>
          </w:p>
        </w:tc>
      </w:tr>
      <w:tr>
        <w:trPr>
          <w:trHeight w:val="243"/>
        </w:trPr>
        <w:tc>
          <w:tcPr>
            <w:tcW w:w="596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Amount Outstanding</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Additional Borrowing</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Revolving Loans, due June 13, 2028</w:t>
            </w:r>
            <w:r>
              <w:rPr>
                <w:rFonts w:ascii="Times New Roman" w:cs="Times New Roman" w:eastAsia="Times New Roman" w:hAnsi="Times New Roman"/>
                <w:sz w:val="23"/>
                <w:szCs w:val="23"/>
                <w:color w:val="auto"/>
                <w:vertAlign w:val="superscript"/>
              </w:rPr>
              <w:t>(1)</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293,619</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293,619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30, 2023, the amount available under our revolving credit facility reflected a reduction of $6.4 million of letters of credit outstanding.</w:t>
      </w:r>
    </w:p>
    <w:p>
      <w:pPr>
        <w:spacing w:after="0" w:line="27" w:lineRule="exact"/>
        <w:rPr>
          <w:rFonts w:ascii="Times New Roman" w:cs="Times New Roman" w:eastAsia="Times New Roman" w:hAnsi="Times New Roman"/>
          <w:sz w:val="14"/>
          <w:szCs w:val="14"/>
          <w:color w:val="auto"/>
        </w:rPr>
      </w:pPr>
    </w:p>
    <w:p>
      <w:pPr>
        <w:ind w:left="340" w:right="660" w:hanging="332"/>
        <w:spacing w:after="0" w:line="283"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5. Long-term Debt for the interest rates used on the term loan and revolving credit facility. The 2025 Notes pay interest semi-annually in arrears on May 15 and November 15 of each year, commencing on November 15, 2020, at an annual rate of 2.50%.</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Authority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During fiscal years 2023, 2022, and 2021, the Company repurchased 1.1 million shares of its common stock for $25.0 million, 2.7 million shares of its common stock for $80.0 million, and 1.4 million shares of its common stock for $69.9 million, respectively,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The authorization permits the Company to make purchases of its common stock from time to time in the open market or privately negotiated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stores (owned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40,058</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Laboratories, distribution centers and optometric equipment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and 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33,713</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113,547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95,515</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capital expenditures in fiscal year 2024 to be approximately between $110 million and $115 million and to be used primarily in supporting the Company’s growth through investments in new and existing stores, remote medicine, EHR, optical laboratories, and IT infrastructure, including ERP. We expect to fund capital expenditures with cash flows from operations, but may also use existing cash balances or funds available through our revolving credit facility.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fiscal year end 2023, our current and long-term material cash requirements include the following commitments and contractual obligations: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294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21"/>
                <w:szCs w:val="21"/>
                <w:color w:val="auto"/>
                <w:vertAlign w:val="superscript"/>
              </w:rPr>
              <w:t>(a)</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146,250</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2025 Notes</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302,497</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Revolving credit facility</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Estimated interest</w:t>
            </w:r>
            <w:r>
              <w:rPr>
                <w:rFonts w:ascii="Times New Roman" w:cs="Times New Roman" w:eastAsia="Times New Roman" w:hAnsi="Times New Roman"/>
                <w:sz w:val="21"/>
                <w:szCs w:val="21"/>
                <w:color w:val="auto"/>
                <w:vertAlign w:val="superscript"/>
              </w:rPr>
              <w:t>(d)</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51,932</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Noncancelable operating leases</w:t>
            </w:r>
            <w:r>
              <w:rPr>
                <w:rFonts w:ascii="Times New Roman" w:cs="Times New Roman" w:eastAsia="Times New Roman" w:hAnsi="Times New Roman"/>
                <w:sz w:val="21"/>
                <w:szCs w:val="21"/>
                <w:color w:val="auto"/>
                <w:vertAlign w:val="superscript"/>
              </w:rPr>
              <w: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535,247</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Finance leases</w:t>
            </w:r>
            <w:r>
              <w:rPr>
                <w:rFonts w:ascii="Times New Roman" w:cs="Times New Roman" w:eastAsia="Times New Roman" w:hAnsi="Times New Roman"/>
                <w:sz w:val="21"/>
                <w:szCs w:val="21"/>
                <w:color w:val="auto"/>
                <w:vertAlign w:val="superscript"/>
              </w:rPr>
              <w:t>(f)</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19,449</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commitments</w:t>
            </w:r>
            <w:r>
              <w:rPr>
                <w:rFonts w:ascii="Times New Roman" w:cs="Times New Roman" w:eastAsia="Times New Roman" w:hAnsi="Times New Roman"/>
                <w:sz w:val="21"/>
                <w:szCs w:val="21"/>
                <w:color w:val="auto"/>
                <w:vertAlign w:val="superscript"/>
              </w:rPr>
              <w:t>(g)</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243,587</w:t>
            </w:r>
          </w:p>
        </w:tc>
      </w:tr>
      <w:tr>
        <w:trPr>
          <w:trHeight w:val="21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200,150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492,638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151,325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129,146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200,285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125,418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1,298,962</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69"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5. “Long-term Debt” to our consolidated financial statements included in Part II. Item 8 of this Form 10-K for more information on our term loan.</w:t>
      </w:r>
    </w:p>
    <w:p>
      <w:pPr>
        <w:spacing w:after="0" w:line="27" w:lineRule="exact"/>
        <w:rPr>
          <w:rFonts w:ascii="Times New Roman" w:cs="Times New Roman" w:eastAsia="Times New Roman" w:hAnsi="Times New Roman"/>
          <w:sz w:val="14"/>
          <w:szCs w:val="14"/>
          <w:color w:val="auto"/>
        </w:rPr>
      </w:pPr>
    </w:p>
    <w:p>
      <w:pPr>
        <w:ind w:left="420" w:right="660" w:hanging="412"/>
        <w:spacing w:after="0" w:line="251" w:lineRule="auto"/>
        <w:tabs>
          <w:tab w:leader="none" w:pos="4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5. “Long-term Debt” for more information on the 2025 Notes and Note 14. “Earnings Per Share” for the treatment of earnings per share in relation to the 2025 Notes.</w:t>
      </w:r>
    </w:p>
    <w:p>
      <w:pPr>
        <w:spacing w:after="0" w:line="169"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5. “Long-term Debt” for more information on our revolving credit facility.</w:t>
      </w:r>
    </w:p>
    <w:p>
      <w:pPr>
        <w:spacing w:after="0" w:line="14" w:lineRule="exact"/>
        <w:rPr>
          <w:rFonts w:ascii="Times New Roman" w:cs="Times New Roman" w:eastAsia="Times New Roman" w:hAnsi="Times New Roman"/>
          <w:sz w:val="14"/>
          <w:szCs w:val="14"/>
          <w:color w:val="auto"/>
        </w:rPr>
      </w:pPr>
    </w:p>
    <w:p>
      <w:pPr>
        <w:jc w:val="both"/>
        <w:ind w:left="420" w:right="660" w:hanging="412"/>
        <w:spacing w:after="0" w:line="256" w:lineRule="auto"/>
        <w:tabs>
          <w:tab w:leader="none" w:pos="4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estimated our interest payments on our term loan based on Term Secured Overnight Financing Rate as of the end of fiscal year 2023. Amounts and timing may be different from our estimated interest payments due to potential voluntary prepayments, borrowings and interest rate fluctuations. Expected obligations on our hedging instruments are excluded from estimated interest presented in the table above.</w:t>
      </w:r>
    </w:p>
    <w:p>
      <w:pPr>
        <w:spacing w:after="0" w:line="1" w:lineRule="exact"/>
        <w:rPr>
          <w:rFonts w:ascii="Times New Roman" w:cs="Times New Roman" w:eastAsia="Times New Roman" w:hAnsi="Times New Roman"/>
          <w:sz w:val="14"/>
          <w:szCs w:val="14"/>
          <w:color w:val="auto"/>
        </w:rPr>
      </w:pPr>
    </w:p>
    <w:p>
      <w:pPr>
        <w:jc w:val="both"/>
        <w:ind w:left="420" w:right="640" w:hanging="412"/>
        <w:spacing w:after="0" w:line="257" w:lineRule="auto"/>
        <w:tabs>
          <w:tab w:leader="none" w:pos="41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$36.4 million during fiscal year ended 2023. Refer to Note 9. “Leases” for our current and long-term lease payment obligations.</w:t>
      </w:r>
    </w:p>
    <w:p>
      <w:pPr>
        <w:spacing w:after="0" w:line="2" w:lineRule="exact"/>
        <w:rPr>
          <w:rFonts w:ascii="Times New Roman" w:cs="Times New Roman" w:eastAsia="Times New Roman" w:hAnsi="Times New Roman"/>
          <w:sz w:val="14"/>
          <w:szCs w:val="14"/>
          <w:color w:val="auto"/>
        </w:rPr>
      </w:pPr>
    </w:p>
    <w:p>
      <w:pPr>
        <w:jc w:val="both"/>
        <w:ind w:left="420" w:right="660" w:hanging="412"/>
        <w:spacing w:after="0" w:line="260" w:lineRule="auto"/>
        <w:tabs>
          <w:tab w:leader="none" w:pos="41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leases classified as finance leases, the finance lease asset is recorded as property and equipment and a corresponding amount is recorded as a long-term debt obligation in the Consolidated Balance Sheets at the net present value of the minimum lease payments to be made over the lease term for new finance leases. We allocate each lease payment between a reduction of the lease obligation and interest expense using the effective interest method. Finance lease amounts above represent required contractual cash payments in the periods presented. Refer to Note 9. “Leases” for our current and long-term lease payment obligations.</w:t>
      </w:r>
    </w:p>
    <w:p>
      <w:pPr>
        <w:spacing w:after="0" w:line="1" w:lineRule="exact"/>
        <w:rPr>
          <w:rFonts w:ascii="Times New Roman" w:cs="Times New Roman" w:eastAsia="Times New Roman" w:hAnsi="Times New Roman"/>
          <w:sz w:val="14"/>
          <w:szCs w:val="14"/>
          <w:color w:val="auto"/>
        </w:rPr>
      </w:pPr>
    </w:p>
    <w:p>
      <w:pPr>
        <w:ind w:left="420" w:right="660" w:hanging="412"/>
        <w:spacing w:after="0" w:line="263" w:lineRule="auto"/>
        <w:tabs>
          <w:tab w:leader="none" w:pos="4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commitments include minimum purchase commitments with certain trade vendors and contractual agreements to purchase goods or services in the ordinary course of business.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lease commitments and contractual obligations, our material cash requirements also include operating expenses such as payroll, store rent, and advertising expenses, which we expect to fund primarily with existing cash balances and cash flows from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evaluated the accounting policies used in the preparation of the Company’s consolidated financial statements and related notes and believe those policies to be reasonable and appropriate. Certain of these accounting policies require the application of significant judgment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 as well as in certain other notes to the consolidated financial statements as indicated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across our product protection plan and club membership contract portfolio based on the value delivered to the customers relative to the remaining services promised under the programs. We determine the value delivered based on the expected timing and amount of customer usage of benefits over the terms of the contracts. A 100 basis point change in our estimate of value delivered to customers compared to expected customer usage of benefits would have affected revenues in fiscal year 2023 by approximately $2 million; this amount would have been recognized at different times over the contract period.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Unearned revenue at the end of a reporting period is estimated based on processing and delivery times throughout the current month and generally ranges from approximately seven to 10 days. All unearned revenue at the end of a reporting period is recognized in the next fiscal period. A one-day increase in our estimate of the average days needed to process delivery would have affected revenues in fiscal year 2023 by approximately $5 million, which would ultimately have been recorded in the next fiscal year.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its revenue from managed care customers to include variable consideration and estimates such amounts associated with managed care customer revenues using the history of concessions provided and cash receipts from managed care providers; a 100 basis point change in our rate of concessions granted would have reduced our revenues in fiscal year 2023 by approximately $2 million.</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“Revenue from Contracts with Customers” in our audited consolidated financial statements included in Part II. Item 8. of this Form 10-K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P&amp;E and ROU assets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store-level property and equipment and ROU assets for recoverability and impairment, we may consider multiple factors including financial performance of the stores, regional and local business climates, future plans for the store operations and other qualitative factors. We estimate the fair value of the asset group using an income approach based on discounted cash flows, which requires estimates and assumptions of forecasted store revenue growth rates and store profitability. We consider market-based indications of prevailing rental rates, lease incentives and discount rates for retail space when estimating the fair value of ROU assets. Developing the estimates and assumptions used in our recovery and impairment evaluations require significant judgment. The cash flows used in estimating fair value of property and equipment and ROU assets were discounted using market rates from 7.8% to 11.5% in fiscal year 2023.</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$362.6 million of property and equipment, net, and ROU assets of $406.6 million as of December 30, 2023. Changes in estimates and assumptions used in our impairment testing of property and equipment could result in future impairment losses, which could be material. We recognized impairments of property and equipment and ROU assets of $13.3 million, $5.8 million and $4.4 million in fiscal years 2023, 2022 and 2021, respectively. The impairment charges in fiscal year 2023, were primarily related to impairments related to the termination of the Walmart partnership. The impairment charges in fiscal years 2022 and 2021 were primarily related to our long-lived tangible store assets and ROU assets. Refer to Note 2. “Termination of Walmart Partnership” and Note 10. “Fair Value Measurement” included in Part II. Item 8. of this Form 10-K for further information on impairments recognized in fiscal year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calculate the fair value of our reporting units using the income approach based on discounted cash flows analysis whereby estimated after-tax cash flows are discounted using a weighted average cost of capital. The cash flows used in the analysis are based on financial forecasts developed internally by management and require significant judgment. Significant unobservable inputs used in the fair value measurement of the reporting units include revenue growth rates, payroll and other expense growth rates, capital expenditures and discount rates. These assumptions are sensitive to future changes in the business profitability, changes in our business strategy, customer concentration risk and external market conditions, among other factors. See Note 4. “Goodwill and Intangible Assets” included in Part II. Item 8. of this Form 10-K for further detail on goodwill impairment.</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30, 2023, we had $717.5 million of goodwill, $240.5 million of non-amortizing intangible assets, and $20.3 million of other intangible assets, net of accumulated amortization. Changes in estimates and assumptions used in our impairment testing could result in future impairment losses, which could be material. Significant judgments and assumptions are required in our impairment evaluations.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determined that the various terminations of agreements with Walmart Inc. as well as the subsequent decision to consolidate our distribution network and close the distribution center in Ohio constituted triggering events, and accordingly, performed impairment tests on our Legacy and AC Lens operating segments during the year ended December 30, 2023 on assets related to the Walmart partnership. See Note 2. “Termination of Walmart Partnership” included in Part II. Item 8. of this Form 10-K for further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our reporting units with goodwill exceeded their respective carrying values by at least 30%. Future changes in a reporting unit’s business profitability, expected cash flows, changes in business strategy and external market conditions, among other factors, could require us to record an impairment charge for goodwill. A 100 basis point increase in discount rates used to estimate the fair value of the Company’s reporting units would not result in an impairment of goodwill at fiscal year-end.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evaluating indefinite-lived, non-amortizing trademarks and trade names for impairment,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 The fair value of the Eyeglass World trade name asset exceeded its carrying value by approximately 10%; changes to the growth assumptions or future strategy for this brand may negatively affect the fair value of this asset. A 100 basis point increase in discount rates used to estimate the fair value of the Company’s trademarks and trade names would not result in an impairment of these assets at fiscal year-end. A 10 basis point decrease in the royalty rates used in the analyses would not result in an impairment of these assets at fiscal year-end.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impairment indicators related to finite-lived,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the estimated fair value.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Calculations and assessments of uncertain tax positions involve estimates and complex judgments because the ultimate tax outcomes are uncertain and future events are unpredictable. Our net deferred liability balance as of December 30, 2023 was $87.9 million. Changes in assumptions in our estimates could result in material changes to these balances. See Note 7. “Income Taxes” to our consolidated financial statements included in Part II. Item 8 of this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Inventory shrinkage is estimated and recorded throughout the period in cost of sales based on historical results and current inventory levels. Inventory values are adjusted for estimated obsolescence and written down to net realizable value (“NRV”) based on estimates of current and anticipated demand, customer preference, merchandise age, planned promotional activities, compliance with contact lens vendor return policies, and estimates of future retail sales prices. Actual shrinkage is recorded throughout the year based upon periodic physical counts. As of December 30, 2023, our total inventory balance was $119.9 million. A 10% increase in the obsolescence and shrinkage reserves will not have a material impact on our financial position. See Note 1. “Business and Significant Accounting Policies” to our consolidated financial statements included in Part II. Item 8 of this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see Note 1. “Business and Significant Accounting Policies” to our consolidated financial statements included in Part II. Item 8 of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1. “Business and Significant Accounting Policies” and Note 10. “Fair Value Measurement” to our consolidated financial statements included in Part II. Item 8 of this Form 10-K.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 Refer to Note 1. “Business and Significant Accounting Policies” to our consolidated financial statements included in Part II. Item 8 of this Form 10-K for more information on the cessation of LIBOR.</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30, 2023, $146.3 million of term loan borrowings were subject to variable interest rates and we had total borrowings of $448.7 million with a weighted average borrowing rate of 3.4%, inclusive of the effects of our interest rate collar. An increase to market rates of 1.0% as of December 30, 2023 would not result in a material increase to interest expense. Assuming a decrease to market rates of 1.0%, the resulting impact to interest expense related to the interest rate derivative would be approximately $1 million. Our exposure to risk from changes in the interest rates will change upon the maturity of our interest rate collar on July 18, 2024. See Note 13. “Interest Rate Derivatives” to our consolidated financial statements included in Part II. Item 8 of this Form 10-K for more information on our interest rate collar.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05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05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8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7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30, 2023 and December 31, 2022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Fiscal Years Ended December 30, 2023, December 31, 2022, and</w:t>
            </w:r>
          </w:p>
        </w:tc>
        <w:tc>
          <w:tcPr>
            <w:tcW w:w="540" w:type="dxa"/>
            <w:vAlign w:val="bottom"/>
            <w:gridSpan w:val="2"/>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January 1, 2022</w:t>
            </w:r>
          </w:p>
        </w:tc>
        <w:tc>
          <w:tcPr>
            <w:tcW w:w="6940" w:type="dxa"/>
            <w:vAlign w:val="bottom"/>
            <w:tcBorders>
              <w:top w:val="single" w:sz="8" w:color="0000FF"/>
            </w:tcBorders>
            <w:gridSpan w:val="6"/>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Fiscal Years Ended December 30, 2023, December 31, 2022, and January 1, 2022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December 30, 2023, December 31, 2022, and January 1, 2022</w:t>
            </w:r>
          </w:p>
        </w:tc>
        <w:tc>
          <w:tcPr>
            <w:tcW w:w="480" w:type="dxa"/>
            <w:vAlign w:val="bottom"/>
            <w:gridSpan w:val="2"/>
          </w:tcPr>
          <w:p>
            <w:pPr>
              <w:spacing w:after="0"/>
              <w:rPr>
                <w:sz w:val="24"/>
                <w:szCs w:val="24"/>
                <w:color w:val="auto"/>
              </w:rPr>
            </w:pPr>
          </w:p>
        </w:tc>
        <w:tc>
          <w:tcPr>
            <w:tcW w:w="54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120" w:type="dxa"/>
            <w:vAlign w:val="bottom"/>
            <w:tcBorders>
              <w:top w:val="single" w:sz="8" w:color="0000FF"/>
            </w:tcBorders>
            <w:gridSpan w:val="4"/>
          </w:tcPr>
          <w:p>
            <w:pPr>
              <w:spacing w:after="0"/>
              <w:rPr>
                <w:sz w:val="24"/>
                <w:szCs w:val="24"/>
                <w:color w:val="auto"/>
              </w:rPr>
            </w:pPr>
          </w:p>
        </w:tc>
        <w:tc>
          <w:tcPr>
            <w:tcW w:w="1160" w:type="dxa"/>
            <w:vAlign w:val="bottom"/>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Schedule I – Condensed Financial Information of Registrant</w:t>
            </w:r>
          </w:p>
        </w:tc>
        <w:tc>
          <w:tcPr>
            <w:tcW w:w="6080" w:type="dxa"/>
            <w:vAlign w:val="bottom"/>
            <w:gridSpan w:val="6"/>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National Vision Holdings,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National Vision Holdings, Inc. and subsidiaries (the “Company”) as of December 30, 2023 and December 31, 2022, the related consolidated statements of operations and comprehensive income, stockholders’equity, and cash flows, for each of the three years in the period ended December 30, 2023, and the related notes and the schedule listed in the Index at Item 15 (collectively referred to as the “financial statements”). In our opinion, the financial statements present fairly, in all material respects, the financial position of the Company as of December 30, 2023 and December 31, 2022, and the results of its operations and its cash flows for each of the three years in the period ended December 30, 2023, in conformity with accounting principles generally accepted in the United States of America.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30, 2023, based on criteria established in Internal Control — Integrated Framework (2013) issued by the Committee of Sponsoring Organizations of the Treadway Commission and our report dated February 26, 2024,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8" w:lineRule="exact"/>
        <w:rPr>
          <w:sz w:val="20"/>
          <w:szCs w:val="20"/>
          <w:color w:val="auto"/>
        </w:rPr>
      </w:pPr>
    </w:p>
    <w:p>
      <w:pPr>
        <w:ind w:right="2780"/>
        <w:spacing w:after="0" w:line="3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Trademark and Trade name — Eyeglass World — Refer to Notes 1 and 4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tests goodwill and trademarks and trade names for impairment annually, or more frequently as warranted by events or changes in circumstances which indicate that the carrying value of assets may not be recoverable. The Company evaluates impairment for Eyeglass World by comparing the fair value of the reporting unit and trademark and trade names with their respective carrying value. For each reporting unit, the Company used the income approach, which is based on a discounted cash flow analysis and calculated the fair value of the reporting unit by estimating after-tax cash flows discounted using a discount rate. For each trademark and trade name, the Company used the relief-from-royalty method, which involves estimating a royalty rate based on comparable licensing arrangements, applying that rate to the revenue projections for the subject asset, and then estimating fair value using a discounted cash flow analysis. The determination of fair value requires management to make significant estimates and assumptions related to the discount rate. The discount rate may also incorporate certain risk premiums, such as a company-specific risk premium (CSRP), which represents the incremental return that investors may require to compensate for the risks, uncertainties and variability in the estimated future cash flows. The changes in these assumptions could have a significant impact on the fair value which could lead to an impairment charge. As of December 30, 2023, the Company’s consolidated balance of goodwill was $717.5 million, of which $111.1 million relates to Eyeglass World. The consolidated balance of trademarks and trade names at the same date was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$240.5 million, of which $40.0 million relates to Eyeglass World. The fair value of the reporting unit and trademark and trade name for Eyeglass World exceeded the carrying value as of the measurement date and, therefore, no impairment was recognized.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valuation of the reporting unit and trademark and trade name for Eyeglass World as a critical audit matter because of the significant judgments made by management to estimate the fair value and the difference between its fair value and carrying value.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 including the CSRP.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discount rate, including the CSRP, used by management to estimate the fair value of the reporting unit and trademark and trade name for Eyeglass World included the following, among others:</w:t>
      </w:r>
    </w:p>
    <w:p>
      <w:pPr>
        <w:spacing w:after="0" w:line="54"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management’s goodwill and trademarks and trade names impairment evaluation, including those over the determination of the fair value and related to management’s selection of the discount rate.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the selected discount rate, including the CSRP, by:</w:t>
      </w:r>
    </w:p>
    <w:p>
      <w:pPr>
        <w:spacing w:after="0" w:line="5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source information underlying the determination of the discount rate and the mathematical accuracy of the calculation.</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 range of independent estimates and comparing those to the discount rate selected by management.</w:t>
      </w:r>
    </w:p>
    <w:p>
      <w:pPr>
        <w:spacing w:after="0" w:line="117"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the interaction between the discount rate and the forecasts to understand and sensitize management’s assumptions regarding risk inherent in the forecasts.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780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552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5520" w:type="dxa"/>
            <w:vAlign w:val="bottom"/>
          </w:tcPr>
          <w:p>
            <w:pPr>
              <w:jc w:val="center"/>
              <w:ind w:left="307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r>
      <w:tr>
        <w:trPr>
          <w:trHeight w:val="239"/>
        </w:trPr>
        <w:tc>
          <w:tcPr>
            <w:tcW w:w="1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14"/>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229,425</w:t>
            </w: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79,892</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123,158</w:t>
            </w: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41,361</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473,836</w:t>
            </w:r>
          </w:p>
        </w:tc>
      </w:tr>
      <w:tr>
        <w:trPr>
          <w:trHeight w:val="270"/>
        </w:trPr>
        <w:tc>
          <w:tcPr>
            <w:tcW w:w="68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359,775</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382,825</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21,981</w:t>
            </w:r>
          </w:p>
        </w:tc>
      </w:tr>
      <w:tr>
        <w:trPr>
          <w:trHeight w:val="223"/>
        </w:trPr>
        <w:tc>
          <w:tcPr>
            <w:tcW w:w="68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1,817,410</w:t>
            </w:r>
          </w:p>
        </w:tc>
      </w:tr>
      <w:tr>
        <w:trPr>
          <w:trHeight w:val="248"/>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2,291,246</w:t>
            </w:r>
          </w:p>
        </w:tc>
      </w:tr>
      <w:tr>
        <w:trPr>
          <w:trHeight w:val="20"/>
        </w:trPr>
        <w:tc>
          <w:tcPr>
            <w:tcW w:w="68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65,276</w:t>
            </w: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94,225</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41,239</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62,201</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29"/>
        </w:trPr>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77,186</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344,264</w:t>
            </w:r>
          </w:p>
        </w:tc>
      </w:tr>
      <w:tr>
        <w:trPr>
          <w:trHeight w:val="216"/>
        </w:trPr>
        <w:tc>
          <w:tcPr>
            <w:tcW w:w="6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563,388</w:t>
            </w:r>
          </w:p>
        </w:tc>
      </w:tr>
      <w:tr>
        <w:trPr>
          <w:trHeight w:val="230"/>
        </w:trPr>
        <w:tc>
          <w:tcPr>
            <w:tcW w:w="6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358,110</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29"/>
        </w:trPr>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93,870</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1,045,869</w:t>
            </w: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175"/>
        </w:trPr>
        <w:tc>
          <w:tcPr>
            <w:tcW w:w="6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84,831 and 84,273 shares issued</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4"/>
        </w:trPr>
        <w:tc>
          <w:tcPr>
            <w:tcW w:w="68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 of December 30, 2023 and December 31, 2022, respectively; 78,311 and 78,992 shares</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3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December 30, 2023 and December 31, 2022, respectively</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767,112</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320,517</w:t>
            </w:r>
          </w:p>
        </w:tc>
      </w:tr>
      <w:tr>
        <w:trPr>
          <w:trHeight w:val="175"/>
        </w:trPr>
        <w:tc>
          <w:tcPr>
            <w:tcW w:w="6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6,520 and 5,281 shares as of December 30, 2023 and December 31,</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3"/>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2022, respectively</w:t>
            </w: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(186,179)</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901,113</w:t>
            </w: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2,291,246</w:t>
            </w: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1,718,344</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361,181</w:t>
            </w: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2,079,525</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633,116</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271,663</w:t>
            </w: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904,779</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900,798</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97,089</w:t>
            </w: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23"/>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999,809</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174,937</w:t>
            </w: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149,325</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81,820</w:t>
            </w: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96,134</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130,704</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70"/>
              <w:spacing w:after="0" w:line="162"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4"/>
                <w:szCs w:val="4"/>
                <w:color w:val="auto"/>
              </w:rPr>
            </w:pPr>
          </w:p>
        </w:tc>
        <w:tc>
          <w:tcPr>
            <w:tcW w:w="1320" w:type="dxa"/>
            <w:vAlign w:val="bottom"/>
            <w:vMerge w:val="restart"/>
          </w:tcPr>
          <w:p>
            <w:pPr>
              <w:jc w:val="center"/>
              <w:ind w:right="10"/>
              <w:spacing w:after="0" w:line="162"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4"/>
                <w:szCs w:val="4"/>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4"/>
                <w:szCs w:val="4"/>
                <w:color w:val="auto"/>
              </w:rPr>
            </w:pP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Treasury</w:t>
            </w:r>
          </w:p>
        </w:tc>
        <w:tc>
          <w:tcPr>
            <w:tcW w:w="120" w:type="dxa"/>
            <w:vAlign w:val="bottom"/>
          </w:tcPr>
          <w:p>
            <w:pPr>
              <w:spacing w:after="0"/>
              <w:rPr>
                <w:sz w:val="4"/>
                <w:szCs w:val="4"/>
                <w:color w:val="auto"/>
              </w:rPr>
            </w:pPr>
          </w:p>
        </w:tc>
        <w:tc>
          <w:tcPr>
            <w:tcW w:w="1160" w:type="dxa"/>
            <w:vAlign w:val="bottom"/>
            <w:vMerge w:val="restart"/>
          </w:tcPr>
          <w:p>
            <w:pPr>
              <w:jc w:val="right"/>
              <w:ind w:right="390"/>
              <w:spacing w:after="0" w:line="162"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w w:val="97"/>
              </w:rPr>
              <w:t>Stockholders’</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2, 2021</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81,239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906,502</w:t>
            </w:r>
          </w:p>
        </w:tc>
        <w:tc>
          <w:tcPr>
            <w:tcW w:w="0" w:type="dxa"/>
            <w:vAlign w:val="bottom"/>
          </w:tcPr>
          <w:p>
            <w:pPr>
              <w:spacing w:after="0"/>
              <w:rPr>
                <w:sz w:val="1"/>
                <w:szCs w:val="1"/>
                <w:color w:val="auto"/>
              </w:rPr>
            </w:pPr>
          </w:p>
        </w:tc>
      </w:tr>
      <w:tr>
        <w:trPr>
          <w:trHeight w:val="176"/>
        </w:trPr>
        <w:tc>
          <w:tcPr>
            <w:tcW w:w="3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principle</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(71,385)</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(64,114)</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3, 2021 - as adjusted</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81,239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842,388</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(73,295)</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128,244</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128,244</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2022</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750,478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925,980</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2025 Notes</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78,992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767,112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320,517</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(186,179)</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901,113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0" w:type="dxa"/>
            <w:vAlign w:val="bottom"/>
          </w:tcPr>
          <w:p>
            <w:pPr>
              <w:spacing w:after="0"/>
              <w:rPr>
                <w:sz w:val="1"/>
                <w:szCs w:val="1"/>
                <w:color w:val="auto"/>
              </w:rPr>
            </w:pPr>
          </w:p>
        </w:tc>
      </w:tr>
      <w:tr>
        <w:trPr>
          <w:trHeight w:val="175"/>
        </w:trPr>
        <w:tc>
          <w:tcPr>
            <w:tcW w:w="3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30, 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78,311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Fiscal Year 2023</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Fiscal Year 2022</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Fiscal Year 2021</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128,244</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97,089</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(14,876)</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8,700</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258,938</w:t>
            </w:r>
          </w:p>
        </w:tc>
      </w:tr>
      <w:tr>
        <w:trPr>
          <w:trHeight w:val="19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8"/>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(95,515)</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(92,897)</w:t>
            </w:r>
          </w:p>
        </w:tc>
      </w:tr>
      <w:tr>
        <w:trPr>
          <w:trHeight w:val="19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8"/>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long-term debt, net of discounts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(167,375)</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(73,295)</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(234,324)</w:t>
            </w:r>
          </w:p>
        </w:tc>
      </w:tr>
      <w:tr>
        <w:trPr>
          <w:trHeight w:val="207"/>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(68,283)</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375,159</w:t>
            </w:r>
          </w:p>
        </w:tc>
      </w:tr>
      <w:tr>
        <w:trPr>
          <w:trHeight w:val="207"/>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230,624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306,876</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6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10,428</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Notes to Consolidated Financial Statements</w:t>
      </w:r>
    </w:p>
    <w:p>
      <w:pPr>
        <w:spacing w:after="0" w:line="200" w:lineRule="exact"/>
        <w:rPr>
          <w:sz w:val="20"/>
          <w:szCs w:val="20"/>
          <w:color w:val="auto"/>
        </w:rPr>
      </w:pPr>
    </w:p>
    <w:p>
      <w:pPr>
        <w:spacing w:after="0" w:line="30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1.</w:t>
            </w:r>
          </w:p>
        </w:tc>
        <w:tc>
          <w:tcPr>
            <w:tcW w:w="33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Business and Significant Accounting Policies</w:t>
            </w:r>
          </w:p>
        </w:tc>
        <w:tc>
          <w:tcPr>
            <w:tcW w:w="3220" w:type="dxa"/>
            <w:vAlign w:val="bottom"/>
          </w:tcPr>
          <w:p>
            <w:pPr>
              <w:spacing w:after="0"/>
              <w:rPr>
                <w:sz w:val="17"/>
                <w:szCs w:val="17"/>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2.</w:t>
            </w:r>
          </w:p>
        </w:tc>
        <w:tc>
          <w:tcPr>
            <w:tcW w:w="33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Termination of Walmart Partnership</w:t>
            </w:r>
          </w:p>
        </w:tc>
        <w:tc>
          <w:tcPr>
            <w:tcW w:w="3220" w:type="dxa"/>
            <w:vAlign w:val="bottom"/>
          </w:tcPr>
          <w:p>
            <w:pPr>
              <w:spacing w:after="0"/>
              <w:rPr>
                <w:sz w:val="18"/>
                <w:szCs w:val="18"/>
                <w:color w:val="auto"/>
              </w:rPr>
            </w:pPr>
          </w:p>
        </w:tc>
        <w:tc>
          <w:tcPr>
            <w:tcW w:w="3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0" w:type="dxa"/>
            <w:vAlign w:val="bottom"/>
          </w:tcPr>
          <w:p>
            <w:pPr>
              <w:spacing w:after="0"/>
              <w:rPr>
                <w:sz w:val="1"/>
                <w:szCs w:val="1"/>
                <w:color w:val="auto"/>
              </w:rPr>
            </w:pPr>
          </w:p>
        </w:tc>
      </w:tr>
      <w:tr>
        <w:trPr>
          <w:trHeight w:val="88"/>
        </w:trPr>
        <w:tc>
          <w:tcPr>
            <w:tcW w:w="16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70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3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3.</w:t>
            </w:r>
          </w:p>
        </w:tc>
        <w:tc>
          <w:tcPr>
            <w:tcW w:w="65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Details of Certain Balance Sheet Accounts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4.</w:t>
            </w:r>
          </w:p>
        </w:tc>
        <w:tc>
          <w:tcPr>
            <w:tcW w:w="30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Goodwill and Intangible Assets</w:t>
            </w:r>
          </w:p>
        </w:tc>
        <w:tc>
          <w:tcPr>
            <w:tcW w:w="3440" w:type="dxa"/>
            <w:vAlign w:val="bottom"/>
            <w:gridSpan w:val="2"/>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5.</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Long-term Debt</w:t>
            </w:r>
          </w:p>
        </w:tc>
        <w:tc>
          <w:tcPr>
            <w:tcW w:w="1100" w:type="dxa"/>
            <w:vAlign w:val="bottom"/>
            <w:gridSpan w:val="2"/>
          </w:tcPr>
          <w:p>
            <w:pPr>
              <w:spacing w:after="0"/>
              <w:rPr>
                <w:sz w:val="18"/>
                <w:szCs w:val="18"/>
                <w:color w:val="auto"/>
              </w:rPr>
            </w:pPr>
          </w:p>
        </w:tc>
        <w:tc>
          <w:tcPr>
            <w:tcW w:w="4240" w:type="dxa"/>
            <w:vAlign w:val="bottom"/>
            <w:gridSpan w:val="5"/>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6.</w:t>
            </w: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Stock Incentive Plans</w:t>
            </w:r>
          </w:p>
        </w:tc>
        <w:tc>
          <w:tcPr>
            <w:tcW w:w="4940" w:type="dxa"/>
            <w:vAlign w:val="bottom"/>
            <w:gridSpan w:val="6"/>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7.</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6"/>
              </w:rPr>
              <w:t>Income Taxes</w:t>
            </w:r>
          </w:p>
        </w:tc>
        <w:tc>
          <w:tcPr>
            <w:tcW w:w="560" w:type="dxa"/>
            <w:vAlign w:val="bottom"/>
            <w:gridSpan w:val="2"/>
          </w:tcPr>
          <w:p>
            <w:pPr>
              <w:spacing w:after="0"/>
              <w:rPr>
                <w:sz w:val="18"/>
                <w:szCs w:val="18"/>
                <w:color w:val="auto"/>
              </w:rPr>
            </w:pPr>
          </w:p>
        </w:tc>
        <w:tc>
          <w:tcPr>
            <w:tcW w:w="4940" w:type="dxa"/>
            <w:vAlign w:val="bottom"/>
            <w:gridSpan w:val="6"/>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8.</w:t>
            </w: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Revenue from Contracts with Customers</w:t>
            </w:r>
          </w:p>
        </w:tc>
        <w:tc>
          <w:tcPr>
            <w:tcW w:w="3560" w:type="dxa"/>
            <w:vAlign w:val="bottom"/>
            <w:gridSpan w:val="3"/>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9.</w:t>
            </w: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Leases</w:t>
            </w:r>
          </w:p>
        </w:tc>
        <w:tc>
          <w:tcPr>
            <w:tcW w:w="3560" w:type="dxa"/>
            <w:vAlign w:val="bottom"/>
            <w:gridSpan w:val="3"/>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7"/>
              </w:rPr>
              <w:t>10.</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Fair Value Measurement</w:t>
            </w:r>
          </w:p>
        </w:tc>
        <w:tc>
          <w:tcPr>
            <w:tcW w:w="78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0000FF"/>
              </w:rPr>
              <w:t>100</w:t>
            </w:r>
          </w:p>
        </w:tc>
      </w:tr>
      <w:tr>
        <w:trPr>
          <w:trHeight w:val="209"/>
        </w:trPr>
        <w:tc>
          <w:tcPr>
            <w:tcW w:w="140" w:type="dxa"/>
            <w:vAlign w:val="bottom"/>
          </w:tcPr>
          <w:p>
            <w:pPr>
              <w:spacing w:after="0"/>
              <w:rPr>
                <w:sz w:val="18"/>
                <w:szCs w:val="18"/>
                <w:color w:val="auto"/>
              </w:rPr>
            </w:pPr>
          </w:p>
        </w:tc>
        <w:tc>
          <w:tcPr>
            <w:tcW w:w="1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11. Deferred Revenue</w:t>
            </w:r>
          </w:p>
        </w:tc>
        <w:tc>
          <w:tcPr>
            <w:tcW w:w="400" w:type="dxa"/>
            <w:vAlign w:val="bottom"/>
            <w:tcBorders>
              <w:top w:val="single" w:sz="8" w:color="0000FF"/>
            </w:tcBorders>
          </w:tcPr>
          <w:p>
            <w:pPr>
              <w:spacing w:after="0"/>
              <w:rPr>
                <w:sz w:val="18"/>
                <w:szCs w:val="18"/>
                <w:color w:val="auto"/>
              </w:rPr>
            </w:pPr>
          </w:p>
        </w:tc>
        <w:tc>
          <w:tcPr>
            <w:tcW w:w="1200" w:type="dxa"/>
            <w:vAlign w:val="bottom"/>
            <w:gridSpan w:val="3"/>
          </w:tcPr>
          <w:p>
            <w:pPr>
              <w:spacing w:after="0"/>
              <w:rPr>
                <w:sz w:val="18"/>
                <w:szCs w:val="18"/>
                <w:color w:val="auto"/>
              </w:rPr>
            </w:pPr>
          </w:p>
        </w:tc>
        <w:tc>
          <w:tcPr>
            <w:tcW w:w="6580" w:type="dxa"/>
            <w:vAlign w:val="bottom"/>
          </w:tcPr>
          <w:p>
            <w:pPr>
              <w:spacing w:after="0"/>
              <w:rPr>
                <w:sz w:val="18"/>
                <w:szCs w:val="18"/>
                <w:color w:val="auto"/>
              </w:rPr>
            </w:pPr>
          </w:p>
        </w:tc>
        <w:tc>
          <w:tcPr>
            <w:tcW w:w="2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1000" w:type="dxa"/>
            <w:vAlign w:val="bottom"/>
          </w:tcPr>
          <w:p>
            <w:pPr>
              <w:spacing w:after="0"/>
              <w:rPr>
                <w:sz w:val="18"/>
                <w:szCs w:val="18"/>
                <w:color w:val="auto"/>
              </w:rPr>
            </w:pPr>
          </w:p>
        </w:tc>
      </w:tr>
      <w:tr>
        <w:trPr>
          <w:trHeight w:val="210"/>
        </w:trPr>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7"/>
              </w:rPr>
              <w:t>12.</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78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0000FF"/>
              </w:rPr>
              <w:t>103</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7"/>
              </w:rPr>
              <w:t>13.</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Interest Rate Derivatives</w:t>
            </w:r>
          </w:p>
        </w:tc>
        <w:tc>
          <w:tcPr>
            <w:tcW w:w="78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0000FF"/>
              </w:rPr>
              <w:t>104</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7"/>
              </w:rPr>
              <w:t>14.</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78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7"/>
              </w:rPr>
              <w:t>15.</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Segment Reporting</w:t>
            </w:r>
          </w:p>
        </w:tc>
        <w:tc>
          <w:tcPr>
            <w:tcW w:w="78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7"/>
              </w:rPr>
              <w:t>16.</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Accumulated Other Comprehensive Loss</w:t>
            </w:r>
          </w:p>
        </w:tc>
        <w:tc>
          <w:tcPr>
            <w:tcW w:w="78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0000FF"/>
              </w:rPr>
              <w:t>108</w:t>
            </w:r>
          </w:p>
        </w:tc>
      </w:tr>
      <w:tr>
        <w:trPr>
          <w:trHeight w:val="763"/>
        </w:trPr>
        <w:tc>
          <w:tcPr>
            <w:tcW w:w="1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58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(“U.S”). We operated 1,413 and 1,354 retail optical locations in the U.S. and its territories as of the fiscal years ended December 30, 2023 and December 31,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 Refer to Note 2. “Termination of Walmart Partnership” for developments related to the Walmart exit.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eyeglasses, contact lenses and optical accessory products to retail customers through proprietary retail web sites and web sites on behalf of certain independent retailers and insurance companies. We also distribute contact lenses to Walmart and Sam’s Club store locations.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operate a specialized health maintenance organization (“HMO”) that is licensed as a single-service health plan under California law. The HMO issues individual vision plans in connection with our America’s Best operations in California, and until February 23, 2024, provided, or arranged for the provision of, optometric services at the offices next to certain Walmart stores throughout California.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on a retail fiscal calendar that results in a given fiscal year consisting of a 52- or 53-week period ending on the Saturday closest to December</w:t>
      </w:r>
    </w:p>
    <w:p>
      <w:pPr>
        <w:spacing w:after="0" w:line="27"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52-week fiscal year, each quarter contains 13 weeks of operations; in a 53-week fiscal year, each of the first, second and third quarters include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of operations and the fourth quarter includes 14 weeks of operations.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References herein to “fiscal year 2023”, “fiscal year 2022” and “fiscal year 2021,” relate to the 52 weeks ended December 30, 2023, December 31, 2022, and January 1, 2022, respectively. Unless otherwise stated, references to years in this report relate to fiscal years rather than calendar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December 30, 2023, the variable interest entities include 32 professional corporations. The total assets of the consolidated VIEs included in the accompanying Consolidated Balance Sheets as of December 30, 2023 and December 31, 2022, were $8.3 million and $7.9 million, respectively, and the total liabilities of the consolidated VIEs were $9.8 million and $8.3 million, respectively.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fiscal year 2022 and fiscal year 2021 amounts within the Consolidated Statements of Cash Flows and footnotes to the financial statements have been reclassified to conform to the fiscal year 2023 presentation.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November 8, 2021, the Company’s Board of Directors (the “Board”) authorized the Company to repurchase up to $50 million aggregate amount of shares of the Company's common stock. On November 29, 2021, the Board authorized an increase from $50 million to $100 million in aggregate amount of shares of the Company’s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common stock that may be repurchased under the Company’s current share repurchase program. On February 23, 2022, our Board of Directors authorized a $100 million increase to the share repurchase authorization, for a total authorization of $200 million. During fiscal years 2023, 2022, and 2021, the Company repurchased 1.1 million shares of its common stock for $25.0 million, 2.7 million shares of its common stock for $80.0 million, and 1.4 million shares of its common stock for $69.9 million, respectively,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 Repurchased shares are reflected in Treasury stock on the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CARES Act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recognizes government grants for which there is a reasonable assurance of compliance with grant conditions and receipt of credits. Amounts receivable under the CARES Act were $9.0 million as of both December 30, 2023 and December 31, 2022. Credits recognized under the CARES Act offset deferred payroll taxes that would otherwise be payable as of January 1, 2022.</w:t>
      </w: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CARES Act, the Consolidated Appropriations Act, 2021, H.R. 133 was signed into law on December 27, 2020 and, among other things, allows for 100% deductibility of meals and entertainment expenses for the tax years ending in 2022 and 2021. In 2023, the deductibility was reduced to 50% of meals and 0% of entertainment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consists of currency and demand deposits with financial institutions and money market funds. We consider all highly liquid investments with an original maturity of three months or less at the date of purchase to be cash equivalents.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SG&amp;A</w:t>
      </w:r>
    </w:p>
    <w:p>
      <w:pPr>
        <w:spacing w:after="0" w:line="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in the Company’s Consolidated Statements of Operations, was approximately $0.6 million, $0.9 million and $0.8 million for the fiscal years 2023, 2022 and 2021,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 Shrinkage is estimated and recorded throughout the period in costs applicable to revenue based on historical results and current inventory levels. Actual shrinkage is recorded throughout the year based upon periodic physical counts. See Note 3. “Details of Certain Balance Sheet Accounts” for further details.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inventory consists primarily of contact lenses, eyeglass frames and unprocessed eyeglass lenses. A significant portion of our inventory is supplied by a small number of key vendors. During fiscal year 2023, 92% of contact lens expenditures were with three vendors and 89% of lens expenditures were with one vendor. This exposes us to vendor concentration risk. We are less exposed to a supplier risk for our eyeglass frames as only 60% of frame expenditures were with two vendors.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We capitalize major replacements and remodeling, and recognize expenditures for maintenance and repairs in SG&amp;A.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We depreciate P&amp;E for financial accounting purposes using the straight-line method over the following estimated useful lives:</w:t>
            </w:r>
          </w:p>
        </w:tc>
        <w:tc>
          <w:tcPr>
            <w:tcW w:w="1500" w:type="dxa"/>
            <w:vAlign w:val="bottom"/>
          </w:tcPr>
          <w:p>
            <w:pPr>
              <w:spacing w:after="0"/>
              <w:rPr>
                <w:sz w:val="20"/>
                <w:szCs w:val="20"/>
                <w:color w:val="auto"/>
              </w:rPr>
            </w:pPr>
          </w:p>
        </w:tc>
      </w:tr>
      <w:tr>
        <w:trPr>
          <w:trHeight w:val="121"/>
        </w:trPr>
        <w:tc>
          <w:tcPr>
            <w:tcW w:w="97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9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Information technology hardware and software </w:t>
            </w:r>
            <w:r>
              <w:rPr>
                <w:rFonts w:ascii="Times New Roman" w:cs="Times New Roman" w:eastAsia="Times New Roman" w:hAnsi="Times New Roman"/>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2 - 5 years</w:t>
            </w: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Leasehold improvements</w:t>
            </w:r>
            <w:r>
              <w:rPr>
                <w:rFonts w:ascii="Times New Roman" w:cs="Times New Roman" w:eastAsia="Times New Roman" w:hAnsi="Times New Roman"/>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20"/>
        </w:trPr>
        <w:tc>
          <w:tcPr>
            <w:tcW w:w="974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P&amp;E under finance leases </w:t>
            </w:r>
            <w:r>
              <w:rPr>
                <w:rFonts w:ascii="Times New Roman" w:cs="Times New Roman" w:eastAsia="Times New Roman" w:hAnsi="Times New Roman"/>
                <w:sz w:val="23"/>
                <w:szCs w:val="23"/>
                <w:color w:val="auto"/>
                <w:vertAlign w:val="superscript"/>
              </w:rPr>
              <w:t>(b)</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188"/>
        </w:trPr>
        <w:tc>
          <w:tcPr>
            <w:tcW w:w="9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w:t>
            </w:r>
          </w:p>
        </w:tc>
        <w:tc>
          <w:tcPr>
            <w:tcW w:w="1500" w:type="dxa"/>
            <w:vAlign w:val="bottom"/>
          </w:tcPr>
          <w:p>
            <w:pPr>
              <w:spacing w:after="0"/>
              <w:rPr>
                <w:sz w:val="16"/>
                <w:szCs w:val="16"/>
                <w:color w:val="auto"/>
              </w:rPr>
            </w:pPr>
          </w:p>
        </w:tc>
      </w:tr>
    </w:tbl>
    <w:p>
      <w:pPr>
        <w:spacing w:after="0" w:line="68" w:lineRule="exact"/>
        <w:rPr>
          <w:sz w:val="20"/>
          <w:szCs w:val="20"/>
          <w:color w:val="auto"/>
        </w:rPr>
      </w:pPr>
    </w:p>
    <w:p>
      <w:pPr>
        <w:ind w:left="360" w:right="40" w:hanging="334"/>
        <w:spacing w:after="0" w:line="241" w:lineRule="auto"/>
        <w:tabs>
          <w:tab w:leader="none" w:pos="3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27" w:lineRule="exact"/>
        <w:rPr>
          <w:rFonts w:ascii="Times New Roman" w:cs="Times New Roman" w:eastAsia="Times New Roman" w:hAnsi="Times New Roman"/>
          <w:sz w:val="14"/>
          <w:szCs w:val="14"/>
          <w:color w:val="auto"/>
        </w:rPr>
      </w:pPr>
    </w:p>
    <w:p>
      <w:pPr>
        <w:ind w:left="360" w:right="260" w:hanging="334"/>
        <w:spacing w:after="0" w:line="261" w:lineRule="auto"/>
        <w:tabs>
          <w:tab w:leader="none" w:pos="3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 stages of the project are expensed as incurred. Implementation costs are included in Other assets in our Consolidated Balance Sheets. Amortization of capitalized implementation costs is included in Selling, general and administrative expenses in the Consolidated Statements of Operations and Comprehensive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or intangible assets are impaired. Our annual testing date for impairment of goodwill and indefinite-lived intangible assets is the first day of the fourth fiscal quarter, which for fiscal year 2023 was October 1, 2023. Costs to renew intangible assets are expensed as incurred.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amortizing intangible assets primarily consist of our contracts and relationships with certain retailers. We amortize finite-lived intangible assets on a straight-line basis over their estimated useful lives. Amortization expense associated with finite-lived intangible assets is included in Depreciation and amortization in the accompanying Consolidated Statements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impaired if a reporting unit’s carrying value exceeds its fair value, and impairment is calculated as the excess between carrying value over fair value. We consider each of our operating segments to be reporting units. We estimate the fair value of our reporting units using the income approach, which is based on a discounted cash flow analysis and calculate the fair value of reporting units by estimating after-tax cash flows discounted using a weighted average cost of capital that includes a company-specific risk premium. The cash flows used in the analysis are based on financial forecasts developed internally by management and require significant judgment. The significant unobservable inputs used in the fair value measurement of the reporting units are revenue growth rate, cost of sales, payroll expense growth rate and other store expenses growth rate. These assumptions are sensitive to future changes in the business profitability, changes in our business strategy and external market conditions, among other factors. A decrease to the long-term revenue growth rate assumption or an increase to the expense growth rate assumptions could require us to record goodwill impairment charges.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estimated fair value.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relief-from-royalty method to estimate fair value of our trademarks and trade names, which involves estimating a royalty rate based on comparable licensing arrangements, applying that rate to the revenue projections for the subject asset, and then estimating fair value using a discounted cash flow analysis; the discounted cash flow analysis uses a weighted average cost of capital that includes a company-specific risk premium. We record an impairment charge as the excess of carrying value over estimated fair value.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“Termination of Walmart Partnership” and Note 4. “Goodwill and Intangible Assets” for further detail on impairment of goodwill and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had an investment in a private start-up company whose principal business is licensing software to eyeglass retailers. During fiscal year 2021, the Company’s equity method investee was acquired by a third party and in connection therewith the Company sold all of its ownership interests and received $2.4 million upon the consummation of the sale. The Company subsequently received $2.7 million in fiscal year 2022 related to an earnout associated with the sale. These proceeds were included in Other in the investing section of the Consolidated Statements of Cash Flows. As a result of this transaction, and as the carrying value of the investment was zero, the Company recorded a gain on sale of equity method investment in Other expense (income), net on the Consolidated Statement of Operations of $2.7 million in fiscal year 2022 and $2.4 million in fiscal year 2021.</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year 2023, we completed an investment in an entity specializing in applying artificial intelligence-powered screening and diagnostic tools to retinal imaging. The initial investment of $0.9 million and subsequent milestone payment of $0.9 million were both recognized in Other assets in the Consolidated Balance Sheets as of December 30, 2023 and in Other in the investing section of the Consolidated Statements of Cash Flows for fiscal year 2023. We have agreed to invest up to an additional $1.5 million in the entity upon the completion of certain milestones.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Assets and Liabilities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The Company generally uses a market approach, when practicable, in valuing financial instruments. For certain assets the Company may also use a valuation technique consistent with the income approach whereby future cash flows are converted to a single discounted amount. The carrying value of the Company’s cash equivalents and restricted cash, accounts receivables, accounts payable and other payables and accrued expenses, approximate fair value due to their short-term nature.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Non-financial assets such as P&amp;E, right of use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“Long-lived Asset Impairment” section below and Note 10. “Fair Value Measurement” for the Company’s recurring and non-recurring fair value measurements.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 and Loan Discounts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long-term debt which are paid directly to the Company’s lenders and to third parties are presented as reductions to our long-term debt balance, except for the costs related to our revolving credit facility which are presented as assets. These costs are amortized over the term of the related financing agreement and included in Interest expense,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Liabilities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Self-insurance liabilities are recorded on an undiscounted basis in the accompanying Consolidated Balance Sheets. Refer to the following table and Note 3. “Details of Certain Balance Sheet Accounts” for further details.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reinsure worker’s compensation and medical claims above our retention levels with a highly rated financial institution that can be expected to fully perform under the terms of the arrangement. Estimated recoveries from reinsurance as of fiscal year end 2023 and 2022 are shown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220" w:type="dxa"/>
            <w:vAlign w:val="bottom"/>
          </w:tcPr>
          <w:p>
            <w:pPr>
              <w:spacing w:after="0"/>
              <w:rPr>
                <w:sz w:val="17"/>
                <w:szCs w:val="17"/>
                <w:color w:val="auto"/>
              </w:rPr>
            </w:pPr>
          </w:p>
        </w:tc>
        <w:tc>
          <w:tcPr>
            <w:tcW w:w="18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20" w:type="dxa"/>
            <w:vAlign w:val="bottom"/>
          </w:tcPr>
          <w:p>
            <w:pPr>
              <w:spacing w:after="0"/>
              <w:rPr>
                <w:sz w:val="21"/>
                <w:szCs w:val="21"/>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w:t>
            </w: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Noncurrent portion</w:t>
            </w:r>
          </w:p>
        </w:tc>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recoveries from reinsurance</w:t>
            </w:r>
          </w:p>
        </w:tc>
        <w:tc>
          <w:tcPr>
            <w:tcW w:w="3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interest rate derivatives to manage the exposure of its Term Secured Overnight Financing Rate (“Term SOFR”)-based debt to fluctuations in interest rates. If our derivatives are designated as cash flow hedges, we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was based on information that is model-driven and whose inputs were observable (Level 2 inputs) such as Term SOFR forward rates. We do not hold or enter into financial instruments for trading or speculative purposes.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gain or loss resulting from fair value adjustments for highly effective cash flow hedges is recorded in Accumulated other comprehensive loss (“AOCL”) in the accompanying Consolidated Balance Sheets until the hedged item is recognized as Interest expense, net in the Consolidated Statements of Operations. The gain or loss resulting from fair value adjustments of derivatives not deemed to be highly effective cash flow hedges is recognized in Interest expense, net immediately. We perform periodic assessments of the effectiveness of our derivative contracts designated as hedges, if applicable.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do not have any credit risk-related contingent features or collateral requirements associated with our derivative contracts. See Note 13. “Interest Rate Derivatives” for further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previously effective hedging instruments. See Note 16. “Accumulated Other Comprehensive Loss” for details of reclassifications out of AOCL.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 sales include sales of prescription and non-prescription eyewear, contact lenses and related accessories to retail customers (including those covered by managed care) and sales of inventory in which our customer is another retail entity. Net sales of services and plans include sales of eye exams, eye care club membership fees, product protection plans (i.e. warranties) and HMO vision plan fees. Net sales of services and plans also include fees we earn for managing certain Vision Centers located in Walmart stores and performing laboratory processing services for our Legacy partner.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range from approximately seven to 10 days; all unearned revenue at the end of a reporting period is recognized in the next fiscal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net of sales taxes and returns and includes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$17.3 million, $14.8 million and $10.2 million during the fiscal years 2023,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“Revenue from Contracts with Customers” for further details of our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vision plan fees, eye care practitioner and eye exam technician payroll, taxes and benefits and optometric and other service costs. Depreciation and amortization are excluded from costs applicable to revenue and are presented separately on the accompanying Consolidated Statements of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component of the Company’s procurement program, the Company frequently enters into contracts with its vendors that provide for payments of rebates or other allowances. These vendor payments are reflected when earned or as progress is made toward earning the rebate or allowance and, depending on the terms of the agreement with the vendor, are treated as a reduction of the carrying value of the inventory and a resultant reduction of cost of products. Rebates that have been earned but not yet received are recognized as an increase to Accounts receivable, net or a reduction to Accounts payable, depending on the nature of the agreement with the vendor, until the payment has been received.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includes store associate (including optician) payroll, taxes and benefits, occupancy and other store expenses, advertising and promotion, field services,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 Certain vendor contracts provide for marketing co-op allowances; such allowances are reflected when earned or as progress is made toward earning the allowance and are treated as a reduction of SG&amp;A.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960"/>
        <w:spacing w:after="0" w:line="375" w:lineRule="auto"/>
        <w:rPr>
          <w:sz w:val="20"/>
          <w:szCs w:val="20"/>
          <w:color w:val="auto"/>
        </w:rPr>
      </w:pPr>
      <w:r>
        <w:rPr>
          <w:rFonts w:ascii="Times New Roman" w:cs="Times New Roman" w:eastAsia="Times New Roman" w:hAnsi="Times New Roman"/>
          <w:sz w:val="18"/>
          <w:szCs w:val="18"/>
          <w:color w:val="auto"/>
        </w:rPr>
        <w:t xml:space="preserve">Advertising expenses were $139.9 million, $141.4 million and $149.6 million for fiscal years 2023, 2022 and 2021, respectively. </w:t>
      </w:r>
      <w:r>
        <w:rPr>
          <w:rFonts w:ascii="Times New Roman" w:cs="Times New Roman" w:eastAsia="Times New Roman" w:hAnsi="Times New Roman"/>
          <w:sz w:val="18"/>
          <w:szCs w:val="18"/>
          <w:i w:val="1"/>
          <w:iCs w:val="1"/>
          <w:color w:val="auto"/>
        </w:rPr>
        <w:t>Leases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lease our stores, distribution centers, corporate offices, and most of our laboratories.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the greater of fixed rent or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fixed rates on interest rate swaps, Term SOFR margins for issuers of similar credit rating to NVI and effect of collateralization.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finance leases, a lease ROU asset is recorded as property and equipment and corresponding amounts are recorded as finance lease debt obligations at the net present value of the minimum lease payments to be made over the lease term for new finance leases.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measure stock-based compensation cost, which consists of grants of stock options, performance stock units (“PSUs”), and restricted stock units (“RSUs”), to associates and non-employee directors, based on the estimated grant date fair value of the awards. We recognize compensation expense for all awards containing only a service requirement over the requisite service period using a straight-line recognition method. Our PSUs contain both a service requirement and a performance requirement. We recognize expense for the proportionate share of the total fair value of PSUs related to the vesting period that has already lapsed for the shares expected to vest, which expectation is based on an evaluation of expected performance against predefined performance criteria and may also result in reversals of expense. The remaining fair value of the shares expected to vest is expensed on a straight-line basis over the balance of the vesting period. We account for forfeitures as they occur. See Note 6. “Stock Incentive Plan” for further details related to our stock-based compensation plans.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 Impairment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Non-financial assets such as P&amp;E, ROU assets and intangible assets are subject to nonrecurring fair value measurements if impairment indicators are present. We evaluate impairment of long-lived tangible and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industry or economic trends,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non-store long-lived assets, including capitalized software costs in use or under development, for impairment if events or changes in circumstances indicate that the carrying value of those assets may not be recoverable. In fiscal year 2021, we impaired $0.8 million related to a write-off of certain capitalized software costs that were deemed to be obsolete due to a decision to cease further development. We did not recognize impairment related to capitalized software costs in fiscal year 2022. In fiscal year 2023, we impaired $5.6 million of capitalized software costs related to the impending termination of the agreement between AC Lens and Walmart. Refer to Note 2. “Termination of Walmart Partnership” for more information related to impairment charges related to the Legacy segment and AC Lens.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“Income Taxes” for further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Convertible Instruments and Contracts in an Entity’s Own Equity. </w:t>
      </w:r>
      <w:r>
        <w:rPr>
          <w:rFonts w:ascii="Times New Roman" w:cs="Times New Roman" w:eastAsia="Times New Roman" w:hAnsi="Times New Roman"/>
          <w:sz w:val="18"/>
          <w:szCs w:val="18"/>
          <w:color w:val="auto"/>
        </w:rPr>
        <w:t>In August 2020, the FASB issued ASU No. 2020-06,</w:t>
      </w:r>
      <w:r>
        <w:rPr>
          <w:rFonts w:ascii="Times New Roman" w:cs="Times New Roman" w:eastAsia="Times New Roman" w:hAnsi="Times New Roman"/>
          <w:sz w:val="18"/>
          <w:szCs w:val="18"/>
          <w:i w:val="1"/>
          <w:iCs w:val="1"/>
          <w:color w:val="auto"/>
        </w:rPr>
        <w:t xml:space="preserve"> Debt—Debt with Conversion and Other Options (Subtopic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This new guidance simplifies and adds disclosure requirements for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The company early adopted the guidance in the first quarter of 2021 using the modified retrospective approach and recognized a cumulative effect of the change of $7.3 million as an adjustment to the opening balance of retained earnings. Upon adoption of ASU 2020-06 the Company eliminated the equity components related to its convertible debt and increased the related liability components by $82.9 million. In addition, as a result of the adoption, our deferred tax liabilities decreased by $18.8 million and additional paid-in capital decreased by $71.4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The Financial Accounting Standards Board (“FASB”) has issued guidance at various points over the last several years that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Refer to Note 5. “Long-term Debt” and Note 13. “Interest Rate Derivatives” for more information on our transition from LIBOR to Term SOFR.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In November 2023, the FASB issued Accounting Standards Update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This update provides, among other things, enhanced segment disclosure requirements including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of the guidance on the consolidated financial statements and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 </w:t>
      </w:r>
      <w:r>
        <w:rPr>
          <w:rFonts w:ascii="Times New Roman" w:cs="Times New Roman" w:eastAsia="Times New Roman" w:hAnsi="Times New Roman"/>
          <w:sz w:val="18"/>
          <w:szCs w:val="18"/>
          <w:color w:val="auto"/>
        </w:rPr>
        <w:t>(“ASU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FASB issued other accounting guidance during fiscal year 2023 that is not currently applicable or expected to have a material impact on the Company’s financial statements, and therefore, is not described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Termination of Walmart Partnership</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20, 2023, the Company received a notice of non-renewal from Walmart Inc. (“Walmart”) of the Management &amp; Services Agreement by and between NVI and Walmart, dated as of May 1, 2012 (as amended, supplemented or otherwise modified from time to time, the “Walmart MSA”). In accordance with the terms of the Walmart MSA and the notice, the agreement terminated as of February 23, 2024 (the “Termination Date”). In connection with the termination of the Walmart MSA, the Amended and Restated Supplier Agreement between NVI and Walmart, dated as of January 17, 2017 (the “Walmart Supplier Agreement”), and certain other related agreements also terminated as of the Termination Date. The Walmart MSA includes provisions governing the transition period and post-termination obligations of the parties.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termination of the Walmart MSA, the agreement between FirstSight Vision Services, Inc. (“FirstSight”), a wholly-owned subsidiary of the Company, and Walmart, which arranged for the provision by FirstSight of optometric services at optometric offices next to certain Walmart stores throughout California, also terminated as of the Termination Date. Additionally, another wholly-owned subsidiary of the Company, Arlington Contacts Lens Service, Inc. (“AC Lens”), has delivered notices of non-renewal of the agreements it has with Walmart and its affiliate Sam’s Club regarding wholesale contact lenses distribution and related services, such that these agreements will terminate as of June 30, 2024, unless an earlier date is agreed by the parties, and the Company will wind down its remaining AC Lens operations, including the closure of its Ohio distribution center, which largely supported the wholesale distribution and e-commerce contact lens services that the Company provided to Walmart and Sam’s Club. Additionally, in view of the termination of the Walmart MSA and impending wind down of AC Lens operations, the Company took actions in fiscal year 2023 to streamline corporate overhead including optimizing non-customer facing labor costs, as well as reducing travel expenses and third-party spend.</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charges recognized in the periods shown. We may incur other exit-related costs, which may be material. We anticipate approximately $8 million of additional costs to be incurred in connection with the termination of the Walmart partnership in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Pr>
          <w:p>
            <w:pPr>
              <w:spacing w:after="0"/>
              <w:rPr>
                <w:sz w:val="20"/>
                <w:szCs w:val="20"/>
                <w:color w:val="auto"/>
              </w:rPr>
            </w:pPr>
          </w:p>
        </w:tc>
        <w:tc>
          <w:tcPr>
            <w:tcW w:w="2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Fiscal Year 2023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benefits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obsolescence</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summarized the Company’s Other payables and accrued expenses balance related to the termination of the Walmart partnership.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736"/>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Employee Compensation Benefits</w:t>
            </w:r>
          </w:p>
        </w:tc>
      </w:tr>
      <w:tr>
        <w:trPr>
          <w:trHeight w:val="237"/>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recognized during the period</w:t>
            </w:r>
          </w:p>
        </w:tc>
        <w:tc>
          <w:tcPr>
            <w:tcW w:w="300" w:type="dxa"/>
            <w:vAlign w:val="bottom"/>
          </w:tcPr>
          <w:p>
            <w:pPr>
              <w:spacing w:after="0"/>
              <w:rPr>
                <w:sz w:val="22"/>
                <w:szCs w:val="22"/>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257"/>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paid during the period</w:t>
            </w:r>
          </w:p>
        </w:tc>
        <w:tc>
          <w:tcPr>
            <w:tcW w:w="30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r>
      <w:tr>
        <w:trPr>
          <w:trHeight w:val="22"/>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charges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determined that the various terminations of agreements described above as well as the subsequent decision to consolidate our distribution network and close the distribution center in Ohio constituted triggering events, and accordingly, performed impairment tests during the year ended December 30, 2023 on assets related to the Walmart partnership. We used the discounted cash flow method of the income approach in our analyses and considered projected cash flows for the remaining terms of the various agreements and other costs related to the termination of the Walmart partnership, and used discount rates between 7.8% and 10.0% depending on the asset or asset group being valued. A decrease in the estimated cash flows would lead to a lower fair value measurement, as would an increase in the discount rate. These non-recurring fair value measurements are classified as Level 3 measurements in the fair value hierarchy. The impairment charges recognized during the year ended December 30, 2023 resulting from the termination of the Walmart partnership include $60.1 million related to goodwill of the Legacy segment, $9.1 million related to the Walmart contracts and relationship intangible asset, and $10.5 million related to property and equipment at Walmart stores and associated with our AC Lens business. These expenses were recognized in Corporate/Other, and the impairment charges are reflected in Asset impairment in the Consolidated Statements of Operations and Comprehensive Income. The assets impaired during the year ended December 30, 2023 as a result of the termination of the Walmart partnership were written down to their fair values totaling $1.5 million as of the respective valuation dates. We adjusted the useful lives of the impaired intangible and fixed assets to be aligned with the respective contract termination dates. The impairment testing date for (i) goodwill related to the Legacy segment, (ii) the Walmart contracts and relationships intangible asset and (iii) property and equipment located in Walmart stores was contemporaneous with the date that we received notice of non-renewal from Walmart. Other assets related to the AC Lens operations and Walmart partnership were tested at various dates during the third and fourth quarters. We did not impair certain assets that we believe can be sold or used in other stores in our Owned &amp; Host segment after the Termination Date. We determined that all long-lived Walmart and AC Lens assets were held and used as of December 30, 2023 and were not available for immediate sale. Refer to the Note 1. “Description of Business and Basis of Presentation” for more details on our impairment testing.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benefits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30, 2023, we recognized $0.6 million in Costs of services and plans and $5.1 million in Selling, general and administrative expenses in the Consolidated Statements of Operations and Comprehensive Income, in the Corporate/Other category, related to retention bonus programs implemented for certain associates to ensure continuity of business, as well as termination benefits for certain associates that have occurred and are probable to occur within the next 12 months. Of the amounts recorded in Selling, general and administrative expenses, $1.5 million is related to termination benefits for associates affected by the actions taken to streamline corporate overhead. The liability for employee compensation benefits is recorded in Other payables and accrued expenses in the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 and Other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30, 2023, we recognized $1.2 million in Selling, general, and administrative expenses in the Consolidated Statements of Operations and Comprehensive Income, in the Corporate/Other category, related to professional fees and other expenses, including advisory fees to assist with the exit.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Obsolescence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30, 2023, we recognized $0.2 million in Costs applicable to revenue in the Consolidated Statements of Operations and Comprehensive Income, in the Corporate/Other category, related to inventory obsolescence.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Details of Certain Balance Sheet Accounts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2023</w:t>
            </w:r>
          </w:p>
        </w:tc>
        <w:tc>
          <w:tcPr>
            <w:tcW w:w="240" w:type="dxa"/>
            <w:vAlign w:val="bottom"/>
          </w:tcPr>
          <w:p>
            <w:pPr>
              <w:spacing w:after="0"/>
              <w:rPr>
                <w:sz w:val="24"/>
                <w:szCs w:val="24"/>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Fiscal Year 2022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Fiscal Year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229,425</w:t>
            </w:r>
          </w:p>
        </w:tc>
        <w:tc>
          <w:tcPr>
            <w:tcW w:w="10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230,624</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40" w:type="dxa"/>
            <w:vAlign w:val="bottom"/>
            <w:gridSpan w:val="3"/>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tables provide additional details of certain balance sheet accounts as of the dates shown below:</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10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card receivables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wp:posOffset>
            </wp:positionV>
            <wp:extent cx="2820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(1) Includes CARES Act receivable in the amount of $9.0 million and $9.0 million as of December 30,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-86995</wp:posOffset>
            </wp:positionV>
            <wp:extent cx="2820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58,372</w:t>
            </w:r>
          </w:p>
        </w:tc>
        <w:tc>
          <w:tcPr>
            <w:tcW w:w="0" w:type="dxa"/>
            <w:vAlign w:val="bottom"/>
          </w:tcPr>
          <w:p>
            <w:pPr>
              <w:spacing w:after="0"/>
              <w:rPr>
                <w:sz w:val="1"/>
                <w:szCs w:val="1"/>
                <w:color w:val="auto"/>
              </w:rPr>
            </w:pPr>
          </w:p>
        </w:tc>
      </w:tr>
      <w:tr>
        <w:trPr>
          <w:trHeight w:val="228"/>
        </w:trPr>
        <w:tc>
          <w:tcPr>
            <w:tcW w:w="68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wp:posOffset>
            </wp:positionV>
            <wp:extent cx="2820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20" w:right="420" w:firstLine="6"/>
        <w:spacing w:after="0" w:line="261" w:lineRule="auto"/>
        <w:tabs>
          <w:tab w:leader="none" w:pos="2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-207010</wp:posOffset>
            </wp:positionV>
            <wp:extent cx="2820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4540" w:type="dxa"/>
            <w:vAlign w:val="bottom"/>
            <w:vMerge w:val="continue"/>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and building</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257,661</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 hardware and software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71,932</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36,099</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Right of use assets under finance leases</w:t>
            </w:r>
          </w:p>
        </w:tc>
        <w:tc>
          <w:tcPr>
            <w:tcW w:w="2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842,748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(482,973)</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359,775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5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5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80" w:type="dxa"/>
            <w:vAlign w:val="bottom"/>
            <w:vMerge w:val="continue"/>
          </w:tcPr>
          <w:p>
            <w:pPr>
              <w:spacing w:after="0"/>
              <w:rPr>
                <w:sz w:val="21"/>
                <w:szCs w:val="21"/>
                <w:color w:val="auto"/>
              </w:rPr>
            </w:pPr>
          </w:p>
        </w:tc>
        <w:tc>
          <w:tcPr>
            <w:tcW w:w="55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1"/>
                <w:szCs w:val="21"/>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Associate compensation and benefits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37,451</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30"/>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Legacy management &amp; services agreement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1"/>
                <w:szCs w:val="21"/>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impairment of the Company’s goodwill balances for 2023 and 2022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6"/>
              </w:rPr>
              <w:t>As of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As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December 30, 2023</w:t>
            </w:r>
          </w:p>
        </w:tc>
        <w:tc>
          <w:tcPr>
            <w:tcW w:w="120" w:type="dxa"/>
            <w:vAlign w:val="bottom"/>
          </w:tcPr>
          <w:p>
            <w:pPr>
              <w:spacing w:after="0"/>
              <w:rPr>
                <w:sz w:val="20"/>
                <w:szCs w:val="20"/>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178"/>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Gross Carrying</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9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234"/>
        </w:trPr>
        <w:tc>
          <w:tcPr>
            <w:tcW w:w="5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Impairment</w:t>
            </w:r>
          </w:p>
        </w:tc>
        <w:tc>
          <w:tcPr>
            <w:tcW w:w="12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Impairment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&amp; Host Segment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Segment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Owned &amp; Host Segment’s goodwill contains $606.5 million related to America’s Best and $111.1 million related to Eyeglass World. Accumulated goodwill impairment relates to our Legacy, Fred Meyer, Military and AC Lens reporting units.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 by major asset class are as follows: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524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America’s Best</w:t>
            </w: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Eyeglass World</w:t>
            </w:r>
          </w:p>
        </w:tc>
        <w:tc>
          <w:tcPr>
            <w:tcW w:w="15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6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52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maintain our trademarks; renewals will take place as needed.</w:t>
      </w:r>
    </w:p>
    <w:p>
      <w:pPr>
        <w:spacing w:after="0" w:line="10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Finite-lived, amortizing intangible assets by major asset class are as shown in the following table. We remove assets from the table below once they are fully amortized.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7"/>
          </w:tcPr>
          <w:p>
            <w:pPr>
              <w:ind w:left="980"/>
              <w:spacing w:after="0"/>
              <w:rPr>
                <w:sz w:val="20"/>
                <w:szCs w:val="20"/>
                <w:color w:val="auto"/>
              </w:rPr>
            </w:pPr>
            <w:r>
              <w:rPr>
                <w:rFonts w:ascii="Times New Roman" w:cs="Times New Roman" w:eastAsia="Times New Roman" w:hAnsi="Times New Roman"/>
                <w:sz w:val="18"/>
                <w:szCs w:val="18"/>
                <w:color w:val="auto"/>
              </w:rPr>
              <w:t>As of December 30, 2023</w:t>
            </w:r>
          </w:p>
        </w:tc>
        <w:tc>
          <w:tcPr>
            <w:tcW w:w="220" w:type="dxa"/>
            <w:vAlign w:val="bottom"/>
          </w:tcPr>
          <w:p>
            <w:pPr>
              <w:spacing w:after="0"/>
              <w:rPr>
                <w:sz w:val="20"/>
                <w:szCs w:val="20"/>
                <w:color w:val="auto"/>
              </w:rPr>
            </w:pPr>
          </w:p>
        </w:tc>
        <w:tc>
          <w:tcPr>
            <w:tcW w:w="4060" w:type="dxa"/>
            <w:vAlign w:val="bottom"/>
            <w:gridSpan w:val="6"/>
          </w:tcPr>
          <w:p>
            <w:pPr>
              <w:ind w:left="980"/>
              <w:spacing w:after="0"/>
              <w:rPr>
                <w:sz w:val="20"/>
                <w:szCs w:val="20"/>
                <w:color w:val="auto"/>
              </w:rPr>
            </w:pPr>
            <w:r>
              <w:rPr>
                <w:rFonts w:ascii="Times New Roman" w:cs="Times New Roman" w:eastAsia="Times New Roman" w:hAnsi="Times New Roman"/>
                <w:sz w:val="18"/>
                <w:szCs w:val="18"/>
                <w:color w:val="auto"/>
              </w:rPr>
              <w:t>As of December 31, 2022</w:t>
            </w:r>
          </w:p>
        </w:tc>
        <w:tc>
          <w:tcPr>
            <w:tcW w:w="0" w:type="dxa"/>
            <w:vAlign w:val="bottom"/>
          </w:tcPr>
          <w:p>
            <w:pPr>
              <w:spacing w:after="0"/>
              <w:rPr>
                <w:sz w:val="1"/>
                <w:szCs w:val="1"/>
                <w:color w:val="auto"/>
              </w:rPr>
            </w:pPr>
          </w:p>
        </w:tc>
      </w:tr>
      <w:tr>
        <w:trPr>
          <w:trHeight w:val="17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Borders>
              <w:top w:val="single" w:sz="8" w:color="auto"/>
            </w:tcBorders>
            <w:gridSpan w:val="3"/>
          </w:tcPr>
          <w:p>
            <w:pPr>
              <w:jc w:val="center"/>
              <w:ind w:right="180"/>
              <w:spacing w:after="0" w:line="177" w:lineRule="exact"/>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70"/>
              <w:spacing w:after="0" w:line="177"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Remaining Life</w:t>
            </w:r>
          </w:p>
        </w:tc>
        <w:tc>
          <w:tcPr>
            <w:tcW w:w="120" w:type="dxa"/>
            <w:vAlign w:val="bottom"/>
          </w:tcPr>
          <w:p>
            <w:pPr>
              <w:spacing w:after="0"/>
              <w:rPr>
                <w:sz w:val="15"/>
                <w:szCs w:val="15"/>
                <w:color w:val="auto"/>
              </w:rPr>
            </w:pPr>
          </w:p>
        </w:tc>
        <w:tc>
          <w:tcPr>
            <w:tcW w:w="1420" w:type="dxa"/>
            <w:vAlign w:val="bottom"/>
            <w:tcBorders>
              <w:top w:val="single" w:sz="8" w:color="auto"/>
            </w:tcBorders>
            <w:gridSpan w:val="3"/>
          </w:tcPr>
          <w:p>
            <w:pPr>
              <w:jc w:val="center"/>
              <w:ind w:right="180"/>
              <w:spacing w:after="0" w:line="177" w:lineRule="exact"/>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70"/>
              <w:spacing w:after="0" w:line="177"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Remaining Life</w:t>
            </w:r>
          </w:p>
        </w:tc>
        <w:tc>
          <w:tcPr>
            <w:tcW w:w="0" w:type="dxa"/>
            <w:vAlign w:val="bottom"/>
          </w:tcPr>
          <w:p>
            <w:pPr>
              <w:spacing w:after="0"/>
              <w:rPr>
                <w:sz w:val="1"/>
                <w:szCs w:val="1"/>
                <w:color w:val="auto"/>
              </w:rPr>
            </w:pPr>
          </w:p>
        </w:tc>
      </w:tr>
      <w:tr>
        <w:trPr>
          <w:trHeight w:val="234"/>
        </w:trPr>
        <w:tc>
          <w:tcPr>
            <w:tcW w:w="25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(Years)</w:t>
            </w:r>
          </w:p>
        </w:tc>
        <w:tc>
          <w:tcPr>
            <w:tcW w:w="2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and relationships: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Legacy</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Fred Meyer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4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4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right="640" w:hanging="332"/>
        <w:spacing w:after="0" w:line="302"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recognized an impairment of $9.1 million on the Legacy contracts and relationships in fiscal year 2023. The gross carrying amount shown for this asset as of December 30, 2023 reflects the fair value as of the impairment testing date.</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extended our relationship with Fred Meyer in fiscal year 2022. Refer to Note 2. “Termination of Walmart Partnership” for more information on our relationship with Walmart. We intend to maintain our intangible assets. We amortized $5.3 million, $7.5 million, and $7.5 million in 2023, 2022, and 2021,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8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w:t>
            </w:r>
          </w:p>
        </w:tc>
      </w:tr>
      <w:tr>
        <w:trPr>
          <w:trHeight w:val="248"/>
        </w:trPr>
        <w:tc>
          <w:tcPr>
            <w:tcW w:w="8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402,497</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Loans, due June 13, 2028</w:t>
            </w:r>
          </w:p>
        </w:tc>
        <w:tc>
          <w:tcPr>
            <w:tcW w:w="2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before unamortized discount and issuance costs</w:t>
            </w: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552,497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- 2025 Notes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Term Loan A</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debt discount and issuance costs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546,231</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546,231</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155"/>
        </w:trPr>
        <w:tc>
          <w:tcPr>
            <w:tcW w:w="68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Long-term debt and finance lease obligations, less current portion, discount, and issuance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563,388</w:t>
            </w:r>
          </w:p>
        </w:tc>
        <w:tc>
          <w:tcPr>
            <w:tcW w:w="0" w:type="dxa"/>
            <w:vAlign w:val="bottom"/>
          </w:tcPr>
          <w:p>
            <w:pPr>
              <w:spacing w:after="0"/>
              <w:rPr>
                <w:sz w:val="1"/>
                <w:szCs w:val="1"/>
                <w:color w:val="auto"/>
              </w:rPr>
            </w:pPr>
          </w:p>
        </w:tc>
      </w:tr>
      <w:tr>
        <w:trPr>
          <w:trHeight w:val="221"/>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we completed the issuance of $402.5 million in aggregate principal amount of 2.50% convertible senior notes due on May 15, 2025 (the “2025 Notes”), pursuant to an indenture between the Company and U.S. Bank, dated as of May 12, 2020 (the “Indenture”). The 2025 Notes were sold only to persons reasonably believed to be qualified institutional buyers in reliance on Rule 144A under the Securities Act of 1933, as amended (the “Securities Act”). The 2025 Notes pay interest semi-annually in arrears on May 15 and November 15 of each year, commencing on November 15, 2020, at an annual rate of 2.50%.</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received proceeds from the offering of $390.9 million, net of $11.6 million in underwriter fees and other issuance costs. We used $294.3 million of the net proceeds from the offering to repay all outstanding amounts under the revolving credit facility and $75.0 million to partially repay the first lien term loan in an aggregate principal amount of $420.0 million (the “term loan”). The remainder of the net proceeds are being used for general corporate purposes.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February 15, 2025, the 2025 Notes are convertible at the option of the holder only under the following circumstances:</w:t>
      </w:r>
    </w:p>
    <w:p>
      <w:pPr>
        <w:spacing w:after="0" w:line="117" w:lineRule="exact"/>
        <w:rPr>
          <w:sz w:val="20"/>
          <w:szCs w:val="20"/>
          <w:color w:val="auto"/>
        </w:rPr>
      </w:pPr>
    </w:p>
    <w:p>
      <w:pPr>
        <w:jc w:val="both"/>
        <w:ind w:firstLine="8"/>
        <w:spacing w:after="0" w:line="261" w:lineRule="auto"/>
        <w:tabs>
          <w:tab w:leader="none" w:pos="2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71" w:lineRule="exact"/>
        <w:rPr>
          <w:rFonts w:ascii="Times New Roman" w:cs="Times New Roman" w:eastAsia="Times New Roman" w:hAnsi="Times New Roman"/>
          <w:sz w:val="18"/>
          <w:szCs w:val="18"/>
          <w:color w:val="auto"/>
        </w:rPr>
      </w:pPr>
    </w:p>
    <w:p>
      <w:pPr>
        <w:jc w:val="both"/>
        <w:ind w:firstLine="8"/>
        <w:spacing w:after="0" w:line="261" w:lineRule="auto"/>
        <w:tabs>
          <w:tab w:leader="none" w:pos="2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or distributions on the Company’s common stock, as described in the Indenture; or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Notes for redemption.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or after February 15, 2025 until 5:00 p.m., New York City time, on the second Scheduled Trading Day (as defined in the Indenture) immediately before the maturity date, the 2025 Notes will be convertible at the option of the holder at any time.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Notes are initially convertible at a conversion rate of 32.0783 shares of common stock per $1,000 principal amount of 2025 Notes, which is equivalent to an initial conversion price of approximately $31.17 per share of common stock. The conversion rate will be subject to adjustment upon the occurrence of certain specified events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including, but not limited to: issuance of stock dividends, splits and combinations; distribution of rights, options and warrants; spin-offs and other distributed property; cash dividends or distributions; tender offers or exchange offers; and certain other corporate transactions. The Company can choose to settle upon conversion in cash, shares or a combination. Based on the initial conversion rate, the 2025 Notes were convertible into 12.9 million shares of our common stock and we reserved for the possible issuance of 16.5 million shares, which is the maximum amount that could be issued upon conversion. As of December 30, 2023, the 2025 Notes are convertible into 9.7 million shares of our common stock and a maximum of 12.4 million shares of our common stock. See Note 14. “Earnings Per Share” for the treatment of earnings per share in relation to the 2025 Notes. The holders of our term loan would have preference over the holders of the 2025 Notes in the event of a liquidation.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ASU 2020-06 as of January 3, 2021. ASU 2020-06 eliminates the cash conversion and the beneficial conversion feature models. Under the new convertible debt framework, the Company eliminated the equity components and increased the debt balance. Refer to Note 1. “Description of Business and Basis of Presentation” for further discussion of the adoption of ASU 2020-06. As a result of adopting ASU 2020-06, our effective interest rate decreased from 9.1% as of January 2, 2021 to 3.2% starting in the first quarter of 2021.</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14, 2023, the Company repurchased $100.0 million aggregate principal amount of the 2025 Notes for an aggregate cash repurchase price of $99.3 million. The repurchase of the 2025 Notes was accounted for as an extinguishment of debt and resulted in a loss on extinguishment of debt of $0.6 million on its Consolidated Statement of Operations during fiscal year ended December 30, 2023, which includes a write-off of related deferred issuance costs of $0.9 million and third-party fees of $0.4 million. After giving effect to the repurchase, $302.5 million principal amount remains outstanding from an initial issued principal balance of $402.5 million. An immaterial amount of the principal balance of the 2025 Notes was converted during fiscal year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in Interest expense, net related to the 2025 Notes: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2023</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2022</w:t>
            </w:r>
          </w:p>
        </w:tc>
        <w:tc>
          <w:tcPr>
            <w:tcW w:w="340" w:type="dxa"/>
            <w:vAlign w:val="bottom"/>
          </w:tcPr>
          <w:p>
            <w:pPr>
              <w:spacing w:after="0"/>
              <w:rPr>
                <w:sz w:val="20"/>
                <w:szCs w:val="20"/>
                <w:color w:val="auto"/>
              </w:rPr>
            </w:pPr>
          </w:p>
        </w:tc>
        <w:tc>
          <w:tcPr>
            <w:tcW w:w="2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r>
    </w:tbl>
    <w:p>
      <w:pPr>
        <w:spacing w:after="0" w:line="179" w:lineRule="exact"/>
        <w:rPr>
          <w:sz w:val="20"/>
          <w:szCs w:val="20"/>
          <w:color w:val="auto"/>
        </w:rPr>
      </w:pPr>
    </w:p>
    <w:p>
      <w:pPr>
        <w:ind w:right="360"/>
        <w:spacing w:after="0" w:line="375" w:lineRule="auto"/>
        <w:rPr>
          <w:sz w:val="20"/>
          <w:szCs w:val="20"/>
          <w:color w:val="auto"/>
        </w:rPr>
      </w:pPr>
      <w:r>
        <w:rPr>
          <w:rFonts w:ascii="Times New Roman" w:cs="Times New Roman" w:eastAsia="Times New Roman" w:hAnsi="Times New Roman"/>
          <w:sz w:val="18"/>
          <w:szCs w:val="18"/>
          <w:color w:val="auto"/>
        </w:rPr>
        <w:t xml:space="preserve">As of December 30, 2023, the remaining period for the unamortized debt issuance costs balance related to the 2025 Notes was approximately one year. As of December 30, 2023, the stock price conditions under which the 2025 Notes can be converted at the holders’ option were not met. </w:t>
      </w:r>
      <w:r>
        <w:rPr>
          <w:rFonts w:ascii="Times New Roman" w:cs="Times New Roman" w:eastAsia="Times New Roman" w:hAnsi="Times New Roman"/>
          <w:sz w:val="18"/>
          <w:szCs w:val="18"/>
          <w:i w:val="1"/>
          <w:iCs w:val="1"/>
          <w:color w:val="auto"/>
        </w:rPr>
        <w:t>Credit Agreement</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is made to (i) that certain Second Joinder and Restatement Agreement, dated as of June 13, 2023 (the “Second Restatement Agreement”), by and among the New Lenders party thereto, the Letter of Credit Issuers party thereto, Nautilus Acquisition Holdings, Inc. (“Holdings”), a Delaware corporation and a wholly-owned subsidiary of the Company, NVI, the subsidiaries of NVI party thereto, as guarantors, Bank of America, N.A. in its capacity as administrative agent and as collateral agent and (ii) the Second Amended and Restated Credit Agreement, dated as of June 13, 2023 (the “Credit Agreement”).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13, 2023 (the “Second Restatement Effective Date”), the Second Restatement Agreement amended and restated the Joinder and Amendment and Restatement Agreement, dated as of July 18, 2019 (as amended, restated, amended and restated, supplemented or otherwise modified prior to the Second Restatement Agreement, the “Original Credit Agreement”) to, among other things, (i) establish new Term Loan A to repay all principal, interest, fees and other amounts outstanding (other than contingent obligations) under the Original Credit Agreement immediately prior to the Second Restatement Effective Date, (ii) establish new Revolving Loans, (iii) provide for a Secured Overnight Financing Rate as administered by the Federal Reserve Bank of New York (or a successor administrator) (“SOFR”)-based rate, with a credit spread adjustment of 10 basis points for all Interest Periods and a SOFR floor of 0.00% per annum, and (iv) as set forth below, modify the Applicable Margins used to calculate the rate of interest payable with respect to the Term Loan A and Revolving Loans (collectively, the “Loans”).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as amended by the Second Restatement Agreement, provides that the Loans mature on the fifth anniversary of the Second Restatement Effective Date, subject to a springing maturity date, which is 91 days before the maturity date of the Company’s 2025 Notes if Minimum Liquidity is less than the sum of the redemption value of such convertible notes on that date plus $25.0 million (the “Maturity Date”). Commencing on the last day of the first full fiscal quarter ended after the Second Restatement Effective Date, the Term Loan A will amortize in equal calendar quarterly installments at a rate of 5.00% per calendar year. The $114.4 million balance (assuming the springing maturity date does not occur) will be payable on the Maturity Date.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new Applicable Margins were initially (i) 1.75% for the Loans that are Term SOFR Loans and (ii) 0.75% for the Loans that are Alternative Base Rate (“ABR”) Loans. Following the delivery of the financial statements for the period ending on September 30, 2023, the Applicable Margins for the Loans will instead be based on NVI’s total leverage ratio as follows: (a) if NVI’s consolidated total debt to consolidated EBITDA ratio is greater than 2.50 to 1.00, the Applicable Margin will be 2.25% for Term SOFR Loans and 1.25% for ABR Loans, (b) if NVI’s consolidated total debt to consolidated EBITDA ratio is less than or equal to 2.50 to 1.00 but greater than 1.75 to 1.00, the Applicable Margin will be 2.00% for Term SOFR Loans and 1.00% for ABR Loans, (c) if NVI’s consolidated total debt to consolidated EBITDA ratio is less than or equal to 1.75 to 1.00 but greater than 0.75 to 1.00, the Applicable Margin will be 1.75% for Term SOFR Loans and 0.75% for ABR Loans, (d) if NVI’s consolidated total debt to consolidated EBITDA ratio is less than or equal to 0.75 to 1.00, the Applicable Margin will be 1.50% for Term SOFR Loans and 0.50% for ABR Loans.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Second Amended and Restated Credit Agreement, we deferred $2.0 million of debt issuance costs related to the Revolving Loans in Other assets and $0.9 million of debt issuance costs related to the Term Loan A in Long-term debt and finance lease obligations, less current portion and debt discount on our Consolidated Balance Sheets. We will amortize these costs over the term of the amended credit agreement. We wrote off previously unamortized debt issuance costs of $0.2 million in Interest expense (income), net during fiscal year 2023 related to lenders who were parties to the Original Credit Agreement but are not parties to the Second Restatement Agreement. We recognized $0.2 million of other refinancing fees in Interest expense (income), net during fiscal year 2023.</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Restatement Agreement contains customary affirmative covenants, negative covenants, and events of default substantially comparable to the Original Credit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Restatement Agreement also contains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December 30, 2023.</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the Company partially prepaid $117.4 million of term loan principal and wrote off associated deferred debt issuance costs of $0.7 million. During the fourth quarter of 2021, the Company partially prepaid $50.0 million of term loan principal and wrote off associated deferred debt issuance costs of $0.3 million. The borrowing capacity remaining as of December 30, 2023 was $293.6 million due to a reduction of $6.4 million for letters of credit outstanding.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Scheduled annual maturities of debt are as follows:</w:t>
            </w: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7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23"/>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311,872</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116,250</w:t>
            </w:r>
          </w:p>
        </w:tc>
      </w:tr>
      <w:tr>
        <w:trPr>
          <w:trHeight w:val="230"/>
        </w:trPr>
        <w:tc>
          <w:tcPr>
            <w:tcW w:w="8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448,747</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Incentive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provided equity-based compensation awards to its associates under three plans. 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that may be issued under the 2017 Omnibus Incentive Plan is 4,000,000. The plan authorizes the grant of stock options, stock appreciation rights, restricted stock awards (“RSAs”), RSUs, PSUs, other equity-based awards and other cash-based awards to our associates, non-employee directors, officers, consultants and advisers. The Vision Holding Corp. 2013 Amended and Restated Stock Incentive Plans provided for the issuance of stock options to directors, certain associates and consultants of Vision Holding Corp., its subsidiaries and affiliates.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stock awards under these plans vest through continued service. All options under these plans have a contractual life of 10 years.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compensation expense under the Company’s plans, which is included in SG&amp;A in the accompanying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Fiscal Year 2022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Associate stock purchase plan</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20" w:type="dxa"/>
            <w:vAlign w:val="bottom"/>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tcPr>
          <w:p>
            <w:pPr>
              <w:spacing w:after="0"/>
              <w:rPr>
                <w:sz w:val="19"/>
                <w:szCs w:val="19"/>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After-tax stock-based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20" w:type="dxa"/>
            <w:vAlign w:val="bottom"/>
          </w:tcPr>
          <w:p>
            <w:pPr>
              <w:spacing w:after="0"/>
              <w:rPr>
                <w:sz w:val="21"/>
                <w:szCs w:val="2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Stock options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RSUs and PSUs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30,791</w:t>
            </w:r>
          </w:p>
        </w:tc>
        <w:tc>
          <w:tcPr>
            <w:tcW w:w="20" w:type="dxa"/>
            <w:vAlign w:val="bottom"/>
            <w:tcBorders>
              <w:top w:val="single" w:sz="8" w:color="auto"/>
            </w:tcBorders>
            <w:shd w:val="clear" w:color="auto" w:fill="CCEEFF"/>
          </w:tcPr>
          <w:p>
            <w:pPr>
              <w:spacing w:after="0"/>
              <w:rPr>
                <w:sz w:val="19"/>
                <w:szCs w:val="19"/>
                <w:color w:val="auto"/>
              </w:rPr>
            </w:pPr>
          </w:p>
        </w:tc>
      </w:tr>
      <w:tr>
        <w:trPr>
          <w:trHeight w:val="23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remaining weighted-average period of expense recognition (in years)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service-based stock option activity. No service-based options were granted in fiscal years 2023 and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Aggregate Intrinsic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Outstanding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9"/>
              </w:rPr>
              <w:t>Contractual Life</w:t>
            </w:r>
          </w:p>
        </w:tc>
        <w:tc>
          <w:tcPr>
            <w:tcW w:w="10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Value (In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Exercise Price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(Years)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30, 2023</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30, 2023</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values</w:t>
            </w:r>
          </w:p>
        </w:tc>
        <w:tc>
          <w:tcPr>
            <w:tcW w:w="680" w:type="dxa"/>
            <w:vAlign w:val="bottom"/>
          </w:tcPr>
          <w:p>
            <w:pPr>
              <w:spacing w:after="0"/>
              <w:rPr>
                <w:sz w:val="24"/>
                <w:szCs w:val="24"/>
                <w:color w:val="auto"/>
              </w:rPr>
            </w:pPr>
          </w:p>
        </w:tc>
        <w:tc>
          <w:tcPr>
            <w:tcW w:w="192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Fiscal Year 2023</w:t>
            </w:r>
          </w:p>
        </w:tc>
        <w:tc>
          <w:tcPr>
            <w:tcW w:w="28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Year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6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exercised</w:t>
            </w:r>
          </w:p>
        </w:tc>
        <w:tc>
          <w:tcPr>
            <w:tcW w:w="12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service-based options was estimated using the Black-Scholes-Merton option pricing model. The following is a summary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used</w:t>
            </w:r>
          </w:p>
        </w:tc>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w:t>
            </w: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this</w:t>
            </w: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model</w:t>
            </w:r>
          </w:p>
        </w:tc>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service-based</w:t>
            </w:r>
          </w:p>
        </w:tc>
        <w:tc>
          <w:tcPr>
            <w:tcW w:w="16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6"/>
              </w:rPr>
              <w:t>options:</w:t>
            </w:r>
          </w:p>
        </w:tc>
      </w:tr>
      <w:tr>
        <w:trPr>
          <w:trHeight w:val="238"/>
        </w:trPr>
        <w:tc>
          <w:tcPr>
            <w:tcW w:w="16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99"/>
              </w:rPr>
              <w:t>2021</w:t>
            </w:r>
          </w:p>
        </w:tc>
        <w:tc>
          <w:tcPr>
            <w:tcW w:w="60" w:type="dxa"/>
            <w:vAlign w:val="bottom"/>
          </w:tcPr>
          <w:p>
            <w:pPr>
              <w:spacing w:after="0"/>
              <w:rPr>
                <w:sz w:val="20"/>
                <w:szCs w:val="20"/>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 to 54.03%</w:t>
            </w:r>
          </w:p>
        </w:tc>
        <w:tc>
          <w:tcPr>
            <w:tcW w:w="60" w:type="dxa"/>
            <w:vAlign w:val="bottom"/>
          </w:tcPr>
          <w:p>
            <w:pPr>
              <w:spacing w:after="0"/>
              <w:rPr>
                <w:sz w:val="19"/>
                <w:szCs w:val="19"/>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range (in years)</w:t>
            </w: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9"/>
                <w:szCs w:val="19"/>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risk-free interest rate</w:t>
            </w: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 to 1.07%</w:t>
            </w:r>
          </w:p>
        </w:tc>
        <w:tc>
          <w:tcPr>
            <w:tcW w:w="60" w:type="dxa"/>
            <w:vAlign w:val="bottom"/>
          </w:tcPr>
          <w:p>
            <w:pPr>
              <w:spacing w:after="0"/>
              <w:rPr>
                <w:sz w:val="19"/>
                <w:szCs w:val="19"/>
                <w:color w:val="auto"/>
              </w:rPr>
            </w:pPr>
          </w:p>
        </w:tc>
      </w:tr>
      <w:tr>
        <w:trPr>
          <w:trHeight w:val="837"/>
        </w:trPr>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93</w:t>
            </w: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term was based on the mid-point between the weighted average time to vesting and the contractual time to maturity. Most service-based options vest in three equal installments on the first, second and third anniversaries of the grant date. The risk-free interest rate was based on the U.S. Treasury yield curve. The dividend yield was based on our expectation of not paying dividends on our common stock for the foreseeable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performance-based stock option activity: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 Intrinsic</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Remaining</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Outstanding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w:t>
            </w:r>
          </w:p>
        </w:tc>
        <w:tc>
          <w:tcPr>
            <w:tcW w:w="170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Contractual Life</w:t>
            </w:r>
          </w:p>
        </w:tc>
        <w:tc>
          <w:tcPr>
            <w:tcW w:w="15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(In thousands)</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Exercise Price ($)</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(Years)</w:t>
            </w:r>
          </w:p>
        </w:tc>
        <w:tc>
          <w:tcPr>
            <w:tcW w:w="400" w:type="dxa"/>
            <w:vAlign w:val="bottom"/>
          </w:tcPr>
          <w:p>
            <w:pPr>
              <w:spacing w:after="0"/>
              <w:rPr>
                <w:sz w:val="19"/>
                <w:szCs w:val="19"/>
                <w:color w:val="auto"/>
              </w:rPr>
            </w:pPr>
          </w:p>
        </w:tc>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30,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30,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grants of performance-based options during fiscal years 2023, 2022, and 2021. There were no vests of performance-based options during fiscal years 2023, 2022, and 2021. There were no exercises of performance-based options during fiscal year 2023. The aggregate intrinsic value of performance-based options exercised during fiscal years 2022 and 2021 was immaterial and $37.3 million,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summarize RSU and PSU awards activity:</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tcPr>
          <w:p>
            <w:pPr>
              <w:spacing w:after="0"/>
              <w:rPr>
                <w:sz w:val="24"/>
                <w:szCs w:val="24"/>
                <w:color w:val="auto"/>
              </w:rPr>
            </w:pP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PSUs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Fiscal Year 2023</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Fiscal Year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Fiscal Year 2021</w:t>
            </w: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RSUs</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grant date fair value of RSUs granted</w:t>
            </w: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RSUs vested (In thousands)</w:t>
            </w: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PSUs</w:t>
            </w: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grant date fair value of PSUs granted</w:t>
            </w: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fair value of PSUs vested (In thousands)</w:t>
            </w: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RSAs</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grant date fair value of RSAs granted</w:t>
            </w: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RSAs vested (In thousands)</w:t>
            </w: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RSUs vest in three equal annual installments on the first, second and third anniversary of the grant date. The RSUs outstanding as of December 30, 2023 have $22.2 million intrinsic value. Non-employee directors were granted RSUs in fiscal year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(PSUs)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PSUs are settled after the end of a three-year performance period (i.e., cliff vesting), which begins on the first day of the grant year and are based on the Company’s achievement of certain performance targets. The performance stock units outstanding as of December 30, 2023 have $14.1 million intrinsic value. While the PSU amounts shown in the tables above reflect achievement at target, the number of PSUs ultimately vested will be based on a comparison of certified performance results to predefined performance criteria that include threshold, target and maximum attainment levels.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Stock Purchase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ASPP, eligible associates receive a 10% discount from the market trading value of common stock of the Company at the time of purchase. Participants may contribute to the ASPP, not to exceed $25,000 under the ASPP in any calendar year. During fiscal year 2023, the amount of shares issued to eligible participants through the ASPP was not material.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Income taxes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(benefit) consists of:</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09"/>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r>
      <w:tr>
        <w:trPr>
          <w:trHeight w:val="229"/>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income tax provision (benefit) differs from the amounts computed by multiplying earnings (loss) before income taxes by the statutory federal income tax rate as shown in the following table:</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Fiscal Year 2023</w:t>
            </w:r>
          </w:p>
        </w:tc>
        <w:tc>
          <w:tcPr>
            <w:tcW w:w="1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Fiscal Year 2022</w:t>
            </w:r>
          </w:p>
        </w:tc>
        <w:tc>
          <w:tcPr>
            <w:tcW w:w="18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2021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31,358</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income tax</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deferred tax asset valuation allowance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Stranded tax effect of matured interest rate swaps</w:t>
            </w:r>
          </w:p>
        </w:tc>
        <w:tc>
          <w:tcPr>
            <w:tcW w:w="20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(benefit) of equity-based compensation deductions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(14,408)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tax provision (benefit)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21,081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(“IRA”) which, among other things, provides for a 15% corporate alternative minimum tax based on a prescribed measure of income as well as a 1% excise tax on stock repurchases made after December 31, 2022.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7"/>
                <w:szCs w:val="17"/>
                <w:color w:val="auto"/>
              </w:rPr>
            </w:pPr>
          </w:p>
        </w:tc>
        <w:tc>
          <w:tcPr>
            <w:tcW w:w="2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7"/>
                <w:szCs w:val="17"/>
                <w:color w:val="auto"/>
              </w:rPr>
            </w:pPr>
          </w:p>
        </w:tc>
        <w:tc>
          <w:tcPr>
            <w:tcW w:w="2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2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December 30, 2023</w:t>
            </w:r>
          </w:p>
        </w:tc>
        <w:tc>
          <w:tcPr>
            <w:tcW w:w="320" w:type="dxa"/>
            <w:vAlign w:val="bottom"/>
          </w:tcPr>
          <w:p>
            <w:pPr>
              <w:spacing w:after="0"/>
              <w:rPr>
                <w:sz w:val="21"/>
                <w:szCs w:val="21"/>
                <w:color w:val="auto"/>
              </w:rPr>
            </w:pPr>
          </w:p>
        </w:tc>
        <w:tc>
          <w:tcPr>
            <w:tcW w:w="2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0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NOL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equity and other investments</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115,870</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144,847</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allowances</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141,325</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on hedging instruments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(235,195)</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fiscal year end 2023, our consolidated VIEs had available U.S. federal NOL carry-forwards aggregating to $21.7 million that can be utilized to reduce future federal income taxes, of which $21.6 million of carry-forward losses do not expire and $0.1 million of carry-forward losses expire at the end of fiscal year 2037. We believe it is more likely than not that we will realize a tax benefit for these NOL’s in the future except for $18.1 million of NOL carry-forwards ($3.8 million tax effected) on certain consolidated VIEs where we recognized a full valuation allowance as of fiscal year end 2023. In addition, we have NOL carry-forwards in varying amounts and with varying expiration dates in various states in which we operate.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 2023, we have no federal credits remaining, but carry various state tax credits totaling $0.3 million are available to offset certain future taxes. These state credits carry a valuation allowance of $0.2 million as we do not expect to be able to utilize them in future tax years.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$0.9 million deferred income tax asset for capital losses associated with the losses realized on the sale of our equity method non-consolidated investee and other investments. We do not expect to generate significant capital gains in the near future. Therefore, we believe it is more likely than not that we will not realize a tax benefit for the majority of these deferred income tax assets, and accordingly we have established a full valuation allowance for the amount deemed unrealizable.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utilization of NOL carry-forwards to reduce or eliminate subsequent years’ tax obligations, our federal and a substantial number of our state income tax returns for fiscal years 2001 through 2023 remain open for examination by the tax authorities.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 from Contracts with Customers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w:t>
      </w:r>
    </w:p>
    <w:p>
      <w:pPr>
        <w:spacing w:after="0" w:line="1" w:lineRule="exact"/>
        <w:rPr>
          <w:sz w:val="20"/>
          <w:szCs w:val="20"/>
          <w:color w:val="auto"/>
        </w:rPr>
      </w:pPr>
    </w:p>
    <w:p>
      <w:pPr>
        <w:jc w:val="both"/>
        <w:ind w:firstLine="8"/>
        <w:spacing w:after="0" w:line="253" w:lineRule="auto"/>
        <w:tabs>
          <w:tab w:leader="none" w:pos="1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 Refer to Note 2. “Termination of Walmart Partnership” for developments related to the Legacy segment, AC Lens and FirstSight; the following discussion of revenues generated by these businesses is applicable to fiscal years 2023, 2022 and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at a Point in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Owned &amp; Host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our Owned &amp; Host segment, product revenues include sales of prescription and non-prescription eyewear, contact lenses and related accessories to retail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our Legacy segment, product revenues include sales of prescription and non-prescription eyewear, contact lenses and related accessories to retail customers in transactions where the retail customer uses a managed-care payor; and wholesale sales of the same inventory types to the Legacy partner.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&amp;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our Legacy segment services and plans revenues, eye exam services sold to retail customers are recognized at the point of sale which occurs immediately after the exam is performed.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Corporate/Other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our non-reportable Corporate/Other segment are attributable to wholly owned subsidiaries AC Lens and FirstSight. AC Lens sells contact lenses and optical accessory products to retail customers through e-commerce, and recognizes revenue when products have been delivered to the customer. AC Lens also distributes contact lenses at its cost to Walmart and Sam’s Club under fee for services arrangements. This revenue is recorded on a gross basis as AC Lens is the principal in the arrangement since AC Lens controls the products in those transactions before the products are transferred to the customer.</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FirstSight issues individual vision plans in connection with our America’s Best operations in California, and, until February 23, 2024, provided or arranged for the provision of optometric services at certain optometric offices next to Walmart and Sam’s Club stores in California.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Owned &amp; Host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our Owned &amp; Host segment, services and plans revenues include revenues from product protection plans (i.e. warranties), eye care club memberships and HMO vision plan fees. We offer extended warranty plans in our Owned &amp; Host segment that generally provide repair and replacement of eyeglasses for primarily a one-year term after purchase. We recognize service revenue under these programs on a straight-line basis over the warranty or service period which is consistent with our efforts expended to satisfy the obligation. We offer three-year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because our right to payment corresponds directly with the value of the management services provided to our Legacy partner.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revenues based on the timing of revenue recognition: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1,908,221</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171,304</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2,079,525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15.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9. Leases</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related to our leases is presented below:</w:t>
            </w: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280" w:type="dxa"/>
            <w:vAlign w:val="bottom"/>
          </w:tcPr>
          <w:p>
            <w:pPr>
              <w:spacing w:after="0"/>
              <w:rPr>
                <w:sz w:val="24"/>
                <w:szCs w:val="24"/>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400" w:type="dxa"/>
            <w:vAlign w:val="bottom"/>
            <w:gridSpan w:val="2"/>
            <w:vMerge w:val="continue"/>
          </w:tcPr>
          <w:p>
            <w:pPr>
              <w:spacing w:after="0"/>
              <w:rPr>
                <w:sz w:val="21"/>
                <w:szCs w:val="21"/>
                <w:color w:val="auto"/>
              </w:rPr>
            </w:pPr>
          </w:p>
        </w:tc>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280" w:type="dxa"/>
            <w:vAlign w:val="bottom"/>
          </w:tcPr>
          <w:p>
            <w:pPr>
              <w:spacing w:after="0"/>
              <w:rPr>
                <w:sz w:val="21"/>
                <w:szCs w:val="21"/>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10"/>
        </w:trPr>
        <w:tc>
          <w:tcPr>
            <w:tcW w:w="1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49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9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9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Right of use assets </w:t>
            </w:r>
            <w:r>
              <w:rPr>
                <w:rFonts w:ascii="Times New Roman" w:cs="Times New Roman" w:eastAsia="Times New Roman" w:hAnsi="Times New Roman"/>
                <w:sz w:val="23"/>
                <w:szCs w:val="23"/>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382,825</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397,787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Current maturities of long-term debt and finance lease</w:t>
            </w: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9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Current operating lease obligations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77,186</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9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Long-term debt and finance lease obligations, less current</w:t>
            </w: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portion and debt discount</w:t>
            </w:r>
          </w:p>
        </w:tc>
        <w:tc>
          <w:tcPr>
            <w:tcW w:w="3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358,110</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456,590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0" w:right="260"/>
        <w:spacing w:after="0" w:line="241" w:lineRule="auto"/>
        <w:rPr>
          <w:sz w:val="20"/>
          <w:szCs w:val="20"/>
          <w:color w:val="auto"/>
        </w:rPr>
      </w:pPr>
      <w:r>
        <w:rPr>
          <w:rFonts w:ascii="Times New Roman" w:cs="Times New Roman" w:eastAsia="Times New Roman" w:hAnsi="Times New Roman"/>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7"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assets are recorded net of accumulated amortization of $25.4 million and $21.3 million as of December 30, 2023 and December 31, 2022, respectively.</w:t>
      </w:r>
    </w:p>
    <w:p>
      <w:pPr>
        <w:spacing w:after="0" w:line="14" w:lineRule="exact"/>
        <w:rPr>
          <w:rFonts w:ascii="Times New Roman" w:cs="Times New Roman" w:eastAsia="Times New Roman" w:hAnsi="Times New Roman"/>
          <w:sz w:val="14"/>
          <w:szCs w:val="14"/>
          <w:color w:val="auto"/>
        </w:rPr>
      </w:pPr>
    </w:p>
    <w:p>
      <w:pPr>
        <w:ind w:firstLine="8"/>
        <w:spacing w:after="0" w:line="251" w:lineRule="auto"/>
        <w:tabs>
          <w:tab w:leader="none" w:pos="20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TIA and deferred rent are treated as reductions of lease payments used to measure ROU assets in the accompanying Consolidated Balance Sheets as of December 30, 2023 and December 31, 2022.</w:t>
      </w:r>
    </w:p>
    <w:p>
      <w:pPr>
        <w:spacing w:after="0" w:line="169"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operating lease liabilities are measured net of TIA receivables of $4.6 million and $6.7 million as of December 30, 2023 and December 31, 2022, respectively.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2023</w:t>
            </w:r>
          </w:p>
        </w:tc>
        <w:tc>
          <w:tcPr>
            <w:tcW w:w="34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Fiscal Year 2022</w:t>
            </w:r>
          </w:p>
        </w:tc>
        <w:tc>
          <w:tcPr>
            <w:tcW w:w="36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cost</w:t>
            </w: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3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3"/>
                <w:szCs w:val="23"/>
                <w:color w:val="auto"/>
                <w:vertAlign w:val="superscript"/>
              </w:rPr>
              <w:t>(a)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84,019</w:t>
            </w: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30,643</w:t>
            </w:r>
          </w:p>
        </w:tc>
      </w:tr>
      <w:tr>
        <w:trPr>
          <w:trHeight w:val="229"/>
        </w:trPr>
        <w:tc>
          <w:tcPr>
            <w:tcW w:w="3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Finance lease cost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126,802</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118,489</w:t>
            </w:r>
          </w:p>
        </w:tc>
      </w:tr>
    </w:tbl>
    <w:p>
      <w:pPr>
        <w:spacing w:after="0" w:line="4" w:lineRule="exact"/>
        <w:rPr>
          <w:sz w:val="20"/>
          <w:szCs w:val="20"/>
          <w:color w:val="auto"/>
        </w:rPr>
      </w:pPr>
    </w:p>
    <w:p>
      <w:pPr>
        <w:ind w:left="260" w:hanging="234"/>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55" w:lineRule="exact"/>
        <w:rPr>
          <w:rFonts w:ascii="Times New Roman" w:cs="Times New Roman" w:eastAsia="Times New Roman" w:hAnsi="Times New Roman"/>
          <w:sz w:val="14"/>
          <w:szCs w:val="14"/>
          <w:color w:val="auto"/>
        </w:rPr>
      </w:pPr>
    </w:p>
    <w:p>
      <w:pPr>
        <w:ind w:left="260" w:right="20" w:hanging="234"/>
        <w:spacing w:after="0" w:line="241" w:lineRule="auto"/>
        <w:tabs>
          <w:tab w:leader="none" w:pos="2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27" w:lineRule="exact"/>
        <w:rPr>
          <w:rFonts w:ascii="Times New Roman" w:cs="Times New Roman" w:eastAsia="Times New Roman" w:hAnsi="Times New Roman"/>
          <w:sz w:val="14"/>
          <w:szCs w:val="14"/>
          <w:color w:val="auto"/>
        </w:rPr>
      </w:pPr>
    </w:p>
    <w:p>
      <w:pPr>
        <w:ind w:left="260" w:hanging="234"/>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operating lease properties to independent optometrists.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-447040</wp:posOffset>
            </wp:positionV>
            <wp:extent cx="46120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color w:val="auto"/>
              </w:rPr>
              <w:t>As of</w:t>
            </w:r>
          </w:p>
        </w:tc>
        <w:tc>
          <w:tcPr>
            <w:tcW w:w="840" w:type="dxa"/>
            <w:vAlign w:val="bottom"/>
          </w:tcPr>
          <w:p>
            <w:pPr>
              <w:spacing w:after="0" w:line="20" w:lineRule="exact"/>
              <w:rPr>
                <w:sz w:val="1"/>
                <w:szCs w:val="1"/>
                <w:color w:val="auto"/>
              </w:rPr>
            </w:pPr>
          </w:p>
        </w:tc>
        <w:tc>
          <w:tcPr>
            <w:tcW w:w="23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line="20" w:lineRule="exact"/>
              <w:rPr>
                <w:sz w:val="1"/>
                <w:szCs w:val="1"/>
                <w:color w:val="auto"/>
              </w:rPr>
            </w:pPr>
          </w:p>
        </w:tc>
      </w:tr>
      <w:tr>
        <w:trPr>
          <w:trHeight w:val="655"/>
        </w:trPr>
        <w:tc>
          <w:tcPr>
            <w:tcW w:w="6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20" w:type="dxa"/>
            <w:vAlign w:val="bottom"/>
            <w:gridSpan w:val="3"/>
            <w:vMerge w:val="continue"/>
          </w:tcPr>
          <w:p>
            <w:pPr>
              <w:spacing w:after="0"/>
              <w:rPr>
                <w:sz w:val="21"/>
                <w:szCs w:val="21"/>
                <w:color w:val="auto"/>
              </w:rPr>
            </w:pPr>
          </w:p>
        </w:tc>
        <w:tc>
          <w:tcPr>
            <w:tcW w:w="1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840" w:type="dxa"/>
            <w:vAlign w:val="bottom"/>
          </w:tcPr>
          <w:p>
            <w:pPr>
              <w:spacing w:after="0"/>
              <w:rPr>
                <w:sz w:val="21"/>
                <w:szCs w:val="21"/>
                <w:color w:val="auto"/>
              </w:rPr>
            </w:pP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98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9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61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Weighted average discount rate </w:t>
            </w:r>
            <w:r>
              <w:rPr>
                <w:rFonts w:ascii="Times New Roman" w:cs="Times New Roman" w:eastAsia="Times New Roman" w:hAnsi="Times New Roman"/>
                <w:sz w:val="23"/>
                <w:szCs w:val="23"/>
                <w:i w:val="1"/>
                <w:iCs w:val="1"/>
                <w:color w:val="auto"/>
                <w:vertAlign w:val="superscript"/>
              </w:rPr>
              <w:t>(a)</w:t>
            </w:r>
          </w:p>
        </w:tc>
        <w:tc>
          <w:tcPr>
            <w:tcW w:w="1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9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4.7 %</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6"/>
        </w:trPr>
        <w:tc>
          <w:tcPr>
            <w:tcW w:w="61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(b)</w:t>
            </w:r>
          </w:p>
        </w:tc>
        <w:tc>
          <w:tcPr>
            <w:tcW w:w="19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10.4 %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bl>
    <w:p>
      <w:pPr>
        <w:jc w:val="both"/>
        <w:ind w:left="260" w:right="20" w:hanging="234"/>
        <w:spacing w:after="0" w:line="226" w:lineRule="auto"/>
        <w:tabs>
          <w:tab w:leader="none" w:pos="25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used to determine the lease assets and lease liabilities was derived upon considering (i) incremental borrowing rates on our term loan and revolving credit facility; (ii) fixed rates on interest rate swaps; (iii) Term SOFR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69" w:lineRule="exact"/>
        <w:rPr>
          <w:rFonts w:ascii="Times New Roman" w:cs="Times New Roman" w:eastAsia="Times New Roman" w:hAnsi="Times New Roman"/>
          <w:sz w:val="14"/>
          <w:szCs w:val="14"/>
          <w:color w:val="auto"/>
        </w:rPr>
      </w:pPr>
    </w:p>
    <w:p>
      <w:pPr>
        <w:ind w:left="260" w:right="20" w:hanging="234"/>
        <w:spacing w:after="0" w:line="261" w:lineRule="auto"/>
        <w:tabs>
          <w:tab w:leader="none" w:pos="2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5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22"/>
                <w:szCs w:val="22"/>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2023</w:t>
            </w:r>
          </w:p>
        </w:tc>
        <w:tc>
          <w:tcPr>
            <w:tcW w:w="340" w:type="dxa"/>
            <w:vAlign w:val="bottom"/>
          </w:tcPr>
          <w:p>
            <w:pPr>
              <w:spacing w:after="0"/>
              <w:rPr>
                <w:sz w:val="22"/>
                <w:szCs w:val="22"/>
                <w:color w:val="auto"/>
              </w:rPr>
            </w:pPr>
          </w:p>
        </w:tc>
        <w:tc>
          <w:tcPr>
            <w:tcW w:w="2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Fiscal Year 2022</w:t>
            </w:r>
          </w:p>
        </w:tc>
        <w:tc>
          <w:tcPr>
            <w:tcW w:w="380" w:type="dxa"/>
            <w:vAlign w:val="bottom"/>
          </w:tcPr>
          <w:p>
            <w:pPr>
              <w:spacing w:after="0"/>
              <w:rPr>
                <w:sz w:val="22"/>
                <w:szCs w:val="22"/>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88,867</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89,324</w:t>
            </w:r>
          </w:p>
        </w:tc>
      </w:tr>
      <w:tr>
        <w:trPr>
          <w:trHeight w:val="23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91,451</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lease liabilities as of December 30,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00" w:type="dxa"/>
            <w:vAlign w:val="bottom"/>
          </w:tcPr>
          <w:p>
            <w:pPr>
              <w:spacing w:after="0"/>
              <w:rPr>
                <w:sz w:val="22"/>
                <w:szCs w:val="22"/>
                <w:color w:val="auto"/>
              </w:rPr>
            </w:pPr>
          </w:p>
        </w:tc>
        <w:tc>
          <w:tcPr>
            <w:tcW w:w="22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22"/>
                <w:szCs w:val="22"/>
                <w:color w:val="auto"/>
              </w:rPr>
            </w:pPr>
          </w:p>
        </w:tc>
        <w:tc>
          <w:tcPr>
            <w:tcW w:w="2060" w:type="dxa"/>
            <w:vAlign w:val="bottom"/>
          </w:tcPr>
          <w:p>
            <w:pPr>
              <w:jc w:val="right"/>
              <w:ind w:right="470"/>
              <w:spacing w:after="0" w:line="256" w:lineRule="exact"/>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Present value of lease liabilities</w:t>
            </w:r>
            <w:r>
              <w:rPr>
                <w:rFonts w:ascii="Times New Roman" w:cs="Times New Roman" w:eastAsia="Times New Roman" w:hAnsi="Times New Roman"/>
                <w:sz w:val="23"/>
                <w:szCs w:val="23"/>
                <w:color w:val="auto"/>
                <w:vertAlign w:val="superscript"/>
              </w:rPr>
              <w:t>(c)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include $33.3 million related to options to extend lease terms that are reasonably certain of being exercised.</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payments include $1.1 million related to options to extend lease terms that are reasonably certain of being exercised.</w:t>
      </w:r>
    </w:p>
    <w:p>
      <w:pPr>
        <w:spacing w:after="0" w:line="14"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lease liabilities excludes $35.3 million of legally binding minimum lease payments for leases signed but not yet commenced.</w:t>
      </w:r>
    </w:p>
    <w:p>
      <w:pPr>
        <w:spacing w:after="0" w:line="380" w:lineRule="exact"/>
        <w:rPr>
          <w:sz w:val="20"/>
          <w:szCs w:val="20"/>
          <w:color w:val="auto"/>
        </w:rPr>
      </w:pPr>
    </w:p>
    <w:p>
      <w:pPr>
        <w:ind w:right="9060" w:firstLine="8"/>
        <w:spacing w:after="0" w:line="378" w:lineRule="auto"/>
        <w:tabs>
          <w:tab w:leader="none" w:pos="27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General</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inputs are based upon unadjusted quoted prices for identical instruments traded in active markets.</w:t>
      </w:r>
    </w:p>
    <w:p>
      <w:pPr>
        <w:spacing w:after="0" w:line="27" w:lineRule="exact"/>
        <w:rPr>
          <w:rFonts w:ascii="Times New Roman" w:cs="Times New Roman" w:eastAsia="Times New Roman" w:hAnsi="Times New Roman"/>
          <w:sz w:val="18"/>
          <w:szCs w:val="18"/>
          <w:color w:val="auto"/>
        </w:rPr>
      </w:pPr>
    </w:p>
    <w:p>
      <w:pPr>
        <w:jc w:val="both"/>
        <w:ind w:left="660" w:right="18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Times New Roman" w:cs="Times New Roman" w:eastAsia="Times New Roman" w:hAnsi="Times New Roman"/>
          <w:sz w:val="18"/>
          <w:szCs w:val="18"/>
          <w:color w:val="auto"/>
        </w:rPr>
      </w:pPr>
    </w:p>
    <w:p>
      <w:pPr>
        <w:jc w:val="both"/>
        <w:ind w:left="660" w:right="160" w:hanging="328"/>
        <w:spacing w:after="0" w:line="255"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13. “Interest Rate Derivatives” for further details.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and Right of Use (“ROU”) Store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Refer to Note 2. “Termination of Walmart Partnership” for more information on impairment charges related to the termination of the Walmart partnership. This section discusses fair value measurements unrelated to the termination of the Walmart partnership. We recognized impairments of $2.8 million, $5.8 million and $4.4 million in fiscal years 2023, 2022 and 2021, respectively, primarily related to our store assets. The cash flows used in estimating fair value were discounted using market rates from 10.8% to 11.5%.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fiscal years 2023 and 2022 was $2.8 million and $7.0 million, respectively; the estimated remaining fair values include amounts estimated at various dates during the related fiscal years. Substantially all of the remaining fair value of the impaired store assets in fiscal years 2023 and 2022 represents the fair value of ROU assets. Refer to Note 1. “Business and Significant Accounting Policies.”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and Restricted Cash</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cash equivalents and restricted cash approximates fair value due to the short-term maturity of the instruments. All cash and cash equivalents are denominated in U.S. currency.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accounts receivable approximates fair value due to the short-term nature of those items and the effect of credit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Other Payables and 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other payables and accrued expenses approximate fair value due to the short-term nature of those items.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Term Loan A and Revolving Loans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borrowings under the $146.3 million outstanding principal Term Loan A and $300.0 million aggregate principal Revolving Loans utilize variable interest rate setting mechanisms such as Term SOFR, the fair values of these borrowings are deemed to approximate the carrying values. We also considered the effect of our own credit risk on the fair values of our Term Loan A and Revolving Loans. Refer to Note 5. “Long-term Debt.”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- 2025 Notes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the 2025 Notes was approximately $303.3 million and $553.9 million, as of December 30, 2023 and December 31,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Refer to Note 5. “Long-term Debt” for more information on the 2025 Notes.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Deferred Revenue</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depicts a roll-forward of deferred revenue: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Fiscal Year 2023</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380"/>
              <w:spacing w:after="0" w:line="169" w:lineRule="exact"/>
              <w:rPr>
                <w:sz w:val="20"/>
                <w:szCs w:val="20"/>
                <w:color w:val="auto"/>
              </w:rPr>
            </w:pPr>
            <w:r>
              <w:rPr>
                <w:rFonts w:ascii="Times New Roman" w:cs="Times New Roman" w:eastAsia="Times New Roman" w:hAnsi="Times New Roman"/>
                <w:sz w:val="18"/>
                <w:szCs w:val="18"/>
                <w:color w:val="auto"/>
              </w:rPr>
              <w:t>Eye Care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2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Protection Plans</w:t>
            </w:r>
          </w:p>
        </w:tc>
        <w:tc>
          <w:tcPr>
            <w:tcW w:w="22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Clubs</w:t>
            </w:r>
          </w:p>
        </w:tc>
        <w:tc>
          <w:tcPr>
            <w:tcW w:w="46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48,683</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52,496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(53,272)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47,907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36,113</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26,754</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21,153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47,907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Fiscal Year 2022</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380"/>
              <w:spacing w:after="0" w:line="169" w:lineRule="exact"/>
              <w:rPr>
                <w:sz w:val="20"/>
                <w:szCs w:val="20"/>
                <w:color w:val="auto"/>
              </w:rPr>
            </w:pPr>
            <w:r>
              <w:rPr>
                <w:rFonts w:ascii="Times New Roman" w:cs="Times New Roman" w:eastAsia="Times New Roman" w:hAnsi="Times New Roman"/>
                <w:sz w:val="18"/>
                <w:szCs w:val="18"/>
                <w:color w:val="auto"/>
              </w:rPr>
              <w:t>Eye Care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2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Protection Plans</w:t>
            </w:r>
          </w:p>
        </w:tc>
        <w:tc>
          <w:tcPr>
            <w:tcW w:w="22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Clubs</w:t>
            </w:r>
          </w:p>
        </w:tc>
        <w:tc>
          <w:tcPr>
            <w:tcW w:w="46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49,852</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88,491</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50,648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122,247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(51,817)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48,683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34,808</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27,393</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21,290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48,683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Unsatisfied Performance Obligations (Contract Liabilities)</w:t>
      </w: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years 2023 and 2022, we recognized $62.1 million and $65.2 million, respectively, of deferred revenues outstanding at the beginning of each respective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recorded as of the end of fiscal year 2023 is expected to be reflected in future operating results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r>
      <w:tr>
        <w:trPr>
          <w:trHeight w:val="229"/>
        </w:trPr>
        <w:tc>
          <w:tcPr>
            <w:tcW w:w="8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8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30, 2023, the Company had contractual commitments of approximately $243.6 million consisting of agreements for merchandise purchases, technology and advertising.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Costs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Fiscal Year 2023</w:t>
            </w: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obligation</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 balance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1"/>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into which associates may defer a portion of their wages. We match a portion of such deferred wages. The expense for the plan was $7.8 million, $6.4 million and $8.7 million in the fiscal years ended 2023, 2022 and 2021, respectively. Expense associated with our 401(k) plan is presented in SG&amp;A in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ordinary course of our business.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Mediation has been scheduled in March 2024. The Company continues to dispute the plaintiff’s allegations and will vigorously defend the litigation.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We dispute the plaintiff’s allegations and intend to vigorously defend the litigation.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2023, a purported class action complaint was filed in federal court in the Northern District of Georgia against the Company and two of the Company’s officers. The complaint alleges violations of Sections 10(b) and 20(a) of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The court heard oral argument on this motion on January 18, 2024. We dispute these allegations and intend to defend the litigation vigorously.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Interest Rate Derivatives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interest rate collar to offset the variability of cash flows in Term SOFR-indexed debt interest payments. During the second quarter of 2023, we amended the reference rate of the collar from LIBOR to Term SOFR. The aggregate notional amount of the interest rate collar, which is not designated as a cash flow hedge, was $325.0 million as of December 30, 2023. The fair value of our interest rate collar instrument was an asset of $5.6 million, which is recorded in Prepaid expenses and other current assets as of December 30, 2023. The fair value of our interest rate collar instrument was an asset of $14.1 million ($10.0 million in Prepaid expenses and other current assets and $4.1 million in Other assets) as of December 31, 2022. See Note 3. “Details of Certain Balance Sheet Accounts” and Note 10. “Fair Value Measurement” for further details.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(gains) losses on the change in fair value of the interest rate collar of $(2.3) million, $(18.0) million, and $(4.2) million in interest expense, net during fiscal years 2023, 2022, and 2021, respectively. The interest rate collar will mature on July 18,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related to derivatives qualifying as hedges are included in the same section of the Consolidated Statements of Cash Flows as the underlying assets and liabilities being hedged. Cash flows during fiscal years 2023 and 2022 related to derivatives not qualifying as hedges were included in the operating section of the Consolidated Statements of Cash Flows and were immaterial.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2023, the Company expects to reclassify approximately $0.4 million of unrealized losses on derivative instruments, net of tax, from AOCL into earnings in the next 12 months as the derivative instruments mature. See Note 16. “Accumulated Other Comprehensive Loss” for further details.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the 2025 Notes. Potential shares of common stock are excluded from the computation of diluted EPS if their effect is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EPS related to the 2025 Notes is calculated using the if-converted method; the number of dilutive shares is based on the initial conversion rate associated with the 2025 Notes. A reconciliation of the numerators and denominators of the basic and diluted EPS calculations is as follows: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After-tax interest expense for 2025 Notes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diluted EPS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137,727</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for basic EPS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81,820</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Notes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for diluted EPS</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96,134</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weighted average common shares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54" w:lineRule="exact"/>
        <w:rPr>
          <w:sz w:val="20"/>
          <w:szCs w:val="20"/>
          <w:color w:val="auto"/>
        </w:rPr>
      </w:pPr>
    </w:p>
    <w:p>
      <w:pPr>
        <w:jc w:val="both"/>
        <w:ind w:left="660" w:hanging="328"/>
        <w:spacing w:after="0" w:line="255"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offer eye exams, primarily provided by independent optometrists, and have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As of December 30, 2023, the Company managed the operations of, and supplied inventory and lab processing services to, 225 Legacy retail Vision Centers. We earned management fees as a result of providing such services and therefore we recorded revenue related to sales of products and product protection plans to our Legacy partner’s customers on a net basis. We also sold to our Legacy partner wholesale merchandise that was stocked in retail locations and provided central lab processing for the finished eyeglasses and frames expected to be sold to our Legacy partner’s customers. Sales of services and plans in our Legacy segment consisted of fees earned for managing the operations of our Legacy partner and revenues associated with the provision of eye exams for our managed care customers. Revenues associated with managing operations of our Legacy partner were $30.6 million, $34.7 million and $41.7 million for fiscal years ended 2023, 2022 and 2021, respectively.</w:t>
      </w:r>
    </w:p>
    <w:p>
      <w:pPr>
        <w:spacing w:after="0" w:line="8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Walmart MSA terminated on February 23, 2024 and we no longer operate Vision Centers for Walmart. Refer to Note 2. “Termination of Walmart Partnership” for developments related to the Legacy segment, AC Lens and FirstSight.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“Corporate/Other” category includes the results of operations of our other operating segments and corporate overhead support. Revenues from the Corporate/Other segments are attributable to the AC Lens and FirstSight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AC Lens primarily sells contact lenses and optical accessory products to retail customers through e-commerce. AC Lens also distributes contact lenses to certain Walmart and Sam’s Club under fee for services arrangements. FirstSight sells single service health plans in connection with the operations of America’s Best operations in California, and, until February 23, 2024, arranged for the provision of optometric services at the offices next to Walmart stores throughout California, at which time the agreements between FirstSight and Walmart terminated. None of those segments met the quantitative thresholds for determining reportable segments for any of the periods presented.</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“Reconciliations” category represents other adjustments to reportable segment results necessary for the presentation of consolidated financial results in accordance with U.S. GAAP for the two reportable segments.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$0.6 million and $1.5 million of costs during fiscal years 2022 and 2021, respectively, directly related to adapting the Company’s operations to the COVID-19 pandemic such as personal protective equipment and other supplies needed to operate our stores safely and certain other costs such as compensation and other administrative expenses. Incremental expenses related to the COVID-19 pandemic were allocated to the reportable segments.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Fiscal Year 2023</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&amp; Host</w:t>
            </w: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Legacy</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712,028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219,626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3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Reconciliations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52,716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357,089</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2,005,404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636,324</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925,587</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915,355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341,632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99,956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5"/>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3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Reconciliations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62,228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361,181</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633,116</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904,779</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441,471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(195,840)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97,089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Entity-wide Information</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our consolidated net product revenue information:</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7"/>
              </w:rPr>
              <w:t>Fiscal Year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9"/>
              </w:rPr>
              <w:t>Fiscal Year 2021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Product Sales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Eyeglasses and sunglasses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1,192,525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1,120,731</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1,201,386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Contact lenses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product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years 2023, 2022 and 2021, respectively, revenues from Walmart, recognized in our Legacy segment and Corporate/Other category, represented $297.1 million, $291.5 million and $300.8 million of our total net revenue.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fiscal years 2023, 2022 and 2021, respectively:</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hedging activity</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other comprehensive income (loss) before reclassification</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 reclassified from AOCL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amount reclassified from AOCL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Stranded tax effect of matured interest rate swaps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23"/>
        </w:trPr>
        <w:tc>
          <w:tcPr>
            <w:tcW w:w="5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current period 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646"/>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77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7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8"/>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6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6"/>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60" w:type="dxa"/>
            <w:vAlign w:val="bottom"/>
          </w:tcPr>
          <w:p>
            <w:pPr>
              <w:jc w:val="center"/>
              <w:ind w:left="303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30, 2023</w:t>
            </w:r>
          </w:p>
        </w:tc>
        <w:tc>
          <w:tcPr>
            <w:tcW w:w="120" w:type="dxa"/>
            <w:vAlign w:val="bottom"/>
          </w:tcPr>
          <w:p>
            <w:pPr>
              <w:spacing w:after="0"/>
              <w:rPr>
                <w:sz w:val="24"/>
                <w:szCs w:val="24"/>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 December 31, 2022</w:t>
            </w:r>
          </w:p>
        </w:tc>
      </w:tr>
      <w:tr>
        <w:trPr>
          <w:trHeight w:val="209"/>
        </w:trPr>
        <w:tc>
          <w:tcPr>
            <w:tcW w:w="60" w:type="dxa"/>
            <w:vAlign w:val="bottom"/>
          </w:tcPr>
          <w:p>
            <w:pPr>
              <w:spacing w:after="0"/>
              <w:rPr>
                <w:sz w:val="18"/>
                <w:szCs w:val="18"/>
                <w:color w:val="auto"/>
              </w:rPr>
            </w:pPr>
          </w:p>
        </w:tc>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67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1,201,291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1,368,303</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1,211,536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1,376,147</w:t>
            </w: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1,376,988</w:t>
            </w:r>
          </w:p>
        </w:tc>
      </w:tr>
      <w:tr>
        <w:trPr>
          <w:trHeight w:val="20"/>
        </w:trPr>
        <w:tc>
          <w:tcPr>
            <w:tcW w:w="6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70"/>
        </w:trPr>
        <w:tc>
          <w:tcPr>
            <w:tcW w:w="60" w:type="dxa"/>
            <w:vAlign w:val="bottom"/>
          </w:tcPr>
          <w:p>
            <w:pPr>
              <w:spacing w:after="0"/>
              <w:rPr>
                <w:sz w:val="23"/>
                <w:szCs w:val="23"/>
                <w:color w:val="auto"/>
              </w:rPr>
            </w:pPr>
          </w:p>
        </w:tc>
        <w:tc>
          <w:tcPr>
            <w:tcW w:w="678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less current portion and debt discount</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396,801</w:t>
            </w: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77,738</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77,738</w:t>
            </w: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84,831 and 84,273 shares issued</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December 30, 2023 and December 31, 2022, respectively; 78,311 and 78,992 shares</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December 30, 2023 and December 31, 2022, respectively</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767,112</w:t>
            </w: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320,517</w:t>
            </w: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6,520 and 5,281 shares as of December 30, 2023 and December 31,</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2022, respectively</w:t>
            </w: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(186,179)</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901,113</w:t>
            </w: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1,376,988</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6"/>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Income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23"/>
        </w:trPr>
        <w:tc>
          <w:tcPr>
            <w:tcW w:w="40" w:type="dxa"/>
            <w:vAlign w:val="bottom"/>
          </w:tcPr>
          <w:p>
            <w:pPr>
              <w:spacing w:after="0"/>
              <w:rPr>
                <w:sz w:val="19"/>
                <w:szCs w:val="19"/>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equity in net income of subsidiaries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of subsidiaries</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137,877</w:t>
            </w:r>
          </w:p>
        </w:tc>
      </w:tr>
      <w:tr>
        <w:trPr>
          <w:trHeight w:val="223"/>
        </w:trPr>
        <w:tc>
          <w:tcPr>
            <w:tcW w:w="4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29"/>
        </w:trPr>
        <w:tc>
          <w:tcPr>
            <w:tcW w:w="4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130,704</w:t>
            </w:r>
          </w:p>
        </w:tc>
      </w:tr>
      <w:tr>
        <w:trPr>
          <w:trHeight w:val="21"/>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6"/>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2022</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2021</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Dividend from (investment in) subsidiary</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46,600</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46,600</w:t>
            </w:r>
          </w:p>
        </w:tc>
      </w:tr>
      <w:tr>
        <w:trPr>
          <w:trHeight w:val="229"/>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Borrowings on long-term debt, net of discounts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(73,295)</w:t>
            </w: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20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(61,457)</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9"/>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4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October 2017, we completed the initial public offering of our common stock. By August 2019, each of KKR and Berkshire had sold their remaining holdings of our common stock.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the Company issued $402.5 million principal amount of 2.50% convertible senior notes due 2025. The 2025 Notes pay interest semi-annually in arrears on May 15 and November 15 of each year, commencing on November 15, 2020, at an annual rate of 2.50% and are convertible into cash, shares of common stock or a combination of cash and shares of common stock, at our election, based on the applicable conversion rate at such time. NVHI contributed the proceeds from the 2025 Notes to NVI as additional investments during the fiscal year 2020. See Note 5. “Long-term Debt” to the NVHI consolidated financial statements for details of the 2025 Notes, including information on a repurchase of $100.0 million aggregate principal amount of our 2025 Notes in November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Guarantees and Restrictions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30, 2023, NVI had $146.3 million of principal amount of long-term debt outstanding under its Term Loan A and no outstanding cash borrowings under its $300.0 million Revolving Loans, which includes $6.4 million in outstanding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NVI’s amended credit agreement, provided no event of default has occurred and is continuing, NVI is permitted to pay dividends to NVHI with certain restrictions.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December 30, 2023. Based on that evaluation, the CEO and the CFO have concluded that, as of December 30, 2023,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72" w:lineRule="exact"/>
        <w:rPr>
          <w:sz w:val="20"/>
          <w:szCs w:val="20"/>
          <w:color w:val="auto"/>
        </w:rPr>
      </w:pPr>
    </w:p>
    <w:p>
      <w:pPr>
        <w:ind w:left="66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jc w:val="both"/>
        <w:ind w:left="660" w:hanging="328"/>
        <w:spacing w:after="0" w:line="25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with the participation of our CEO and CFO, has assessed the effectiveness of the Company’s internal control over financial reporting as of December 30, 2023 in accordance with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Based on this assessment, management concluded that the Company maintained effective internal control over financial reporting as of December 30, 2023. The Company’s independent registered public accounting firm, Deloitte &amp; Touche LLP, as auditors of our consolidated financial statements as of and for the year ended December 30, 2023, has issued their attestation report on management’s internal control over financial reporting which is set forth below.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right="5060"/>
        <w:spacing w:after="0" w:line="34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National Vision Holdings,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National Vision Holdings, Inc. and subsidiaries (the “Company”) as of December 30,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30, 2023, based on criteria established in Internal Control — Integrated Framework (2013) issued by COSO.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30, 2023, of the Company and our report dated February 26, 2024, expressed an unqualified opinion on those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February 27,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Age</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Position</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 Reade Fahs</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Melissa Rasmussen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R. Moore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Operating Officer</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Ravi Acharya</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Technology Officer</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Bill Clark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People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 VanDette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Marketing Officer</w:t>
            </w:r>
          </w:p>
        </w:tc>
      </w:tr>
    </w:tbl>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 Reade Fah</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the Chief Executive Officer of National Vision, Inc. (“NVI”) since January 2003, having joined NVI in April 2002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serves on the board of directors of VisionSpring and is also a long-term Board member of RestoringVision. In addition, Mr. Fahs serves on the boards of Pennsylvania College of Optometry at Salus University, PetVet Care Centers, The Atlanta Committee for Progress and Atlanta’s Alliance Theatre. Mr. Fahs holds a B.A. degree in English Literature from Harvard College.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Melissa Rasmussen </w:t>
      </w:r>
      <w:r>
        <w:rPr>
          <w:rFonts w:ascii="Times New Roman" w:cs="Times New Roman" w:eastAsia="Times New Roman" w:hAnsi="Times New Roman"/>
          <w:sz w:val="18"/>
          <w:szCs w:val="18"/>
          <w:color w:val="auto"/>
        </w:rPr>
        <w:t>has served as the Senior Vice President, Chief Financial Officer since January 2023. Prior to that, she was our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Accounting from August 2022 until December 2022. She served as our Senior Vice President, Chief Accounting Officer of National Vision Holdings, Inc. from July 2019 until August 2022. Ms. Rasmussen joined National Vision after spending 21 years at Lexmark International, Inc., where she was most recently Vice President and Corporate Controller from November 2016 to July 2019. From February 2012 to November 2016, Ms. Rasmussen served as Director of SEC Reporting and Corporate Consolidation for Lexmark. Prior to that, she held numerous finance and accounting leadership roles, including North America Controller and Global Consolidation Manager. Ms. Rasmussen holds a B.S. degree in Accounting from the University of Kentucky and is a certified public accountant.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Moore </w:t>
      </w:r>
      <w:r>
        <w:rPr>
          <w:rFonts w:ascii="Times New Roman" w:cs="Times New Roman" w:eastAsia="Times New Roman" w:hAnsi="Times New Roman"/>
          <w:sz w:val="18"/>
          <w:szCs w:val="18"/>
          <w:color w:val="auto"/>
        </w:rPr>
        <w:t>has served as the Chief Operating Officer of National Vision Holdings, Inc. since January 2023. Prior to that, he served as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Financial Officer from August 2022 until December 2022 and as Senior Vice President, Chief Financial Officer from February 2015 until August 2022. Mr. Moore joined NVI as Senior Vice President, Chief Financial Officer in September 2014. Prior to joining NVI, Mr. Moore served in both divisional and group chief financial officer roles for Fiserv, Inc., First Data Corporation, Fluor Corporation and BellSouth Corporation (now AT&amp;T). Mr. Moore began his career with BellSouth Corporation, serving in roles involving engineering, operations, finance, strategy, investor relations and merger integration. Mr. Moore holds a B.A. degree in Mechanical Engineering, as well as an MBA degree from the University of Alabama. Mr. Moore also attended the Stanford Executive program in 2002.</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Ravi Acharya </w:t>
      </w:r>
      <w:r>
        <w:rPr>
          <w:rFonts w:ascii="Times New Roman" w:cs="Times New Roman" w:eastAsia="Times New Roman" w:hAnsi="Times New Roman"/>
          <w:sz w:val="18"/>
          <w:szCs w:val="18"/>
          <w:color w:val="auto"/>
        </w:rPr>
        <w:t>has served as the Senior Vice President, Chief Technology Officer of National Vision Holdings, Inc. since March 2020. Previously,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2015 until March 2019, Mr. Acharya served as the Divisional CIO and Vice President of eCommerce for Medtronic’s global Diabetes business unit and led direct-to-consumer and e-commerce technology-driven solutions across multiple industries at companies including Equifax, Sears and Capgemini. Mr. Acharya earned an MBA from the Kellogg School of Management at Northwestern University and a B.S. in Electrical Engineering from the Illinois Institute of Technology.</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Jared Brandman </w:t>
      </w:r>
      <w:r>
        <w:rPr>
          <w:rFonts w:ascii="Times New Roman" w:cs="Times New Roman" w:eastAsia="Times New Roman" w:hAnsi="Times New Roman"/>
          <w:sz w:val="18"/>
          <w:szCs w:val="18"/>
          <w:color w:val="auto"/>
        </w:rPr>
        <w:t>has served as the Senior Vice President, General Counsel and Secretary of National Vision Holdings, Inc. since February 2019.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Brandman joined National Vision in 2017 as Vice President, Assistant General Counsel and Assistant Secretary. Prior to joining the Company, Mr. Brandman was Securities Counsel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Coca-Cola Company from 2010 to 2017. Mr. Brandman holds a B.A. degree in organizational studies from the University of Michigan and a J.D.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degree from Emory University School of Law.</w:t>
      </w:r>
    </w:p>
    <w:p>
      <w:pPr>
        <w:spacing w:after="0" w:line="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 Clark </w:t>
      </w:r>
      <w:r>
        <w:rPr>
          <w:rFonts w:ascii="Times New Roman" w:cs="Times New Roman" w:eastAsia="Times New Roman" w:hAnsi="Times New Roman"/>
          <w:sz w:val="18"/>
          <w:szCs w:val="18"/>
          <w:color w:val="auto"/>
        </w:rPr>
        <w:t>has served as the Senior Vice President, Chief People Officer of National Vision Holdings, Inc. since June 2019. Prior to joining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he served as Senior Vice 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Joe VanDette </w:t>
      </w:r>
      <w:r>
        <w:rPr>
          <w:rFonts w:ascii="Times New Roman" w:cs="Times New Roman" w:eastAsia="Times New Roman" w:hAnsi="Times New Roman"/>
          <w:sz w:val="18"/>
          <w:szCs w:val="18"/>
          <w:color w:val="auto"/>
        </w:rPr>
        <w:t>joined National Vision in April 2022 and serves as Senior Vice President, Chief Marketing Officer. Previously, Mr. VanDette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&amp; Digital Officer for Smart &amp; Final in Commerce, California from May 2018 until March 2022. Prior to that, he served as Vice President of CRM, Analytics and Digital for Smart &amp; Final from September 2014 until May 2018. From February 2005 until September 2014, he served in various management roles for Toys “R” Us in Wayne, New Jersey. Mr. VanDette holds a Bachelor of Science in Management Science &amp; Information Systems from Pennsylvania State University.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will be included in our definitive proxy statement for the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0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12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 w:type="dxa"/>
            <w:vAlign w:val="bottom"/>
          </w:tcPr>
          <w:p>
            <w:pPr>
              <w:spacing w:after="0"/>
              <w:rPr>
                <w:sz w:val="24"/>
                <w:szCs w:val="24"/>
                <w:color w:val="auto"/>
              </w:rPr>
            </w:pPr>
          </w:p>
        </w:tc>
        <w:tc>
          <w:tcPr>
            <w:tcW w:w="10340" w:type="dxa"/>
            <w:vAlign w:val="bottom"/>
            <w:gridSpan w:val="15"/>
          </w:tcPr>
          <w:p>
            <w:pPr>
              <w:ind w:left="70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 xml:space="preserve">For the following consolidated financial information included herein, see Part II. Item 8.on Page </w:t>
            </w:r>
            <w:r>
              <w:rPr>
                <w:rFonts w:ascii="Times New Roman" w:cs="Times New Roman" w:eastAsia="Times New Roman" w:hAnsi="Times New Roman"/>
                <w:sz w:val="18"/>
                <w:szCs w:val="18"/>
                <w:color w:val="0000FF"/>
              </w:rPr>
              <w:t>69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3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30, 2023 and December 31, 2022</w:t>
            </w:r>
          </w:p>
        </w:tc>
        <w:tc>
          <w:tcPr>
            <w:tcW w:w="7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Fiscal years ended December 30, 2023, December 31, 2022, and</w:t>
            </w:r>
          </w:p>
        </w:tc>
        <w:tc>
          <w:tcPr>
            <w:tcW w:w="600" w:type="dxa"/>
            <w:vAlign w:val="bottom"/>
            <w:gridSpan w:val="2"/>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January 1, 2022</w:t>
            </w:r>
          </w:p>
        </w:tc>
        <w:tc>
          <w:tcPr>
            <w:tcW w:w="6880" w:type="dxa"/>
            <w:vAlign w:val="bottom"/>
            <w:tcBorders>
              <w:top w:val="single" w:sz="8" w:color="0000FF"/>
            </w:tcBorders>
            <w:gridSpan w:val="11"/>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Fiscal years ended December 30,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December 31, 2022, and January 1, 2022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December 30,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December 31, 2022, and January 1, 2022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20" w:type="dxa"/>
            <w:vAlign w:val="bottom"/>
            <w:tcBorders>
              <w:top w:val="single" w:sz="8" w:color="0000FF"/>
            </w:tcBorders>
            <w:gridSpan w:val="3"/>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top w:val="single" w:sz="8" w:color="0000FF"/>
            </w:tcBorders>
            <w:gridSpan w:val="5"/>
          </w:tcPr>
          <w:p>
            <w:pPr>
              <w:spacing w:after="0"/>
              <w:rPr>
                <w:sz w:val="18"/>
                <w:szCs w:val="18"/>
                <w:color w:val="auto"/>
              </w:rPr>
            </w:pPr>
          </w:p>
        </w:tc>
        <w:tc>
          <w:tcPr>
            <w:tcW w:w="10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Schedule I – Condensed Financial Information of Registrant</w:t>
            </w:r>
          </w:p>
        </w:tc>
        <w:tc>
          <w:tcPr>
            <w:tcW w:w="5940" w:type="dxa"/>
            <w:vAlign w:val="bottom"/>
            <w:gridSpan w:val="11"/>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-445135</wp:posOffset>
            </wp:positionV>
            <wp:extent cx="28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Financial statement Schedule I as filed in Part II. Item 8. of this Form 10-K:</w:t>
      </w:r>
    </w:p>
    <w:p>
      <w:pPr>
        <w:spacing w:after="0" w:line="2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Schedule I - Condensed financial information of the Registrant</w:t>
      </w:r>
    </w:p>
    <w:p>
      <w:pPr>
        <w:spacing w:after="0" w:line="27" w:lineRule="exact"/>
        <w:rPr>
          <w:sz w:val="20"/>
          <w:szCs w:val="20"/>
          <w:color w:val="auto"/>
        </w:rPr>
      </w:pPr>
    </w:p>
    <w:p>
      <w:pPr>
        <w:ind w:left="1460" w:right="1140"/>
        <w:spacing w:after="0" w:line="233" w:lineRule="auto"/>
        <w:rPr>
          <w:sz w:val="20"/>
          <w:szCs w:val="20"/>
          <w:color w:val="auto"/>
        </w:rPr>
      </w:pPr>
      <w:r>
        <w:rPr>
          <w:rFonts w:ascii="Times New Roman" w:cs="Times New Roman" w:eastAsia="Times New Roman" w:hAnsi="Times New Roman"/>
          <w:sz w:val="17"/>
          <w:szCs w:val="17"/>
          <w:color w:val="auto"/>
        </w:rPr>
        <w:t>All other financial schedules have been omitted because the required information is not presented in amounts sufficient to require submission of the schedule, or because the information required is included in the Consolidated Financial</w:t>
      </w:r>
    </w:p>
    <w:p>
      <w:pPr>
        <w:ind w:left="1460"/>
        <w:spacing w:after="0"/>
        <w:rPr>
          <w:sz w:val="20"/>
          <w:szCs w:val="20"/>
          <w:color w:val="auto"/>
        </w:rPr>
      </w:pPr>
      <w:r>
        <w:rPr>
          <w:rFonts w:ascii="Times New Roman" w:cs="Times New Roman" w:eastAsia="Times New Roman" w:hAnsi="Times New Roman"/>
          <w:sz w:val="18"/>
          <w:szCs w:val="18"/>
          <w:color w:val="auto"/>
        </w:rPr>
        <w:t>Statements, including notes thereto.</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3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National Vision Holdings, Inc. - incorporated herein by reference 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June 10, 2021</w:t>
            </w:r>
          </w:p>
        </w:tc>
        <w:tc>
          <w:tcPr>
            <w:tcW w:w="0" w:type="dxa"/>
            <w:vAlign w:val="bottom"/>
          </w:tcPr>
          <w:p>
            <w:pPr>
              <w:spacing w:after="0"/>
              <w:rPr>
                <w:sz w:val="1"/>
                <w:szCs w:val="1"/>
                <w:color w:val="auto"/>
              </w:rPr>
            </w:pP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Fourth Amended and Restated Bylaws of National Vision Holdings, Inc. - incorporated herein by reference to Exhibit 3.1 to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December 12, 2023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Description of Securities of the Registrant - incorporated herein by reference to Exhibit 4.1 to the Company’s Annual Report on</w:t>
            </w:r>
          </w:p>
        </w:tc>
        <w:tc>
          <w:tcPr>
            <w:tcW w:w="0" w:type="dxa"/>
            <w:vAlign w:val="bottom"/>
          </w:tcPr>
          <w:p>
            <w:pPr>
              <w:spacing w:after="0"/>
              <w:rPr>
                <w:sz w:val="1"/>
                <w:szCs w:val="1"/>
                <w:color w:val="auto"/>
              </w:rPr>
            </w:pPr>
          </w:p>
        </w:tc>
      </w:tr>
      <w:tr>
        <w:trPr>
          <w:trHeight w:val="214"/>
        </w:trPr>
        <w:tc>
          <w:tcPr>
            <w:tcW w:w="340" w:type="dxa"/>
            <w:vAlign w:val="bottom"/>
            <w:gridSpan w:val="3"/>
            <w:vMerge w:val="restart"/>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10-K filed on February 28, 2022</w:t>
            </w:r>
          </w:p>
        </w:tc>
        <w:tc>
          <w:tcPr>
            <w:tcW w:w="0" w:type="dxa"/>
            <w:vAlign w:val="bottom"/>
          </w:tcPr>
          <w:p>
            <w:pPr>
              <w:spacing w:after="0"/>
              <w:rPr>
                <w:sz w:val="1"/>
                <w:szCs w:val="1"/>
                <w:color w:val="auto"/>
              </w:rPr>
            </w:pPr>
          </w:p>
        </w:tc>
      </w:tr>
      <w:tr>
        <w:trPr>
          <w:trHeight w:val="184"/>
        </w:trPr>
        <w:tc>
          <w:tcPr>
            <w:tcW w:w="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8"/>
                <w:szCs w:val="18"/>
                <w:color w:val="auto"/>
              </w:rPr>
              <w:t xml:space="preserve">Indenture, dated as of May 12, 2020, between National Vision Holdings, Inc. and U.S. Bank National Association, as trustee </w:t>
            </w:r>
            <w:r>
              <w:rPr>
                <w:rFonts w:ascii="Times New Roman" w:cs="Times New Roman" w:eastAsia="Times New Roman" w:hAnsi="Times New Roman"/>
                <w:sz w:val="18"/>
                <w:szCs w:val="18"/>
                <w:color w:val="21252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on May 12, 2020</w:t>
            </w:r>
          </w:p>
        </w:tc>
        <w:tc>
          <w:tcPr>
            <w:tcW w:w="0" w:type="dxa"/>
            <w:vAlign w:val="bottom"/>
          </w:tcPr>
          <w:p>
            <w:pPr>
              <w:spacing w:after="0"/>
              <w:rPr>
                <w:sz w:val="1"/>
                <w:szCs w:val="1"/>
                <w:color w:val="auto"/>
              </w:rPr>
            </w:pPr>
          </w:p>
        </w:tc>
      </w:tr>
      <w:tr>
        <w:trPr>
          <w:trHeight w:val="216"/>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Form of 2.50% Convertible Senior Note due 2025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incorporated herein by reference to Exhibit A within Exhibit 4.1 to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May 12, 2020</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Second Joinder and Restatement Agreement, dated as of June 13, 2023, including as Exhibit A thereto, to the Second Amended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and Restated Credit Agreement, by and among Nautilus Acquisition Holdings, Inc., National Vision, Inc., certain subsidiaries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National Vision, Inc., as guarantors, Bank of America, N.A., as Administrative Agent and the Collateral Agent, and the lenders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time to time party thereto - incorporated herein by reference to Exhibit 10.1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filed on June 20, 2023.</w:t>
            </w:r>
          </w:p>
        </w:tc>
        <w:tc>
          <w:tcPr>
            <w:tcW w:w="0" w:type="dxa"/>
            <w:vAlign w:val="bottom"/>
          </w:tcPr>
          <w:p>
            <w:pPr>
              <w:spacing w:after="0"/>
              <w:rPr>
                <w:sz w:val="1"/>
                <w:szCs w:val="1"/>
                <w:color w:val="auto"/>
              </w:rPr>
            </w:pPr>
          </w:p>
        </w:tc>
      </w:tr>
      <w:tr>
        <w:trPr>
          <w:trHeight w:val="198"/>
        </w:trPr>
        <w:tc>
          <w:tcPr>
            <w:tcW w:w="44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First Lien Guarantee, dated as of March 13, 2014, by the guarantors party thereto - incorporated herein by reference to Exhibit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10.6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Lien Security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Vision Holdings Corp., National Vision, Inc., subsidiary grantors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10.7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Lien Pledge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Vision Holdings Corp., National Vision, Inc. subsidiary pledgors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10.8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National Vision Holdings, Inc. 2017 Omnibus Incentive Plan - incorporated herein by reference to Exhibit 10.2 to the Company’s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 Report on Form 8-K filed on October 31,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Stock Option Agreement under the 2017 Omnibus Incentive Plan, as adopted February 2019 - incorporated herein 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reference to Exhibit 10.2 to the Company’s Quarterly Report on Form 10-Q filed on May 9,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2021 – incorporated 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reference to Exhibit 10.1 to the Company’s Quarterly Report on Form 10-Q filed on May 13, 2021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March 21, 2021 – incorporated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herein by reference to Exhibit 10.1 to the Company’s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April 10, 2022 - incorporated herein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by reference to Exhibit 10.4 to the Company’s Quarterly Report on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February 24, 2022 – incorporated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herein by reference to Exhibit 10.2 to the Company’s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24, 2022 – incorporated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herein by reference to Exhibit 10.3 to the Company’s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for Non-Employee Directors under the 2017 Omnibus Incentive Plan, as adopted June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15, 2022 – incorporated by reference to Exhibit 10.2 to the Company’s Quarterly Report on Form 10-Q filed on August 11,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Option Agreement for Patrick R. Moore under the 2017 Omnibus Incentive Plan - incorporated herein by reference to Exhibit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10.34 to the Company’s Amendment No. 2 to Form S-1 Registration Statement filed on October 16, 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720" w:type="dxa"/>
            <w:vAlign w:val="bottom"/>
            <w:gridSpan w:val="7"/>
          </w:tcPr>
          <w:p>
            <w:pPr>
              <w:spacing w:after="0" w:line="195" w:lineRule="exact"/>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10.14†</w:t>
              </w:r>
            </w:hyperlink>
          </w:p>
        </w:tc>
        <w:tc>
          <w:tcPr>
            <w:tcW w:w="950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2014 Stock Incentive Plan for Key Employees of National Vision Holdings, Inc. (formerly known as Nautilus Parent, Inc.) and its</w:t>
            </w:r>
          </w:p>
        </w:tc>
        <w:tc>
          <w:tcPr>
            <w:tcW w:w="0" w:type="dxa"/>
            <w:vAlign w:val="bottom"/>
          </w:tcPr>
          <w:p>
            <w:pPr>
              <w:spacing w:after="0"/>
              <w:rPr>
                <w:sz w:val="1"/>
                <w:szCs w:val="1"/>
                <w:color w:val="auto"/>
              </w:rPr>
            </w:pPr>
          </w:p>
        </w:tc>
      </w:tr>
    </w:tbl>
    <w:p>
      <w:pPr>
        <w:ind w:left="1760" w:right="20"/>
        <w:spacing w:after="0" w:line="233" w:lineRule="auto"/>
        <w:rPr>
          <w:sz w:val="20"/>
          <w:szCs w:val="20"/>
          <w:color w:val="auto"/>
        </w:rPr>
      </w:pPr>
      <w:r>
        <w:rPr>
          <w:rFonts w:ascii="Times New Roman" w:cs="Times New Roman" w:eastAsia="Times New Roman" w:hAnsi="Times New Roman"/>
          <w:sz w:val="18"/>
          <w:szCs w:val="18"/>
          <w:color w:val="auto"/>
        </w:rPr>
        <w:t>Subsidiaries - incorporated herein by reference to Exhibit 10.16 to the Company’s Form S-1 Registration Statement filed on September 29, 2017</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40" w:type="dxa"/>
            <w:vAlign w:val="bottom"/>
          </w:tcPr>
          <w:p>
            <w:pPr>
              <w:spacing w:after="0"/>
              <w:rPr>
                <w:sz w:val="24"/>
                <w:szCs w:val="24"/>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Nautilus Parent, Inc.) and its Subsidiaries - incorporated herein by reference to Exhibit 10.17 to the Company’s Form S-1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Amendment No. 2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Nautilus Parent, Inc.) and its Subsidiaries - incorporated herein by reference to Exhibit 10.18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Stock Option Agreement under the 2014 Stock Incentive Plan for Key Employees of National Vision Holdings, Inc.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(formerly known as Nautilus Parent, Inc.) and its Subsidiaries - incorporated herein by reference to Exhibit 10.19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Company’s Form S-1 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18†</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Director Indemnification Agreement - incorporated herein by reference to Exhibit 10.36 to the Company’s Amendment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No. 2 to Form S-1 Registration Statement filed on October 16,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19†</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Management Stockholder’s Agreement - incorporated herein by reference to Exhibit 10.20 to the Company’s Form S-1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20†</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National Vision Holdings, Inc. Executive Severance Plan - incorporated by reference to Exhibit 10.1 filed to the Company’s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Current Report on Form 8-K filed on December 18,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21‡</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xml:space="preserve">Letter Agreement between National Vision, Inc. and Essilor of America, Inc., dated as of November 12, 2018 </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incorporated herein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by reference to Exhibit 10.36 to the Company’s Form 10-K filed on February 27,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22‡</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First Amendment to the Direct Lens Letter Agreement, dated July 19, 2022, by and between Essilor of America, Inc. and National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Vision, Inc. - incorporated herein by reference to Exhibit 10.1 to the Company’s Current Report on Form 8-K filed on July 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Second Amendment to the Direct Lens Letter Agreement, dated November 8, 2023, by and between Essilor of America, Inc.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9" w:lineRule="exact"/>
              <w:rPr>
                <w:sz w:val="20"/>
                <w:szCs w:val="20"/>
                <w:color w:val="auto"/>
              </w:rPr>
            </w:pPr>
            <w:r>
              <w:rPr>
                <w:rFonts w:ascii="Times New Roman" w:cs="Times New Roman" w:eastAsia="Times New Roman" w:hAnsi="Times New Roman"/>
                <w:sz w:val="17"/>
                <w:szCs w:val="17"/>
                <w:color w:val="auto"/>
              </w:rPr>
              <w:t xml:space="preserve">National Vision, Inc </w:t>
            </w:r>
            <w:r>
              <w:rPr>
                <w:rFonts w:ascii="Times New Roman" w:cs="Times New Roman" w:eastAsia="Times New Roman" w:hAnsi="Times New Roman"/>
                <w:sz w:val="17"/>
                <w:szCs w:val="17"/>
                <w:i w:val="1"/>
                <w:iCs w:val="1"/>
                <w:color w:val="auto"/>
              </w:rPr>
              <w:t>Portions of this exhibit have been excluded pursuant to Item 601(b)(10)(iv) of Regulation S-K because such</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information is (i) not material and (ii) the type of information that the registrant treats as private or confidential.</w:t>
            </w:r>
          </w:p>
        </w:tc>
        <w:tc>
          <w:tcPr>
            <w:tcW w:w="0" w:type="dxa"/>
            <w:vAlign w:val="bottom"/>
          </w:tcPr>
          <w:p>
            <w:pPr>
              <w:spacing w:after="0"/>
              <w:rPr>
                <w:sz w:val="1"/>
                <w:szCs w:val="1"/>
                <w:color w:val="auto"/>
              </w:rPr>
            </w:pPr>
          </w:p>
        </w:tc>
      </w:tr>
      <w:tr>
        <w:trPr>
          <w:trHeight w:val="194"/>
        </w:trPr>
        <w:tc>
          <w:tcPr>
            <w:tcW w:w="52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Letter Agreement by and between National Vision, Inc. and Wal-Mart Stores, Inc. re: Management &amp; Services Agreement, dated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as of January 11, 2017 - incorporated herein by reference to Exhibit 10.32 to the Company’s Form S-1 Registration Statement 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25‡</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Management &amp; Services Agreement by and between National Vision, Inc. and Wal-Mart Stores, Inc., dated as of May 1, 2012 -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incorporated herein by reference to Exhibit 10.31 to the Company’s Form S-1 Registration Statement filed on October 16,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5"/>
          </w:tcPr>
          <w:p>
            <w:pPr>
              <w:spacing w:after="0" w:line="194"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26‡</w:t>
            </w: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w w:val="99"/>
              </w:rPr>
              <w:t>Amendment 3 to the Management and Services Agreement between Walmart, Inc. and National Vision, Inc. effective as of January</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23, 2020 - incorporated herein by reference to Exhibit 10.1 to the Company’s Current Report on Form 8-K filed on January 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gridSpan w:val="5"/>
            <w:vMerge w:val="restart"/>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27‡</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5"/>
            <w:vMerge w:val="continue"/>
          </w:tcPr>
          <w:p>
            <w:pPr>
              <w:spacing w:after="0"/>
              <w:rPr>
                <w:sz w:val="16"/>
                <w:szCs w:val="16"/>
                <w:color w:val="auto"/>
              </w:rPr>
            </w:pPr>
          </w:p>
        </w:tc>
        <w:tc>
          <w:tcPr>
            <w:tcW w:w="972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Amendment 4 to the Management &amp; Services Agreement between Walmart Inc. and National Vision, Inc., effective as of July 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2020 - incorporated herein by reference to Exhibit 10.1 to the Company’s Current Report on Form 8-K filed on July 20,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28‡</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and Restated Supplier Agreement between National Vision, Inc. and Walmart, dated as of January 17, 2017 -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incorporated herein by reference to Exhibit 10.33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Subsidiaries of National Vision Holdings,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of Deloitte &amp; Touche LLP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c>
          <w:tcPr>
            <w:tcW w:w="0" w:type="dxa"/>
            <w:vAlign w:val="bottom"/>
          </w:tcPr>
          <w:p>
            <w:pPr>
              <w:spacing w:after="0"/>
              <w:rPr>
                <w:sz w:val="1"/>
                <w:szCs w:val="1"/>
                <w:color w:val="auto"/>
              </w:rPr>
            </w:pPr>
          </w:p>
        </w:tc>
      </w:tr>
      <w:tr>
        <w:trPr>
          <w:trHeight w:val="20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c>
          <w:tcPr>
            <w:tcW w:w="0" w:type="dxa"/>
            <w:vAlign w:val="bottom"/>
          </w:tcPr>
          <w:p>
            <w:pPr>
              <w:spacing w:after="0"/>
              <w:rPr>
                <w:sz w:val="1"/>
                <w:szCs w:val="1"/>
                <w:color w:val="auto"/>
              </w:rPr>
            </w:pPr>
          </w:p>
        </w:tc>
      </w:tr>
      <w:tr>
        <w:trPr>
          <w:trHeight w:val="194"/>
        </w:trPr>
        <w:tc>
          <w:tcPr>
            <w:tcW w:w="3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Incentive Compensation Clawback Policy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972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Inline XBRL document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700" w:type="dxa"/>
            <w:vAlign w:val="bottom"/>
          </w:tcPr>
          <w:p>
            <w:pPr>
              <w:spacing w:after="0"/>
              <w:rPr>
                <w:sz w:val="17"/>
                <w:szCs w:val="17"/>
                <w:color w:val="auto"/>
              </w:rPr>
            </w:pPr>
          </w:p>
        </w:tc>
      </w:tr>
      <w:tr>
        <w:trPr>
          <w:trHeight w:val="704"/>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5"/>
                <w:szCs w:val="15"/>
                <w:color w:val="auto"/>
              </w:rPr>
            </w:pPr>
          </w:p>
        </w:tc>
        <w:tc>
          <w:tcPr>
            <w:tcW w:w="97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cover page of the Company’s Annual Report on Form 10-K for the year ended December 30, 2023, formatted in Inline XBRL</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(included within the Exhibit 101 attachments)</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82"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Identifies exhibits that consist of a management contract or compensatory plan or arrangement.</w:t>
      </w:r>
    </w:p>
    <w:p>
      <w:pPr>
        <w:spacing w:after="0" w:line="19" w:lineRule="exact"/>
        <w:rPr>
          <w:sz w:val="20"/>
          <w:szCs w:val="20"/>
          <w:color w:val="auto"/>
        </w:rPr>
      </w:pPr>
    </w:p>
    <w:p>
      <w:pPr>
        <w:ind w:left="180" w:right="640" w:hanging="172"/>
        <w:spacing w:after="0" w:line="267" w:lineRule="auto"/>
        <w:tabs>
          <w:tab w:leader="none" w:pos="2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Confidential treatment has been requested with respect to certain portions of identified exhibits. Omitted portions have been filed separately with the Securities and Exchange Commission.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9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ind w:left="53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 Reade Fahs</w:t>
      </w:r>
    </w:p>
    <w:p>
      <w:pPr>
        <w:spacing w:after="0" w:line="3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5340"/>
        <w:spacing w:after="0"/>
        <w:tabs>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2024</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8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 Reade Fahs</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Reade Fahs</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Melissa Rasmussen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Rasmussen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 Armario</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Armario</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Virginia A. Hepner</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A. Hepner</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S. Johnson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S. Johnson</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Naomi Kelman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Naomi Kelman</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O’Farrell</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O’Farrell</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Randolph Peeler</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Randolph Peeler</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V. Taylor, Jr.</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V. Taylor, Jr.</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95"/>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Tehle</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 Tehle</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32"/>
        </w:trPr>
        <w:tc>
          <w:tcPr>
            <w:tcW w:w="396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121</w:t>
            </w:r>
          </w:p>
        </w:tc>
        <w:tc>
          <w:tcPr>
            <w:tcW w:w="2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The portion of this exhibit marked with “[***]” has been excluded pursuant to Item 601(b)(10)(iv) of Regulation S-K because such</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information is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Direct Lens Letter Agreement</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This Second Amendment (“Amendment”) between National Vision, Inc. (“NVI”) and Essilor of America, Inc. (“Essilor”) (NVI and Essilor, collectively, the “Parties”) is effective November 8, 2023 (the “Second Amendment Effective Date”) and amends that certain Direct Lens Letter Agreement, as amended (the “Agreement”) dated November 12, 2018 and amended by that certain First Amendment to the Direct Lens Letter Agreement dated July 19, 2022 between the Parties. Capitalized terms not otherwise defined herein have the meanings given to them in the Agreement.</w:t>
      </w:r>
    </w:p>
    <w:p>
      <w:pPr>
        <w:spacing w:after="0" w:line="10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further amend the Agreement to extend the previous Loyalty Rebate as set forth in this Second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and</w:t>
      </w:r>
    </w:p>
    <w:p>
      <w:pPr>
        <w:spacing w:after="0" w:line="84"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promises and representations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Parties hereby agree as follows:</w:t>
      </w:r>
    </w:p>
    <w:p>
      <w:pPr>
        <w:spacing w:after="0" w:line="75" w:lineRule="exact"/>
        <w:rPr>
          <w:sz w:val="20"/>
          <w:szCs w:val="20"/>
          <w:color w:val="auto"/>
        </w:rPr>
      </w:pPr>
    </w:p>
    <w:p>
      <w:pPr>
        <w:ind w:left="660" w:hanging="328"/>
        <w:spacing w:after="0" w:line="283"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table in Section 10, “Loyalty and Transitions® Lens Rebates,” is hereby amended to add the following rows, setting forth the Loyalty Rebate for the remaining Contract Years:</w:t>
      </w:r>
    </w:p>
    <w:p>
      <w:pPr>
        <w:spacing w:after="0" w:line="18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p>
    <w:p>
      <w:pPr>
        <w:spacing w:after="0" w:line="273"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this Second Amendment will control in the event of an inconsistency between the terms of this Second Amendment and the terms of the Agreement. In all other respects all the terms and conditions of the Agreement remain unchanged.</w:t>
      </w:r>
    </w:p>
    <w:p>
      <w:pPr>
        <w:spacing w:after="0" w:line="186" w:lineRule="exact"/>
        <w:rPr>
          <w:rFonts w:ascii="Times New Roman" w:cs="Times New Roman" w:eastAsia="Times New Roman" w:hAnsi="Times New Roman"/>
          <w:sz w:val="20"/>
          <w:szCs w:val="20"/>
          <w:color w:val="auto"/>
        </w:rPr>
      </w:pPr>
    </w:p>
    <w:p>
      <w:pPr>
        <w:jc w:val="both"/>
        <w:ind w:left="660" w:hanging="328"/>
        <w:spacing w:after="0" w:line="275"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Second Amendment and the Agreement constitute the complete and entire understanding and agreement between the Parties as to the subject matter herein and therein and supersede all prior or contemporaneous agreements, understandings, or representations with respect to the subject matter herein and therein, whether written or oral.</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signed this Second Amendment effective as of the Second Amendment Effective Date.</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National Vision, Inc.</w:t>
            </w:r>
          </w:p>
        </w:tc>
        <w:tc>
          <w:tcPr>
            <w:tcW w:w="3520" w:type="dxa"/>
            <w:vAlign w:val="bottom"/>
          </w:tcPr>
          <w:p>
            <w:pPr>
              <w:spacing w:after="0"/>
              <w:rPr>
                <w:sz w:val="22"/>
                <w:szCs w:val="22"/>
                <w:color w:val="auto"/>
              </w:rPr>
            </w:pPr>
          </w:p>
        </w:tc>
        <w:tc>
          <w:tcPr>
            <w:tcW w:w="5900" w:type="dxa"/>
            <w:vAlign w:val="bottom"/>
            <w:gridSpan w:val="2"/>
          </w:tcPr>
          <w:p>
            <w:pPr>
              <w:ind w:left="460"/>
              <w:spacing w:after="0"/>
              <w:rPr>
                <w:sz w:val="20"/>
                <w:szCs w:val="20"/>
                <w:color w:val="auto"/>
              </w:rPr>
            </w:pPr>
            <w:r>
              <w:rPr>
                <w:rFonts w:ascii="Times New Roman" w:cs="Times New Roman" w:eastAsia="Times New Roman" w:hAnsi="Times New Roman"/>
                <w:sz w:val="20"/>
                <w:szCs w:val="20"/>
                <w:b w:val="1"/>
                <w:bCs w:val="1"/>
                <w:color w:val="auto"/>
              </w:rPr>
              <w:t>Essilor of America, Inc.</w:t>
            </w:r>
          </w:p>
        </w:tc>
      </w:tr>
      <w:tr>
        <w:trPr>
          <w:trHeight w:val="730"/>
        </w:trPr>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Megan Molony</w:t>
            </w:r>
          </w:p>
        </w:tc>
        <w:tc>
          <w:tcPr>
            <w:tcW w:w="22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By:</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Matt Tackman</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Megan Molony</w:t>
            </w:r>
          </w:p>
        </w:tc>
        <w:tc>
          <w:tcPr>
            <w:tcW w:w="22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Printed Name:</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Matt Tackman</w:t>
            </w:r>
          </w:p>
        </w:tc>
      </w:tr>
      <w:tr>
        <w:trPr>
          <w:trHeight w:val="25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Merchandising Officer</w:t>
            </w:r>
          </w:p>
        </w:tc>
        <w:tc>
          <w:tcPr>
            <w:tcW w:w="22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Title:</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Key Accounts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Confidential</w:t>
      </w:r>
      <w:r>
        <w:rPr>
          <w:sz w:val="20"/>
          <w:szCs w:val="20"/>
          <w:color w:val="auto"/>
        </w:rPr>
        <w:tab/>
      </w: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w:t>
      </w:r>
    </w:p>
    <w:p>
      <w:pPr>
        <w:sectPr>
          <w:pgSz w:w="11900" w:h="16838" w:orient="portrait"/>
          <w:cols w:equalWidth="0" w:num="1">
            <w:col w:w="11240"/>
          </w:cols>
          <w:pgMar w:left="320" w:top="12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20" w:type="dxa"/>
            <w:vAlign w:val="bottom"/>
            <w:tcBorders>
              <w:top w:val="single" w:sz="8" w:color="auto"/>
              <w:left w:val="single" w:sz="8" w:color="auto"/>
              <w:right w:val="single" w:sz="8" w:color="auto"/>
            </w:tcBorders>
            <w:shd w:val="clear" w:color="auto" w:fill="969696"/>
          </w:tcPr>
          <w:p>
            <w:pPr>
              <w:spacing w:after="0"/>
              <w:rPr>
                <w:sz w:val="16"/>
                <w:szCs w:val="16"/>
                <w:color w:val="auto"/>
              </w:rPr>
            </w:pPr>
          </w:p>
        </w:tc>
        <w:tc>
          <w:tcPr>
            <w:tcW w:w="2080" w:type="dxa"/>
            <w:vAlign w:val="bottom"/>
            <w:tcBorders>
              <w:top w:val="single" w:sz="8" w:color="auto"/>
              <w:right w:val="single" w:sz="8" w:color="auto"/>
            </w:tcBorders>
            <w:shd w:val="clear" w:color="auto" w:fill="969696"/>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0" w:type="dxa"/>
            <w:vAlign w:val="bottom"/>
          </w:tcPr>
          <w:p>
            <w:pPr>
              <w:spacing w:after="0"/>
              <w:rPr>
                <w:sz w:val="1"/>
                <w:szCs w:val="1"/>
                <w:color w:val="auto"/>
              </w:rPr>
            </w:pPr>
          </w:p>
        </w:tc>
      </w:tr>
      <w:tr>
        <w:trPr>
          <w:trHeight w:val="180"/>
        </w:trPr>
        <w:tc>
          <w:tcPr>
            <w:tcW w:w="7120" w:type="dxa"/>
            <w:vAlign w:val="bottom"/>
            <w:tcBorders>
              <w:left w:val="single" w:sz="8" w:color="auto"/>
              <w:right w:val="single" w:sz="8" w:color="auto"/>
            </w:tcBorders>
            <w:vMerge w:val="restart"/>
            <w:shd w:val="clear" w:color="auto" w:fill="969696"/>
          </w:tcPr>
          <w:p>
            <w:pPr>
              <w:ind w:left="30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080" w:type="dxa"/>
            <w:vAlign w:val="bottom"/>
            <w:tcBorders>
              <w:right w:val="single" w:sz="8" w:color="auto"/>
            </w:tcBorders>
            <w:shd w:val="clear" w:color="auto" w:fill="969696"/>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38"/>
        </w:trPr>
        <w:tc>
          <w:tcPr>
            <w:tcW w:w="7120" w:type="dxa"/>
            <w:vAlign w:val="bottom"/>
            <w:tcBorders>
              <w:left w:val="single" w:sz="8" w:color="auto"/>
              <w:bottom w:val="single" w:sz="8" w:color="auto"/>
              <w:right w:val="single" w:sz="8" w:color="auto"/>
            </w:tcBorders>
            <w:vMerge w:val="continue"/>
            <w:shd w:val="clear" w:color="auto" w:fill="969696"/>
          </w:tcPr>
          <w:p>
            <w:pPr>
              <w:spacing w:after="0"/>
              <w:rPr>
                <w:sz w:val="20"/>
                <w:szCs w:val="20"/>
                <w:color w:val="auto"/>
              </w:rPr>
            </w:pPr>
          </w:p>
        </w:tc>
        <w:tc>
          <w:tcPr>
            <w:tcW w:w="2080" w:type="dxa"/>
            <w:vAlign w:val="bottom"/>
            <w:tcBorders>
              <w:bottom w:val="single" w:sz="8" w:color="auto"/>
              <w:right w:val="single" w:sz="8" w:color="auto"/>
            </w:tcBorders>
            <w:shd w:val="clear" w:color="auto" w:fill="96969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Nautilus Acquisition Holdings,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69"/>
        </w:trPr>
        <w:tc>
          <w:tcPr>
            <w:tcW w:w="71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National Vision, Inc. (dba Eyeglass World, America’s Best Contacts and Eyeglasses, Vision</w:t>
            </w: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Center and Vista Optical)</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Arlington Contact Lens Service, Inc. (dba AC Lens)</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NVAL Healthcare Systems,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FirstSight Vision Services, Inc. (dba FirstSight)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Vision Administrators,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Slovak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Slovakia</w:t>
            </w:r>
          </w:p>
        </w:tc>
        <w:tc>
          <w:tcPr>
            <w:tcW w:w="0" w:type="dxa"/>
            <w:vAlign w:val="bottom"/>
          </w:tcPr>
          <w:p>
            <w:pPr>
              <w:spacing w:after="0"/>
              <w:rPr>
                <w:sz w:val="1"/>
                <w:szCs w:val="1"/>
                <w:color w:val="auto"/>
              </w:rPr>
            </w:pPr>
          </w:p>
        </w:tc>
      </w:tr>
    </w:tbl>
    <w:p>
      <w:pPr>
        <w:sectPr>
          <w:pgSz w:w="11900" w:h="16838" w:orient="portrait"/>
          <w:cols w:equalWidth="0" w:num="1">
            <w:col w:w="10200"/>
          </w:cols>
          <w:pgMar w:left="1360" w:top="60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333-221131 and 333-225611 on Form S-8 of our reports dated February 26, 2024, relating to the financial statements of National Vision Holdings, Inc. and the effectiveness of National Vision Holdings, Inc.’s internal control over financial reporting appearing in this Annual Report on Form 10-K for the year ended December 30,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ectPr>
          <w:pgSz w:w="11900" w:h="16838" w:orient="portrait"/>
          <w:cols w:equalWidth="0" w:num="1">
            <w:col w:w="11240"/>
          </w:cols>
          <w:pgMar w:left="320" w:top="89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National Vision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3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23660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National Vision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14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4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National Vision Holdings, Inc. (the “Company”) on Form 10-K for the fiscal year ended December 30, 2023,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23660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National Vision Holdings, Inc. (the “Company”) on Form 10-K for the fiscal year ended December 30, 2023,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85"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200" w:lineRule="exact"/>
        <w:rPr>
          <w:sz w:val="20"/>
          <w:szCs w:val="20"/>
          <w:color w:val="auto"/>
        </w:rPr>
      </w:pPr>
    </w:p>
    <w:p>
      <w:pPr>
        <w:spacing w:after="0" w:line="3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4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 RECOVERY POLICY</w:t>
      </w: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Compliance with United States Securities Laws</w:t>
      </w:r>
    </w:p>
    <w:p>
      <w:pPr>
        <w:jc w:val="center"/>
        <w:spacing w:after="0"/>
        <w:rPr>
          <w:sz w:val="20"/>
          <w:szCs w:val="20"/>
          <w:color w:val="auto"/>
        </w:rPr>
      </w:pPr>
      <w:r>
        <w:rPr>
          <w:rFonts w:ascii="Times New Roman" w:cs="Times New Roman" w:eastAsia="Times New Roman" w:hAnsi="Times New Roman"/>
          <w:sz w:val="22"/>
          <w:szCs w:val="22"/>
          <w:b w:val="1"/>
          <w:bCs w:val="1"/>
          <w:color w:val="auto"/>
        </w:rPr>
        <w:t>and Nasdaq Listing Rules</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Incentive Compensation Recovery Policy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contains the following sections:</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color w:val="auto"/>
        </w:rPr>
        <w:t>General</w:t>
      </w:r>
    </w:p>
    <w:p>
      <w:pPr>
        <w:spacing w:after="0" w:line="214" w:lineRule="auto"/>
        <w:tabs>
          <w:tab w:leader="none" w:pos="48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color w:val="auto"/>
        </w:rPr>
        <w:t>Definitions</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color w:val="auto"/>
        </w:rPr>
        <w:t>Mandatory Recoupment Policy</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color w:val="auto"/>
        </w:rPr>
        <w:t>Incentive-Based Compensation</w:t>
      </w:r>
    </w:p>
    <w:p>
      <w:pPr>
        <w:spacing w:after="0" w:line="214" w:lineRule="auto"/>
        <w:tabs>
          <w:tab w:leader="none" w:pos="48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color w:val="auto"/>
        </w:rPr>
        <w:t>Certain Exceptions</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21"/>
          <w:szCs w:val="21"/>
          <w:color w:val="auto"/>
        </w:rPr>
        <w:t>No Indemnification</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7.0</w:t>
      </w:r>
      <w:r>
        <w:rPr>
          <w:sz w:val="20"/>
          <w:szCs w:val="20"/>
          <w:color w:val="auto"/>
        </w:rPr>
        <w:tab/>
      </w:r>
      <w:r>
        <w:rPr>
          <w:rFonts w:ascii="Times New Roman" w:cs="Times New Roman" w:eastAsia="Times New Roman" w:hAnsi="Times New Roman"/>
          <w:sz w:val="21"/>
          <w:szCs w:val="21"/>
          <w:color w:val="auto"/>
        </w:rPr>
        <w:t>Public Disclosures</w:t>
      </w:r>
    </w:p>
    <w:p>
      <w:pPr>
        <w:spacing w:after="0" w:line="214" w:lineRule="auto"/>
        <w:tabs>
          <w:tab w:leader="none" w:pos="460" w:val="left"/>
        </w:tabs>
        <w:rPr>
          <w:sz w:val="20"/>
          <w:szCs w:val="20"/>
          <w:color w:val="auto"/>
        </w:rPr>
      </w:pPr>
      <w:r>
        <w:rPr>
          <w:rFonts w:ascii="Times New Roman" w:cs="Times New Roman" w:eastAsia="Times New Roman" w:hAnsi="Times New Roman"/>
          <w:sz w:val="22"/>
          <w:szCs w:val="22"/>
          <w:color w:val="auto"/>
        </w:rPr>
        <w:t>8.0</w:t>
      </w:r>
      <w:r>
        <w:rPr>
          <w:sz w:val="20"/>
          <w:szCs w:val="20"/>
          <w:color w:val="auto"/>
        </w:rPr>
        <w:tab/>
      </w:r>
      <w:r>
        <w:rPr>
          <w:rFonts w:ascii="Times New Roman" w:cs="Times New Roman" w:eastAsia="Times New Roman" w:hAnsi="Times New Roman"/>
          <w:sz w:val="21"/>
          <w:szCs w:val="21"/>
          <w:color w:val="auto"/>
        </w:rPr>
        <w:t>Application to Other Persons</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9.0</w:t>
      </w:r>
      <w:r>
        <w:rPr>
          <w:sz w:val="20"/>
          <w:szCs w:val="20"/>
          <w:color w:val="auto"/>
        </w:rPr>
        <w:tab/>
      </w:r>
      <w:r>
        <w:rPr>
          <w:rFonts w:ascii="Times New Roman" w:cs="Times New Roman" w:eastAsia="Times New Roman" w:hAnsi="Times New Roman"/>
          <w:sz w:val="21"/>
          <w:szCs w:val="21"/>
          <w:color w:val="auto"/>
        </w:rPr>
        <w:t>Discretionary Recoupment Policy</w:t>
      </w:r>
    </w:p>
    <w:p>
      <w:pPr>
        <w:spacing w:after="0" w:line="215" w:lineRule="auto"/>
        <w:tabs>
          <w:tab w:leader="none" w:pos="580" w:val="left"/>
        </w:tabs>
        <w:rPr>
          <w:sz w:val="20"/>
          <w:szCs w:val="20"/>
          <w:color w:val="auto"/>
        </w:rPr>
      </w:pPr>
      <w:r>
        <w:rPr>
          <w:rFonts w:ascii="Times New Roman" w:cs="Times New Roman" w:eastAsia="Times New Roman" w:hAnsi="Times New Roman"/>
          <w:sz w:val="22"/>
          <w:szCs w:val="22"/>
          <w:color w:val="auto"/>
        </w:rPr>
        <w:t>10.0</w:t>
      </w:r>
      <w:r>
        <w:rPr>
          <w:sz w:val="20"/>
          <w:szCs w:val="20"/>
          <w:color w:val="auto"/>
        </w:rPr>
        <w:tab/>
      </w:r>
      <w:r>
        <w:rPr>
          <w:rFonts w:ascii="Times New Roman" w:cs="Times New Roman" w:eastAsia="Times New Roman" w:hAnsi="Times New Roman"/>
          <w:sz w:val="21"/>
          <w:szCs w:val="21"/>
          <w:color w:val="auto"/>
        </w:rPr>
        <w:t>Interpretation; Enforcement</w:t>
      </w:r>
    </w:p>
    <w:p>
      <w:pPr>
        <w:spacing w:after="0" w:line="214" w:lineRule="auto"/>
        <w:tabs>
          <w:tab w:leader="none" w:pos="5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Non-Exclusivity</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Amendment</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183" w:lineRule="exact"/>
        <w:rPr>
          <w:sz w:val="20"/>
          <w:szCs w:val="20"/>
          <w:color w:val="auto"/>
        </w:rPr>
      </w:pPr>
    </w:p>
    <w:p>
      <w:pPr>
        <w:ind w:left="660" w:right="340" w:hanging="647"/>
        <w:spacing w:after="0" w:line="220"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Policy in order to help ensure that incentive compensation is paid or awarded based on accurate financial results and the correct calculation of performance against incentive targets. This Policy consists of a Mandatory Policy (as defined and set forth in Section 3.0 hereof) and a Discretionary Policy (as defined and set forth in Section 9.0 hereof).</w:t>
      </w:r>
    </w:p>
    <w:p>
      <w:pPr>
        <w:spacing w:after="0" w:line="152" w:lineRule="exact"/>
        <w:rPr>
          <w:sz w:val="20"/>
          <w:szCs w:val="20"/>
          <w:color w:val="auto"/>
        </w:rPr>
      </w:pPr>
    </w:p>
    <w:p>
      <w:pPr>
        <w:ind w:left="660" w:right="9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 xml:space="preserve">Each Executive Officer and each Other Covered Person shall be required to sign and return to the Company the Acknowledgement Form attached hereto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If you have specific questions regarding this Policy or applicable law, please contact the Legal Department.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The effective date of this Policy is October 19, 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For purposes of this Policy, an “Accounting Restatement” means an accounting restatement due</w:t>
      </w:r>
    </w:p>
    <w:p>
      <w:pPr>
        <w:ind w:left="660" w:right="80"/>
        <w:spacing w:after="0" w:line="214" w:lineRule="auto"/>
        <w:rPr>
          <w:sz w:val="20"/>
          <w:szCs w:val="20"/>
          <w:color w:val="auto"/>
        </w:rPr>
      </w:pPr>
      <w:r>
        <w:rPr>
          <w:rFonts w:ascii="Times New Roman" w:cs="Times New Roman" w:eastAsia="Times New Roman" w:hAnsi="Times New Roman"/>
          <w:sz w:val="22"/>
          <w:szCs w:val="22"/>
          <w:color w:val="auto"/>
        </w:rPr>
        <w:t>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ectPr>
          <w:pgSz w:w="11900" w:h="16838" w:orient="portrait"/>
          <w:cols w:equalWidth="0" w:num="1">
            <w:col w:w="11240"/>
          </w:cols>
          <w:pgMar w:left="320" w:top="94" w:right="339" w:bottom="1440" w:gutter="0" w:footer="0" w:header="0"/>
        </w:sectPr>
      </w:pPr>
    </w:p>
    <w:bookmarkStart w:id="129" w:name="page130"/>
    <w:bookmarkEnd w:id="129"/>
    <w:p>
      <w:pPr>
        <w:jc w:val="both"/>
        <w:ind w:left="660" w:hanging="647"/>
        <w:spacing w:after="0" w:line="222"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For purposes of this Policy, “Erroneously Awarded Compensation” is the amount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Incentive-Based Compensation Received that exceeds the amount of Incentive-Based Compensation that otherwise would have been Received had it been determined based on the restated amounts, computed without regard to any taxes paid.</w:t>
      </w:r>
    </w:p>
    <w:p>
      <w:pPr>
        <w:spacing w:after="0" w:line="2" w:lineRule="exact"/>
        <w:rPr>
          <w:sz w:val="20"/>
          <w:szCs w:val="20"/>
          <w:color w:val="auto"/>
        </w:rPr>
      </w:pPr>
    </w:p>
    <w:p>
      <w:pPr>
        <w:ind w:left="660" w:right="380"/>
        <w:spacing w:after="0" w:line="218" w:lineRule="auto"/>
        <w:rPr>
          <w:sz w:val="20"/>
          <w:szCs w:val="20"/>
          <w:color w:val="auto"/>
        </w:rPr>
      </w:pPr>
      <w:r>
        <w:rPr>
          <w:rFonts w:ascii="Times New Roman" w:cs="Times New Roman" w:eastAsia="Times New Roman" w:hAnsi="Times New Roman"/>
          <w:sz w:val="22"/>
          <w:szCs w:val="22"/>
          <w:color w:val="auto"/>
        </w:rPr>
        <w:t>For Incentive-Based Compensation based on stock price or total shareholder return, where the amount of Erroneously Awarded Compensation is not subject to mathematical recalculation directly from the information in an Accounting Restatement:</w:t>
      </w:r>
    </w:p>
    <w:p>
      <w:pPr>
        <w:spacing w:after="0" w:line="151" w:lineRule="exact"/>
        <w:rPr>
          <w:sz w:val="20"/>
          <w:szCs w:val="20"/>
          <w:color w:val="auto"/>
        </w:rPr>
      </w:pPr>
    </w:p>
    <w:p>
      <w:pPr>
        <w:ind w:left="1960" w:right="200" w:hanging="656"/>
        <w:spacing w:after="0" w:line="255" w:lineRule="auto"/>
        <w:tabs>
          <w:tab w:leader="none" w:pos="195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shall be based on a reasonable estimate of the effect of the Accounting Restatement on the stock price or total shareholder return upon which the Incentive-Based Compensation was Received; and</w:t>
      </w:r>
    </w:p>
    <w:p>
      <w:pPr>
        <w:spacing w:after="0" w:line="161" w:lineRule="exact"/>
        <w:rPr>
          <w:rFonts w:ascii="Times New Roman" w:cs="Times New Roman" w:eastAsia="Times New Roman" w:hAnsi="Times New Roman"/>
          <w:sz w:val="21"/>
          <w:szCs w:val="21"/>
          <w:color w:val="auto"/>
        </w:rPr>
      </w:pPr>
    </w:p>
    <w:p>
      <w:pPr>
        <w:ind w:left="1960" w:right="180" w:hanging="656"/>
        <w:spacing w:after="0" w:line="236" w:lineRule="auto"/>
        <w:tabs>
          <w:tab w:leader="none" w:pos="195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documentation of the determination of that reasonable estimate and provide such documentation to Nasdaq.</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For purposes of this Policy, “Exchange Act” means the Securities Exchange Act of 1934, as amended.</w:t>
      </w:r>
    </w:p>
    <w:p>
      <w:pPr>
        <w:spacing w:after="0" w:line="179" w:lineRule="exact"/>
        <w:rPr>
          <w:sz w:val="20"/>
          <w:szCs w:val="20"/>
          <w:color w:val="auto"/>
        </w:rPr>
      </w:pPr>
    </w:p>
    <w:p>
      <w:pPr>
        <w:ind w:left="660" w:right="20" w:hanging="647"/>
        <w:spacing w:after="0" w:line="225"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For purposes of this Policy, the term “Executive Officer” means the executive officers identified by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in the Company’s filings with the SEC pursuant to Item 401(b) of Regulation S-K and the officers required to file reports under Section 16 of the Exchange Act.</w:t>
      </w:r>
    </w:p>
    <w:p>
      <w:pPr>
        <w:spacing w:after="0" w:line="153" w:lineRule="exact"/>
        <w:rPr>
          <w:sz w:val="20"/>
          <w:szCs w:val="20"/>
          <w:color w:val="auto"/>
        </w:rPr>
      </w:pPr>
    </w:p>
    <w:p>
      <w:pPr>
        <w:ind w:left="660" w:right="380" w:hanging="647"/>
        <w:spacing w:after="0" w:line="215" w:lineRule="auto"/>
        <w:tabs>
          <w:tab w:leader="none" w:pos="6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For purposes of this Policy, “Financial Reporting Measures” are measures that are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determined and presented in accordance with the accounting principles used in preparing the Company’s financial statements, and any measures that are derived wholly or in part from such measures. Stock price and total shareholder return (and any measures that are derived wholly or in part from stock price and total shareholder return) are also Financial Reporting Measures. A Financial Reporting Measure need not be presented within the Company’s financial statements or included in a filing with the SEC.</w:t>
      </w:r>
    </w:p>
    <w:p>
      <w:pPr>
        <w:spacing w:after="0" w:line="152" w:lineRule="exact"/>
        <w:rPr>
          <w:sz w:val="20"/>
          <w:szCs w:val="20"/>
          <w:color w:val="auto"/>
        </w:rPr>
      </w:pPr>
    </w:p>
    <w:p>
      <w:pPr>
        <w:ind w:left="660" w:right="20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For purposes of this Policy, the term “Incentive-Based Compensation” has the meaning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set forth in Section 4.0.</w:t>
      </w:r>
    </w:p>
    <w:p>
      <w:pPr>
        <w:spacing w:after="0" w:line="150" w:lineRule="exact"/>
        <w:rPr>
          <w:sz w:val="20"/>
          <w:szCs w:val="20"/>
          <w:color w:val="auto"/>
        </w:rPr>
      </w:pPr>
    </w:p>
    <w:p>
      <w:pPr>
        <w:ind w:left="660" w:right="10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“Nasdaq” means the Nasdaq Stock Market. In the event the Company’s securities become listed on a different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national securities exchange or national securities association in the future, then following such new listing, references to Nasdaq shall be deemed to refer to such other national securities exchange or national securities association.</w:t>
      </w:r>
    </w:p>
    <w:p>
      <w:pPr>
        <w:spacing w:after="0" w:line="152" w:lineRule="exact"/>
        <w:rPr>
          <w:sz w:val="20"/>
          <w:szCs w:val="20"/>
          <w:color w:val="auto"/>
        </w:rPr>
      </w:pPr>
    </w:p>
    <w:p>
      <w:pPr>
        <w:ind w:left="660" w:right="220" w:hanging="647"/>
        <w:spacing w:after="0" w:line="225" w:lineRule="auto"/>
        <w:tabs>
          <w:tab w:leader="none" w:pos="64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For purposes of this Policy, Incentive-Based Compensation is deemed “Received” in the Company’s fiscal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period during which the Financial Reporting Measure specified in the Incentive-Based Compensation award is attained, even if the payment or grant of the Incentive-Based Compensation occurs after the end of that period.</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For purposes of this Policy, “SEC” means the United States Securities and Exchange Commission.</w:t>
      </w:r>
    </w:p>
    <w:p>
      <w:pPr>
        <w:sectPr>
          <w:pgSz w:w="11900" w:h="16838" w:orient="portrait"/>
          <w:cols w:equalWidth="0" w:num="1">
            <w:col w:w="11220"/>
          </w:cols>
          <w:pgMar w:left="320" w:top="1395" w:right="359" w:bottom="1440" w:gutter="0" w:footer="0" w:header="0"/>
        </w:sectPr>
      </w:pPr>
    </w:p>
    <w:bookmarkStart w:id="130" w:name="page131"/>
    <w:bookmarkEnd w:id="130"/>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Mandatory Recoupment Policy</w:t>
      </w:r>
    </w:p>
    <w:p>
      <w:pPr>
        <w:spacing w:after="0" w:line="183" w:lineRule="exact"/>
        <w:rPr>
          <w:sz w:val="20"/>
          <w:szCs w:val="20"/>
          <w:color w:val="auto"/>
        </w:rPr>
      </w:pPr>
    </w:p>
    <w:p>
      <w:pPr>
        <w:ind w:left="660" w:right="24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The policy described in this Section 3.0 is referred to herein as the “Mandatory Policy.” The Mandatory Policy is adopted in accordance with, and is intended to comply with, the applicable listing standards of Nasdaq and Rule 10D-1 under the Exchange Act, which require listed companies to adopt and comply with a compensation recovery (“clawback”) policy. To the extent this Mandatory Policy is in any manner deemed inconsistent with such listing standards, this Mandatory Policy shall be treated as retroactively amended to be compliant with such listing standard.</w:t>
      </w:r>
    </w:p>
    <w:p>
      <w:pPr>
        <w:spacing w:after="0" w:line="154" w:lineRule="exact"/>
        <w:rPr>
          <w:sz w:val="20"/>
          <w:szCs w:val="20"/>
          <w:color w:val="auto"/>
        </w:rPr>
      </w:pPr>
    </w:p>
    <w:p>
      <w:pPr>
        <w:ind w:left="660" w:right="24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In the event that the Company is required to prepare an Accounting Restatement, the Company will recover reasonably promptly the amount of all Erroneously Awarded Compensation Received by a person:</w:t>
      </w:r>
    </w:p>
    <w:p>
      <w:pPr>
        <w:spacing w:after="0" w:line="150"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beginning service as an Executive Officer;</w:t>
      </w:r>
    </w:p>
    <w:p>
      <w:pPr>
        <w:spacing w:after="0" w:line="206" w:lineRule="exact"/>
        <w:rPr>
          <w:rFonts w:ascii="Times New Roman" w:cs="Times New Roman" w:eastAsia="Times New Roman" w:hAnsi="Times New Roman"/>
          <w:sz w:val="22"/>
          <w:szCs w:val="22"/>
          <w:color w:val="auto"/>
        </w:rPr>
      </w:pPr>
    </w:p>
    <w:p>
      <w:pPr>
        <w:ind w:left="1960" w:right="280" w:hanging="656"/>
        <w:spacing w:after="0" w:line="216" w:lineRule="auto"/>
        <w:tabs>
          <w:tab w:leader="none" w:pos="195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Executive Officer at any time during the performance period for that Incentive-Based Compensation;</w:t>
      </w:r>
    </w:p>
    <w:p>
      <w:pPr>
        <w:ind w:left="1940" w:hanging="636"/>
        <w:spacing w:after="0"/>
        <w:tabs>
          <w:tab w:leader="none" w:pos="19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Company has a class of securities listed on Nasdaq; and</w:t>
      </w:r>
    </w:p>
    <w:p>
      <w:pPr>
        <w:spacing w:after="0" w:line="182" w:lineRule="exact"/>
        <w:rPr>
          <w:rFonts w:ascii="Times New Roman" w:cs="Times New Roman" w:eastAsia="Times New Roman" w:hAnsi="Times New Roman"/>
          <w:sz w:val="22"/>
          <w:szCs w:val="22"/>
          <w:color w:val="auto"/>
        </w:rPr>
      </w:pPr>
    </w:p>
    <w:p>
      <w:pPr>
        <w:ind w:left="1960" w:right="140" w:hanging="656"/>
        <w:spacing w:after="0" w:line="215" w:lineRule="auto"/>
        <w:tabs>
          <w:tab w:leader="none" w:pos="193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three completed fiscal years immediately preceding the date that the Company is required to prepare the Accounting Restatement and any transition period (that results from a change in the Company’s fiscal year) within or immediately following those three completed fiscal years. For purposes of this Policy, a transition period between the last date of the Company’s previous fiscal year and the first day of its new fiscal year that comprises a period of nine to twelve months would be deemed a completed fiscal year.</w:t>
      </w:r>
    </w:p>
    <w:p>
      <w:pPr>
        <w:spacing w:after="0" w:line="179" w:lineRule="exact"/>
        <w:rPr>
          <w:sz w:val="20"/>
          <w:szCs w:val="20"/>
          <w:color w:val="auto"/>
        </w:rPr>
      </w:pPr>
    </w:p>
    <w:p>
      <w:pPr>
        <w:ind w:left="660" w:right="80"/>
        <w:spacing w:after="0" w:line="236" w:lineRule="auto"/>
        <w:rPr>
          <w:sz w:val="20"/>
          <w:szCs w:val="20"/>
          <w:color w:val="auto"/>
        </w:rPr>
      </w:pPr>
      <w:r>
        <w:rPr>
          <w:rFonts w:ascii="Times New Roman" w:cs="Times New Roman" w:eastAsia="Times New Roman" w:hAnsi="Times New Roman"/>
          <w:sz w:val="22"/>
          <w:szCs w:val="22"/>
          <w:color w:val="auto"/>
        </w:rPr>
        <w:t>Notwithstanding the foregoing, this Mandatory Policy shall only apply to Incentive-Based Compensation Received on or after the Effective Date.</w:t>
      </w:r>
    </w:p>
    <w:p>
      <w:pPr>
        <w:spacing w:after="0" w:line="150" w:lineRule="exact"/>
        <w:rPr>
          <w:sz w:val="20"/>
          <w:szCs w:val="20"/>
          <w:color w:val="auto"/>
        </w:rPr>
      </w:pPr>
    </w:p>
    <w:p>
      <w:pPr>
        <w:ind w:left="660" w:right="5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The Company’s obligation to recover Erroneously Awarded Compensation pursuant to this Mandatory Policy is not dependent on when the restated financial statements are filed.</w:t>
      </w:r>
    </w:p>
    <w:p>
      <w:pPr>
        <w:spacing w:after="0" w:line="150" w:lineRule="exact"/>
        <w:rPr>
          <w:sz w:val="20"/>
          <w:szCs w:val="20"/>
          <w:color w:val="auto"/>
        </w:rPr>
      </w:pPr>
    </w:p>
    <w:p>
      <w:pPr>
        <w:ind w:left="660" w:right="52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For purposes of determining the relevant recovery period under this Mandatory Policy, the date that the Company is required to prepare an Accounting Restatement is the earliest to occur of:</w:t>
      </w:r>
    </w:p>
    <w:p>
      <w:pPr>
        <w:spacing w:after="0" w:line="150" w:lineRule="exact"/>
        <w:rPr>
          <w:sz w:val="20"/>
          <w:szCs w:val="20"/>
          <w:color w:val="auto"/>
        </w:rPr>
      </w:pPr>
    </w:p>
    <w:p>
      <w:pPr>
        <w:ind w:left="1960" w:right="80" w:hanging="656"/>
        <w:spacing w:after="0" w:line="236" w:lineRule="auto"/>
        <w:tabs>
          <w:tab w:leader="none" w:pos="195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Company’s board of directors, a committee of the board of directors, or the officer or officers of the Company authorized to take such action if board action is not required, concludes, or reasonably should have concluded, that the Company is required to prepare an Accounting Restatement; or</w:t>
      </w:r>
    </w:p>
    <w:p>
      <w:pPr>
        <w:spacing w:after="0" w:line="178" w:lineRule="exact"/>
        <w:rPr>
          <w:rFonts w:ascii="Times New Roman" w:cs="Times New Roman" w:eastAsia="Times New Roman" w:hAnsi="Times New Roman"/>
          <w:sz w:val="21"/>
          <w:szCs w:val="21"/>
          <w:color w:val="auto"/>
        </w:rPr>
      </w:pPr>
    </w:p>
    <w:p>
      <w:pPr>
        <w:ind w:left="1960" w:hanging="656"/>
        <w:spacing w:after="0" w:line="236" w:lineRule="auto"/>
        <w:tabs>
          <w:tab w:leader="none" w:pos="195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an Accounting Restatement.</w:t>
      </w:r>
    </w:p>
    <w:p>
      <w:pPr>
        <w:sectPr>
          <w:pgSz w:w="11900" w:h="16838" w:orient="portrait"/>
          <w:cols w:equalWidth="0" w:num="1">
            <w:col w:w="11200"/>
          </w:cols>
          <w:pgMar w:left="320" w:top="1391" w:right="379" w:bottom="1440" w:gutter="0" w:footer="0" w:header="0"/>
        </w:sectPr>
      </w:pPr>
    </w:p>
    <w:bookmarkStart w:id="131" w:name="page132"/>
    <w:bookmarkEnd w:id="131"/>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Incentive-Based Compensation</w:t>
      </w:r>
    </w:p>
    <w:p>
      <w:pPr>
        <w:spacing w:after="0" w:line="183" w:lineRule="exact"/>
        <w:rPr>
          <w:sz w:val="20"/>
          <w:szCs w:val="20"/>
          <w:color w:val="auto"/>
        </w:rPr>
      </w:pPr>
    </w:p>
    <w:p>
      <w:pPr>
        <w:ind w:left="660" w:right="2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For purposes of this Policy, the term “Incentive-Based Compensation” means any compensation that is granted, earned, or vested based wholly or in part upon the attainment of a Financial Reporting Measure.</w:t>
      </w:r>
    </w:p>
    <w:p>
      <w:pPr>
        <w:spacing w:after="0" w:line="150" w:lineRule="exact"/>
        <w:rPr>
          <w:sz w:val="20"/>
          <w:szCs w:val="20"/>
          <w:color w:val="auto"/>
        </w:rPr>
      </w:pPr>
    </w:p>
    <w:p>
      <w:pPr>
        <w:ind w:left="660" w:right="8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Examples of compensation that constitutes Incentive-Based Compensation for purposes of this Policy include, but are not limited to, the following:</w:t>
      </w:r>
    </w:p>
    <w:p>
      <w:pPr>
        <w:spacing w:after="0" w:line="150" w:lineRule="exact"/>
        <w:rPr>
          <w:sz w:val="20"/>
          <w:szCs w:val="20"/>
          <w:color w:val="auto"/>
        </w:rPr>
      </w:pPr>
    </w:p>
    <w:p>
      <w:pPr>
        <w:ind w:left="1960" w:hanging="656"/>
        <w:spacing w:after="0" w:line="236" w:lineRule="auto"/>
        <w:tabs>
          <w:tab w:leader="none" w:pos="19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Non-equity incentive plan awards earned based wholly or in part on satisfying a Financial Reporting Measure performance goal.</w:t>
      </w:r>
    </w:p>
    <w:p>
      <w:pPr>
        <w:spacing w:after="0" w:line="177"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5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from a “bonus pool,” the size of which is determined based wholly or in part on satisfying a Financial Reporting Measure performance goal.</w:t>
      </w:r>
    </w:p>
    <w:p>
      <w:pPr>
        <w:spacing w:after="0" w:line="177" w:lineRule="exact"/>
        <w:rPr>
          <w:rFonts w:ascii="Times New Roman" w:cs="Times New Roman" w:eastAsia="Times New Roman" w:hAnsi="Times New Roman"/>
          <w:sz w:val="22"/>
          <w:szCs w:val="22"/>
          <w:color w:val="auto"/>
        </w:rPr>
      </w:pPr>
    </w:p>
    <w:p>
      <w:pPr>
        <w:ind w:left="1960" w:hanging="656"/>
        <w:spacing w:after="0" w:line="236" w:lineRule="auto"/>
        <w:tabs>
          <w:tab w:leader="none" w:pos="195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cash awards based wholly or in part on satisfaction of a Financial Reporting Measure performance goal.</w:t>
      </w:r>
    </w:p>
    <w:p>
      <w:pPr>
        <w:spacing w:after="0" w:line="177"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3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Equity-based awards (e.g., restricted stock, restricted stock units, performance share units, stock options, and stock appreciation rights) that are granted or become vested based wholly or in part on satisfying a Financial Reporting Measure performance goal.</w:t>
      </w:r>
    </w:p>
    <w:p>
      <w:pPr>
        <w:spacing w:after="0" w:line="179" w:lineRule="exact"/>
        <w:rPr>
          <w:rFonts w:ascii="Times New Roman" w:cs="Times New Roman" w:eastAsia="Times New Roman" w:hAnsi="Times New Roman"/>
          <w:sz w:val="22"/>
          <w:szCs w:val="22"/>
          <w:color w:val="auto"/>
        </w:rPr>
      </w:pPr>
    </w:p>
    <w:p>
      <w:pPr>
        <w:ind w:left="1960" w:hanging="656"/>
        <w:spacing w:after="0" w:line="236" w:lineRule="auto"/>
        <w:tabs>
          <w:tab w:leader="none" w:pos="194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Received upon the sale of shares acquired through an incentive plan that were granted or vested based wholly or in part on satisfying a Financial Reporting Measure performance goal.</w:t>
      </w:r>
    </w:p>
    <w:p>
      <w:pPr>
        <w:spacing w:after="0" w:line="177" w:lineRule="exact"/>
        <w:rPr>
          <w:sz w:val="20"/>
          <w:szCs w:val="20"/>
          <w:color w:val="auto"/>
        </w:rPr>
      </w:pPr>
    </w:p>
    <w:p>
      <w:pPr>
        <w:ind w:left="500" w:right="260" w:hanging="647"/>
        <w:spacing w:after="0" w:line="236" w:lineRule="auto"/>
        <w:tabs>
          <w:tab w:leader="none" w:pos="480" w:val="left"/>
        </w:tabs>
        <w:rPr>
          <w:sz w:val="20"/>
          <w:szCs w:val="20"/>
          <w:color w:val="auto"/>
        </w:rPr>
      </w:pPr>
      <w:r>
        <w:rPr>
          <w:rFonts w:ascii="Times New Roman" w:cs="Times New Roman" w:eastAsia="Times New Roman" w:hAnsi="Times New Roman"/>
          <w:sz w:val="22"/>
          <w:szCs w:val="22"/>
          <w:color w:val="auto"/>
        </w:rPr>
        <w:t>4.3</w:t>
        <w:tab/>
        <w:t xml:space="preserve">Examples of compensation that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constitute Incentive-Based Compensation for purposes of this Policy include the following:</w:t>
      </w:r>
    </w:p>
    <w:p>
      <w:pPr>
        <w:spacing w:after="0" w:line="150" w:lineRule="exact"/>
        <w:rPr>
          <w:sz w:val="20"/>
          <w:szCs w:val="20"/>
          <w:color w:val="auto"/>
        </w:rPr>
      </w:pPr>
    </w:p>
    <w:p>
      <w:pPr>
        <w:ind w:left="1960" w:right="120" w:hanging="656"/>
        <w:spacing w:after="0" w:line="236" w:lineRule="auto"/>
        <w:tabs>
          <w:tab w:leader="none" w:pos="195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or salary increases for which the increase is not contingent upon achieving any Financial Reporting Measure performance goal.</w:t>
      </w:r>
    </w:p>
    <w:p>
      <w:pPr>
        <w:spacing w:after="0" w:line="150" w:lineRule="exact"/>
        <w:rPr>
          <w:rFonts w:ascii="Times New Roman" w:cs="Times New Roman" w:eastAsia="Times New Roman" w:hAnsi="Times New Roman"/>
          <w:sz w:val="22"/>
          <w:szCs w:val="22"/>
          <w:color w:val="auto"/>
        </w:rPr>
      </w:pPr>
    </w:p>
    <w:p>
      <w:pPr>
        <w:ind w:left="1960" w:right="260" w:hanging="656"/>
        <w:spacing w:after="0" w:line="225" w:lineRule="auto"/>
        <w:tabs>
          <w:tab w:leader="none" w:pos="195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solely at the discretion of the Compensation Committee or board of directors that are not paid from a bonus pool, the size of which is determined based wholly or in part on satisfying a Financial Reporting Measure performance goal.</w:t>
      </w:r>
    </w:p>
    <w:p>
      <w:pPr>
        <w:spacing w:after="0" w:line="152" w:lineRule="exact"/>
        <w:rPr>
          <w:rFonts w:ascii="Times New Roman" w:cs="Times New Roman" w:eastAsia="Times New Roman" w:hAnsi="Times New Roman"/>
          <w:sz w:val="22"/>
          <w:szCs w:val="22"/>
          <w:color w:val="auto"/>
        </w:rPr>
      </w:pPr>
    </w:p>
    <w:p>
      <w:pPr>
        <w:ind w:left="1960" w:right="560" w:hanging="656"/>
        <w:spacing w:after="0" w:line="236" w:lineRule="auto"/>
        <w:tabs>
          <w:tab w:leader="none" w:pos="195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solely upon satisfying one or more subjective standards (e.g., demonstrated leadership) and/or completion of a specified employment period.</w:t>
      </w:r>
    </w:p>
    <w:p>
      <w:pPr>
        <w:spacing w:after="0" w:line="150" w:lineRule="exact"/>
        <w:rPr>
          <w:rFonts w:ascii="Times New Roman" w:cs="Times New Roman" w:eastAsia="Times New Roman" w:hAnsi="Times New Roman"/>
          <w:sz w:val="22"/>
          <w:szCs w:val="22"/>
          <w:color w:val="auto"/>
        </w:rPr>
      </w:pPr>
    </w:p>
    <w:p>
      <w:pPr>
        <w:ind w:left="1960" w:right="20" w:hanging="656"/>
        <w:spacing w:after="0" w:line="225" w:lineRule="auto"/>
        <w:tabs>
          <w:tab w:leader="none" w:pos="19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Non-equity incentive plan awards earned solely upon satisfying one or more strategic measures (e.g., consummating a merger or divestiture) or operational measures (e.g., opening a specified number of stores, completion of a project, or increase in market share).</w:t>
      </w:r>
    </w:p>
    <w:p>
      <w:pPr>
        <w:spacing w:after="0" w:line="152" w:lineRule="exact"/>
        <w:rPr>
          <w:rFonts w:ascii="Times New Roman" w:cs="Times New Roman" w:eastAsia="Times New Roman" w:hAnsi="Times New Roman"/>
          <w:sz w:val="22"/>
          <w:szCs w:val="22"/>
          <w:color w:val="auto"/>
        </w:rPr>
      </w:pPr>
    </w:p>
    <w:p>
      <w:pPr>
        <w:jc w:val="both"/>
        <w:ind w:left="1960" w:right="520" w:hanging="656"/>
        <w:spacing w:after="0" w:line="225" w:lineRule="auto"/>
        <w:tabs>
          <w:tab w:leader="none" w:pos="194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awards for which the grant is not contingent upon achieving any Financial Reporting Measure performance goal and vesting is contingent solely upon completion of a specified employment period and/or attaining one or more non-Financial Reporting Measures.</w:t>
      </w:r>
    </w:p>
    <w:p>
      <w:pPr>
        <w:sectPr>
          <w:pgSz w:w="11900" w:h="16838" w:orient="portrait"/>
          <w:cols w:equalWidth="0" w:num="1">
            <w:col w:w="11240"/>
          </w:cols>
          <w:pgMar w:left="320" w:top="1391" w:right="339" w:bottom="1440" w:gutter="0" w:footer="0" w:header="0"/>
        </w:sectPr>
      </w:pPr>
    </w:p>
    <w:bookmarkStart w:id="132" w:name="page133"/>
    <w:bookmarkEnd w:id="132"/>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Certain Exceptions</w:t>
      </w:r>
    </w:p>
    <w:p>
      <w:pPr>
        <w:spacing w:after="0" w:line="183" w:lineRule="exact"/>
        <w:rPr>
          <w:sz w:val="20"/>
          <w:szCs w:val="20"/>
          <w:color w:val="auto"/>
        </w:rPr>
      </w:pPr>
    </w:p>
    <w:p>
      <w:pPr>
        <w:ind w:left="660" w:hanging="647"/>
        <w:spacing w:after="0" w:line="220"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The Company must recover Erroneously Awarded Compensation in compliance with the Mandatory Policy except to the extent that the conditions of paragraphs (i), (ii) or (iii) in this Section 5.1 are met, and the Compensation Committee, or in the absence of such a committee, a majority of the independent directors serving on the board of directors, has made a determination that recovery would be impracticable.</w:t>
      </w:r>
    </w:p>
    <w:p>
      <w:pPr>
        <w:spacing w:after="0" w:line="152" w:lineRule="exact"/>
        <w:rPr>
          <w:sz w:val="20"/>
          <w:szCs w:val="20"/>
          <w:color w:val="auto"/>
        </w:rPr>
      </w:pPr>
    </w:p>
    <w:p>
      <w:pPr>
        <w:ind w:left="1960" w:right="500" w:hanging="656"/>
        <w:spacing w:after="0" w:line="217" w:lineRule="auto"/>
        <w:tabs>
          <w:tab w:leader="none" w:pos="195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the Mandatory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Nasdaq.</w:t>
      </w:r>
    </w:p>
    <w:p>
      <w:pPr>
        <w:spacing w:after="0" w:line="152" w:lineRule="exact"/>
        <w:rPr>
          <w:rFonts w:ascii="Times New Roman" w:cs="Times New Roman" w:eastAsia="Times New Roman" w:hAnsi="Times New Roman"/>
          <w:sz w:val="22"/>
          <w:szCs w:val="22"/>
          <w:color w:val="auto"/>
        </w:rPr>
      </w:pPr>
    </w:p>
    <w:p>
      <w:pPr>
        <w:ind w:left="1960" w:right="280" w:hanging="656"/>
        <w:spacing w:after="0" w:line="217" w:lineRule="auto"/>
        <w:tabs>
          <w:tab w:leader="none" w:pos="195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Before concluding that it would be impractical to recover any amount of Erroneously Awarded Compensation based on violation of home country law, the Company shall obtain an opinion of home country counsel, acceptable to Nasdaq, that recovery would result in such a violation, and must provide such opinion to Nasdaq.</w:t>
      </w:r>
    </w:p>
    <w:p>
      <w:pPr>
        <w:spacing w:after="0" w:line="152" w:lineRule="exact"/>
        <w:rPr>
          <w:rFonts w:ascii="Times New Roman" w:cs="Times New Roman" w:eastAsia="Times New Roman" w:hAnsi="Times New Roman"/>
          <w:sz w:val="22"/>
          <w:szCs w:val="22"/>
          <w:color w:val="auto"/>
        </w:rPr>
      </w:pPr>
    </w:p>
    <w:p>
      <w:pPr>
        <w:ind w:left="1960" w:right="180" w:hanging="656"/>
        <w:spacing w:after="0" w:line="225" w:lineRule="auto"/>
        <w:tabs>
          <w:tab w:leader="none" w:pos="195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recovery would likely cause an otherwise tax-qualified retirement plan, under which benefits are broadly available to employees of the Company, to fail to meet the requirements of 26 U.S.C. 401(a)(13) or 26 U.S.C. 411(a) and regulations thereunder</w:t>
      </w:r>
      <w:r>
        <w:rPr>
          <w:rFonts w:ascii="Times New Roman" w:cs="Times New Roman" w:eastAsia="Times New Roman" w:hAnsi="Times New Roman"/>
          <w:sz w:val="22"/>
          <w:szCs w:val="22"/>
          <w:i w:val="1"/>
          <w:iCs w:val="1"/>
          <w:color w:val="auto"/>
        </w:rPr>
        <w:t>.</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No Indemnification</w:t>
      </w:r>
    </w:p>
    <w:p>
      <w:pPr>
        <w:spacing w:after="0" w:line="183" w:lineRule="exact"/>
        <w:rPr>
          <w:sz w:val="20"/>
          <w:szCs w:val="20"/>
          <w:color w:val="auto"/>
        </w:rPr>
      </w:pPr>
    </w:p>
    <w:p>
      <w:pPr>
        <w:ind w:left="660" w:right="180" w:hanging="647"/>
        <w:spacing w:after="0" w:line="220" w:lineRule="auto"/>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The Company shall not indemnify any Executive Officer or former Executive Officer against the loss of Erroneously Awarded Compensation pursuant to the Mandatory Policy. The Company shall not reimburse any Executive Officer or former Executive Officer for premiums on, or otherwise subsidize or pay for, an insurance policy that would cover such person’s potential clawback obligations under the Mandatory Policy.</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Public Disclosures</w:t>
      </w:r>
    </w:p>
    <w:p>
      <w:pPr>
        <w:spacing w:after="0" w:line="183" w:lineRule="exact"/>
        <w:rPr>
          <w:sz w:val="20"/>
          <w:szCs w:val="20"/>
          <w:color w:val="auto"/>
        </w:rPr>
      </w:pPr>
    </w:p>
    <w:p>
      <w:pPr>
        <w:ind w:left="660" w:right="4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The Company shall file all disclosures with respect to this Policy in accordance with the requirements of the U.S. Federal securities laws, including the disclosure required by the applicable SEC filings.</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Application to Other Persons</w:t>
      </w:r>
    </w:p>
    <w:p>
      <w:pPr>
        <w:spacing w:after="0" w:line="183" w:lineRule="exact"/>
        <w:rPr>
          <w:sz w:val="20"/>
          <w:szCs w:val="20"/>
          <w:color w:val="auto"/>
        </w:rPr>
      </w:pPr>
    </w:p>
    <w:p>
      <w:pPr>
        <w:ind w:left="660" w:right="140" w:hanging="647"/>
        <w:spacing w:after="0" w:line="225" w:lineRule="auto"/>
        <w:tabs>
          <w:tab w:leader="none" w:pos="6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In addition to the Executive Officers and former Executive Officers, this Policy shall apply to any other employee of the Company or its subsidiaries designated by the Compensation Committee as a person covered by this Policy (each, an “</w:t>
      </w:r>
      <w:r>
        <w:rPr>
          <w:rFonts w:ascii="Times New Roman" w:cs="Times New Roman" w:eastAsia="Times New Roman" w:hAnsi="Times New Roman"/>
          <w:sz w:val="22"/>
          <w:szCs w:val="22"/>
          <w:u w:val="single" w:color="auto"/>
          <w:color w:val="auto"/>
        </w:rPr>
        <w:t>Other Covered Person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ind w:right="80"/>
        <w:spacing w:after="0"/>
        <w:tabs>
          <w:tab w:leader="none" w:pos="3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Unless otherwise determined by the Compensation Committee and subject to Sections 8.3 and 8.4, the Mandatory Policy</w:t>
      </w:r>
    </w:p>
    <w:p>
      <w:pPr>
        <w:ind w:left="660" w:right="720"/>
        <w:spacing w:after="0" w:line="225" w:lineRule="auto"/>
        <w:rPr>
          <w:sz w:val="20"/>
          <w:szCs w:val="20"/>
          <w:color w:val="auto"/>
        </w:rPr>
      </w:pPr>
      <w:r>
        <w:rPr>
          <w:rFonts w:ascii="Times New Roman" w:cs="Times New Roman" w:eastAsia="Times New Roman" w:hAnsi="Times New Roman"/>
          <w:sz w:val="22"/>
          <w:szCs w:val="22"/>
          <w:color w:val="auto"/>
        </w:rPr>
        <w:t>shall apply to an Other Covered Person as if such individual was an Executive Officer during the relevant periods described in Section 3.0.</w:t>
      </w:r>
    </w:p>
    <w:p>
      <w:pPr>
        <w:sectPr>
          <w:pgSz w:w="11900" w:h="16838" w:orient="portrait"/>
          <w:cols w:equalWidth="0" w:num="1">
            <w:col w:w="11180"/>
          </w:cols>
          <w:pgMar w:left="320" w:top="1390" w:right="399" w:bottom="1440" w:gutter="0" w:footer="0" w:header="0"/>
        </w:sectPr>
      </w:pPr>
    </w:p>
    <w:bookmarkStart w:id="133" w:name="page134"/>
    <w:bookmarkEnd w:id="133"/>
    <w:p>
      <w:pPr>
        <w:ind w:left="660" w:right="120" w:hanging="647"/>
        <w:spacing w:after="0" w:line="225" w:lineRule="auto"/>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Notwithstanding the foregoing, the Compensation Committee may, in its discretion, limit recovery of Erroneously Awarded Compensation from an Other Covered Person to situations in which an Accounting Restatement was caused or contributed to by the Other Covered Person’s fraud, willful misconduct or gross negligence.</w:t>
      </w:r>
    </w:p>
    <w:p>
      <w:pPr>
        <w:spacing w:after="0" w:line="153" w:lineRule="exact"/>
        <w:rPr>
          <w:sz w:val="20"/>
          <w:szCs w:val="20"/>
          <w:color w:val="auto"/>
        </w:rPr>
      </w:pPr>
    </w:p>
    <w:p>
      <w:pPr>
        <w:ind w:left="660" w:hanging="647"/>
        <w:spacing w:after="0" w:line="215" w:lineRule="auto"/>
        <w:tabs>
          <w:tab w:leader="none" w:pos="6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In addition, the Compensation Committee shall have discretion as to (i) whether to seek to recover Erroneously Awarded Compensation from an Other Covered Person, (ii) the amount of the Erroneously Awarded Compensation to be recovered from an Other Covered Person, and (iii) the method of recovering any such Erroneously Awarded Compensation from an Other Covered Person. In exercising such discretion, the Compensation Committee may take into account such considerations as it deems appropriate, including whether the assertion of a claim may violate applicable law or prejudice the interests of the Company in any related proceeding or investigation.</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9.0</w:t>
      </w:r>
      <w:r>
        <w:rPr>
          <w:sz w:val="20"/>
          <w:szCs w:val="20"/>
          <w:color w:val="auto"/>
        </w:rPr>
        <w:tab/>
      </w:r>
      <w:r>
        <w:rPr>
          <w:rFonts w:ascii="Times New Roman" w:cs="Times New Roman" w:eastAsia="Times New Roman" w:hAnsi="Times New Roman"/>
          <w:sz w:val="21"/>
          <w:szCs w:val="21"/>
          <w:b w:val="1"/>
          <w:bCs w:val="1"/>
          <w:color w:val="auto"/>
        </w:rPr>
        <w:t>Discretionary Recoupment Policy</w:t>
      </w:r>
    </w:p>
    <w:p>
      <w:pPr>
        <w:spacing w:after="0" w:line="183" w:lineRule="exact"/>
        <w:rPr>
          <w:sz w:val="20"/>
          <w:szCs w:val="20"/>
          <w:color w:val="auto"/>
        </w:rPr>
      </w:pPr>
    </w:p>
    <w:p>
      <w:pPr>
        <w:ind w:left="660" w:right="8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The policy described in this Section 9.0 is referred to herein as the “Discretionary Policy.” The Discretionary Policy is in addition to the Mandatory Policy and shall not limit the Mandatory Policy in any manner.</w:t>
      </w:r>
    </w:p>
    <w:p>
      <w:pPr>
        <w:spacing w:after="0" w:line="150" w:lineRule="exact"/>
        <w:rPr>
          <w:sz w:val="20"/>
          <w:szCs w:val="20"/>
          <w:color w:val="auto"/>
        </w:rPr>
      </w:pPr>
    </w:p>
    <w:p>
      <w:pPr>
        <w:ind w:left="660" w:right="60" w:hanging="647"/>
        <w:spacing w:after="0" w:line="212" w:lineRule="auto"/>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color w:val="auto"/>
        </w:rPr>
        <w:t>The Compensation Committee may, to the extent it deems appropriate under the circumstances, recover from an Executive Officer or an Other Covered Person any Incentive Compensation that has been awarded to or received by such person, if the Compensation Committee determines that (i) such Incentive Compensation was based on any financial results or operating metrics that were satisfied as a result of such person’s fraud, willful misconduct or gross negligence, or (ii) such person engaged in any intentional misconduct that caused the Company financial or reputational harm. For purposes of this Discretionary Policy, the term “intentional misconduct” shall mean an intentional violation of law, an intentional violation of the Company’s Code of Conduct, or an intentional violation of a written ethics or compliance policy of the Company.</w:t>
      </w:r>
    </w:p>
    <w:p>
      <w:pPr>
        <w:spacing w:after="0" w:line="156" w:lineRule="exact"/>
        <w:rPr>
          <w:sz w:val="20"/>
          <w:szCs w:val="20"/>
          <w:color w:val="auto"/>
        </w:rPr>
      </w:pPr>
    </w:p>
    <w:p>
      <w:pPr>
        <w:ind w:left="660" w:right="120" w:hanging="647"/>
        <w:spacing w:after="0" w:line="215" w:lineRule="auto"/>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color w:val="auto"/>
        </w:rPr>
        <w:t>The Compensation Committee shall have discretion as to (i) whether to seek to recover Incentive Compensation under this Discretionary Policy, (ii) the amount of the Incentive Compensation to be recovered under this Discretionary Policy, and (iii) the method of recovering any Incentive Compensation under this Discretionary Policy. In exercising such discretion, the Compensation Committee may take into account such considerations as it deems appropriate, including whether the assertion of a claim may violate applicable law or prejudice the interests of the Company in any related proceeding or investigation</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Interpretation; Enforcement</w:t>
      </w:r>
    </w:p>
    <w:p>
      <w:pPr>
        <w:spacing w:after="0" w:line="183" w:lineRule="exact"/>
        <w:rPr>
          <w:sz w:val="20"/>
          <w:szCs w:val="20"/>
          <w:color w:val="auto"/>
        </w:rPr>
      </w:pPr>
    </w:p>
    <w:p>
      <w:pPr>
        <w:ind w:left="660" w:right="100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10.1</w:t>
        <w:tab/>
        <w:t>The Compensation Committee shall have full authority to interpret and enforce this Policy to the fullest extent permitted by law.</w:t>
      </w:r>
    </w:p>
    <w:p>
      <w:pPr>
        <w:spacing w:after="0" w:line="150" w:lineRule="exact"/>
        <w:rPr>
          <w:sz w:val="20"/>
          <w:szCs w:val="20"/>
          <w:color w:val="auto"/>
        </w:rPr>
      </w:pPr>
    </w:p>
    <w:p>
      <w:pPr>
        <w:ind w:left="660" w:right="160" w:hanging="647"/>
        <w:spacing w:after="0" w:line="213" w:lineRule="auto"/>
        <w:tabs>
          <w:tab w:leader="none" w:pos="640" w:val="left"/>
        </w:tabs>
        <w:rPr>
          <w:sz w:val="20"/>
          <w:szCs w:val="20"/>
          <w:color w:val="auto"/>
        </w:rPr>
      </w:pPr>
      <w:r>
        <w:rPr>
          <w:rFonts w:ascii="Times New Roman" w:cs="Times New Roman" w:eastAsia="Times New Roman" w:hAnsi="Times New Roman"/>
          <w:sz w:val="22"/>
          <w:szCs w:val="22"/>
          <w:color w:val="auto"/>
        </w:rPr>
        <w:t>10.2</w:t>
        <w:tab/>
        <w:t>The Compensation Committee shall determine, in its sole discretion, the appropriate means to seek recovery of any Erroneously Awarded Compensation, which may include, without limitation: (i) requiring cash reimbursement; (ii) seeking recovery or forfeiture of any gain realized on the vesting, exercise, settlement, sale, transfer or other disposition of any equity-based awards; (iii) offsetting the amount to be recouped from any compensation otherwise owed by the Company to the Executive Officer;, former Executive Officer, or Other Person (iv) canceling outstanding vested or unvested equity awards; or (v) taking any other remedial and recovery action permitted by law, as determined by the Compensation Committee.</w:t>
      </w:r>
    </w:p>
    <w:p>
      <w:pPr>
        <w:sectPr>
          <w:pgSz w:w="11900" w:h="16838" w:orient="portrait"/>
          <w:cols w:equalWidth="0" w:num="1">
            <w:col w:w="11180"/>
          </w:cols>
          <w:pgMar w:left="320" w:top="1394" w:right="399" w:bottom="1440" w:gutter="0" w:footer="0" w:header="0"/>
        </w:sectPr>
      </w:pPr>
    </w:p>
    <w:bookmarkStart w:id="134" w:name="page135"/>
    <w:bookmarkEnd w:id="134"/>
    <w:p>
      <w:pPr>
        <w:ind w:left="660" w:right="280" w:hanging="647"/>
        <w:spacing w:after="0" w:line="231" w:lineRule="auto"/>
        <w:tabs>
          <w:tab w:leader="none" w:pos="6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The Compensation Committee shall determine the repayment schedule for any Erroneously Awarded Compensation in a manner that complies with the “reasonably promptly” requirement set forth in Section 3.2 hereof. The determination with respect to “reasonably promptly” recovery may vary from case to case, and the Compensation Committee is authorized to adopt additional rules to further describe what repayment schedules satisfies this requirement.</w:t>
      </w:r>
    </w:p>
    <w:p>
      <w:pPr>
        <w:spacing w:after="0" w:line="150" w:lineRule="exact"/>
        <w:rPr>
          <w:sz w:val="20"/>
          <w:szCs w:val="20"/>
          <w:color w:val="auto"/>
        </w:rPr>
      </w:pPr>
    </w:p>
    <w:p>
      <w:pPr>
        <w:ind w:left="660" w:right="28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To the extent an Executive Officer, former Executive Officer or Other Covered Person refuses to pay to the Company any Erroneously Awarded Compensation, the Company shall have the right to sue for repayment or, to the extent legally permitted, to enforce such person’s obligation to make payment by withholding unpaid or future compensation.</w:t>
      </w:r>
    </w:p>
    <w:p>
      <w:pPr>
        <w:spacing w:after="0" w:line="152" w:lineRule="exact"/>
        <w:rPr>
          <w:sz w:val="20"/>
          <w:szCs w:val="20"/>
          <w:color w:val="auto"/>
        </w:rPr>
      </w:pPr>
    </w:p>
    <w:p>
      <w:pPr>
        <w:ind w:left="660" w:right="74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10.5</w:t>
        <w:tab/>
        <w:t>Any determination by the Compensation Committee or the board of directors of the Company with respect to this Policy shall be final, conclusive, and binding on all interested parties.</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Non-Exclusivity</w:t>
      </w:r>
    </w:p>
    <w:p>
      <w:pPr>
        <w:spacing w:after="0" w:line="183" w:lineRule="exact"/>
        <w:rPr>
          <w:sz w:val="20"/>
          <w:szCs w:val="20"/>
          <w:color w:val="auto"/>
        </w:rPr>
      </w:pPr>
    </w:p>
    <w:p>
      <w:pPr>
        <w:ind w:left="600" w:right="100" w:hanging="647"/>
        <w:spacing w:after="0" w:line="225" w:lineRule="auto"/>
        <w:tabs>
          <w:tab w:leader="none" w:pos="580" w:val="left"/>
        </w:tabs>
        <w:rPr>
          <w:sz w:val="20"/>
          <w:szCs w:val="20"/>
          <w:color w:val="auto"/>
        </w:rPr>
      </w:pPr>
      <w:r>
        <w:rPr>
          <w:rFonts w:ascii="Times New Roman" w:cs="Times New Roman" w:eastAsia="Times New Roman" w:hAnsi="Times New Roman"/>
          <w:sz w:val="22"/>
          <w:szCs w:val="22"/>
          <w:color w:val="auto"/>
        </w:rPr>
        <w:t>11.1</w:t>
        <w:tab/>
        <w:t>Nothing in this Policy shall be viewed as limiting the right of the Company or the Compensation Committee to pursue recoupment under or as provided by the Company’s plans, awards, policies or agreements or the applicable provisions of any law, rule or regulation (including, without limitation, Section 304 of the Sarbanes-Oxley Act of 2002).</w:t>
      </w:r>
    </w:p>
    <w:p>
      <w:pPr>
        <w:spacing w:after="0" w:line="152" w:lineRule="exact"/>
        <w:rPr>
          <w:sz w:val="20"/>
          <w:szCs w:val="20"/>
          <w:color w:val="auto"/>
        </w:rPr>
      </w:pPr>
    </w:p>
    <w:p>
      <w:pPr>
        <w:ind w:left="600" w:hanging="647"/>
        <w:spacing w:after="0" w:line="213" w:lineRule="auto"/>
        <w:tabs>
          <w:tab w:leader="none" w:pos="580" w:val="left"/>
        </w:tabs>
        <w:rPr>
          <w:sz w:val="20"/>
          <w:szCs w:val="20"/>
          <w:color w:val="auto"/>
        </w:rPr>
      </w:pPr>
      <w:r>
        <w:rPr>
          <w:rFonts w:ascii="Times New Roman" w:cs="Times New Roman" w:eastAsia="Times New Roman" w:hAnsi="Times New Roman"/>
          <w:sz w:val="22"/>
          <w:szCs w:val="22"/>
          <w:color w:val="auto"/>
        </w:rPr>
        <w:t>11.2</w:t>
        <w:tab/>
        <w:t>If the requirement to recover Erroneously Awarded Compensation is triggered under the Mandatory Policy, then, in the event of any actual or alleged conflict between the provisions of the Mandatory Policy, the Discretionary Policy or a similar clause or provision in any of the Company’s plans, awards, policies or agreements, the Mandatory Policy shall be controlling and determinative; provided that, if the Discretionary Policy or such other plan, award, policy or agreement provides that a greater amount of compensation shall be subject to clawback, the provisions of the Discretionary Policy or such other plan, award, policy or agreement shall apply to the amount in excess of the amount subject to clawback under the Mandatory Policy.</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12.0</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183" w:lineRule="exact"/>
        <w:rPr>
          <w:sz w:val="20"/>
          <w:szCs w:val="20"/>
          <w:color w:val="auto"/>
        </w:rPr>
      </w:pPr>
    </w:p>
    <w:p>
      <w:pPr>
        <w:ind w:left="600" w:right="300" w:hanging="647"/>
        <w:spacing w:after="0" w:line="236" w:lineRule="auto"/>
        <w:tabs>
          <w:tab w:leader="none" w:pos="580" w:val="left"/>
        </w:tabs>
        <w:rPr>
          <w:sz w:val="20"/>
          <w:szCs w:val="20"/>
          <w:color w:val="auto"/>
        </w:rPr>
      </w:pPr>
      <w:r>
        <w:rPr>
          <w:rFonts w:ascii="Times New Roman" w:cs="Times New Roman" w:eastAsia="Times New Roman" w:hAnsi="Times New Roman"/>
          <w:sz w:val="22"/>
          <w:szCs w:val="22"/>
          <w:color w:val="auto"/>
        </w:rPr>
        <w:t>12.1</w:t>
        <w:tab/>
        <w:t>The Compensation Committee may amend this Policy, provided that any such amendment does not cause this Policy to violate applicable listing standards of Nasdaq or Rule 10D-1 under the Exchange Act.</w:t>
      </w:r>
    </w:p>
    <w:p>
      <w:pPr>
        <w:sectPr>
          <w:pgSz w:w="11900" w:h="16838" w:orient="portrait"/>
          <w:cols w:equalWidth="0" w:num="1">
            <w:col w:w="11200"/>
          </w:cols>
          <w:pgMar w:left="320" w:top="1394" w:right="379" w:bottom="1440" w:gutter="0" w:footer="0" w:header="0"/>
        </w:sectPr>
      </w:pPr>
    </w:p>
    <w:bookmarkStart w:id="135" w:name="page136"/>
    <w:bookmarkEnd w:id="135"/>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OF INCENTIVE COMPENSATION RECOVERY POLICY</w:t>
      </w:r>
    </w:p>
    <w:p>
      <w:pPr>
        <w:spacing w:after="0" w:line="31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By my signature below, I acknowledge that I have received and reviewed the National Vision Holdings, Inc. Incentive Compensation Recovery Policy (the “Policy”) and that I am fully bound by, and subject to, all of the terms and conditions of the Policy (as may be amended, restated, supplemented or otherwise modified from time to time). In the event of any inconsistency between the Policy and the terms of any agreement to which I am a party, or the terms of any compensation plan, program, policy or arrangement under which any compensation has been granted, awarded, earned or paid, the terms of the Policy shall govern. In the event it is determined by the Compensation Committee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-5715</wp:posOffset>
            </wp:positionV>
            <wp:extent cx="8229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-5080</wp:posOffset>
            </wp:positionV>
            <wp:extent cx="8229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-29210</wp:posOffset>
            </wp:positionV>
            <wp:extent cx="8229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upperLetter"/>
      <w:start w:val="35"/>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amp;"/>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
      <w:numFmt w:val="bullet"/>
      <w:start w:val="1"/>
    </w:lvl>
    <w:lvl w:ilvl="1">
      <w:lvlJc w:val="left"/>
      <w:lvlText w:val="\endash "/>
      <w:numFmt w:val="bullet"/>
      <w:start w:val="1"/>
    </w:lvl>
  </w:abstractNum>
  <w:abstractNum w:abstractNumId="35">
    <w:nsid w:val="579478FE"/>
    <w:multiLevelType w:val="hybridMultilevel"/>
    <w:lvl w:ilvl="0">
      <w:lvlJc w:val="left"/>
      <w:lvlText w:val="%1."/>
      <w:numFmt w:val="decimal"/>
      <w:start w:val="31"/>
    </w:lvl>
  </w:abstractNum>
  <w:abstractNum w:abstractNumId="36">
    <w:nsid w:val="749ABB43"/>
    <w:multiLevelType w:val="hybridMultilevel"/>
    <w:lvl w:ilvl="0">
      <w:lvlJc w:val="left"/>
      <w:lvlText w:val="%1"/>
      <w:numFmt w:val="decimal"/>
      <w:start w:val="13"/>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lowerRoman"/>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decimal"/>
      <w:start w:val="10"/>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lvl w:ilvl="1">
      <w:lvlJc w:val="left"/>
      <w:lvlText w:val="(%2)"/>
      <w:numFmt w:val="lowerLetter"/>
      <w:start w:val="1"/>
    </w:lvl>
  </w:abstractNum>
  <w:abstractNum w:abstractNumId="54">
    <w:nsid w:val="354FE9F9"/>
    <w:multiLevelType w:val="hybridMultilevel"/>
    <w:lvl w:ilvl="0">
      <w:lvlJc w:val="left"/>
      <w:lvlText w:val="%1."/>
      <w:numFmt w:val="decimal"/>
      <w:start w:val="1"/>
    </w:lvl>
    <w:lvl w:ilvl="1">
      <w:lvlJc w:val="left"/>
      <w:lvlText w:val="(%2)"/>
      <w:numFmt w:val="lowerLetter"/>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lowerRoman"/>
      <w:start w:val="1"/>
    </w:lvl>
  </w:abstractNum>
  <w:abstractNum w:abstractNumId="58">
    <w:nsid w:val="10233C99"/>
    <w:multiLevelType w:val="hybridMultilevel"/>
    <w:lvl w:ilvl="0">
      <w:lvlJc w:val="left"/>
      <w:lvlText w:val="%1."/>
      <w:numFmt w:val="lowerRoman"/>
      <w:start w:val="1"/>
    </w:lvl>
  </w:abstractNum>
  <w:abstractNum w:abstractNumId="59">
    <w:nsid w:val="3F6AB60F"/>
    <w:multiLevelType w:val="hybridMultilevel"/>
    <w:lvl w:ilvl="0">
      <w:lvlJc w:val="left"/>
      <w:lvlText w:val="%1."/>
      <w:numFmt w:val="lowerRoman"/>
      <w:start w:val="1"/>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74"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56" Type="http://schemas.openxmlformats.org/officeDocument/2006/relationships/hyperlink" Target="https://www.sec.gov/Archives/edgar/data/1710155/000171015521000036/nationalvision-thirdamende.htm" TargetMode="External"/><Relationship Id="rId157" Type="http://schemas.openxmlformats.org/officeDocument/2006/relationships/hyperlink" Target="https://www.sec.gov/Archives/edgar/data/1710155/000171015523000063/ex31eye-bylawamendmentsnov.htm" TargetMode="External"/><Relationship Id="rId158" Type="http://schemas.openxmlformats.org/officeDocument/2006/relationships/hyperlink" Target="https://www.sec.gov/Archives/edgar/data/1710155/000171015522000010/exhibit41descriptionofsecu.htm" TargetMode="External"/><Relationship Id="rId159" Type="http://schemas.openxmlformats.org/officeDocument/2006/relationships/hyperlink" Target="https://www.sec.gov/Archives/edgar/data/1710155/000171015520000038/a41-indentureexhibit.htm" TargetMode="External"/><Relationship Id="rId160" Type="http://schemas.openxmlformats.org/officeDocument/2006/relationships/hyperlink" Target="https://www.sec.gov/Archives/edgar/data/1710155/000171015523000033/exhibit101-creditagreement.htm" TargetMode="External"/><Relationship Id="rId161" Type="http://schemas.openxmlformats.org/officeDocument/2006/relationships/hyperlink" Target="http://www.sec.gov/Archives/edgar/data/1710155/000156761917002082/s001582x7_ex10-6.htm" TargetMode="External"/><Relationship Id="rId162" Type="http://schemas.openxmlformats.org/officeDocument/2006/relationships/hyperlink" Target="http://www.sec.gov/Archives/edgar/data/1710155/000156761917002082/s001582x7_ex10-7.htm" TargetMode="External"/><Relationship Id="rId163" Type="http://schemas.openxmlformats.org/officeDocument/2006/relationships/hyperlink" Target="http://www.sec.gov/Archives/edgar/data/1710155/000156761917002082/s001582x7_ex10-8.htm" TargetMode="External"/><Relationship Id="rId164" Type="http://schemas.openxmlformats.org/officeDocument/2006/relationships/hyperlink" Target="http://www.sec.gov/Archives/edgar/data/1710155/000156761917002270/s001582x19_ex10-2.htm" TargetMode="External"/><Relationship Id="rId165" Type="http://schemas.openxmlformats.org/officeDocument/2006/relationships/hyperlink" Target="http://www.sec.gov/Archives/edgar/data/1710155/000171015519000027/exhibit102-2019stockoption.htm" TargetMode="External"/><Relationship Id="rId166" Type="http://schemas.openxmlformats.org/officeDocument/2006/relationships/hyperlink" Target="https://www.sec.gov/Archives/edgar/data/1710155/000171015521000028/exhibit101nvhiformofpsuagr.htm" TargetMode="External"/><Relationship Id="rId167" Type="http://schemas.openxmlformats.org/officeDocument/2006/relationships/hyperlink" Target="https://www.sec.gov/Archives/edgar/data/1710155/000171015522000019/exhibit101-q12022.htm" TargetMode="External"/><Relationship Id="rId168" Type="http://schemas.openxmlformats.org/officeDocument/2006/relationships/hyperlink" Target="https://www.sec.gov/Archives/edgar/data/1710155/000171015522000019/exhibit104-q12022.htm" TargetMode="External"/><Relationship Id="rId169" Type="http://schemas.openxmlformats.org/officeDocument/2006/relationships/hyperlink" Target="https://www.sec.gov/Archives/edgar/data/1710155/000171015522000019/exhibit102-q12022.htm" TargetMode="External"/><Relationship Id="rId170" Type="http://schemas.openxmlformats.org/officeDocument/2006/relationships/hyperlink" Target="https://www.sec.gov/Archives/edgar/data/1710155/000171015522000019/exhibit103-q12022.htm" TargetMode="External"/><Relationship Id="rId171" Type="http://schemas.openxmlformats.org/officeDocument/2006/relationships/hyperlink" Target="https://www.sec.gov/Archives/edgar/data/1710155/000171015522000045/exhibit102-q22022.htm" TargetMode="External"/><Relationship Id="rId172" Type="http://schemas.openxmlformats.org/officeDocument/2006/relationships/hyperlink" Target="http://www.sec.gov/Archives/edgar/data/1710155/000156761917002184/s001582x10_ex10-34.htm" TargetMode="External"/><Relationship Id="rId173" Type="http://schemas.openxmlformats.org/officeDocument/2006/relationships/hyperlink" Target="http://www.sec.gov/Archives/edgar/data/1710155/000156761917002082/s001582x7_ex10-16.htm" TargetMode="External"/><Relationship Id="rId175" Type="http://schemas.openxmlformats.org/officeDocument/2006/relationships/hyperlink" Target="http://www.sec.gov/Archives/edgar/data/1710155/000156761917002082/s001582x7_ex10-17.htm" TargetMode="External"/><Relationship Id="rId176" Type="http://schemas.openxmlformats.org/officeDocument/2006/relationships/hyperlink" Target="http://www.sec.gov/Archives/edgar/data/1710155/000156761917002082/s001582x7_ex10-18.htm" TargetMode="External"/><Relationship Id="rId177" Type="http://schemas.openxmlformats.org/officeDocument/2006/relationships/hyperlink" Target="http://www.sec.gov/Archives/edgar/data/1710155/000156761917002082/s001582x7_ex10-19.htm" TargetMode="External"/><Relationship Id="rId178" Type="http://schemas.openxmlformats.org/officeDocument/2006/relationships/hyperlink" Target="http://www.sec.gov/Archives/edgar/data/1710155/000156761917002184/s001582x10_ex10-36.htm" TargetMode="External"/><Relationship Id="rId179" Type="http://schemas.openxmlformats.org/officeDocument/2006/relationships/hyperlink" Target="http://www.sec.gov/Archives/edgar/data/1710155/000156761917002082/s001582x7_ex10-20.htm" TargetMode="External"/><Relationship Id="rId180" Type="http://schemas.openxmlformats.org/officeDocument/2006/relationships/hyperlink" Target="http://www.sec.gov/Archives/edgar/data/1710155/000171015518000052/nationalvisionholdingsinc-.htm" TargetMode="External"/><Relationship Id="rId181" Type="http://schemas.openxmlformats.org/officeDocument/2006/relationships/hyperlink" Target="http://www.sec.gov/Archives/edgar/data/1710155/000171015519000016/exhibit1036-essilorcontract.htm" TargetMode="External"/><Relationship Id="rId182" Type="http://schemas.openxmlformats.org/officeDocument/2006/relationships/hyperlink" Target="https://www.sec.gov/Archives/edgar/data/1710155/000171015522000036/nvi-essilorfirstamendmentt.htm" TargetMode="External"/><Relationship Id="rId183" Type="http://schemas.openxmlformats.org/officeDocument/2006/relationships/hyperlink" Target="http://www.sec.gov/Archives/edgar/data/1710155/000156761917002082/s001582x7_ex10-32.htm" TargetMode="External"/><Relationship Id="rId184" Type="http://schemas.openxmlformats.org/officeDocument/2006/relationships/hyperlink" Target="http://www.sec.gov/Archives/edgar/data/1710155/000156761917002184/s001582x10_ex10-31.htm" TargetMode="External"/><Relationship Id="rId185" Type="http://schemas.openxmlformats.org/officeDocument/2006/relationships/hyperlink" Target="https://www.sec.gov/Archives/edgar/data/1710155/000171015520000003/exhibit.htm" TargetMode="External"/><Relationship Id="rId186" Type="http://schemas.openxmlformats.org/officeDocument/2006/relationships/hyperlink" Target="https://www.sec.gov/Archives/edgar/data/1710155/000171015520000055/exhibit101-wmtxnvimsaa.htm" TargetMode="External"/><Relationship Id="rId187" Type="http://schemas.openxmlformats.org/officeDocument/2006/relationships/hyperlink" Target="http://www.sec.gov/Archives/edgar/data/1710155/000156761917002082/s001582x7_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2024-02-27T05:40:23Z</dcterms:created>
  <dcterms:modified xsi:type="dcterms:W3CDTF">2024-02-27T05:40:23Z</dcterms:modified>
</cp:coreProperties>
</file>