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1"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12"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6"/>
          <w:szCs w:val="16"/>
          <w:b w:val="1"/>
          <w:bCs w:val="1"/>
          <w:color w:val="auto"/>
        </w:rPr>
        <w:t>For the quarterly period ended April 3, 2021</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3"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ind w:left="410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8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30" w:lineRule="exact"/>
        <w:rPr>
          <w:sz w:val="24"/>
          <w:szCs w:val="24"/>
          <w:color w:val="auto"/>
        </w:rPr>
      </w:pPr>
    </w:p>
    <w:tbl>
      <w:tblPr>
        <w:tblLayout w:type="fixed"/>
        <w:tblInd w:w="1840" w:type="dxa"/>
        <w:tblCellMar>
          <w:top w:w="0" w:type="dxa"/>
          <w:left w:w="0" w:type="dxa"/>
          <w:bottom w:w="0" w:type="dxa"/>
          <w:right w:w="0" w:type="dxa"/>
        </w:tblCellMar>
      </w:tblPr>
      <w:tr>
        <w:trPr>
          <w:trHeight w:val="210"/>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Delaware</w:t>
            </w:r>
          </w:p>
        </w:tc>
        <w:tc>
          <w:tcPr>
            <w:tcW w:w="2760" w:type="dxa"/>
            <w:vAlign w:val="bottom"/>
          </w:tcPr>
          <w:p>
            <w:pPr>
              <w:jc w:val="right"/>
              <w:ind w:right="13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(State or other jurisdiction of</w:t>
            </w:r>
          </w:p>
        </w:tc>
        <w:tc>
          <w:tcPr>
            <w:tcW w:w="2760" w:type="dxa"/>
            <w:vAlign w:val="bottom"/>
          </w:tcPr>
          <w:p>
            <w:pPr>
              <w:jc w:val="center"/>
              <w:ind w:left="1459"/>
              <w:spacing w:after="0"/>
              <w:rPr>
                <w:sz w:val="20"/>
                <w:szCs w:val="20"/>
                <w:color w:val="auto"/>
              </w:rPr>
            </w:pPr>
            <w:r>
              <w:rPr>
                <w:rFonts w:ascii="Arial" w:cs="Arial" w:eastAsia="Arial" w:hAnsi="Arial"/>
                <w:sz w:val="16"/>
                <w:szCs w:val="16"/>
                <w:color w:val="auto"/>
                <w:w w:val="93"/>
              </w:rPr>
              <w:t>(I.R.S. Employer</w:t>
            </w:r>
          </w:p>
        </w:tc>
      </w:tr>
      <w:tr>
        <w:trPr>
          <w:trHeight w:val="206"/>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4"/>
              </w:rPr>
              <w:t>incorporation or organization)</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6"/>
              </w:rPr>
              <w:t>Identification No.)</w:t>
            </w:r>
          </w:p>
        </w:tc>
      </w:tr>
      <w:tr>
        <w:trPr>
          <w:trHeight w:val="270"/>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2435 Commerce Ave</w:t>
            </w:r>
          </w:p>
        </w:tc>
        <w:tc>
          <w:tcPr>
            <w:tcW w:w="2760" w:type="dxa"/>
            <w:vAlign w:val="bottom"/>
          </w:tcPr>
          <w:p>
            <w:pPr>
              <w:spacing w:after="0"/>
              <w:rPr>
                <w:sz w:val="23"/>
                <w:szCs w:val="23"/>
                <w:color w:val="auto"/>
              </w:rPr>
            </w:pP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Building 2200</w:t>
            </w:r>
          </w:p>
        </w:tc>
        <w:tc>
          <w:tcPr>
            <w:tcW w:w="27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3"/>
              </w:rPr>
              <w:t>Duluth, Georgia</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5"/>
              </w:rPr>
              <w:t>(Zip Code)</w:t>
            </w: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(Address of principal executive offices)</w:t>
            </w:r>
          </w:p>
        </w:tc>
        <w:tc>
          <w:tcPr>
            <w:tcW w:w="2760" w:type="dxa"/>
            <w:vAlign w:val="bottom"/>
          </w:tcPr>
          <w:p>
            <w:pPr>
              <w:spacing w:after="0"/>
              <w:rPr>
                <w:sz w:val="18"/>
                <w:szCs w:val="18"/>
                <w:color w:val="auto"/>
              </w:rPr>
            </w:pPr>
          </w:p>
        </w:tc>
      </w:tr>
    </w:tbl>
    <w:p>
      <w:pPr>
        <w:spacing w:after="0" w:line="73"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41"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4" w:lineRule="exact"/>
        <w:rPr>
          <w:sz w:val="24"/>
          <w:szCs w:val="24"/>
          <w:color w:val="auto"/>
        </w:rPr>
      </w:pPr>
    </w:p>
    <w:tbl>
      <w:tblPr>
        <w:tblLayout w:type="fixed"/>
        <w:tblInd w:w="920" w:type="dxa"/>
        <w:tblCellMar>
          <w:top w:w="0" w:type="dxa"/>
          <w:left w:w="0" w:type="dxa"/>
          <w:bottom w:w="0" w:type="dxa"/>
          <w:right w:w="0" w:type="dxa"/>
        </w:tblCellMar>
      </w:tblPr>
      <w:tr>
        <w:trPr>
          <w:trHeight w:val="21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20" w:type="dxa"/>
            <w:vAlign w:val="bottom"/>
          </w:tcPr>
          <w:p>
            <w:pPr>
              <w:spacing w:after="0"/>
              <w:rPr>
                <w:sz w:val="18"/>
                <w:szCs w:val="18"/>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3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par value $0.01 per share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EYE</w:t>
            </w:r>
          </w:p>
        </w:tc>
        <w:tc>
          <w:tcPr>
            <w:tcW w:w="3780" w:type="dxa"/>
            <w:vAlign w:val="bottom"/>
          </w:tcPr>
          <w:p>
            <w:pPr>
              <w:jc w:val="center"/>
              <w:spacing w:after="0"/>
              <w:rPr>
                <w:sz w:val="20"/>
                <w:szCs w:val="20"/>
                <w:color w:val="auto"/>
              </w:rPr>
            </w:pPr>
            <w:r>
              <w:rPr>
                <w:rFonts w:ascii="Arial" w:cs="Arial" w:eastAsia="Arial" w:hAnsi="Arial"/>
                <w:sz w:val="16"/>
                <w:szCs w:val="16"/>
                <w:color w:val="auto"/>
              </w:rPr>
              <w:t>NASDAQ</w:t>
            </w:r>
          </w:p>
        </w:tc>
      </w:tr>
    </w:tbl>
    <w:p>
      <w:pPr>
        <w:spacing w:after="0" w:line="185" w:lineRule="exact"/>
        <w:rPr>
          <w:sz w:val="24"/>
          <w:szCs w:val="24"/>
          <w:color w:val="auto"/>
        </w:rPr>
      </w:pPr>
    </w:p>
    <w:p>
      <w:pPr>
        <w:ind w:right="380"/>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400"/>
        <w:spacing w:after="0" w:line="20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2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800" w:type="dxa"/>
        <w:tblCellMar>
          <w:top w:w="0" w:type="dxa"/>
          <w:left w:w="0" w:type="dxa"/>
          <w:bottom w:w="0" w:type="dxa"/>
          <w:right w:w="0" w:type="dxa"/>
        </w:tblCellMar>
      </w:tblPr>
      <w:tr>
        <w:trPr>
          <w:trHeight w:val="237"/>
        </w:trPr>
        <w:tc>
          <w:tcPr>
            <w:tcW w:w="1680" w:type="dxa"/>
            <w:vAlign w:val="bottom"/>
          </w:tcPr>
          <w:p>
            <w:pPr>
              <w:jc w:val="center"/>
              <w:ind w:right="139"/>
              <w:spacing w:after="0"/>
              <w:rPr>
                <w:sz w:val="20"/>
                <w:szCs w:val="20"/>
                <w:color w:val="auto"/>
              </w:rPr>
            </w:pPr>
            <w:r>
              <w:rPr>
                <w:rFonts w:ascii="Arial" w:cs="Arial" w:eastAsia="Arial" w:hAnsi="Arial"/>
                <w:sz w:val="16"/>
                <w:szCs w:val="16"/>
                <w:color w:val="auto"/>
                <w:w w:val="92"/>
              </w:rPr>
              <w:t>Large accelerated filer</w:t>
            </w:r>
          </w:p>
        </w:tc>
        <w:tc>
          <w:tcPr>
            <w:tcW w:w="1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jc w:val="center"/>
              <w:ind w:left="559"/>
              <w:spacing w:after="0"/>
              <w:rPr>
                <w:sz w:val="20"/>
                <w:szCs w:val="20"/>
                <w:color w:val="auto"/>
              </w:rPr>
            </w:pPr>
            <w:r>
              <w:rPr>
                <w:rFonts w:ascii="Arial" w:cs="Arial" w:eastAsia="Arial" w:hAnsi="Arial"/>
                <w:sz w:val="16"/>
                <w:szCs w:val="16"/>
                <w:color w:val="auto"/>
                <w:w w:val="94"/>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680" w:type="dxa"/>
            <w:vAlign w:val="bottom"/>
          </w:tcPr>
          <w:p>
            <w:pPr>
              <w:jc w:val="center"/>
              <w:ind w:right="139"/>
              <w:spacing w:after="0"/>
              <w:rPr>
                <w:sz w:val="20"/>
                <w:szCs w:val="20"/>
                <w:color w:val="auto"/>
              </w:rPr>
            </w:pPr>
            <w:r>
              <w:rPr>
                <w:rFonts w:ascii="Arial" w:cs="Arial" w:eastAsia="Arial" w:hAnsi="Arial"/>
                <w:sz w:val="16"/>
                <w:szCs w:val="16"/>
                <w:color w:val="auto"/>
                <w:w w:val="93"/>
              </w:rPr>
              <w:t>Non-accelerated filer</w:t>
            </w:r>
          </w:p>
        </w:tc>
        <w:tc>
          <w:tcPr>
            <w:tcW w:w="11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jc w:val="center"/>
              <w:ind w:left="539"/>
              <w:spacing w:after="0"/>
              <w:rPr>
                <w:sz w:val="20"/>
                <w:szCs w:val="20"/>
                <w:color w:val="auto"/>
              </w:rPr>
            </w:pPr>
            <w:r>
              <w:rPr>
                <w:rFonts w:ascii="Arial" w:cs="Arial" w:eastAsia="Arial" w:hAnsi="Arial"/>
                <w:sz w:val="16"/>
                <w:szCs w:val="16"/>
                <w:color w:val="auto"/>
                <w:w w:val="93"/>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720" w:type="dxa"/>
            <w:vAlign w:val="bottom"/>
          </w:tcPr>
          <w:p>
            <w:pPr>
              <w:jc w:val="center"/>
              <w:ind w:left="539"/>
              <w:spacing w:after="0"/>
              <w:rPr>
                <w:sz w:val="20"/>
                <w:szCs w:val="20"/>
                <w:color w:val="auto"/>
              </w:rPr>
            </w:pPr>
            <w:r>
              <w:rPr>
                <w:rFonts w:ascii="Arial" w:cs="Arial" w:eastAsia="Arial" w:hAnsi="Arial"/>
                <w:sz w:val="16"/>
                <w:szCs w:val="16"/>
                <w:color w:val="auto"/>
                <w:w w:val="93"/>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9"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860"/>
        <w:spacing w:after="0" w:line="24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w:t>
            </w:r>
          </w:p>
        </w:tc>
        <w:tc>
          <w:tcPr>
            <w:tcW w:w="1420" w:type="dxa"/>
            <w:vAlign w:val="bottom"/>
          </w:tcPr>
          <w:p>
            <w:pPr>
              <w:spacing w:after="0"/>
              <w:rPr>
                <w:sz w:val="18"/>
                <w:szCs w:val="18"/>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at April 30, 2021</w:t>
            </w:r>
          </w:p>
        </w:tc>
      </w:tr>
      <w:tr>
        <w:trPr>
          <w:trHeight w:val="206"/>
        </w:trPr>
        <w:tc>
          <w:tcPr>
            <w:tcW w:w="6320" w:type="dxa"/>
            <w:vAlign w:val="bottom"/>
            <w:gridSpan w:val="2"/>
          </w:tcPr>
          <w:p>
            <w:pPr>
              <w:ind w:left="20"/>
              <w:spacing w:after="0"/>
              <w:rPr>
                <w:sz w:val="20"/>
                <w:szCs w:val="20"/>
                <w:color w:val="auto"/>
              </w:rPr>
            </w:pPr>
            <w:r>
              <w:rPr>
                <w:rFonts w:ascii="Arial" w:cs="Arial" w:eastAsia="Arial" w:hAnsi="Arial"/>
                <w:sz w:val="16"/>
                <w:szCs w:val="16"/>
                <w:color w:val="auto"/>
              </w:rPr>
              <w:t>Common stock, $0.01 par value</w:t>
            </w:r>
          </w:p>
        </w:tc>
        <w:tc>
          <w:tcPr>
            <w:tcW w:w="4920" w:type="dxa"/>
            <w:vAlign w:val="bottom"/>
          </w:tcPr>
          <w:p>
            <w:pPr>
              <w:ind w:left="20"/>
              <w:spacing w:after="0"/>
              <w:rPr>
                <w:sz w:val="20"/>
                <w:szCs w:val="20"/>
                <w:color w:val="auto"/>
              </w:rPr>
            </w:pPr>
            <w:r>
              <w:rPr>
                <w:rFonts w:ascii="Arial" w:cs="Arial" w:eastAsia="Arial" w:hAnsi="Arial"/>
                <w:sz w:val="16"/>
                <w:szCs w:val="16"/>
                <w:color w:val="auto"/>
              </w:rPr>
              <w:t>81,423,974</w:t>
            </w:r>
          </w:p>
        </w:tc>
      </w:tr>
      <w:tr>
        <w:trPr>
          <w:trHeight w:val="128"/>
        </w:trPr>
        <w:tc>
          <w:tcPr>
            <w:tcW w:w="49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r>
      <w:tr>
        <w:trPr>
          <w:trHeight w:val="857"/>
        </w:trPr>
        <w:tc>
          <w:tcPr>
            <w:tcW w:w="49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Page</w:t>
            </w:r>
          </w:p>
        </w:tc>
      </w:tr>
      <w:tr>
        <w:trPr>
          <w:trHeight w:val="230"/>
        </w:trPr>
        <w:tc>
          <w:tcPr>
            <w:tcW w:w="180" w:type="dxa"/>
            <w:vAlign w:val="bottom"/>
          </w:tcPr>
          <w:p>
            <w:pPr>
              <w:spacing w:after="0"/>
              <w:rPr>
                <w:sz w:val="19"/>
                <w:szCs w:val="19"/>
                <w:color w:val="auto"/>
              </w:rPr>
            </w:pPr>
          </w:p>
        </w:tc>
        <w:tc>
          <w:tcPr>
            <w:tcW w:w="10320" w:type="dxa"/>
            <w:vAlign w:val="bottom"/>
            <w:gridSpan w:val="2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SPECIAL NOTE REGARDING FORWARD-LOOKING STATEMENTS</w:t>
              </w:r>
            </w:hyperlink>
          </w:p>
        </w:tc>
        <w:tc>
          <w:tcPr>
            <w:tcW w:w="1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560" w:type="dxa"/>
            <w:vAlign w:val="bottom"/>
          </w:tcPr>
          <w:p>
            <w:pPr>
              <w:spacing w:after="0"/>
              <w:rPr>
                <w:sz w:val="19"/>
                <w:szCs w:val="19"/>
                <w:color w:val="auto"/>
              </w:rPr>
            </w:pPr>
          </w:p>
        </w:tc>
      </w:tr>
      <w:tr>
        <w:trPr>
          <w:trHeight w:val="250"/>
        </w:trPr>
        <w:tc>
          <w:tcPr>
            <w:tcW w:w="180" w:type="dxa"/>
            <w:vAlign w:val="bottom"/>
          </w:tcPr>
          <w:p>
            <w:pPr>
              <w:spacing w:after="0"/>
              <w:rPr>
                <w:sz w:val="21"/>
                <w:szCs w:val="21"/>
                <w:color w:val="auto"/>
              </w:rPr>
            </w:pPr>
          </w:p>
        </w:tc>
        <w:tc>
          <w:tcPr>
            <w:tcW w:w="21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Part I – Financial Information</w:t>
              </w:r>
            </w:hyperlink>
          </w:p>
        </w:tc>
        <w:tc>
          <w:tcPr>
            <w:tcW w:w="3180" w:type="dxa"/>
            <w:vAlign w:val="bottom"/>
            <w:tcBorders>
              <w:top w:val="single" w:sz="8" w:color="0000FF"/>
            </w:tcBorders>
            <w:gridSpan w:val="8"/>
          </w:tcPr>
          <w:p>
            <w:pPr>
              <w:spacing w:after="0"/>
              <w:rPr>
                <w:sz w:val="21"/>
                <w:szCs w:val="21"/>
                <w:color w:val="auto"/>
              </w:rPr>
            </w:pPr>
          </w:p>
        </w:tc>
        <w:tc>
          <w:tcPr>
            <w:tcW w:w="4980" w:type="dxa"/>
            <w:vAlign w:val="bottom"/>
            <w:gridSpan w:val="6"/>
          </w:tcPr>
          <w:p>
            <w:pPr>
              <w:spacing w:after="0"/>
              <w:rPr>
                <w:sz w:val="21"/>
                <w:szCs w:val="21"/>
                <w:color w:val="auto"/>
              </w:rPr>
            </w:pPr>
          </w:p>
        </w:tc>
        <w:tc>
          <w:tcPr>
            <w:tcW w:w="100" w:type="dxa"/>
            <w:vAlign w:val="bottom"/>
            <w:tcBorders>
              <w:top w:val="single" w:sz="8" w:color="0000FF"/>
              <w:bottom w:val="single" w:sz="8" w:color="0000FF"/>
            </w:tcBorders>
          </w:tcPr>
          <w:p>
            <w:pPr>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892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18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4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Condensed Consolidated Balance Sheets</w:t>
              </w:r>
            </w:hyperlink>
          </w:p>
        </w:tc>
        <w:tc>
          <w:tcPr>
            <w:tcW w:w="5980" w:type="dxa"/>
            <w:vAlign w:val="bottom"/>
            <w:gridSpan w:val="8"/>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72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Operations and Comprehensive Income</w:t>
              </w:r>
            </w:hyperlink>
          </w:p>
        </w:tc>
        <w:tc>
          <w:tcPr>
            <w:tcW w:w="3200" w:type="dxa"/>
            <w:vAlign w:val="bottom"/>
            <w:gridSpan w:val="2"/>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Stockholders’ Equity</w:t>
              </w:r>
            </w:hyperlink>
          </w:p>
        </w:tc>
        <w:tc>
          <w:tcPr>
            <w:tcW w:w="4520" w:type="dxa"/>
            <w:vAlign w:val="bottom"/>
            <w:gridSpan w:val="3"/>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2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Consolidated Statements of Cash Flows</w:t>
              </w:r>
            </w:hyperlink>
          </w:p>
        </w:tc>
        <w:tc>
          <w:tcPr>
            <w:tcW w:w="5200" w:type="dxa"/>
            <w:vAlign w:val="bottom"/>
            <w:gridSpan w:val="7"/>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Condensed Consolidated Financial Statements</w:t>
              </w:r>
            </w:hyperlink>
          </w:p>
        </w:tc>
        <w:tc>
          <w:tcPr>
            <w:tcW w:w="4920" w:type="dxa"/>
            <w:vAlign w:val="bottom"/>
            <w:gridSpan w:val="5"/>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2.</w:t>
              </w:r>
            </w:hyperlink>
          </w:p>
        </w:tc>
        <w:tc>
          <w:tcPr>
            <w:tcW w:w="8920" w:type="dxa"/>
            <w:vAlign w:val="bottom"/>
            <w:gridSpan w:val="18"/>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20</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3.</w:t>
              </w:r>
            </w:hyperlink>
          </w:p>
        </w:tc>
        <w:tc>
          <w:tcPr>
            <w:tcW w:w="8920" w:type="dxa"/>
            <w:vAlign w:val="bottom"/>
            <w:gridSpan w:val="1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Quantitative and Qualitative Disclosures About Market Risk</w:t>
              </w:r>
            </w:hyperlink>
          </w:p>
        </w:tc>
        <w:tc>
          <w:tcPr>
            <w:tcW w:w="180" w:type="dxa"/>
            <w:vAlign w:val="bottom"/>
            <w:gridSpan w:val="2"/>
          </w:tcPr>
          <w:p>
            <w:pPr>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tcBorders>
              <w:left w:val="single" w:sz="8" w:color="0000FF"/>
            </w:tcBorders>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4.</w:t>
              </w:r>
            </w:hyperlink>
          </w:p>
        </w:tc>
        <w:tc>
          <w:tcPr>
            <w:tcW w:w="8920" w:type="dxa"/>
            <w:vAlign w:val="bottom"/>
            <w:gridSpan w:val="1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180" w:type="dxa"/>
            <w:vAlign w:val="bottom"/>
            <w:gridSpan w:val="2"/>
          </w:tcPr>
          <w:p>
            <w:pPr>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34</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96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34">
              <w:r>
                <w:rPr>
                  <w:rFonts w:ascii="Arial" w:cs="Arial" w:eastAsia="Arial" w:hAnsi="Arial"/>
                  <w:sz w:val="18"/>
                  <w:szCs w:val="18"/>
                  <w:color w:val="0000FF"/>
                  <w:w w:val="93"/>
                </w:rPr>
                <w:t>Part II – Other Information</w:t>
              </w:r>
            </w:hyperlink>
          </w:p>
        </w:tc>
        <w:tc>
          <w:tcPr>
            <w:tcW w:w="8360" w:type="dxa"/>
            <w:vAlign w:val="bottom"/>
            <w:gridSpan w:val="16"/>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1.</w:t>
              </w:r>
            </w:hyperlink>
          </w:p>
        </w:tc>
        <w:tc>
          <w:tcPr>
            <w:tcW w:w="892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180" w:type="dxa"/>
            <w:vAlign w:val="bottom"/>
            <w:gridSpan w:val="2"/>
          </w:tcPr>
          <w:p>
            <w:pPr>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Item 1A.</w:t>
              </w:r>
            </w:hyperlink>
          </w:p>
        </w:tc>
        <w:tc>
          <w:tcPr>
            <w:tcW w:w="300" w:type="dxa"/>
            <w:vAlign w:val="bottom"/>
          </w:tcPr>
          <w:p>
            <w:pPr>
              <w:spacing w:after="0"/>
              <w:rPr>
                <w:sz w:val="21"/>
                <w:szCs w:val="21"/>
                <w:color w:val="auto"/>
              </w:rPr>
            </w:pPr>
          </w:p>
        </w:tc>
        <w:tc>
          <w:tcPr>
            <w:tcW w:w="892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180" w:type="dxa"/>
            <w:vAlign w:val="bottom"/>
            <w:gridSpan w:val="2"/>
          </w:tcPr>
          <w:p>
            <w:pPr>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2.</w:t>
              </w:r>
            </w:hyperlink>
          </w:p>
        </w:tc>
        <w:tc>
          <w:tcPr>
            <w:tcW w:w="300" w:type="dxa"/>
            <w:vAlign w:val="bottom"/>
          </w:tcPr>
          <w:p>
            <w:pPr>
              <w:spacing w:after="0"/>
              <w:rPr>
                <w:sz w:val="21"/>
                <w:szCs w:val="21"/>
                <w:color w:val="auto"/>
              </w:rPr>
            </w:pPr>
          </w:p>
        </w:tc>
        <w:tc>
          <w:tcPr>
            <w:tcW w:w="892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Unregistered Sales of Equity Securities and Use of Proceeds</w:t>
              </w:r>
            </w:hyperlink>
          </w:p>
        </w:tc>
        <w:tc>
          <w:tcPr>
            <w:tcW w:w="180" w:type="dxa"/>
            <w:vAlign w:val="bottom"/>
            <w:gridSpan w:val="2"/>
          </w:tcPr>
          <w:p>
            <w:pPr>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3.</w:t>
              </w:r>
            </w:hyperlink>
          </w:p>
        </w:tc>
        <w:tc>
          <w:tcPr>
            <w:tcW w:w="892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Defaults Upon Senior Securities</w:t>
              </w:r>
            </w:hyperlink>
          </w:p>
        </w:tc>
        <w:tc>
          <w:tcPr>
            <w:tcW w:w="180" w:type="dxa"/>
            <w:vAlign w:val="bottom"/>
            <w:gridSpan w:val="2"/>
          </w:tcPr>
          <w:p>
            <w:pPr>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892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Mine Safety Disclosures</w:t>
              </w:r>
            </w:hyperlink>
          </w:p>
        </w:tc>
        <w:tc>
          <w:tcPr>
            <w:tcW w:w="180" w:type="dxa"/>
            <w:vAlign w:val="bottom"/>
            <w:gridSpan w:val="2"/>
          </w:tcPr>
          <w:p>
            <w:pPr>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160" w:type="dxa"/>
            <w:vAlign w:val="bottom"/>
            <w:gridSpan w:val="1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5.</w:t>
              </w:r>
            </w:hyperlink>
          </w:p>
        </w:tc>
        <w:tc>
          <w:tcPr>
            <w:tcW w:w="892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Other Information</w:t>
              </w:r>
            </w:hyperlink>
          </w:p>
        </w:tc>
        <w:tc>
          <w:tcPr>
            <w:tcW w:w="180" w:type="dxa"/>
            <w:vAlign w:val="bottom"/>
            <w:gridSpan w:val="2"/>
          </w:tcPr>
          <w:p>
            <w:pPr>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6.</w:t>
              </w:r>
            </w:hyperlink>
          </w:p>
        </w:tc>
        <w:tc>
          <w:tcPr>
            <w:tcW w:w="892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180" w:type="dxa"/>
            <w:vAlign w:val="bottom"/>
            <w:gridSpan w:val="2"/>
          </w:tcPr>
          <w:p>
            <w:pPr>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60" w:type="dxa"/>
            <w:vAlign w:val="bottom"/>
            <w:gridSpan w:val="1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920" w:type="dxa"/>
            <w:vAlign w:val="bottom"/>
            <w:gridSpan w:val="1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Signatures</w:t>
              </w:r>
            </w:hyperlink>
          </w:p>
        </w:tc>
        <w:tc>
          <w:tcPr>
            <w:tcW w:w="180" w:type="dxa"/>
            <w:vAlign w:val="bottom"/>
            <w:gridSpan w:val="2"/>
          </w:tcPr>
          <w:p>
            <w:pPr>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37</w:t>
              </w:r>
            </w:hyperlink>
          </w:p>
        </w:tc>
        <w:tc>
          <w:tcPr>
            <w:tcW w:w="560" w:type="dxa"/>
            <w:vAlign w:val="bottom"/>
          </w:tcPr>
          <w:p>
            <w:pPr>
              <w:spacing w:after="0"/>
              <w:rPr>
                <w:sz w:val="21"/>
                <w:szCs w:val="21"/>
                <w:color w:val="auto"/>
              </w:rPr>
            </w:pPr>
          </w:p>
        </w:tc>
      </w:tr>
      <w:tr>
        <w:trPr>
          <w:trHeight w:val="1148"/>
        </w:trPr>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II, Item 1A - “Risk Factors” in this Form 10-Q and Part I, Item 1A - “Risk Factors” in the Company’s Annual Report on Form 10-K for the year ended January 2, 2021 (the “2020 Annual Report on Form 10-K”), as filed with the Securities and Exchange Commission (the “SEC”), as such risk factors may be updated from time to time in our periodic filings with the SEC, which are accessible on the SEC’s website at www.sec.gov, and also include the following:</w:t>
      </w:r>
    </w:p>
    <w:p>
      <w:pPr>
        <w:spacing w:after="0" w:line="70"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its resurgence, and the impact of evolving federal, state, and local governmental actions in response thereto;</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behavior in response to the continuing pandemic and its more recent outbreaks of variants;</w:t>
      </w:r>
    </w:p>
    <w:p>
      <w:pPr>
        <w:spacing w:after="0" w:line="9" w:lineRule="exact"/>
        <w:rPr>
          <w:rFonts w:ascii="Arial" w:cs="Arial" w:eastAsia="Arial" w:hAnsi="Arial"/>
          <w:sz w:val="18"/>
          <w:szCs w:val="18"/>
          <w:color w:val="auto"/>
        </w:rPr>
      </w:pPr>
    </w:p>
    <w:p>
      <w:pPr>
        <w:ind w:left="180" w:right="2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our reopened stores open in a safe and cost-effective manner, or at all, in light of the continuing COVID-19 pandemic and its resurgence;</w:t>
      </w: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 in general and in light of the pandemic;</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maintain and extend relationships with managed vision care companies, vision insurance providers and other third-party payors;</w:t>
      </w:r>
    </w:p>
    <w:p>
      <w:pPr>
        <w:spacing w:after="0" w:line="32" w:lineRule="exact"/>
        <w:rPr>
          <w:rFonts w:ascii="Arial" w:cs="Arial" w:eastAsia="Arial" w:hAnsi="Arial"/>
          <w:sz w:val="16"/>
          <w:szCs w:val="16"/>
          <w:color w:val="auto"/>
        </w:rPr>
      </w:pPr>
    </w:p>
    <w:p>
      <w:pPr>
        <w:ind w:left="160" w:hanging="152"/>
        <w:spacing w:after="0"/>
        <w:tabs>
          <w:tab w:leader="none" w:pos="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the performance of our host and legacy brands and our current operating relationships with our host and legacy partners;</w:t>
      </w:r>
    </w:p>
    <w:p>
      <w:pPr>
        <w:spacing w:after="0" w:line="20" w:lineRule="exact"/>
        <w:rPr>
          <w:rFonts w:ascii="Arial" w:cs="Arial" w:eastAsia="Arial" w:hAnsi="Arial"/>
          <w:sz w:val="17"/>
          <w:szCs w:val="17"/>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9" w:lineRule="exact"/>
        <w:rPr>
          <w:rFonts w:ascii="Arial" w:cs="Arial" w:eastAsia="Arial" w:hAnsi="Arial"/>
          <w:sz w:val="18"/>
          <w:szCs w:val="18"/>
          <w:color w:val="auto"/>
        </w:rPr>
      </w:pPr>
    </w:p>
    <w:p>
      <w:pPr>
        <w:ind w:left="18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execute or sustain our growth strategy or obtain additional financing at satisfactory terms or at all;</w:t>
      </w:r>
    </w:p>
    <w:p>
      <w:pPr>
        <w:ind w:left="18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 resulting in the inability to fulfill customer orders and deliver our products in a timely manner;</w:t>
      </w: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 including our dependence on a limited number of suppliers;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operate our information technology systems and prevent interruption or security breach;</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straining our existing resources and causing the performance of our existing stores to suffer;</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wage rate increases, inflation, cost increases and increases in raw material prices and energy prices;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 including future increases in occupancy costs;</w:t>
      </w:r>
    </w:p>
    <w:p>
      <w:pPr>
        <w:spacing w:after="0" w:line="9" w:lineRule="exact"/>
        <w:rPr>
          <w:rFonts w:ascii="Arial" w:cs="Arial" w:eastAsia="Arial" w:hAnsi="Arial"/>
          <w:sz w:val="18"/>
          <w:szCs w:val="18"/>
          <w:color w:val="auto"/>
        </w:rPr>
      </w:pPr>
    </w:p>
    <w:p>
      <w:pPr>
        <w:ind w:left="180" w:right="2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decline in the health of the economy and other factors impacting consumer spending;</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inventory;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coverage and reimbursement, including government programs, for an increasing portion of our revenues;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e-commerce and omni-channel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 w:name="page4"/>
    <w:bookmarkEnd w:id="3"/>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losses arising from our investments in technological innovators in the optical retail industry;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amount of indebtedness and our ability to generate sufficient cash flow to satisfy our debt obligations;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interest rates as well as changes in benchmark rates and uncertainty related to the foregoing;</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dilution to existing stockholders upon the conversion of our convertible notes; and</w:t>
      </w:r>
    </w:p>
    <w:p>
      <w:pPr>
        <w:spacing w:after="0" w:line="9" w:lineRule="exact"/>
        <w:rPr>
          <w:rFonts w:ascii="Arial" w:cs="Arial" w:eastAsia="Arial" w:hAnsi="Arial"/>
          <w:sz w:val="18"/>
          <w:szCs w:val="18"/>
          <w:color w:val="auto"/>
        </w:rPr>
      </w:pPr>
    </w:p>
    <w:p>
      <w:pPr>
        <w:ind w:left="180" w:hanging="172"/>
        <w:spacing w:after="0" w:line="260"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owning our common stock, including our ability to comply with requirements to design and implement and maintain effective internal controls.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April 3, 2021 and January 2,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7"/>
                <w:szCs w:val="17"/>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17"/>
                <w:szCs w:val="17"/>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68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April 3, 2021</w:t>
            </w:r>
          </w:p>
        </w:tc>
        <w:tc>
          <w:tcPr>
            <w:tcW w:w="300" w:type="dxa"/>
            <w:vAlign w:val="bottom"/>
          </w:tcPr>
          <w:p>
            <w:pPr>
              <w:spacing w:after="0"/>
              <w:rPr>
                <w:sz w:val="19"/>
                <w:szCs w:val="19"/>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453,792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373,903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57,989</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119,525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111,274</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w:t>
            </w:r>
          </w:p>
        </w:tc>
        <w:tc>
          <w:tcPr>
            <w:tcW w:w="0" w:type="dxa"/>
            <w:vAlign w:val="bottom"/>
          </w:tcPr>
          <w:p>
            <w:pPr>
              <w:spacing w:after="0"/>
              <w:rPr>
                <w:sz w:val="1"/>
                <w:szCs w:val="1"/>
                <w:color w:val="auto"/>
              </w:rPr>
            </w:pPr>
          </w:p>
        </w:tc>
      </w:tr>
      <w:tr>
        <w:trPr>
          <w:trHeight w:val="223"/>
        </w:trPr>
        <w:tc>
          <w:tcPr>
            <w:tcW w:w="68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656,950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566,650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336,214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341,293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777,613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47,638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340,141</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17,743</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1,762,895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1,766,848</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2,419,845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64,861</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98,796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110,309</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32,657</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65,617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58,899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operating lease obligations</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58,356</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Long-term debt and finance lease obligations, less current portion and debt discount</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651,763</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Non-current operating lease obligations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325,618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327,371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22,242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20,828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 net</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76,352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80,939</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non-current liabilities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119,182</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(See Note 9)</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4"/>
              </w:rPr>
              <w:t>Common stock, $0.01 par value; 200,000 shares authorized; 82,357 and 82,183 shares</w:t>
            </w: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4"/>
              </w:rPr>
              <w:t>issued as of April 3, 2021 and January 2, 2021, respectively; 81,385 and 81,239 shares</w:t>
            </w:r>
          </w:p>
        </w:tc>
        <w:tc>
          <w:tcPr>
            <w:tcW w:w="36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outstanding as of April 3, 2021 and January 2, 2021, respectively</w:t>
            </w:r>
          </w:p>
        </w:tc>
        <w:tc>
          <w:tcPr>
            <w:tcW w:w="36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0" w:type="dxa"/>
            <w:vAlign w:val="bottom"/>
          </w:tcPr>
          <w:p>
            <w:pPr>
              <w:spacing w:after="0"/>
              <w:rPr>
                <w:sz w:val="1"/>
                <w:szCs w:val="1"/>
                <w:color w:val="auto"/>
              </w:rPr>
            </w:pPr>
          </w:p>
        </w:tc>
      </w:tr>
      <w:tr>
        <w:trPr>
          <w:trHeight w:val="176"/>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7"/>
              </w:rPr>
              <w:t>Treasury stock, at cost; 972 and 944 shares as of April 3, 2021 and January 2, 2021,</w:t>
            </w:r>
          </w:p>
        </w:tc>
        <w:tc>
          <w:tcPr>
            <w:tcW w:w="36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(29,917)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(28,496)</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respectively</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2,419,845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6580" w:type="dxa"/>
            <w:vAlign w:val="bottom"/>
          </w:tcPr>
          <w:p>
            <w:pPr>
              <w:jc w:val="center"/>
              <w:ind w:left="203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0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840" w:type="dxa"/>
            <w:vAlign w:val="bottom"/>
            <w:gridSpan w:val="2"/>
          </w:tcPr>
          <w:p>
            <w:pPr>
              <w:jc w:val="center"/>
              <w:ind w:left="1770"/>
              <w:spacing w:after="0"/>
              <w:rPr>
                <w:sz w:val="20"/>
                <w:szCs w:val="20"/>
                <w:color w:val="auto"/>
              </w:rPr>
            </w:pPr>
            <w:r>
              <w:rPr>
                <w:rFonts w:ascii="Arial" w:cs="Arial" w:eastAsia="Arial" w:hAnsi="Arial"/>
                <w:sz w:val="18"/>
                <w:szCs w:val="18"/>
                <w:b w:val="1"/>
                <w:bCs w:val="1"/>
                <w:color w:val="auto"/>
                <w:w w:val="92"/>
              </w:rPr>
              <w:t>For the Three Months Ended April 3, 2021 and March 28, 2020</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6580" w:type="dxa"/>
            <w:vAlign w:val="bottom"/>
          </w:tcPr>
          <w:p>
            <w:pPr>
              <w:jc w:val="center"/>
              <w:ind w:left="2030"/>
              <w:spacing w:after="0"/>
              <w:rPr>
                <w:sz w:val="20"/>
                <w:szCs w:val="20"/>
                <w:color w:val="auto"/>
              </w:rPr>
            </w:pPr>
            <w:r>
              <w:rPr>
                <w:rFonts w:ascii="Arial" w:cs="Arial" w:eastAsia="Arial" w:hAnsi="Arial"/>
                <w:sz w:val="18"/>
                <w:szCs w:val="18"/>
                <w:i w:val="1"/>
                <w:iCs w:val="1"/>
                <w:color w:val="auto"/>
                <w:w w:val="89"/>
              </w:rPr>
              <w:t>In Thousands, Except Earnings Per Share</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580" w:type="dxa"/>
            <w:vAlign w:val="bottom"/>
          </w:tcPr>
          <w:p>
            <w:pPr>
              <w:jc w:val="center"/>
              <w:ind w:left="201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12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color w:val="auto"/>
              </w:rPr>
              <w:t>Three Months Ended</w:t>
            </w:r>
          </w:p>
        </w:tc>
      </w:tr>
      <w:tr>
        <w:trPr>
          <w:trHeight w:val="223"/>
        </w:trPr>
        <w:tc>
          <w:tcPr>
            <w:tcW w:w="12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April 3, 2021</w:t>
            </w:r>
          </w:p>
        </w:tc>
        <w:tc>
          <w:tcPr>
            <w:tcW w:w="18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w w:val="95"/>
              </w:rPr>
              <w:t>March 28, 2020</w:t>
            </w:r>
          </w:p>
        </w:tc>
      </w:tr>
      <w:tr>
        <w:trPr>
          <w:trHeight w:val="209"/>
        </w:trPr>
        <w:tc>
          <w:tcPr>
            <w:tcW w:w="7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Net product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443,067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392,841</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76,863</w:t>
            </w:r>
          </w:p>
        </w:tc>
      </w:tr>
      <w:tr>
        <w:trPr>
          <w:trHeight w:val="223"/>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Total net revenue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534,180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469,704</w:t>
            </w: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159,691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156,370</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62,184</w:t>
            </w:r>
          </w:p>
        </w:tc>
      </w:tr>
      <w:tr>
        <w:trPr>
          <w:trHeight w:val="223"/>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Total costs applicable to revenue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224,690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218,554</w:t>
            </w: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223,593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193,741</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24,810</w:t>
            </w:r>
          </w:p>
        </w:tc>
      </w:tr>
      <w:tr>
        <w:trPr>
          <w:trHeight w:val="229"/>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Asset impairment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11,355</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Litigation settlement</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r>
      <w:tr>
        <w:trPr>
          <w:trHeight w:val="230"/>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234,235</w:t>
            </w: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61,448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16,915</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w:t>
            </w: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Earnings before income taxes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55,118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9,460</w:t>
            </w: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6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81,333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80,129</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82,242</w:t>
            </w:r>
          </w:p>
        </w:tc>
      </w:tr>
      <w:tr>
        <w:trPr>
          <w:trHeight w:val="216"/>
        </w:trPr>
        <w:tc>
          <w:tcPr>
            <w:tcW w:w="78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43,432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9,742</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Unrealized gain (loss) on hedge instruments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r>
      <w:tr>
        <w:trPr>
          <w:trHeight w:val="230"/>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Tax provision (benefit) of unrealized gain (loss) on hedge instruments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w:t>
            </w: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3, 2021 and March 28,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color w:val="auto"/>
              </w:rPr>
              <w:t>Three Months Ended April 3, 2021</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4"/>
          </w:tcPr>
          <w:p>
            <w:pPr>
              <w:jc w:val="right"/>
              <w:ind w:right="250"/>
              <w:spacing w:after="0" w:line="196" w:lineRule="exact"/>
              <w:rPr>
                <w:sz w:val="20"/>
                <w:szCs w:val="20"/>
                <w:color w:val="auto"/>
              </w:rPr>
            </w:pPr>
            <w:r>
              <w:rPr>
                <w:rFonts w:ascii="Arial" w:cs="Arial" w:eastAsia="Arial" w:hAnsi="Arial"/>
                <w:sz w:val="18"/>
                <w:szCs w:val="18"/>
                <w:color w:val="auto"/>
              </w:rPr>
              <w:t>Common Stock</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90"/>
              <w:spacing w:after="0" w:line="196"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3"/>
            <w:vMerge w:val="restart"/>
          </w:tcPr>
          <w:p>
            <w:pPr>
              <w:jc w:val="center"/>
              <w:ind w:right="130"/>
              <w:spacing w:after="0" w:line="149" w:lineRule="exact"/>
              <w:rPr>
                <w:sz w:val="20"/>
                <w:szCs w:val="20"/>
                <w:color w:val="auto"/>
              </w:rPr>
            </w:pPr>
            <w:r>
              <w:rPr>
                <w:rFonts w:ascii="Arial" w:cs="Arial" w:eastAsia="Arial" w:hAnsi="Arial"/>
                <w:sz w:val="17"/>
                <w:szCs w:val="17"/>
                <w:color w:val="auto"/>
              </w:rPr>
              <w:t>Additional</w:t>
            </w: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vMerge w:val="restart"/>
          </w:tcPr>
          <w:p>
            <w:pPr>
              <w:jc w:val="center"/>
              <w:ind w:right="270"/>
              <w:spacing w:after="0" w:line="149" w:lineRule="exact"/>
              <w:rPr>
                <w:sz w:val="20"/>
                <w:szCs w:val="20"/>
                <w:color w:val="auto"/>
              </w:rPr>
            </w:pPr>
            <w:r>
              <w:rPr>
                <w:rFonts w:ascii="Arial" w:cs="Arial" w:eastAsia="Arial" w:hAnsi="Arial"/>
                <w:sz w:val="17"/>
                <w:szCs w:val="17"/>
                <w:color w:val="auto"/>
                <w:w w:val="93"/>
              </w:rPr>
              <w:t>Other</w:t>
            </w:r>
          </w:p>
        </w:tc>
        <w:tc>
          <w:tcPr>
            <w:tcW w:w="200" w:type="dxa"/>
            <w:vAlign w:val="bottom"/>
          </w:tcPr>
          <w:p>
            <w:pPr>
              <w:spacing w:after="0"/>
              <w:rPr>
                <w:sz w:val="4"/>
                <w:szCs w:val="4"/>
                <w:color w:val="auto"/>
              </w:rPr>
            </w:pPr>
          </w:p>
        </w:tc>
        <w:tc>
          <w:tcPr>
            <w:tcW w:w="840" w:type="dxa"/>
            <w:vAlign w:val="bottom"/>
            <w:gridSpan w:val="2"/>
            <w:vMerge w:val="restart"/>
          </w:tcPr>
          <w:p>
            <w:pPr>
              <w:spacing w:after="0"/>
              <w:rPr>
                <w:sz w:val="20"/>
                <w:szCs w:val="20"/>
                <w:color w:val="auto"/>
              </w:rPr>
            </w:pPr>
            <w:r>
              <w:rPr>
                <w:rFonts w:ascii="Arial" w:cs="Arial" w:eastAsia="Arial" w:hAnsi="Arial"/>
                <w:sz w:val="18"/>
                <w:szCs w:val="18"/>
                <w:color w:val="auto"/>
              </w:rPr>
              <w:t>Retained</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Treasury</w:t>
            </w:r>
          </w:p>
        </w:tc>
        <w:tc>
          <w:tcPr>
            <w:tcW w:w="160" w:type="dxa"/>
            <w:vAlign w:val="bottom"/>
          </w:tcPr>
          <w:p>
            <w:pPr>
              <w:spacing w:after="0"/>
              <w:rPr>
                <w:sz w:val="4"/>
                <w:szCs w:val="4"/>
                <w:color w:val="auto"/>
              </w:rPr>
            </w:pPr>
          </w:p>
        </w:tc>
        <w:tc>
          <w:tcPr>
            <w:tcW w:w="1280" w:type="dxa"/>
            <w:vAlign w:val="bottom"/>
            <w:vMerge w:val="restart"/>
          </w:tcPr>
          <w:p>
            <w:pPr>
              <w:jc w:val="center"/>
              <w:ind w:right="110"/>
              <w:spacing w:after="0" w:line="149" w:lineRule="exact"/>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74"/>
        </w:trPr>
        <w:tc>
          <w:tcPr>
            <w:tcW w:w="3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ind w:right="11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15"/>
                <w:szCs w:val="15"/>
                <w:color w:val="auto"/>
              </w:rPr>
            </w:pPr>
          </w:p>
        </w:tc>
        <w:tc>
          <w:tcPr>
            <w:tcW w:w="7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w w:val="96"/>
              </w:rPr>
              <w:t>Amount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center"/>
              <w:ind w:right="190"/>
              <w:spacing w:after="0" w:line="176" w:lineRule="exact"/>
              <w:rPr>
                <w:sz w:val="20"/>
                <w:szCs w:val="20"/>
                <w:color w:val="auto"/>
              </w:rPr>
            </w:pPr>
            <w:r>
              <w:rPr>
                <w:rFonts w:ascii="Arial" w:cs="Arial" w:eastAsia="Arial" w:hAnsi="Arial"/>
                <w:sz w:val="18"/>
                <w:szCs w:val="18"/>
                <w:color w:val="auto"/>
                <w:w w:val="94"/>
              </w:rPr>
              <w:t>Paid-In</w:t>
            </w:r>
          </w:p>
        </w:tc>
        <w:tc>
          <w:tcPr>
            <w:tcW w:w="160" w:type="dxa"/>
            <w:vAlign w:val="bottom"/>
          </w:tcPr>
          <w:p>
            <w:pPr>
              <w:spacing w:after="0"/>
              <w:rPr>
                <w:sz w:val="15"/>
                <w:szCs w:val="15"/>
                <w:color w:val="auto"/>
              </w:rPr>
            </w:pPr>
          </w:p>
        </w:tc>
        <w:tc>
          <w:tcPr>
            <w:tcW w:w="1380" w:type="dxa"/>
            <w:vAlign w:val="bottom"/>
            <w:gridSpan w:val="2"/>
          </w:tcPr>
          <w:p>
            <w:pPr>
              <w:jc w:val="center"/>
              <w:ind w:right="130"/>
              <w:spacing w:after="0" w:line="176" w:lineRule="exact"/>
              <w:rPr>
                <w:sz w:val="20"/>
                <w:szCs w:val="20"/>
                <w:color w:val="auto"/>
              </w:rPr>
            </w:pPr>
            <w:r>
              <w:rPr>
                <w:rFonts w:ascii="Arial" w:cs="Arial" w:eastAsia="Arial" w:hAnsi="Arial"/>
                <w:sz w:val="18"/>
                <w:szCs w:val="18"/>
                <w:color w:val="auto"/>
                <w:w w:val="88"/>
              </w:rPr>
              <w:t>Comprehensive</w:t>
            </w: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Stockholders'</w:t>
            </w:r>
          </w:p>
        </w:tc>
        <w:tc>
          <w:tcPr>
            <w:tcW w:w="0" w:type="dxa"/>
            <w:vAlign w:val="bottom"/>
          </w:tcPr>
          <w:p>
            <w:pPr>
              <w:spacing w:after="0"/>
              <w:rPr>
                <w:sz w:val="1"/>
                <w:szCs w:val="1"/>
                <w:color w:val="auto"/>
              </w:rPr>
            </w:pPr>
          </w:p>
        </w:tc>
      </w:tr>
      <w:tr>
        <w:trPr>
          <w:trHeight w:val="229"/>
        </w:trPr>
        <w:tc>
          <w:tcPr>
            <w:tcW w:w="3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2"/>
              </w:rPr>
              <w:t>Capital</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Loss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Stock</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January 2, 2021</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81,239</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142,880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175"/>
        </w:trPr>
        <w:tc>
          <w:tcPr>
            <w:tcW w:w="33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Cumulative effect of change in</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(71,385)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7,271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(64,114)</w:t>
            </w:r>
          </w:p>
        </w:tc>
        <w:tc>
          <w:tcPr>
            <w:tcW w:w="0" w:type="dxa"/>
            <w:vAlign w:val="bottom"/>
          </w:tcPr>
          <w:p>
            <w:pPr>
              <w:spacing w:after="0"/>
              <w:rPr>
                <w:sz w:val="1"/>
                <w:szCs w:val="1"/>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accounting principle</w:t>
            </w:r>
          </w:p>
        </w:tc>
        <w:tc>
          <w:tcPr>
            <w:tcW w:w="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Balances at January 3, 2021 - as adjusted</w:t>
            </w: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81,239</w:t>
            </w:r>
          </w:p>
        </w:tc>
        <w:tc>
          <w:tcPr>
            <w:tcW w:w="1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724,312</w:t>
            </w:r>
          </w:p>
        </w:tc>
        <w:tc>
          <w:tcPr>
            <w:tcW w:w="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150,151</w:t>
            </w: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(28,496)</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842,388</w:t>
            </w:r>
          </w:p>
        </w:tc>
        <w:tc>
          <w:tcPr>
            <w:tcW w:w="0" w:type="dxa"/>
            <w:vAlign w:val="bottom"/>
          </w:tcPr>
          <w:p>
            <w:pPr>
              <w:spacing w:after="0"/>
              <w:rPr>
                <w:sz w:val="1"/>
                <w:szCs w:val="1"/>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70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176"/>
        </w:trPr>
        <w:tc>
          <w:tcPr>
            <w:tcW w:w="33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(loss) on hedge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7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43,432</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43,432</w:t>
            </w: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April 3, 2021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81,385</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193,583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887,532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Borders>
              <w:top w:val="single" w:sz="8" w:color="auto"/>
              <w:bottom w:val="single" w:sz="8" w:color="auto"/>
            </w:tcBorders>
            <w:gridSpan w:val="7"/>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Three Months Ended March 28, 2020</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right"/>
              <w:ind w:right="30"/>
              <w:spacing w:after="0"/>
              <w:rPr>
                <w:sz w:val="20"/>
                <w:szCs w:val="20"/>
                <w:color w:val="auto"/>
              </w:rPr>
            </w:pPr>
            <w:r>
              <w:rPr>
                <w:rFonts w:ascii="Arial" w:cs="Arial" w:eastAsia="Arial" w:hAnsi="Arial"/>
                <w:sz w:val="18"/>
                <w:szCs w:val="18"/>
                <w:color w:val="auto"/>
              </w:rPr>
              <w:t>Common Stock</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1"/>
              </w:rPr>
              <w:t>Retained</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w w:val="92"/>
              </w:rPr>
              <w:t>Treasury</w:t>
            </w:r>
          </w:p>
        </w:tc>
        <w:tc>
          <w:tcPr>
            <w:tcW w:w="160" w:type="dxa"/>
            <w:vAlign w:val="bottom"/>
          </w:tcPr>
          <w:p>
            <w:pPr>
              <w:spacing w:after="0"/>
              <w:rPr>
                <w:sz w:val="3"/>
                <w:szCs w:val="3"/>
                <w:color w:val="auto"/>
              </w:rPr>
            </w:pPr>
          </w:p>
        </w:tc>
        <w:tc>
          <w:tcPr>
            <w:tcW w:w="1280" w:type="dxa"/>
            <w:vAlign w:val="bottom"/>
            <w:vMerge w:val="restart"/>
          </w:tcPr>
          <w:p>
            <w:pPr>
              <w:jc w:val="center"/>
              <w:ind w:right="110"/>
              <w:spacing w:after="0" w:line="176"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15"/>
        </w:trPr>
        <w:tc>
          <w:tcPr>
            <w:tcW w:w="3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15"/>
                <w:szCs w:val="15"/>
                <w:color w:val="auto"/>
              </w:rPr>
            </w:pP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w w:val="96"/>
              </w:rPr>
              <w:t>Amount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4"/>
              </w:rPr>
              <w:t>Paid-In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0"/>
              </w:rPr>
              <w:t>Comprehensive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Stockholders'</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Capital</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Loss</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Earnings</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December 28, 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175"/>
        </w:trPr>
        <w:tc>
          <w:tcPr>
            <w:tcW w:w="33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4"/>
              </w:rPr>
              <w:t>Cumulative effect of change in accounting</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0" w:type="dxa"/>
            <w:vAlign w:val="bottom"/>
            <w:gridSpan w:val="2"/>
            <w:vMerge w:val="restart"/>
          </w:tcPr>
          <w:p>
            <w:pPr>
              <w:jc w:val="center"/>
              <w:ind w:left="10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principle</w:t>
            </w:r>
          </w:p>
        </w:tc>
        <w:tc>
          <w:tcPr>
            <w:tcW w:w="88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Balances at December 29, 2019 - as adjusted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2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775,908</w:t>
            </w:r>
          </w:p>
        </w:tc>
        <w:tc>
          <w:tcPr>
            <w:tcW w:w="0" w:type="dxa"/>
            <w:vAlign w:val="bottom"/>
          </w:tcPr>
          <w:p>
            <w:pPr>
              <w:spacing w:after="0"/>
              <w:rPr>
                <w:sz w:val="1"/>
                <w:szCs w:val="1"/>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5,114</w:t>
            </w:r>
          </w:p>
        </w:tc>
        <w:tc>
          <w:tcPr>
            <w:tcW w:w="180" w:type="dxa"/>
            <w:vAlign w:val="bottom"/>
          </w:tcPr>
          <w:p>
            <w:pPr>
              <w:spacing w:after="0"/>
              <w:rPr>
                <w:sz w:val="19"/>
                <w:szCs w:val="19"/>
                <w:color w:val="auto"/>
              </w:rPr>
            </w:pPr>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0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700" w:type="dxa"/>
            <w:vAlign w:val="bottom"/>
          </w:tcPr>
          <w:p>
            <w:pPr>
              <w:spacing w:after="0"/>
              <w:rPr>
                <w:sz w:val="19"/>
                <w:szCs w:val="19"/>
                <w:color w:val="auto"/>
              </w:rPr>
            </w:pPr>
          </w:p>
        </w:tc>
        <w:tc>
          <w:tcPr>
            <w:tcW w:w="380" w:type="dxa"/>
            <w:vAlign w:val="bottom"/>
            <w:gridSpan w:val="2"/>
          </w:tcPr>
          <w:p>
            <w:pPr>
              <w:jc w:val="center"/>
              <w:ind w:right="70"/>
              <w:spacing w:after="0"/>
              <w:rPr>
                <w:sz w:val="20"/>
                <w:szCs w:val="20"/>
                <w:color w:val="auto"/>
              </w:rPr>
            </w:pPr>
            <w:r>
              <w:rPr>
                <w:rFonts w:ascii="Arial" w:cs="Arial" w:eastAsia="Arial" w:hAnsi="Arial"/>
                <w:sz w:val="18"/>
                <w:szCs w:val="18"/>
                <w:color w:val="auto"/>
                <w:w w:val="99"/>
              </w:rPr>
              <w:t>(2)</w:t>
            </w:r>
          </w:p>
        </w:tc>
        <w:tc>
          <w:tcPr>
            <w:tcW w:w="5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(loss) on hedge</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8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left="10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9,742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Balances at March 28, 2020</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80,278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707,301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116,345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786,160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April 3, 2021 and March 28,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color w:val="auto"/>
              </w:rPr>
              <w:t>Three Months Ended</w:t>
            </w:r>
          </w:p>
        </w:tc>
      </w:tr>
      <w:tr>
        <w:trPr>
          <w:trHeight w:val="209"/>
        </w:trPr>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color w:val="auto"/>
              </w:rPr>
              <w:t>April 3, 2021</w:t>
            </w:r>
          </w:p>
        </w:tc>
        <w:tc>
          <w:tcPr>
            <w:tcW w:w="20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March 28, 2020</w:t>
            </w:r>
          </w:p>
        </w:tc>
      </w:tr>
      <w:tr>
        <w:trPr>
          <w:trHeight w:val="199"/>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43,432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9,742</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23,555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24,810</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11,355</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2,093</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1,695</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w:t>
            </w: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16,431</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(8,428)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(4,511)</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 and lease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3,524</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19,171</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Deferred and unearned revenue</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22,973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(19,006)</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11,197</w:t>
            </w:r>
          </w:p>
        </w:tc>
      </w:tr>
      <w:tr>
        <w:trPr>
          <w:trHeight w:val="206"/>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97,652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86,060</w:t>
            </w:r>
          </w:p>
        </w:tc>
      </w:tr>
      <w:tr>
        <w:trPr>
          <w:trHeight w:val="19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(13,053)</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6"/>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for investing activities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(12,854)</w:t>
            </w:r>
          </w:p>
        </w:tc>
      </w:tr>
      <w:tr>
        <w:trPr>
          <w:trHeight w:val="19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Borrowings on long-term debt, net of discounts</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146,269</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on long-term debt</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5,120</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treasury stock</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r>
      <w:tr>
        <w:trPr>
          <w:trHeight w:val="206"/>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150,601</w:t>
            </w:r>
          </w:p>
        </w:tc>
      </w:tr>
      <w:tr>
        <w:trPr>
          <w:trHeight w:val="21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223,807</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40,307</w:t>
            </w: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455,348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264,114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5,706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7,065</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12,176</w:t>
            </w: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 owned subsidiary, National Vision, Inc. (“NVI”) and NVI’s wholly owned subsidiaries. We are a leading value retailer of eyeglasses and contact lenses in the United States. We operated 1,230 and 1,205 retail optical locations in the United States and its territories as of April 3, 2021 and January 2, 2021, respectively, through our five store brands, including America’s Best Contacts and Eyeglasses (“America’s Best”), Eyeglass World, Vista Optical locations on select U.S. Army/Air Force military bases (“Military”) and within select Fred Meyer stores, and our management &amp; services arrangement with Walmart (“Legacy”).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January 2, 2021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 Certain prior year amounts in the Condensed Consolidated Statements of Cash Flows have been reclassified to conform to the current presentation.</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January 2, 2021 included in the 2020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three months ended April 3, 2021, except for the adoption of Accounting Standards Update (“ASU”) No.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See “Adoption of New Accounting Pronouncements” below for further discussion.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our accounts and those of our subsidiaries, all of which are wholly-owned. All intercompany balances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fiscal year consists of 52 or 53 weeks ending on the Saturday closest to December 31. Fiscal year 2021 contains 52 weeks and will end on January 1, 2022. All three month periods presented herein contain 13 weeks. All references to years and quarters relate to fiscal periods rather than calendar periods.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consolidated results of operations for the three months ended April 3, 2021 and March 28, 2020,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w:t>
      </w:r>
    </w:p>
    <w:p>
      <w:pPr>
        <w:spacing w:after="0" w:line="6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COVID-19 pandemic resulted in the temporary closure of our stores for a portion of the first half of fiscal year 2020 and caused changes in fiscal year 2020 seasonality. COVID-19 may continue to cause changes to the seasonality we have historically experienced in fiscal year 2021 and beyond.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provision for the three months ended April 3, 2021 reflected our statutory federal and state rate of 25.5%, combined with a benefit of $2.1 million for the stranded tax effect associated with our interest rate swaps that matured in the first quarter of 2021. In comparison, the income tax benefit for the three months ended March 28, 2020 reflected our statutory federal and state rate of 25.5% combined with a benefit of $2.7 million resulting from stock option exercises.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Adoption of 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Convertible Instruments and Contracts in an Entity’s Own Equity. </w:t>
      </w:r>
      <w:r>
        <w:rPr>
          <w:rFonts w:ascii="Arial" w:cs="Arial" w:eastAsia="Arial" w:hAnsi="Arial"/>
          <w:sz w:val="16"/>
          <w:szCs w:val="16"/>
          <w:color w:val="auto"/>
        </w:rPr>
        <w:t>In August 2020, the Financial Accounting Standards Board (“FASB”) issued ASU 2020-</w:t>
      </w:r>
    </w:p>
    <w:p>
      <w:pPr>
        <w:spacing w:after="0" w:line="46" w:lineRule="exact"/>
        <w:rPr>
          <w:sz w:val="20"/>
          <w:szCs w:val="20"/>
          <w:color w:val="auto"/>
        </w:rPr>
      </w:pPr>
    </w:p>
    <w:p>
      <w:pPr>
        <w:jc w:val="both"/>
        <w:ind w:firstLine="8"/>
        <w:spacing w:after="0" w:line="286" w:lineRule="auto"/>
        <w:tabs>
          <w:tab w:leader="none" w:pos="29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new guidance simplifies and adds disclosure requirements for the accounting and measurement of convertible instruments and the settlement assessment for contracts in an entity’s own equity. The guidance also requires the application of the if-converted method to calculate the impact of convertible instruments on diluted earnings per share. ASU 2020-06 is effective for fiscal years, and for interim periods within those fiscal years, beginning after December 15, 2021. The company early adopted the guidance in the first quarter of 2021 using the modified retrospective approach and recognized a cumulative effect of the change of $7.3 million as an adjustment to the opening balance of retained earnings. Upon adoption of ASU 2020-06 the Company eliminated the equity components related to its convertible debt and increased the related liability components by $82.9 million. In addition, as a result of the adoption, our deferred tax liabilities decreased by $18.8 million and additional paid-in capital decreased by $71.4 million. The adoption did not have an impact on the calculated weighted average shares outstanding used in the calculation of diluted EPS since the Company was using the if-converted method prior to the adoption of ASU 2020-06. Refer to Note 11. “Earnings per Share” for more information.</w:t>
      </w:r>
    </w:p>
    <w:p>
      <w:pPr>
        <w:spacing w:after="0" w:line="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impact of adoption on the Company’s condensed consolidated statement of operations for the three months ended April 3, 2021: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earnings per share)</w:t>
            </w:r>
          </w:p>
        </w:tc>
        <w:tc>
          <w:tcPr>
            <w:tcW w:w="120" w:type="dxa"/>
            <w:vAlign w:val="bottom"/>
          </w:tcPr>
          <w:p>
            <w:pPr>
              <w:spacing w:after="0"/>
              <w:rPr>
                <w:sz w:val="17"/>
                <w:szCs w:val="17"/>
                <w:color w:val="auto"/>
              </w:rPr>
            </w:pPr>
          </w:p>
        </w:tc>
        <w:tc>
          <w:tcPr>
            <w:tcW w:w="2380" w:type="dxa"/>
            <w:vAlign w:val="bottom"/>
            <w:gridSpan w:val="2"/>
            <w:vMerge w:val="restart"/>
          </w:tcPr>
          <w:p>
            <w:pPr>
              <w:spacing w:after="0"/>
              <w:rPr>
                <w:sz w:val="20"/>
                <w:szCs w:val="20"/>
                <w:color w:val="auto"/>
              </w:rPr>
            </w:pPr>
            <w:r>
              <w:rPr>
                <w:rFonts w:ascii="Arial" w:cs="Arial" w:eastAsia="Arial" w:hAnsi="Arial"/>
                <w:sz w:val="18"/>
                <w:szCs w:val="18"/>
                <w:color w:val="auto"/>
              </w:rPr>
              <w:t>With ASU 2020-06 Adoption</w:t>
            </w:r>
          </w:p>
        </w:tc>
        <w:tc>
          <w:tcPr>
            <w:tcW w:w="240" w:type="dxa"/>
            <w:vAlign w:val="bottom"/>
          </w:tcPr>
          <w:p>
            <w:pPr>
              <w:spacing w:after="0"/>
              <w:rPr>
                <w:sz w:val="17"/>
                <w:szCs w:val="17"/>
                <w:color w:val="auto"/>
              </w:rPr>
            </w:pP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Without ASU 2020-06</w:t>
            </w:r>
          </w:p>
        </w:tc>
        <w:tc>
          <w:tcPr>
            <w:tcW w:w="260" w:type="dxa"/>
            <w:vAlign w:val="bottom"/>
          </w:tcPr>
          <w:p>
            <w:pPr>
              <w:spacing w:after="0"/>
              <w:rPr>
                <w:sz w:val="17"/>
                <w:szCs w:val="17"/>
                <w:color w:val="auto"/>
              </w:rPr>
            </w:pPr>
          </w:p>
        </w:tc>
        <w:tc>
          <w:tcPr>
            <w:tcW w:w="1980" w:type="dxa"/>
            <w:vAlign w:val="bottom"/>
            <w:vMerge w:val="restart"/>
          </w:tcPr>
          <w:p>
            <w:pPr>
              <w:jc w:val="right"/>
              <w:ind w:right="330"/>
              <w:spacing w:after="0"/>
              <w:rPr>
                <w:sz w:val="20"/>
                <w:szCs w:val="20"/>
                <w:color w:val="auto"/>
              </w:rPr>
            </w:pPr>
            <w:r>
              <w:rPr>
                <w:rFonts w:ascii="Arial" w:cs="Arial" w:eastAsia="Arial" w:hAnsi="Arial"/>
                <w:sz w:val="18"/>
                <w:szCs w:val="18"/>
                <w:color w:val="auto"/>
              </w:rPr>
              <w:t>Impact of Adoption</w:t>
            </w:r>
          </w:p>
        </w:tc>
        <w:tc>
          <w:tcPr>
            <w:tcW w:w="0" w:type="dxa"/>
            <w:vAlign w:val="bottom"/>
          </w:tcPr>
          <w:p>
            <w:pPr>
              <w:spacing w:after="0"/>
              <w:rPr>
                <w:sz w:val="1"/>
                <w:szCs w:val="1"/>
                <w:color w:val="auto"/>
              </w:rPr>
            </w:pPr>
          </w:p>
        </w:tc>
      </w:tr>
      <w:tr>
        <w:trPr>
          <w:trHeight w:val="229"/>
        </w:trPr>
        <w:tc>
          <w:tcPr>
            <w:tcW w:w="4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Adoption</w:t>
            </w:r>
          </w:p>
        </w:tc>
        <w:tc>
          <w:tcPr>
            <w:tcW w:w="260" w:type="dxa"/>
            <w:vAlign w:val="bottom"/>
          </w:tcPr>
          <w:p>
            <w:pPr>
              <w:spacing w:after="0"/>
              <w:rPr>
                <w:sz w:val="19"/>
                <w:szCs w:val="19"/>
                <w:color w:val="auto"/>
              </w:rPr>
            </w:pP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61,448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61,448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55,118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51,312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Earnings per share:</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4"/>
          <w:szCs w:val="14"/>
          <w:i w:val="1"/>
          <w:iCs w:val="1"/>
          <w:color w:val="auto"/>
        </w:rPr>
        <w:t>Impact of adoption on basic earnings per share is calculated using impact on net income divided by basic weighted average shares outstanding during the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Reference Rate Reform. </w:t>
      </w: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 xml:space="preserve"> Facilitation of the Effects of Reference Rate Reform on Financial Reporting </w:t>
      </w:r>
      <w:r>
        <w:rPr>
          <w:rFonts w:ascii="Arial" w:cs="Arial" w:eastAsia="Arial" w:hAnsi="Arial"/>
          <w:sz w:val="16"/>
          <w:szCs w:val="16"/>
          <w:color w:val="auto"/>
        </w:rPr>
        <w:t>(“ASU 2020-04”). This guidance provides optional expedients and exceptions for applying U.S. GAAP to contracts, hedging relationships, and other transactions that may be affected by the cessation of the London Inter-bank Offered Rate (“LIBOR.”) An entity may elect to apply the amendments for contract modifications as of any date from the beginning of an interim period that includes or is subsequent to March 12, 2020 through December 31, 2022. A substantial portion of our debt is subject to interest payments that are indexed to LIBOR; additionally, we are party to an interest rate derivative based on LIBOR. We are currently evaluating the effect of this guidance and have not applied the provisions of this guidance during the current fiscal year.</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FASB issued other accounting guidance during the period that is not currently applicable or expected to have a material impact on the Company’s condensed consolidated financial statements, and therefore, is not described above.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2. Details of Certain Balance Sheet Accounts</w:t>
            </w:r>
          </w:p>
        </w:tc>
        <w:tc>
          <w:tcPr>
            <w:tcW w:w="1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Pr>
          <w:p>
            <w:pPr>
              <w:jc w:val="center"/>
              <w:ind w:left="614"/>
              <w:spacing w:after="0"/>
              <w:rPr>
                <w:sz w:val="20"/>
                <w:szCs w:val="20"/>
                <w:color w:val="auto"/>
              </w:rPr>
            </w:pPr>
            <w:r>
              <w:rPr>
                <w:rFonts w:ascii="Arial" w:cs="Arial" w:eastAsia="Arial" w:hAnsi="Arial"/>
                <w:sz w:val="18"/>
                <w:szCs w:val="18"/>
                <w:color w:val="auto"/>
                <w:w w:val="97"/>
              </w:rPr>
              <w:t>As of</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2"/>
            <w:vMerge w:val="continue"/>
          </w:tcPr>
          <w:p>
            <w:pPr>
              <w:spacing w:after="0"/>
              <w:rPr>
                <w:sz w:val="19"/>
                <w:szCs w:val="19"/>
                <w:color w:val="auto"/>
              </w:rPr>
            </w:pPr>
          </w:p>
        </w:tc>
        <w:tc>
          <w:tcPr>
            <w:tcW w:w="170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94"/>
              </w:rPr>
              <w:t>April 3, 2021</w:t>
            </w: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9"/>
              </w:rPr>
              <w:t>January 2, 2021</w:t>
            </w: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1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140"/>
              <w:spacing w:after="0"/>
              <w:rPr>
                <w:sz w:val="20"/>
                <w:szCs w:val="20"/>
                <w:color w:val="auto"/>
              </w:rPr>
            </w:pPr>
            <w:r>
              <w:rPr>
                <w:rFonts w:ascii="Arial" w:cs="Arial" w:eastAsia="Arial" w:hAnsi="Arial"/>
                <w:sz w:val="18"/>
                <w:szCs w:val="18"/>
                <w:color w:val="auto"/>
              </w:rPr>
              <w:t>Trade receivables</w:t>
            </w:r>
          </w:p>
        </w:tc>
        <w:tc>
          <w:tcPr>
            <w:tcW w:w="1700" w:type="dxa"/>
            <w:vAlign w:val="bottom"/>
          </w:tcPr>
          <w:p>
            <w:pPr>
              <w:jc w:val="right"/>
              <w:ind w:right="1514"/>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30,885</w:t>
            </w:r>
          </w:p>
        </w:tc>
        <w:tc>
          <w:tcPr>
            <w:tcW w:w="20" w:type="dxa"/>
            <w:vAlign w:val="bottom"/>
          </w:tcPr>
          <w:p>
            <w:pPr>
              <w:spacing w:after="0"/>
              <w:rPr>
                <w:sz w:val="19"/>
                <w:szCs w:val="19"/>
                <w:color w:val="auto"/>
              </w:rPr>
            </w:pPr>
          </w:p>
        </w:tc>
        <w:tc>
          <w:tcPr>
            <w:tcW w:w="4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28,405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Credit card receivables</w:t>
            </w:r>
          </w:p>
        </w:tc>
        <w:tc>
          <w:tcPr>
            <w:tcW w:w="17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140"/>
              <w:spacing w:after="0"/>
              <w:rPr>
                <w:sz w:val="20"/>
                <w:szCs w:val="20"/>
                <w:color w:val="auto"/>
              </w:rPr>
            </w:pPr>
            <w:r>
              <w:rPr>
                <w:rFonts w:ascii="Arial" w:cs="Arial" w:eastAsia="Arial" w:hAnsi="Arial"/>
                <w:sz w:val="18"/>
                <w:szCs w:val="18"/>
                <w:color w:val="auto"/>
              </w:rPr>
              <w:t>Other receivables</w:t>
            </w:r>
          </w:p>
        </w:tc>
        <w:tc>
          <w:tcPr>
            <w:tcW w:w="1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Allowance for credit losses</w:t>
            </w:r>
          </w:p>
        </w:tc>
        <w:tc>
          <w:tcPr>
            <w:tcW w:w="17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bottom w:val="single" w:sz="8" w:color="auto"/>
            </w:tcBorders>
          </w:tcPr>
          <w:p>
            <w:pPr>
              <w:jc w:val="right"/>
              <w:ind w:right="151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3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Pr>
          <w:p>
            <w:pPr>
              <w:jc w:val="center"/>
              <w:ind w:left="574"/>
              <w:spacing w:after="0"/>
              <w:rPr>
                <w:sz w:val="20"/>
                <w:szCs w:val="20"/>
                <w:color w:val="auto"/>
              </w:rPr>
            </w:pPr>
            <w:r>
              <w:rPr>
                <w:rFonts w:ascii="Arial" w:cs="Arial" w:eastAsia="Arial" w:hAnsi="Arial"/>
                <w:sz w:val="18"/>
                <w:szCs w:val="18"/>
                <w:color w:val="auto"/>
                <w:w w:val="97"/>
              </w:rPr>
              <w:t>As of</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As of</w:t>
            </w:r>
          </w:p>
        </w:tc>
        <w:tc>
          <w:tcPr>
            <w:tcW w:w="0" w:type="dxa"/>
            <w:vAlign w:val="bottom"/>
          </w:tcPr>
          <w:p>
            <w:pPr>
              <w:spacing w:after="0"/>
              <w:rPr>
                <w:sz w:val="1"/>
                <w:szCs w:val="1"/>
                <w:color w:val="auto"/>
              </w:rPr>
            </w:pPr>
          </w:p>
        </w:tc>
      </w:tr>
      <w:tr>
        <w:trPr>
          <w:trHeight w:val="230"/>
        </w:trPr>
        <w:tc>
          <w:tcPr>
            <w:tcW w:w="6320" w:type="dxa"/>
            <w:vAlign w:val="bottom"/>
            <w:gridSpan w:val="2"/>
            <w:vMerge w:val="continue"/>
          </w:tcPr>
          <w:p>
            <w:pPr>
              <w:spacing w:after="0"/>
              <w:rPr>
                <w:sz w:val="19"/>
                <w:szCs w:val="19"/>
                <w:color w:val="auto"/>
              </w:rPr>
            </w:pPr>
          </w:p>
        </w:tc>
        <w:tc>
          <w:tcPr>
            <w:tcW w:w="1700" w:type="dxa"/>
            <w:vAlign w:val="bottom"/>
          </w:tcPr>
          <w:p>
            <w:pPr>
              <w:jc w:val="center"/>
              <w:ind w:left="574"/>
              <w:spacing w:after="0"/>
              <w:rPr>
                <w:sz w:val="20"/>
                <w:szCs w:val="20"/>
                <w:color w:val="auto"/>
              </w:rPr>
            </w:pPr>
            <w:r>
              <w:rPr>
                <w:rFonts w:ascii="Arial" w:cs="Arial" w:eastAsia="Arial" w:hAnsi="Arial"/>
                <w:sz w:val="18"/>
                <w:szCs w:val="18"/>
                <w:color w:val="auto"/>
                <w:w w:val="94"/>
              </w:rPr>
              <w:t>April 3, 2021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January 2, 2021</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1700" w:type="dxa"/>
            <w:vAlign w:val="bottom"/>
          </w:tcPr>
          <w:p>
            <w:pPr>
              <w:jc w:val="right"/>
              <w:ind w:right="153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56,081</w:t>
            </w:r>
          </w:p>
        </w:tc>
        <w:tc>
          <w:tcPr>
            <w:tcW w:w="20" w:type="dxa"/>
            <w:vAlign w:val="bottom"/>
          </w:tcPr>
          <w:p>
            <w:pPr>
              <w:spacing w:after="0"/>
              <w:rPr>
                <w:sz w:val="19"/>
                <w:szCs w:val="19"/>
                <w:color w:val="auto"/>
              </w:rPr>
            </w:pPr>
          </w:p>
        </w:tc>
        <w:tc>
          <w:tcPr>
            <w:tcW w:w="4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55,473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7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153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119,525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0</wp:posOffset>
            </wp:positionV>
            <wp:extent cx="31203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 w:lineRule="exact"/>
        <w:rPr>
          <w:sz w:val="20"/>
          <w:szCs w:val="20"/>
          <w:color w:val="auto"/>
        </w:rPr>
      </w:pPr>
    </w:p>
    <w:p>
      <w:pPr>
        <w:ind w:left="260" w:right="40" w:hanging="234"/>
        <w:spacing w:after="0" w:line="236" w:lineRule="auto"/>
        <w:tabs>
          <w:tab w:leader="none" w:pos="252" w:val="left"/>
        </w:tabs>
        <w:numPr>
          <w:ilvl w:val="0"/>
          <w:numId w:val="6"/>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-188595</wp:posOffset>
            </wp:positionV>
            <wp:extent cx="3120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As of</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93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vMerge w:val="continue"/>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April 3, 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payables and accrued expenses:</w:t>
            </w:r>
          </w:p>
        </w:tc>
        <w:tc>
          <w:tcPr>
            <w:tcW w:w="1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Associate compensation and benefits </w:t>
            </w:r>
            <w:r>
              <w:rPr>
                <w:rFonts w:ascii="Arial" w:cs="Arial" w:eastAsia="Arial" w:hAnsi="Arial"/>
                <w:sz w:val="23"/>
                <w:szCs w:val="23"/>
                <w:color w:val="auto"/>
                <w:vertAlign w:val="superscript"/>
              </w:rPr>
              <w:t>(1)</w:t>
            </w:r>
          </w:p>
        </w:tc>
        <w:tc>
          <w:tcPr>
            <w:tcW w:w="1760" w:type="dxa"/>
            <w:vAlign w:val="bottom"/>
          </w:tcPr>
          <w:p>
            <w:pPr>
              <w:jc w:val="right"/>
              <w:ind w:right="15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38,125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51,081</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Self-insurance liabilities</w:t>
            </w:r>
          </w:p>
        </w:tc>
        <w:tc>
          <w:tcPr>
            <w:tcW w:w="1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8,650</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Reserves for customer returns and remakes</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Legacy management &amp; services agreement</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Fair value of derivative liabilities</w:t>
            </w:r>
          </w:p>
        </w:tc>
        <w:tc>
          <w:tcPr>
            <w:tcW w:w="1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Supplies and other store support expenses</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Litigation settlements</w:t>
            </w:r>
          </w:p>
        </w:tc>
        <w:tc>
          <w:tcPr>
            <w:tcW w:w="1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concessions</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15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110,309</w:t>
            </w:r>
          </w:p>
        </w:tc>
        <w:tc>
          <w:tcPr>
            <w:tcW w:w="0" w:type="dxa"/>
            <w:vAlign w:val="bottom"/>
          </w:tcPr>
          <w:p>
            <w:pPr>
              <w:spacing w:after="0"/>
              <w:rPr>
                <w:sz w:val="1"/>
                <w:szCs w:val="1"/>
                <w:color w:val="auto"/>
              </w:rPr>
            </w:pPr>
          </w:p>
        </w:tc>
      </w:tr>
    </w:tbl>
    <w:p>
      <w:pPr>
        <w:ind w:left="20" w:right="460" w:firstLine="42"/>
        <w:spacing w:after="0" w:line="232"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the Coronavirus Aid, Relief, and Economic Security (“CARES”) Act deferred employer payroll taxes in the amount of $0.0 million and $12.8 million as of April 3, 2021 and January 2,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-188595</wp:posOffset>
            </wp:positionV>
            <wp:extent cx="31203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As of</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93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vMerge w:val="continue"/>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April 3, 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1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Fair value of derivative liabilities</w:t>
            </w:r>
          </w:p>
        </w:tc>
        <w:tc>
          <w:tcPr>
            <w:tcW w:w="1760" w:type="dxa"/>
            <w:vAlign w:val="bottom"/>
          </w:tcPr>
          <w:p>
            <w:pPr>
              <w:jc w:val="right"/>
              <w:ind w:right="15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7,663</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Self-insurance liabilities</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15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Derivatives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See Note 5. “Interest Rate Derivatives” for further details.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Tangible Long-lived and Right of Use (“ROU”) Store Assets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impairments of $1.0 million during the three months ended April 3, 2021 related to our long-lived tangible store assets and ROU assets. The impairments were primarily driven by lower than projected customer sales volume in certain stores. The cash flows used in estimating fair value were discounted using a market rate of 7.5%. We consider market-based indications of prevailing rental rates for retail space, market participant discount rates, and lease incentives when estimating the fair values of ROU assets.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during the three months ended April 3, 2021 was $2.0 million. Substantially all of the remaining fair value of the impaired store assets in fiscal year 2021 represents the fair value of ROU assets.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fair value information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 - 2025 Notes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$402.5 million in aggregate principal amount of 2.50% convertible senior notes due on May 15, 2025 (the “2025 Notes”) issued and outstanding as of April 3, 2021. Refer to Note 4. “Long-term Debt” for more information on the 2025 Notes. The estimated fair value of the 2025 Notes was approximately $644.3 million and $655.3 million as of April 3, 2021 and January 2, 2021, respectively. The estimated fair value of the 2025 Notes is based on the prices the 2025 Notes have traded in the market as of April 3, 2021, as well as overall market conditions on the date of valuation, stated coupon rates, the number of coupon payments each year and the maturity date, and represents a Level 2 measurement in the fair value hierarchy.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Arial" w:cs="Arial" w:eastAsia="Arial" w:hAnsi="Arial"/>
                <w:sz w:val="18"/>
                <w:szCs w:val="18"/>
                <w:b w:val="1"/>
                <w:bCs w:val="1"/>
                <w:color w:val="auto"/>
              </w:rPr>
              <w:t>4. Long-term Debt</w:t>
            </w: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80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4"/>
                <w:szCs w:val="24"/>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68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April 3, 2021</w:t>
            </w:r>
          </w:p>
        </w:tc>
        <w:tc>
          <w:tcPr>
            <w:tcW w:w="300" w:type="dxa"/>
            <w:vAlign w:val="bottom"/>
          </w:tcPr>
          <w:p>
            <w:pPr>
              <w:spacing w:after="0"/>
              <w:rPr>
                <w:sz w:val="19"/>
                <w:szCs w:val="19"/>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 due July 18, 2024</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317,375</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before debt discount</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719,875</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Unamortized discount and issuance costs - 2025 Notes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(9,688)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(93,123)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 - term loan</w:t>
            </w: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Long-term debt less debt discount</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708,196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624,611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Long-term debt - non-current portion</w:t>
            </w:r>
          </w:p>
        </w:tc>
        <w:tc>
          <w:tcPr>
            <w:tcW w:w="3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708,196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624,611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651,763</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covenants related to our long-term debt as of April 3,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adopted ASU 2020-06 as of January 3, 2021. ASU 2020-06 eliminates the cash conversion and the beneficial conversion feature models. Under the new convertible debt framework, the Company eliminated the equity components and increased the debt balance. Refer to Note 1. “Description of Business and Basis of Presentation” for further discussion of the adoption of ASU 2020-06. As a result of adopting ASU 2020-06, our effective interest rate decreased from 9.1% as of January 2, 2021 to 3.2% starting in the first quarter of 2021. We recognized $2.5 million and $0.5 million in interest expense for the interest coupon and amortization of issuance costs, respectively, during the three months ended April 3, 2021. As of April 3, 2021, the remaining period for the unamortized debt issuance costs balance was approximately four years.</w:t>
      </w:r>
    </w:p>
    <w:p>
      <w:pPr>
        <w:spacing w:after="0" w:line="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April 3, 2021, the 2025 Notes can be converted by holders. The conversion rate will be subject to adjustment upon the occurrence of certain specified events including, but not limited to: issuance of stock dividends, splits and combinations; distribution of rights, options and warrants; spin-offs and other distributed property; cash dividends or distributions; tender offers or exchange offers; and certain other corporate transactions.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Interest Rate Derivatives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an interest rate collar to offset the variability of cash flows in LIBOR-indexed debt interest payments. The aggregate notional amount of the interest rate collar was $375.0 million as of April 3, 2021. The fair value of our interest rate collar instrument was $8.9 million as of April 3, 2021 and is not designated as a cash flow hedge. The interest rate swaps we held at the end of fiscal year 2020 matured in the first quarter of 2021. The fair value of our interest rate derivative instruments was $12.8 million as of January 2, 2021, $1.5 million of which was designated as a cash flow hedge. See Note 3. “Fair Value Measurement” for further details.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Gains on the change in fair value of the interest rate collar of approximately $2.0 million were recorded in interest expense, net during the three months ended April 3, 2021. Interest expense, net related to our interest rate derivatives considered to be highly effective hedges for the three months ended April 3, 2021 was $1.5 million.</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Cash flows related to derivatives qualifying as hedges are included in the same section of the Condensed Consolidated Statements of Cash Flows as the underlying assets and liabilities being hedged. Cash flows during the three months ended April 3, 2021 related to derivatives not qualifying as hedges were included in the operating section of the Condensed Consolidated Statements of Cash Flows and were immaterial. As of April 3, 2021, the Company expects to reclassify approximately $1.7 million of unrealized losses on derivative instruments, net of tax, from Accumulated other comprehensive loss (“AOCL”) into earnings in the next 12 months as the derivative instruments mature. See Note 13. “Accumulated Other Comprehensive Loss” for further details.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Incentive Plans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April 3, 2021, the Company granted 100,634 stock options, 102,100 performance-based restricted stock units (“PSUs”) and 122,802 time-based restricted stock units (“RSUs”) to eligible employees under the National Vision Holdings, Inc. 2017 Omnibus Incentive Plan (the “2017 Omnibus Incentive Plan”). The time-based options granted in fiscal 2021 vest in three equal annual installments, with one-third of the total options vesting on each of the first, second, and third anniversaries of the grant date, subject to continued employment through the applicable vesting date. The PSUs granted in fiscal 2021 are settled after the end of the performance period (i.e., cliff vesting), which begins on the first day of our 2021 fiscal year and ends on the last day of our 2023 fiscal year, and are based on the Company’s achievement of certain performance targets. The RSUs granted in fiscal 2021 vest primarily in three equal installments.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April 3, 2021, the Company granted 2,112 restricted stock awards (“RSAs”) to eligible members of the Company’s Board of Directors under the 2017 Omnibus Incentive Plan. The awards vest one year from the grant date.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majority of our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 care club memberships and management fees earned from our legacy partner.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depicts our revenue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April 3, 2021</w:t>
            </w:r>
          </w:p>
        </w:tc>
        <w:tc>
          <w:tcPr>
            <w:tcW w:w="20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w w:val="95"/>
              </w:rPr>
              <w:t>March 28, 2020</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493,438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434,179</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recognized over time</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35,525</w:t>
            </w:r>
          </w:p>
        </w:tc>
      </w:tr>
      <w:tr>
        <w:trPr>
          <w:trHeight w:val="248"/>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469,704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10. “Segment Reporting” for the Company’s disaggregation of net revenue by reportable segment and product type.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contract assets and contract liabilities primarily result from timing differences between the performance of our obligations and the customer’s payment.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Credit loss expense recognized on our receivables, which is presented in SG&amp;A expenses in the Company’s condensed consolidated statements of operations, were $0.1 million for the three months ended April 3, 2021 as compared to $0.4 million for the three months ended March 28, 2020.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deferred revenue balance as of April 3, 2021 was $87.9 million. We expect future revenue recognition of this balance of $56.4 million, $22.5 million, $8.3 million, $0.6 million, and $0.1 million in fiscal years 2021, 2022, 2023, 2024, and 2025, respectively. We recognized $20.2 million of previously deferred revenues during the three months ended April 3, 2021 and $28.0 million during the three months ended March 28, 2020.</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Arial" w:cs="Arial" w:eastAsia="Arial" w:hAnsi="Arial"/>
                <w:sz w:val="18"/>
                <w:szCs w:val="18"/>
                <w:b w:val="1"/>
                <w:bCs w:val="1"/>
                <w:color w:val="auto"/>
              </w:rPr>
              <w:t>8. Leases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700" w:type="dxa"/>
            <w:vAlign w:val="bottom"/>
          </w:tcPr>
          <w:p>
            <w:pPr>
              <w:spacing w:after="0"/>
              <w:rPr>
                <w:sz w:val="20"/>
                <w:szCs w:val="20"/>
                <w:color w:val="auto"/>
              </w:rPr>
            </w:pPr>
            <w:r>
              <w:rPr>
                <w:rFonts w:ascii="Arial" w:cs="Arial" w:eastAsia="Arial" w:hAnsi="Arial"/>
                <w:sz w:val="18"/>
                <w:szCs w:val="18"/>
                <w:color w:val="auto"/>
              </w:rPr>
              <w:t>Our lease costs for the three months ended April 3, 2021 and March 28, 2020 were as follows: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1"/>
        </w:trPr>
        <w:tc>
          <w:tcPr>
            <w:tcW w:w="7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color w:val="auto"/>
              </w:rPr>
              <w:t>Three Months Ended</w:t>
            </w: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April 3, 2021</w:t>
            </w:r>
          </w:p>
        </w:tc>
        <w:tc>
          <w:tcPr>
            <w:tcW w:w="200" w:type="dxa"/>
            <w:vAlign w:val="bottom"/>
          </w:tcPr>
          <w:p>
            <w:pPr>
              <w:spacing w:after="0"/>
              <w:rPr>
                <w:sz w:val="19"/>
                <w:szCs w:val="19"/>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color w:val="auto"/>
                <w:w w:val="97"/>
              </w:rPr>
              <w:t>March 28, 2020</w:t>
            </w:r>
          </w:p>
        </w:tc>
      </w:tr>
      <w:tr>
        <w:trPr>
          <w:trHeight w:val="209"/>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lease cost</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7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Fixed lease cost </w:t>
            </w:r>
            <w:r>
              <w:rPr>
                <w:rFonts w:ascii="Arial" w:cs="Arial" w:eastAsia="Arial" w:hAnsi="Arial"/>
                <w:sz w:val="23"/>
                <w:szCs w:val="23"/>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20,651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19,312</w:t>
            </w:r>
          </w:p>
        </w:tc>
      </w:tr>
      <w:tr>
        <w:trPr>
          <w:trHeight w:val="229"/>
        </w:trPr>
        <w:tc>
          <w:tcPr>
            <w:tcW w:w="7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w:t>
            </w:r>
          </w:p>
        </w:tc>
      </w:tr>
      <w:tr>
        <w:trPr>
          <w:trHeight w:val="229"/>
        </w:trPr>
        <w:tc>
          <w:tcPr>
            <w:tcW w:w="7700" w:type="dxa"/>
            <w:vAlign w:val="bottom"/>
          </w:tcPr>
          <w:p>
            <w:pPr>
              <w:ind w:left="20"/>
              <w:spacing w:after="0" w:line="230" w:lineRule="exact"/>
              <w:rPr>
                <w:sz w:val="20"/>
                <w:szCs w:val="20"/>
                <w:color w:val="auto"/>
              </w:rPr>
            </w:pPr>
            <w:r>
              <w:rPr>
                <w:rFonts w:ascii="Arial" w:cs="Arial" w:eastAsia="Arial" w:hAnsi="Arial"/>
                <w:sz w:val="18"/>
                <w:szCs w:val="18"/>
                <w:color w:val="auto"/>
              </w:rPr>
              <w:t>Sublease income</w:t>
            </w:r>
            <w:r>
              <w:rPr>
                <w:rFonts w:ascii="Arial" w:cs="Arial" w:eastAsia="Arial" w:hAnsi="Arial"/>
                <w:sz w:val="23"/>
                <w:szCs w:val="23"/>
                <w:color w:val="auto"/>
                <w:vertAlign w:val="superscript"/>
              </w:rPr>
              <w:t>(c)</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57"/>
        </w:trPr>
        <w:tc>
          <w:tcPr>
            <w:tcW w:w="7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Finance lease cost</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finance lease assets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56"/>
        </w:trPr>
        <w:tc>
          <w:tcPr>
            <w:tcW w:w="7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Interest expense, net: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Interest on finance lease liabilities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56"/>
        </w:trPr>
        <w:tc>
          <w:tcPr>
            <w:tcW w:w="77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spacing w:after="0"/>
              <w:rPr>
                <w:sz w:val="22"/>
                <w:szCs w:val="22"/>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Net lease cost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27,559</w:t>
            </w: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20" w:hanging="194"/>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28" w:lineRule="exact"/>
        <w:rPr>
          <w:rFonts w:ascii="Arial" w:cs="Arial" w:eastAsia="Arial" w:hAnsi="Arial"/>
          <w:sz w:val="14"/>
          <w:szCs w:val="14"/>
          <w:color w:val="auto"/>
        </w:rPr>
      </w:pPr>
    </w:p>
    <w:p>
      <w:pPr>
        <w:ind w:left="20" w:right="120" w:firstLine="6"/>
        <w:spacing w:after="0" w:line="236" w:lineRule="auto"/>
        <w:tabs>
          <w:tab w:leader="none" w:pos="234"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are lease costs above minimum thresholds for Fred Meyer stores and lease costs for Military stores.</w:t>
      </w:r>
    </w:p>
    <w:p>
      <w:pPr>
        <w:spacing w:after="0" w:line="7" w:lineRule="exact"/>
        <w:rPr>
          <w:rFonts w:ascii="Arial" w:cs="Arial" w:eastAsia="Arial" w:hAnsi="Arial"/>
          <w:sz w:val="14"/>
          <w:szCs w:val="14"/>
          <w:color w:val="auto"/>
        </w:rPr>
      </w:pPr>
    </w:p>
    <w:p>
      <w:pPr>
        <w:ind w:left="220" w:hanging="194"/>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leasing space to ophthalmologists and optometrists who are independent contractors.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As of</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7400" w:type="dxa"/>
            <w:vAlign w:val="bottom"/>
            <w:gridSpan w:val="2"/>
            <w:vMerge w:val="continue"/>
          </w:tcPr>
          <w:p>
            <w:pPr>
              <w:spacing w:after="0"/>
              <w:rPr>
                <w:sz w:val="19"/>
                <w:szCs w:val="19"/>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April 3, 2021</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23"/>
        </w:trPr>
        <w:tc>
          <w:tcPr>
            <w:tcW w:w="7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remaining lease term (months)</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18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line="230" w:lineRule="exact"/>
              <w:rPr>
                <w:sz w:val="20"/>
                <w:szCs w:val="20"/>
                <w:color w:val="auto"/>
              </w:rPr>
            </w:pPr>
            <w:r>
              <w:rPr>
                <w:rFonts w:ascii="Arial" w:cs="Arial" w:eastAsia="Arial" w:hAnsi="Arial"/>
                <w:sz w:val="18"/>
                <w:szCs w:val="18"/>
                <w:i w:val="1"/>
                <w:iCs w:val="1"/>
                <w:color w:val="auto"/>
              </w:rPr>
              <w:t xml:space="preserve">Weighted average discount rate </w:t>
            </w:r>
            <w:r>
              <w:rPr>
                <w:rFonts w:ascii="Arial" w:cs="Arial" w:eastAsia="Arial" w:hAnsi="Arial"/>
                <w:sz w:val="23"/>
                <w:szCs w:val="23"/>
                <w:i w:val="1"/>
                <w:iCs w:val="1"/>
                <w:color w:val="auto"/>
                <w:vertAlign w:val="superscript"/>
              </w:rPr>
              <w:t>(a)</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312"/>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(b)</w:t>
            </w:r>
          </w:p>
        </w:tc>
        <w:tc>
          <w:tcPr>
            <w:tcW w:w="1860" w:type="dxa"/>
            <w:vAlign w:val="bottom"/>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0" w:right="40" w:firstLine="6"/>
        <w:spacing w:after="0" w:line="224" w:lineRule="auto"/>
        <w:tabs>
          <w:tab w:leader="none" w:pos="21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discount rate used to determine the lease assets and lease liabilities was derived upon considering (i) incremental borrowing rates on our term loan and revolving credit facility; (ii) fixed rates on interest rate swaps; (iii) LIBOR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8" w:lineRule="exact"/>
        <w:rPr>
          <w:rFonts w:ascii="Arial" w:cs="Arial" w:eastAsia="Arial" w:hAnsi="Arial"/>
          <w:sz w:val="14"/>
          <w:szCs w:val="14"/>
          <w:color w:val="auto"/>
        </w:rPr>
      </w:pPr>
    </w:p>
    <w:p>
      <w:pPr>
        <w:ind w:left="20" w:right="140" w:firstLine="6"/>
        <w:spacing w:after="0" w:line="236" w:lineRule="auto"/>
        <w:tabs>
          <w:tab w:leader="none" w:pos="224"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outflows - operating leases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Right of use assets acquired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Right of use assets acquired under operating leases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maturity of our lease liabilities as of April 3,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Three Months Ended</w:t>
            </w:r>
          </w:p>
        </w:tc>
        <w:tc>
          <w:tcPr>
            <w:tcW w:w="160" w:type="dxa"/>
            <w:vAlign w:val="bottom"/>
          </w:tcPr>
          <w:p>
            <w:pPr>
              <w:spacing w:after="0"/>
              <w:rPr>
                <w:sz w:val="17"/>
                <w:szCs w:val="17"/>
                <w:color w:val="auto"/>
              </w:rPr>
            </w:pPr>
          </w:p>
        </w:tc>
        <w:tc>
          <w:tcPr>
            <w:tcW w:w="1780" w:type="dxa"/>
            <w:vAlign w:val="bottom"/>
          </w:tcPr>
          <w:p>
            <w:pPr>
              <w:jc w:val="right"/>
              <w:ind w:right="110"/>
              <w:spacing w:after="0"/>
              <w:rPr>
                <w:sz w:val="20"/>
                <w:szCs w:val="20"/>
                <w:color w:val="auto"/>
              </w:rPr>
            </w:pPr>
            <w:r>
              <w:rPr>
                <w:rFonts w:ascii="Arial" w:cs="Arial" w:eastAsia="Arial" w:hAnsi="Arial"/>
                <w:sz w:val="18"/>
                <w:szCs w:val="18"/>
                <w:color w:val="auto"/>
                <w:w w:val="92"/>
              </w:rPr>
              <w:t>Three Months Ended</w:t>
            </w:r>
          </w:p>
        </w:tc>
      </w:tr>
      <w:tr>
        <w:trPr>
          <w:trHeight w:val="230"/>
        </w:trPr>
        <w:tc>
          <w:tcPr>
            <w:tcW w:w="140" w:type="dxa"/>
            <w:vAlign w:val="bottom"/>
          </w:tcPr>
          <w:p>
            <w:pPr>
              <w:spacing w:after="0"/>
              <w:rPr>
                <w:sz w:val="19"/>
                <w:szCs w:val="19"/>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April 3, 2021</w:t>
            </w:r>
          </w:p>
        </w:tc>
        <w:tc>
          <w:tcPr>
            <w:tcW w:w="160" w:type="dxa"/>
            <w:vAlign w:val="bottom"/>
          </w:tcPr>
          <w:p>
            <w:pPr>
              <w:spacing w:after="0"/>
              <w:rPr>
                <w:sz w:val="19"/>
                <w:szCs w:val="19"/>
                <w:color w:val="auto"/>
              </w:rPr>
            </w:pP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March 28, 2020</w:t>
            </w:r>
          </w:p>
        </w:tc>
      </w:tr>
      <w:tr>
        <w:trPr>
          <w:trHeight w:val="222"/>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21,914</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15,269</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23,726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17,658</w:t>
            </w:r>
          </w:p>
        </w:tc>
      </w:tr>
    </w:tbl>
    <w:p>
      <w:pPr>
        <w:spacing w:after="0" w:line="558" w:lineRule="exact"/>
        <w:rPr>
          <w:sz w:val="20"/>
          <w:szCs w:val="20"/>
          <w:color w:val="auto"/>
        </w:rPr>
      </w:pPr>
    </w:p>
    <w:p>
      <w:pPr>
        <w:sectPr>
          <w:pgSz w:w="11900" w:h="16838" w:orient="portrait"/>
          <w:cols w:equalWidth="0" w:num="2">
            <w:col w:w="6560" w:space="720"/>
            <w:col w:w="3960"/>
          </w:cols>
          <w:pgMar w:left="320" w:top="125" w:right="33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57"/>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w:t>
            </w:r>
          </w:p>
        </w:tc>
        <w:tc>
          <w:tcPr>
            <w:tcW w:w="280" w:type="dxa"/>
            <w:vAlign w:val="bottom"/>
          </w:tcPr>
          <w:p>
            <w:pPr>
              <w:spacing w:after="0"/>
              <w:rPr>
                <w:sz w:val="22"/>
                <w:szCs w:val="22"/>
                <w:color w:val="auto"/>
              </w:rPr>
            </w:pPr>
          </w:p>
        </w:tc>
        <w:tc>
          <w:tcPr>
            <w:tcW w:w="220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(a)</w:t>
            </w:r>
          </w:p>
        </w:tc>
        <w:tc>
          <w:tcPr>
            <w:tcW w:w="340" w:type="dxa"/>
            <w:vAlign w:val="bottom"/>
          </w:tcPr>
          <w:p>
            <w:pPr>
              <w:spacing w:after="0"/>
              <w:rPr>
                <w:sz w:val="22"/>
                <w:szCs w:val="22"/>
                <w:color w:val="auto"/>
              </w:rPr>
            </w:pPr>
          </w:p>
        </w:tc>
        <w:tc>
          <w:tcPr>
            <w:tcW w:w="2080" w:type="dxa"/>
            <w:vAlign w:val="bottom"/>
          </w:tcPr>
          <w:p>
            <w:pPr>
              <w:jc w:val="right"/>
              <w:ind w:right="490"/>
              <w:spacing w:after="0" w:line="256" w:lineRule="exact"/>
              <w:rPr>
                <w:sz w:val="20"/>
                <w:szCs w:val="20"/>
                <w:color w:val="auto"/>
              </w:rPr>
            </w:pPr>
            <w:r>
              <w:rPr>
                <w:rFonts w:ascii="Arial" w:cs="Arial" w:eastAsia="Arial" w:hAnsi="Arial"/>
                <w:sz w:val="18"/>
                <w:szCs w:val="18"/>
                <w:color w:val="auto"/>
                <w:w w:val="98"/>
              </w:rPr>
              <w:t xml:space="preserve">Finance Leases </w:t>
            </w:r>
            <w:r>
              <w:rPr>
                <w:rFonts w:ascii="Arial" w:cs="Arial" w:eastAsia="Arial" w:hAnsi="Arial"/>
                <w:sz w:val="23"/>
                <w:szCs w:val="23"/>
                <w:color w:val="auto"/>
                <w:w w:val="98"/>
                <w:vertAlign w:val="superscript"/>
              </w:rPr>
              <w:t>(b)</w:t>
            </w:r>
          </w:p>
        </w:tc>
      </w:tr>
      <w:tr>
        <w:trPr>
          <w:trHeight w:val="223"/>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74,503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6,635</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63,682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4,753</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11,420</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39,420</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9,720</w:t>
            </w:r>
          </w:p>
        </w:tc>
      </w:tr>
      <w:tr>
        <w:trPr>
          <w:trHeight w:val="248"/>
        </w:trPr>
        <w:tc>
          <w:tcPr>
            <w:tcW w:w="63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Present value of lease liabilities</w:t>
            </w:r>
            <w:r>
              <w:rPr>
                <w:rFonts w:ascii="Arial" w:cs="Arial" w:eastAsia="Arial" w:hAnsi="Arial"/>
                <w:sz w:val="23"/>
                <w:szCs w:val="23"/>
                <w:color w:val="auto"/>
                <w:vertAlign w:val="superscript"/>
              </w:rPr>
              <w:t>(c)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20" w:hanging="194"/>
        <w:spacing w:after="0"/>
        <w:tabs>
          <w:tab w:leader="none" w:pos="2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Operating lease payments include $56.6 million related to options to extend lease terms that are reasonably certain of being exercised.</w:t>
      </w:r>
    </w:p>
    <w:p>
      <w:pPr>
        <w:spacing w:after="0" w:line="28" w:lineRule="exact"/>
        <w:rPr>
          <w:rFonts w:ascii="Arial" w:cs="Arial" w:eastAsia="Arial" w:hAnsi="Arial"/>
          <w:sz w:val="14"/>
          <w:szCs w:val="14"/>
          <w:color w:val="auto"/>
        </w:rPr>
      </w:pPr>
    </w:p>
    <w:p>
      <w:pPr>
        <w:ind w:left="220" w:hanging="194"/>
        <w:spacing w:after="0"/>
        <w:tabs>
          <w:tab w:leader="none" w:pos="2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Finance lease payments include $1.7 million related to options to extend lease terms that are reasonably certain of being exercised.</w:t>
      </w:r>
    </w:p>
    <w:p>
      <w:pPr>
        <w:spacing w:after="0" w:line="28" w:lineRule="exact"/>
        <w:rPr>
          <w:rFonts w:ascii="Arial" w:cs="Arial" w:eastAsia="Arial" w:hAnsi="Arial"/>
          <w:sz w:val="14"/>
          <w:szCs w:val="14"/>
          <w:color w:val="auto"/>
        </w:rPr>
      </w:pPr>
    </w:p>
    <w:p>
      <w:pPr>
        <w:ind w:left="220" w:hanging="194"/>
        <w:spacing w:after="0"/>
        <w:tabs>
          <w:tab w:leader="none" w:pos="2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The present value of lease liabilities excludes $24.3 million of legally binding minimum lease payments for leases signed but not yet commenced.</w:t>
      </w:r>
    </w:p>
    <w:p>
      <w:pPr>
        <w:spacing w:after="0" w:line="200" w:lineRule="exact"/>
        <w:rPr>
          <w:rFonts w:ascii="Arial" w:cs="Arial" w:eastAsia="Arial" w:hAnsi="Arial"/>
          <w:sz w:val="14"/>
          <w:szCs w:val="14"/>
          <w:color w:val="auto"/>
        </w:rPr>
      </w:pPr>
    </w:p>
    <w:p>
      <w:pPr>
        <w:spacing w:after="0" w:line="273" w:lineRule="exact"/>
        <w:rPr>
          <w:rFonts w:ascii="Arial" w:cs="Arial" w:eastAsia="Arial" w:hAnsi="Arial"/>
          <w:sz w:val="14"/>
          <w:szCs w:val="14"/>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ordinary course of our business.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subsidiary, FirstSight Vision Services, Inc.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and, in November 2018, FirstSight filed a motion to dismiss. On March 23, 2020, the district court granted FirstSight’s motion to dismiss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second amended complaint. On April 24, 2020, the plaintiffs filed a third amended complaint. FirstSight filed a motion to dismiss the third amended complaint on May 8, 2020. On February 4, 2021, the district court granted FirstSight’s motion in part and denied it in part. FirstSight’s answer to the remaining claims was filed February 18, 2021. We believe that the claims alleged are without merit and intend to continue to defend the litigation vigorously.</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the Company agreed to enter into a pre-litigation settlement with six former associates who asserted, on behalf of themselves and a proposed class, violations of the Fair Labor Standards Act and of California wage and hour laws. In order to avoid the burden, expense and uncertainty of litigation, and without admitting liability, the Company agreed to a settlement with the named claimants and all participating class members for a maximum settlement amount of $895,000. This settlement was submitted by the parties for approval through arbitration and an order granting preliminary approval of the settlement was issued by the arbitrator on February 27,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 for the two reportable segments. Beginning in the first quarter of 2021, incremental expenses related to the COVID-19 pandemic were allocated to the reportable segments but were included in the Corporate/Other category in 2020. The change in unearned revenue recognized in net product sales in the Reconciliations category during the three months ended April 3, 2021 compared to the three months ended March 28, 2020 is due to stronger sales at the end of the first quarter of 2021 and lower sales in the first quarter of 2020 due to the impact of store closures.</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reportable segment profit measure is earnings before interest, tax, depreciation and amortization (“EBITDA”), or net revenue, less costs applicable to revenue, less SG&amp;A expenses. Depreciation and amortization, asset impairment, litigation settlement and other corporate costs that are not allocated to the reportable segments, including interest expense are excluded from segment EBITDA. There are no revenue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summary of certain financial data for each of our segments.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Chief Operating Decision Maker (“CODM”) regularly reviews.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Asset information is not included in the following summary since the CODM does not regularly review such information for the reportable segments.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color w:val="auto"/>
                <w:w w:val="92"/>
              </w:rPr>
              <w:t>Three Months Ended April 3, 2021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443,067</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83,077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91,113</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534,180</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159,691</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64,999</w:t>
            </w:r>
          </w:p>
        </w:tc>
        <w:tc>
          <w:tcPr>
            <w:tcW w:w="0" w:type="dxa"/>
            <w:vAlign w:val="bottom"/>
          </w:tcPr>
          <w:p>
            <w:pPr>
              <w:spacing w:after="0"/>
              <w:rPr>
                <w:sz w:val="1"/>
                <w:szCs w:val="1"/>
                <w:color w:val="auto"/>
              </w:rPr>
            </w:pPr>
          </w:p>
        </w:tc>
      </w:tr>
      <w:tr>
        <w:trPr>
          <w:trHeight w:val="223"/>
        </w:trPr>
        <w:tc>
          <w:tcPr>
            <w:tcW w:w="366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155,908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19,054</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53,026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224,690</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223,593</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146,576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(52,039)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23,555</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gridSpan w:val="8"/>
            <w:vMerge w:val="restart"/>
          </w:tcPr>
          <w:p>
            <w:pPr>
              <w:jc w:val="center"/>
              <w:ind w:right="360"/>
              <w:spacing w:after="0"/>
              <w:rPr>
                <w:sz w:val="20"/>
                <w:szCs w:val="20"/>
                <w:color w:val="auto"/>
              </w:rPr>
            </w:pPr>
            <w:r>
              <w:rPr>
                <w:rFonts w:ascii="Arial" w:cs="Arial" w:eastAsia="Arial" w:hAnsi="Arial"/>
                <w:sz w:val="18"/>
                <w:szCs w:val="18"/>
                <w:color w:val="auto"/>
                <w:w w:val="90"/>
              </w:rPr>
              <w:t>Three Months Ended March 28, 2020</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281,914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392,841</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65,313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76,863</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469,704</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81,917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156,370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62,184</w:t>
            </w:r>
          </w:p>
        </w:tc>
        <w:tc>
          <w:tcPr>
            <w:tcW w:w="0" w:type="dxa"/>
            <w:vAlign w:val="bottom"/>
          </w:tcPr>
          <w:p>
            <w:pPr>
              <w:spacing w:after="0"/>
              <w:rPr>
                <w:sz w:val="1"/>
                <w:szCs w:val="1"/>
                <w:color w:val="auto"/>
              </w:rPr>
            </w:pPr>
          </w:p>
        </w:tc>
      </w:tr>
      <w:tr>
        <w:trPr>
          <w:trHeight w:val="223"/>
        </w:trPr>
        <w:tc>
          <w:tcPr>
            <w:tcW w:w="366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137,511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17,994</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57,907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218,554</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193,741</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11,355</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settlement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24,810</w:t>
            </w:r>
          </w:p>
        </w:tc>
        <w:tc>
          <w:tcPr>
            <w:tcW w:w="0" w:type="dxa"/>
            <w:vAlign w:val="bottom"/>
          </w:tcPr>
          <w:p>
            <w:pPr>
              <w:spacing w:after="0" w:line="20" w:lineRule="exact"/>
              <w:rPr>
                <w:sz w:val="1"/>
                <w:szCs w:val="1"/>
                <w:color w:val="auto"/>
              </w:rPr>
            </w:pPr>
          </w:p>
        </w:tc>
      </w:tr>
      <w:tr>
        <w:trPr>
          <w:trHeight w:val="177"/>
        </w:trPr>
        <w:tc>
          <w:tcPr>
            <w:tcW w:w="3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Diluted EPS related to the 2025 Notes is calculated using the if-converted method; the number of dilutive shares is based on the initial conversion rate associated with the 2025 Notes. A reconciliation of the numerators and denominators of the basic and diluted EPS calculations is as follows: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EPS</w:t>
            </w:r>
          </w:p>
        </w:tc>
        <w:tc>
          <w:tcPr>
            <w:tcW w:w="220" w:type="dxa"/>
            <w:vAlign w:val="bottom"/>
          </w:tcPr>
          <w:p>
            <w:pPr>
              <w:spacing w:after="0"/>
              <w:rPr>
                <w:sz w:val="19"/>
                <w:szCs w:val="19"/>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April 3, 2021</w:t>
            </w:r>
          </w:p>
        </w:tc>
        <w:tc>
          <w:tcPr>
            <w:tcW w:w="20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w w:val="95"/>
              </w:rPr>
              <w:t>March 28, 2020</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After-tax interest expense for 2025 Notes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diluted EPS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basic EPS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81,333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80,129</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2025 Notes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for diluted EPS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82,242</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Basic EPS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Anti-dilutive options and RSUs outstanding excluded from EPS</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394</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Restricted Cash</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color w:val="auto"/>
              </w:rPr>
              <w:t>April 3, 2021</w:t>
            </w:r>
          </w:p>
        </w:tc>
        <w:tc>
          <w:tcPr>
            <w:tcW w:w="180" w:type="dxa"/>
            <w:vAlign w:val="bottom"/>
          </w:tcPr>
          <w:p>
            <w:pPr>
              <w:spacing w:after="0"/>
              <w:rPr>
                <w:sz w:val="19"/>
                <w:szCs w:val="19"/>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w w:val="95"/>
              </w:rPr>
              <w:t>March 28, 2020</w:t>
            </w:r>
          </w:p>
        </w:tc>
      </w:tr>
      <w:tr>
        <w:trPr>
          <w:trHeight w:val="223"/>
        </w:trPr>
        <w:tc>
          <w:tcPr>
            <w:tcW w:w="7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263,154</w:t>
            </w:r>
          </w:p>
        </w:tc>
      </w:tr>
      <w:tr>
        <w:trPr>
          <w:trHeight w:val="230"/>
        </w:trPr>
        <w:tc>
          <w:tcPr>
            <w:tcW w:w="7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cash included in other assets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264,114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fair value of the Company’s cash flow hedge derivative instruments from their inception are recorded in AOCL if the instruments are deemed to be highly effective as cash flow hedges. The following table presents the changes in AOCL, net of tax during the three months ended April 3, 2021 and March 28, 2020,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April 3, 2021</w:t>
            </w:r>
          </w:p>
        </w:tc>
        <w:tc>
          <w:tcPr>
            <w:tcW w:w="20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w w:val="95"/>
              </w:rPr>
              <w:t>March 28, 2020</w:t>
            </w:r>
          </w:p>
        </w:tc>
      </w:tr>
      <w:tr>
        <w:trPr>
          <w:trHeight w:val="209"/>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hedging activity:</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r>
      <w:tr>
        <w:trPr>
          <w:trHeight w:val="223"/>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before reclassification</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Tax effect of other comprehensive income (loss) before reclassification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2,721</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reclassified from AOCL into interest expense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Tax effect of amount reclassified from AOCL into interest expense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Stranded tax effect of matured interest rate swaps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current period other comprehensive income (loss), net of tax</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5. “Interest Rate Derivatives” for a description of the Company’s use of cash flow hedging derivatives.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January 2, 2021 (the “2020 Annual Report on Form 10-K”). This discussion contains forward-looking statements that reflect our plans, estimates and beliefs and involve numerous risks and uncertainties, including, but not limited to, those described in the “Risk Factors” section of the 2020 Annual Report on Form 10-K and in the “Risk Factors” section of this Form 10-Q,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1,230 retail stores across five brands and 19 consumer websites as of April 3,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remain focused on our strategy to provide our customers and patients reliable and quality low cost eye care and eyewear by prioritizing the health and safety of our associates, customers and patients. We have taken a variety of measures, as described in Part I. Item 1A. “Risk Factors” and Part II. Item 7. “Management’s Discussion and Analysis of Financial Condition and Results of Operations” in the Company’s 2020 Annual Report on Form 10-K, which had a significant impact on our operations and performance of fiscal year 2020 and continue to have a significant impact on our operations and performance of fiscal year 2021. Please also refer to those Items for further discussion regarding the potential future impacts of COVID-19 and related economic conditions on us. We continue to monitor the evolving situation as there remain many uncertainties regarding the pandemic and more recent outbreaks of variants, including its anticipated duration, and, related healthcare authority guidelines. We will continue to evaluate additional measures that we may elect to take as a response to the pandemic, including, where appropriate, future action to reduce store hours and patient appointments or temporarily close stores. There can be no assurance whether or when any such measures will be adopted. Our net revenue in the current fiscal period increased compared to prior fiscal period due in part to strong customer pent-up demand, including the likely effects of our stores being temporarily closed to the public in fiscal year 2020 and government stimulus as a result of COVID-19.</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disclosures contained in this Form 10-Q are made only as of the date hereof, and we undertake no obligation to publicly update or revise any forward-looking statement as a result of new information, future events or otherwise, except as required by law. For further information, please see “Forward-Looking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69"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Owned &amp; Host - As of April 3, 2021, our owned brands consisted of 796 America’s Best Contacts and Eyeglasses retail stores and 121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primarily feature eye care services provided by independent optometrists and optometrists employed by independent professional corporations or similar entities and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select military bases and 29 Vista Optical locations within select Fred Meyer stores as of April 3, 2021. We have strong, long-standing relationships with our host partners and have maintained each partnership for over 21 years. These brands provide eye exams primarily by independent optometrists. All brands utilize our centralized laboratories. This segment also includes sales from our America’s Best, Eyeglass World, and Military omni-channel websites.</w:t>
      </w:r>
    </w:p>
    <w:p>
      <w:pPr>
        <w:spacing w:after="0" w:line="77" w:lineRule="exact"/>
        <w:rPr>
          <w:rFonts w:ascii="Arial" w:cs="Arial" w:eastAsia="Arial" w:hAnsi="Arial"/>
          <w:sz w:val="17"/>
          <w:szCs w:val="17"/>
          <w:color w:val="auto"/>
        </w:rPr>
      </w:pPr>
    </w:p>
    <w:p>
      <w:pPr>
        <w:jc w:val="both"/>
        <w:ind w:left="660" w:hanging="328"/>
        <w:spacing w:after="0" w:line="28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Legacy - We manage the operations of, and supply inventory and laboratory processing services to, 230 Vision Centers in Walmart retail locations as of April 3, 2021. This strategic relationship with Walmart is in its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year. Pursuant to a January 2020 amendment to our management &amp; services agreement with Walmart, we added five additional Vision Centers in Walmart stores in fiscal year 2020. On July 17, 2020, NVI and Walmart extended the current term and economics of the management &amp; services agreement by three years to February 23, 2024. Under the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optometrists or optometrists employed by us or by independent professional corporations or similar entities. During the three months ended April 3, 2021, sales associated with this arrangement represented 8.2% of consolidated net revenue. This exposes us to concentration of customer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30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e-commerce platform of 15 dedicated websites managed by AC Lens. Our e-commerce business consists of six proprietary branded websites, including aclens.com, discountglasses.com and discountcontactlenses.com, and nine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49"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 Lens also distributes contact lenses wholesale to Walmart and Sam’s Club. We incur costs at a higher percentage of sales than other product categories. AC Lens sales associated with Walmart and Sam’s Club contact lenses distribution arrangements represented 6.5% of consolidated net revenue.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Managed care business conducted by FirstSight, our wholly-owned subsidiary that is licensed as a single-service health plan under California law, which arranges for the provision of optometric services at the offices next to certain Walmart stores throughout California, and also issues individual vision plans in connection with our America’s Best operations in California.</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Reportable segment information is presented on the same basis as our condensed consolidated financial statements, except reportable segment sales which are presented on a cash basis including point of sales for managed care payors and excluding the effects of unearned and deferred revenue, consistent with what our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revenue transactions between reportable segments, and there are no other items in the reconciliations other than the effects of unearned and deferred revenue. See Note 10. “Segment Reporting” in our condensed consolidated financial statements included in Part I. Item 1. of this Form 10-Q.</w:t>
      </w:r>
    </w:p>
    <w:p>
      <w:pPr>
        <w:spacing w:after="0" w:line="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10 days of the reporting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trends and other factors will affect or have affected our operating results, including: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COVID-19 pandemic has had far-reaching impacts, directly and indirectly, on our operations. We continue to monitor the evolving situation as there remain many uncertainties regarding the pandemic and more recent outbreaks of variants, including anticipated duration, related healthcare authority guidelines and efficacy of vaccination initiatives, potential impacts on our lab network and potential disruptions of product deliveries. To date, we have been able to meet customer demand with operations at our laboratories. We could experience further material impacts as a result of COVID-19, including, but not limited to, charges from additional asset impairments, deferred tax valuation allowances and further changes in the effectiveness of our hedging instrument. We will continue to evaluate additional measures that we may elect to take as a response to the pandemic, including, where appropriate, future action to reduce store hours and patient appointments or temporarily close stores. There can be no assurance whether or when any such measures will be adopted. For a discussion of significant risks that have the potential to cause our actual results to differ materially from our expectations, refer to Part I. Item 1A. “Risk Factors,” included in our 2020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Comparable store sales growth is a key driver of our business. The comparable store sales growth and Adjusted Comparable Store Sales Growth benefited in the current period from the effect of our stores being temporarily closed to the public in the prior year due to the COVID-19 pandemic. The impact of the COVID-19 pandemic 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comparable store sales growth remains uncertain and affects and relevant risk exposures may be exacerbated by the immediate and ongoing threat of the COVID-19 pandemic.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This seasonality, and our interim results were impacted during fiscal year 2020 because our stores were temporarily closed to the public for a portion of the first half of the year due to the COVID-19 pandemic. Our net revenue in the current fiscal period is higher compared to the sales prior to the pandemic due to new store openings and strong customer pent-up demand, including the likely effects of our stores being temporarily closed to the public in fiscal year 2020 and government stimulus.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factors</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remain committed to our long-term vision and continue to position ourselves to make progress against our key initiatives while balancing the near-term challenges and uncertainty presented by the COVID-19 pandemic. We believe the following factors may continue to influence our short-term and long-term results:</w:t>
      </w:r>
    </w:p>
    <w:p>
      <w:pPr>
        <w:spacing w:after="0" w:line="20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store openings;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Managed care and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Vision care professional recruitment and coverage;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Consumer preferences and demand;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Infrastructure and investment;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source and distribute products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in the industry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as net revenue amounts generated in transactions with retail customers who are the end users of our products, services, and plans. Net product sales include sales of prescription and non-prescription eyewear, contact lenses, and related accessories as well as eye exam services associated with our America’s Best brand’s signature offer of two pairs of eyeglasses and a free eye exam for one low price (“two-pair offer”) to retail customers and sales of inventory in which our customer is another retail entity. Net sales of services and plans include sales of eye exams, eye care club memberships, product protection plans (i.e., warranties), and single service eye care plans in California. Net sales of services and plans also include fees we earn for managing certain Vision Centers located in Walmart stores and for laboratory services provided to Walmart.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Costs of services and plans include costs associated with product protection plan programs, eye care club memberships, single service eye care plans in California, eye care practitioner and eye exam technician payroll, taxes and benefits and optometric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or SG&amp;A, include store associate (including optician) payroll, taxes and benefits, occupancy, advertising and promotion, field services, corporate support and other costs associated with the provision of vision care services. SG&amp;A generally fluctuates consistently with revenue due to the variable store, field office and corporate support costs; however, some fixed costs slightly improve as a percentage of net revenue as our net revenues grow over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In an effort to conserve cash early in the COVID-19 pandemic, we temporarily paused new store openings during a portion of the fiscal year 2020. We expect to open approximately 75 stores in the current year. We will continue to monitor and determine our plans for future new store openings based on based on health, safety and economic conditions.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revise our calculation of Adjusted Comparable Store Sales Growth for the temporary closure of our stores to the public as a result of the COVID-19 pandemic.</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Operating Income, Adjusted Operating Margin, Adjusted EBITDA, Adjusted EBITDA Margin and Adjusted Diluted EPS (collectively, the “Company Non-GAAP Measures”)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5"/>
          </w:tcPr>
          <w:p>
            <w:pPr>
              <w:ind w:left="800"/>
              <w:spacing w:after="0"/>
              <w:rPr>
                <w:sz w:val="20"/>
                <w:szCs w:val="20"/>
                <w:color w:val="auto"/>
              </w:rPr>
            </w:pPr>
            <w:r>
              <w:rPr>
                <w:rFonts w:ascii="Arial" w:cs="Arial" w:eastAsia="Arial" w:hAnsi="Arial"/>
                <w:sz w:val="18"/>
                <w:szCs w:val="18"/>
                <w:color w:val="auto"/>
              </w:rPr>
              <w:t>Three Months Ended</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earnings per share, percentage and store data</w:t>
            </w: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April 3, 2021</w:t>
            </w: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March 28, 2020</w:t>
            </w:r>
          </w:p>
        </w:tc>
        <w:tc>
          <w:tcPr>
            <w:tcW w:w="20" w:type="dxa"/>
            <w:vAlign w:val="bottom"/>
          </w:tcPr>
          <w:p>
            <w:pPr>
              <w:spacing w:after="0"/>
              <w:rPr>
                <w:sz w:val="19"/>
                <w:szCs w:val="19"/>
                <w:color w:val="auto"/>
              </w:rPr>
            </w:pPr>
          </w:p>
        </w:tc>
      </w:tr>
      <w:tr>
        <w:trPr>
          <w:trHeight w:val="210"/>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443,067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392,841</w:t>
            </w:r>
          </w:p>
        </w:tc>
        <w:tc>
          <w:tcPr>
            <w:tcW w:w="20" w:type="dxa"/>
            <w:vAlign w:val="bottom"/>
          </w:tcPr>
          <w:p>
            <w:pPr>
              <w:spacing w:after="0"/>
              <w:rPr>
                <w:sz w:val="19"/>
                <w:szCs w:val="19"/>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91,113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76,863</w:t>
            </w:r>
          </w:p>
        </w:tc>
        <w:tc>
          <w:tcPr>
            <w:tcW w:w="20" w:type="dxa"/>
            <w:vAlign w:val="bottom"/>
          </w:tcPr>
          <w:p>
            <w:pPr>
              <w:spacing w:after="0"/>
              <w:rPr>
                <w:sz w:val="19"/>
                <w:szCs w:val="19"/>
                <w:color w:val="auto"/>
              </w:rPr>
            </w:pP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2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534,180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469,704</w:t>
            </w:r>
          </w:p>
        </w:tc>
        <w:tc>
          <w:tcPr>
            <w:tcW w:w="20" w:type="dxa"/>
            <w:vAlign w:val="bottom"/>
          </w:tcPr>
          <w:p>
            <w:pPr>
              <w:spacing w:after="0"/>
              <w:rPr>
                <w:sz w:val="19"/>
                <w:szCs w:val="19"/>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159,691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156,370</w:t>
            </w:r>
          </w:p>
        </w:tc>
        <w:tc>
          <w:tcPr>
            <w:tcW w:w="20" w:type="dxa"/>
            <w:vAlign w:val="bottom"/>
          </w:tcPr>
          <w:p>
            <w:pPr>
              <w:spacing w:after="0"/>
              <w:rPr>
                <w:sz w:val="19"/>
                <w:szCs w:val="19"/>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64,999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62,184</w:t>
            </w:r>
          </w:p>
        </w:tc>
        <w:tc>
          <w:tcPr>
            <w:tcW w:w="20" w:type="dxa"/>
            <w:vAlign w:val="bottom"/>
          </w:tcPr>
          <w:p>
            <w:pPr>
              <w:spacing w:after="0"/>
              <w:rPr>
                <w:sz w:val="19"/>
                <w:szCs w:val="19"/>
                <w:color w:val="auto"/>
              </w:rPr>
            </w:pP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2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224,690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218,554</w:t>
            </w:r>
          </w:p>
        </w:tc>
        <w:tc>
          <w:tcPr>
            <w:tcW w:w="20" w:type="dxa"/>
            <w:vAlign w:val="bottom"/>
          </w:tcPr>
          <w:p>
            <w:pPr>
              <w:spacing w:after="0"/>
              <w:rPr>
                <w:sz w:val="19"/>
                <w:szCs w:val="19"/>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223,593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193,741</w:t>
            </w:r>
          </w:p>
        </w:tc>
        <w:tc>
          <w:tcPr>
            <w:tcW w:w="20" w:type="dxa"/>
            <w:vAlign w:val="bottom"/>
          </w:tcPr>
          <w:p>
            <w:pPr>
              <w:spacing w:after="0"/>
              <w:rPr>
                <w:sz w:val="19"/>
                <w:szCs w:val="19"/>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24,810</w:t>
            </w:r>
          </w:p>
        </w:tc>
        <w:tc>
          <w:tcPr>
            <w:tcW w:w="20" w:type="dxa"/>
            <w:vAlign w:val="bottom"/>
          </w:tcPr>
          <w:p>
            <w:pPr>
              <w:spacing w:after="0"/>
              <w:rPr>
                <w:sz w:val="19"/>
                <w:szCs w:val="19"/>
                <w:color w:val="auto"/>
              </w:rPr>
            </w:pP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2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11,355</w:t>
            </w:r>
          </w:p>
        </w:tc>
        <w:tc>
          <w:tcPr>
            <w:tcW w:w="20" w:type="dxa"/>
            <w:vAlign w:val="bottom"/>
          </w:tcPr>
          <w:p>
            <w:pPr>
              <w:spacing w:after="0"/>
              <w:rPr>
                <w:sz w:val="19"/>
                <w:szCs w:val="19"/>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settlement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4,395</w:t>
            </w:r>
          </w:p>
        </w:tc>
        <w:tc>
          <w:tcPr>
            <w:tcW w:w="20" w:type="dxa"/>
            <w:vAlign w:val="bottom"/>
          </w:tcPr>
          <w:p>
            <w:pPr>
              <w:spacing w:after="0"/>
              <w:rPr>
                <w:sz w:val="19"/>
                <w:szCs w:val="19"/>
                <w:color w:val="auto"/>
              </w:rPr>
            </w:pPr>
          </w:p>
        </w:tc>
      </w:tr>
      <w:tr>
        <w:trPr>
          <w:trHeight w:val="229"/>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r>
      <w:tr>
        <w:trPr>
          <w:trHeight w:val="223"/>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248,042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234,235</w:t>
            </w:r>
          </w:p>
        </w:tc>
        <w:tc>
          <w:tcPr>
            <w:tcW w:w="20" w:type="dxa"/>
            <w:vAlign w:val="bottom"/>
          </w:tcPr>
          <w:p>
            <w:pPr>
              <w:spacing w:after="0"/>
              <w:rPr>
                <w:sz w:val="19"/>
                <w:szCs w:val="19"/>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61,448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16,915</w:t>
            </w:r>
          </w:p>
        </w:tc>
        <w:tc>
          <w:tcPr>
            <w:tcW w:w="20" w:type="dxa"/>
            <w:vAlign w:val="bottom"/>
          </w:tcPr>
          <w:p>
            <w:pPr>
              <w:spacing w:after="0"/>
              <w:rPr>
                <w:sz w:val="19"/>
                <w:szCs w:val="19"/>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7,455</w:t>
            </w:r>
          </w:p>
        </w:tc>
        <w:tc>
          <w:tcPr>
            <w:tcW w:w="20" w:type="dxa"/>
            <w:vAlign w:val="bottom"/>
          </w:tcPr>
          <w:p>
            <w:pPr>
              <w:spacing w:after="0"/>
              <w:rPr>
                <w:sz w:val="19"/>
                <w:szCs w:val="19"/>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55,118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9,460</w:t>
            </w:r>
          </w:p>
        </w:tc>
        <w:tc>
          <w:tcPr>
            <w:tcW w:w="2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9"/>
                <w:szCs w:val="19"/>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43,432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9,742</w:t>
            </w:r>
          </w:p>
        </w:tc>
        <w:tc>
          <w:tcPr>
            <w:tcW w:w="20" w:type="dxa"/>
            <w:vAlign w:val="bottom"/>
          </w:tcPr>
          <w:p>
            <w:pPr>
              <w:spacing w:after="0"/>
              <w:rPr>
                <w:sz w:val="19"/>
                <w:szCs w:val="19"/>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7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Operating data:</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stores open at end of period</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1,173</w:t>
            </w:r>
          </w:p>
        </w:tc>
        <w:tc>
          <w:tcPr>
            <w:tcW w:w="20" w:type="dxa"/>
            <w:vAlign w:val="bottom"/>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New stores opened during the period</w:t>
            </w:r>
          </w:p>
        </w:tc>
        <w:tc>
          <w:tcPr>
            <w:tcW w:w="2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38,063</w:t>
            </w:r>
          </w:p>
        </w:tc>
        <w:tc>
          <w:tcPr>
            <w:tcW w:w="20" w:type="dxa"/>
            <w:vAlign w:val="bottom"/>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89,350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61,022</w:t>
            </w:r>
          </w:p>
        </w:tc>
        <w:tc>
          <w:tcPr>
            <w:tcW w:w="20" w:type="dxa"/>
            <w:vAlign w:val="bottom"/>
          </w:tcPr>
          <w:p>
            <w:pPr>
              <w:spacing w:after="0"/>
              <w:rPr>
                <w:sz w:val="20"/>
                <w:szCs w:val="20"/>
                <w:color w:val="auto"/>
              </w:rPr>
            </w:pPr>
          </w:p>
        </w:tc>
      </w:tr>
      <w:tr>
        <w:trPr>
          <w:trHeight w:val="701"/>
        </w:trPr>
        <w:tc>
          <w:tcPr>
            <w:tcW w:w="7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Total costs applicable to revenue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46.5 %</w:t>
            </w:r>
          </w:p>
        </w:tc>
        <w:tc>
          <w:tcPr>
            <w:tcW w:w="2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41.2 %</w:t>
            </w:r>
          </w:p>
        </w:tc>
        <w:tc>
          <w:tcPr>
            <w:tcW w:w="20" w:type="dxa"/>
            <w:vAlign w:val="bottom"/>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49.9 %</w:t>
            </w:r>
          </w:p>
        </w:tc>
        <w:tc>
          <w:tcPr>
            <w:tcW w:w="20" w:type="dxa"/>
            <w:vAlign w:val="bottom"/>
          </w:tcPr>
          <w:p>
            <w:pPr>
              <w:spacing w:after="0"/>
              <w:rPr>
                <w:sz w:val="19"/>
                <w:szCs w:val="19"/>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2.1 %</w:t>
            </w:r>
          </w:p>
        </w:tc>
        <w:tc>
          <w:tcPr>
            <w:tcW w:w="2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20" w:type="dxa"/>
            <w:vAlign w:val="bottom"/>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13.0 %</w:t>
            </w:r>
          </w:p>
        </w:tc>
        <w:tc>
          <w:tcPr>
            <w:tcW w:w="20" w:type="dxa"/>
            <w:vAlign w:val="bottom"/>
          </w:tcPr>
          <w:p>
            <w:pPr>
              <w:spacing w:after="0"/>
              <w:rPr>
                <w:sz w:val="20"/>
                <w:szCs w:val="20"/>
                <w:color w:val="auto"/>
              </w:rPr>
            </w:pPr>
          </w:p>
        </w:tc>
      </w:tr>
      <w:tr>
        <w:trPr>
          <w:trHeight w:val="647"/>
        </w:trPr>
        <w:tc>
          <w:tcPr>
            <w:tcW w:w="7600" w:type="dxa"/>
            <w:vAlign w:val="bottom"/>
          </w:tcPr>
          <w:p>
            <w:pPr>
              <w:ind w:left="554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3, 2021 compared to Three Months Ended March 28,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COVID-19 pandemic, our retail stores were temporarily closed to the public beginning on March 19, 2020. We began reopening our stores to the public on April 27, 2020, and on June 8, 2020, we announced the successful completion of the reopening process. Comparisons of current year results to prior year results reflect the abnormal effect of the store closures.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April 3, 2021 compared to the three months ended March 28,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Comparable store sales growth</w:t>
            </w:r>
            <w:r>
              <w:rPr>
                <w:rFonts w:ascii="Arial" w:cs="Arial" w:eastAsia="Arial" w:hAnsi="Arial"/>
                <w:sz w:val="18"/>
                <w:szCs w:val="18"/>
                <w:b w:val="1"/>
                <w:bCs w:val="1"/>
                <w:color w:val="auto"/>
                <w:vertAlign w:val="superscript"/>
              </w:rPr>
              <w:t>(1)</w:t>
            </w:r>
          </w:p>
        </w:tc>
        <w:tc>
          <w:tcPr>
            <w:tcW w:w="2200" w:type="dxa"/>
            <w:vAlign w:val="bottom"/>
            <w:gridSpan w:val="4"/>
          </w:tcPr>
          <w:p>
            <w:pPr>
              <w:ind w:left="200"/>
              <w:spacing w:after="0"/>
              <w:rPr>
                <w:sz w:val="20"/>
                <w:szCs w:val="20"/>
                <w:color w:val="auto"/>
              </w:rPr>
            </w:pPr>
            <w:r>
              <w:rPr>
                <w:rFonts w:ascii="Arial" w:cs="Arial" w:eastAsia="Arial" w:hAnsi="Arial"/>
                <w:sz w:val="14"/>
                <w:szCs w:val="14"/>
                <w:b w:val="1"/>
                <w:bCs w:val="1"/>
                <w:color w:val="auto"/>
              </w:rPr>
              <w:t>Stores open at end of period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40" w:type="dxa"/>
            <w:vAlign w:val="bottom"/>
            <w:gridSpan w:val="4"/>
          </w:tcPr>
          <w:p>
            <w:pPr>
              <w:jc w:val="right"/>
              <w:ind w:right="1004"/>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18"/>
                <w:szCs w:val="18"/>
                <w:b w:val="1"/>
                <w:bCs w:val="1"/>
                <w:color w:val="auto"/>
                <w:vertAlign w:val="superscript"/>
              </w:rPr>
              <w:t>(2)</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4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 and</w:t>
            </w:r>
          </w:p>
        </w:tc>
        <w:tc>
          <w:tcPr>
            <w:tcW w:w="126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5"/>
              </w:rPr>
              <w:t>Three Months</w:t>
            </w: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2"/>
            <w:vMerge w:val="restart"/>
          </w:tcPr>
          <w:p>
            <w:pPr>
              <w:jc w:val="right"/>
              <w:ind w:right="28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2420" w:type="dxa"/>
            <w:vAlign w:val="bottom"/>
            <w:gridSpan w:val="2"/>
            <w:vMerge w:val="continue"/>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Ended</w:t>
            </w: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Ended</w:t>
            </w: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April 3, 2021</w:t>
            </w: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28, 2020</w:t>
            </w:r>
          </w:p>
        </w:tc>
        <w:tc>
          <w:tcPr>
            <w:tcW w:w="22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20" w:type="dxa"/>
            <w:vAlign w:val="bottom"/>
            <w:gridSpan w:val="2"/>
          </w:tcPr>
          <w:p>
            <w:pPr>
              <w:ind w:left="20"/>
              <w:spacing w:after="0"/>
              <w:rPr>
                <w:sz w:val="20"/>
                <w:szCs w:val="20"/>
                <w:color w:val="auto"/>
              </w:rPr>
            </w:pPr>
            <w:r>
              <w:rPr>
                <w:rFonts w:ascii="Arial" w:cs="Arial" w:eastAsia="Arial" w:hAnsi="Arial"/>
                <w:sz w:val="14"/>
                <w:szCs w:val="14"/>
                <w:i w:val="1"/>
                <w:iCs w:val="1"/>
                <w:color w:val="auto"/>
              </w:rPr>
              <w:t>store data</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April 3, 2021</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March 28, 2020</w:t>
            </w:r>
          </w:p>
        </w:tc>
        <w:tc>
          <w:tcPr>
            <w:tcW w:w="10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April 3, 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March 28, 2020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Owned &amp; Host segment</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ind w:left="20"/>
              <w:spacing w:after="0"/>
              <w:rPr>
                <w:sz w:val="20"/>
                <w:szCs w:val="20"/>
                <w:color w:val="auto"/>
              </w:rPr>
            </w:pPr>
            <w:r>
              <w:rPr>
                <w:rFonts w:ascii="Arial" w:cs="Arial" w:eastAsia="Arial" w:hAnsi="Arial"/>
                <w:sz w:val="15"/>
                <w:szCs w:val="15"/>
                <w:color w:val="auto"/>
              </w:rPr>
              <w:t>America’s Best</w:t>
            </w:r>
          </w:p>
        </w:tc>
        <w:tc>
          <w:tcPr>
            <w:tcW w:w="1160" w:type="dxa"/>
            <w:vAlign w:val="bottom"/>
          </w:tcPr>
          <w:p>
            <w:pPr>
              <w:jc w:val="right"/>
              <w:spacing w:after="0"/>
              <w:rPr>
                <w:sz w:val="20"/>
                <w:szCs w:val="20"/>
                <w:color w:val="auto"/>
              </w:rPr>
            </w:pPr>
            <w:r>
              <w:rPr>
                <w:rFonts w:ascii="Arial" w:cs="Arial" w:eastAsia="Arial" w:hAnsi="Arial"/>
                <w:sz w:val="15"/>
                <w:szCs w:val="15"/>
                <w:color w:val="auto"/>
              </w:rPr>
              <w:t>35.3 %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796</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747</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24"/>
              <w:spacing w:after="0"/>
              <w:rPr>
                <w:sz w:val="20"/>
                <w:szCs w:val="20"/>
                <w:color w:val="auto"/>
              </w:rPr>
            </w:pPr>
            <w:r>
              <w:rPr>
                <w:rFonts w:ascii="Arial" w:cs="Arial" w:eastAsia="Arial" w:hAnsi="Arial"/>
                <w:sz w:val="15"/>
                <w:szCs w:val="15"/>
                <w:color w:val="auto"/>
              </w:rPr>
              <w:t>382,356</w:t>
            </w:r>
          </w:p>
        </w:tc>
        <w:tc>
          <w:tcPr>
            <w:tcW w:w="560" w:type="dxa"/>
            <w:vAlign w:val="bottom"/>
          </w:tcPr>
          <w:p>
            <w:pPr>
              <w:jc w:val="right"/>
              <w:spacing w:after="0"/>
              <w:rPr>
                <w:sz w:val="20"/>
                <w:szCs w:val="20"/>
                <w:color w:val="auto"/>
              </w:rPr>
            </w:pPr>
            <w:r>
              <w:rPr>
                <w:rFonts w:ascii="Arial" w:cs="Arial" w:eastAsia="Arial" w:hAnsi="Arial"/>
                <w:sz w:val="15"/>
                <w:szCs w:val="15"/>
                <w:color w:val="auto"/>
              </w:rPr>
              <w:t>71.6 %</w:t>
            </w:r>
          </w:p>
        </w:tc>
        <w:tc>
          <w:tcPr>
            <w:tcW w:w="1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84"/>
              <w:spacing w:after="0"/>
              <w:rPr>
                <w:sz w:val="20"/>
                <w:szCs w:val="20"/>
                <w:color w:val="auto"/>
              </w:rPr>
            </w:pPr>
            <w:r>
              <w:rPr>
                <w:rFonts w:ascii="Arial" w:cs="Arial" w:eastAsia="Arial" w:hAnsi="Arial"/>
                <w:sz w:val="15"/>
                <w:szCs w:val="15"/>
                <w:color w:val="auto"/>
              </w:rPr>
              <w:t>294,170</w:t>
            </w:r>
          </w:p>
        </w:tc>
        <w:tc>
          <w:tcPr>
            <w:tcW w:w="540" w:type="dxa"/>
            <w:vAlign w:val="bottom"/>
          </w:tcPr>
          <w:p>
            <w:pPr>
              <w:jc w:val="right"/>
              <w:spacing w:after="0"/>
              <w:rPr>
                <w:sz w:val="20"/>
                <w:szCs w:val="20"/>
                <w:color w:val="auto"/>
              </w:rPr>
            </w:pPr>
            <w:r>
              <w:rPr>
                <w:rFonts w:ascii="Arial" w:cs="Arial" w:eastAsia="Arial" w:hAnsi="Arial"/>
                <w:sz w:val="15"/>
                <w:szCs w:val="15"/>
                <w:color w:val="auto"/>
              </w:rPr>
              <w:t>62.6 %</w:t>
            </w:r>
          </w:p>
        </w:tc>
        <w:tc>
          <w:tcPr>
            <w:tcW w:w="0" w:type="dxa"/>
            <w:vAlign w:val="bottom"/>
          </w:tcPr>
          <w:p>
            <w:pPr>
              <w:spacing w:after="0"/>
              <w:rPr>
                <w:sz w:val="1"/>
                <w:szCs w:val="1"/>
                <w:color w:val="auto"/>
              </w:rPr>
            </w:pPr>
          </w:p>
        </w:tc>
      </w:tr>
      <w:tr>
        <w:trPr>
          <w:trHeight w:val="207"/>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Eyeglass World</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rPr>
              <w:t>60,775</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44,486</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9.5 %</w:t>
            </w:r>
          </w:p>
        </w:tc>
        <w:tc>
          <w:tcPr>
            <w:tcW w:w="0" w:type="dxa"/>
            <w:vAlign w:val="bottom"/>
          </w:tcPr>
          <w:p>
            <w:pPr>
              <w:spacing w:after="0"/>
              <w:rPr>
                <w:sz w:val="1"/>
                <w:szCs w:val="1"/>
                <w:color w:val="auto"/>
              </w:rPr>
            </w:pPr>
          </w:p>
        </w:tc>
      </w:tr>
      <w:tr>
        <w:trPr>
          <w:trHeight w:val="198"/>
        </w:trPr>
        <w:tc>
          <w:tcPr>
            <w:tcW w:w="2420" w:type="dxa"/>
            <w:vAlign w:val="bottom"/>
            <w:gridSpan w:val="2"/>
          </w:tcPr>
          <w:p>
            <w:pPr>
              <w:ind w:left="20"/>
              <w:spacing w:after="0"/>
              <w:rPr>
                <w:sz w:val="20"/>
                <w:szCs w:val="20"/>
                <w:color w:val="auto"/>
              </w:rPr>
            </w:pPr>
            <w:r>
              <w:rPr>
                <w:rFonts w:ascii="Arial" w:cs="Arial" w:eastAsia="Arial" w:hAnsi="Arial"/>
                <w:sz w:val="15"/>
                <w:szCs w:val="15"/>
                <w:color w:val="auto"/>
              </w:rPr>
              <w:t>Military</w:t>
            </w:r>
          </w:p>
        </w:tc>
        <w:tc>
          <w:tcPr>
            <w:tcW w:w="1160" w:type="dxa"/>
            <w:vAlign w:val="bottom"/>
          </w:tcPr>
          <w:p>
            <w:pPr>
              <w:jc w:val="right"/>
              <w:spacing w:after="0"/>
              <w:rPr>
                <w:sz w:val="20"/>
                <w:szCs w:val="20"/>
                <w:color w:val="auto"/>
              </w:rPr>
            </w:pPr>
            <w:r>
              <w:rPr>
                <w:rFonts w:ascii="Arial" w:cs="Arial" w:eastAsia="Arial" w:hAnsi="Arial"/>
                <w:sz w:val="15"/>
                <w:szCs w:val="15"/>
                <w:color w:val="auto"/>
              </w:rPr>
              <w:t>19.4 %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424"/>
              <w:spacing w:after="0"/>
              <w:rPr>
                <w:sz w:val="20"/>
                <w:szCs w:val="20"/>
                <w:color w:val="auto"/>
              </w:rPr>
            </w:pPr>
            <w:r>
              <w:rPr>
                <w:rFonts w:ascii="Arial" w:cs="Arial" w:eastAsia="Arial" w:hAnsi="Arial"/>
                <w:sz w:val="15"/>
                <w:szCs w:val="15"/>
                <w:color w:val="auto"/>
              </w:rPr>
              <w:t>6,239</w:t>
            </w:r>
          </w:p>
        </w:tc>
        <w:tc>
          <w:tcPr>
            <w:tcW w:w="560" w:type="dxa"/>
            <w:vAlign w:val="bottom"/>
          </w:tcPr>
          <w:p>
            <w:pPr>
              <w:jc w:val="right"/>
              <w:spacing w:after="0"/>
              <w:rPr>
                <w:sz w:val="20"/>
                <w:szCs w:val="20"/>
                <w:color w:val="auto"/>
              </w:rPr>
            </w:pPr>
            <w:r>
              <w:rPr>
                <w:rFonts w:ascii="Arial" w:cs="Arial" w:eastAsia="Arial" w:hAnsi="Arial"/>
                <w:sz w:val="15"/>
                <w:szCs w:val="15"/>
                <w:color w:val="auto"/>
              </w:rPr>
              <w:t>1.2 %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84"/>
              <w:spacing w:after="0"/>
              <w:rPr>
                <w:sz w:val="20"/>
                <w:szCs w:val="20"/>
                <w:color w:val="auto"/>
              </w:rPr>
            </w:pPr>
            <w:r>
              <w:rPr>
                <w:rFonts w:ascii="Arial" w:cs="Arial" w:eastAsia="Arial" w:hAnsi="Arial"/>
                <w:sz w:val="15"/>
                <w:szCs w:val="15"/>
                <w:color w:val="auto"/>
              </w:rPr>
              <w:t>5,642</w:t>
            </w:r>
          </w:p>
        </w:tc>
        <w:tc>
          <w:tcPr>
            <w:tcW w:w="540" w:type="dxa"/>
            <w:vAlign w:val="bottom"/>
          </w:tcPr>
          <w:p>
            <w:pPr>
              <w:jc w:val="right"/>
              <w:spacing w:after="0"/>
              <w:rPr>
                <w:sz w:val="20"/>
                <w:szCs w:val="20"/>
                <w:color w:val="auto"/>
              </w:rPr>
            </w:pPr>
            <w:r>
              <w:rPr>
                <w:rFonts w:ascii="Arial" w:cs="Arial" w:eastAsia="Arial" w:hAnsi="Arial"/>
                <w:sz w:val="15"/>
                <w:szCs w:val="15"/>
                <w:color w:val="auto"/>
              </w:rPr>
              <w:t>1.2 %</w:t>
            </w:r>
          </w:p>
        </w:tc>
        <w:tc>
          <w:tcPr>
            <w:tcW w:w="0" w:type="dxa"/>
            <w:vAlign w:val="bottom"/>
          </w:tcPr>
          <w:p>
            <w:pPr>
              <w:spacing w:after="0"/>
              <w:rPr>
                <w:sz w:val="1"/>
                <w:szCs w:val="1"/>
                <w:color w:val="auto"/>
              </w:rPr>
            </w:pPr>
          </w:p>
        </w:tc>
      </w:tr>
      <w:tr>
        <w:trPr>
          <w:trHeight w:val="207"/>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Fred Meyer</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24"/>
              <w:spacing w:after="0"/>
              <w:rPr>
                <w:sz w:val="20"/>
                <w:szCs w:val="20"/>
                <w:color w:val="auto"/>
              </w:rPr>
            </w:pPr>
            <w:r>
              <w:rPr>
                <w:rFonts w:ascii="Arial" w:cs="Arial" w:eastAsia="Arial" w:hAnsi="Arial"/>
                <w:sz w:val="15"/>
                <w:szCs w:val="15"/>
                <w:color w:val="auto"/>
              </w:rPr>
              <w:t>3,077</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0.5 %</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84"/>
              <w:spacing w:after="0"/>
              <w:rPr>
                <w:sz w:val="20"/>
                <w:szCs w:val="20"/>
                <w:color w:val="auto"/>
              </w:rPr>
            </w:pPr>
            <w:r>
              <w:rPr>
                <w:rFonts w:ascii="Arial" w:cs="Arial" w:eastAsia="Arial" w:hAnsi="Arial"/>
                <w:sz w:val="15"/>
                <w:szCs w:val="15"/>
                <w:color w:val="auto"/>
              </w:rPr>
              <w:t>2,929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0" w:type="dxa"/>
            <w:vAlign w:val="bottom"/>
          </w:tcPr>
          <w:p>
            <w:pPr>
              <w:spacing w:after="0"/>
              <w:rPr>
                <w:sz w:val="1"/>
                <w:szCs w:val="1"/>
                <w:color w:val="auto"/>
              </w:rPr>
            </w:pPr>
          </w:p>
        </w:tc>
      </w:tr>
      <w:tr>
        <w:trPr>
          <w:trHeight w:val="192"/>
        </w:trPr>
        <w:tc>
          <w:tcPr>
            <w:tcW w:w="2420" w:type="dxa"/>
            <w:vAlign w:val="bottom"/>
            <w:gridSpan w:val="2"/>
          </w:tcPr>
          <w:p>
            <w:pPr>
              <w:ind w:left="20"/>
              <w:spacing w:after="0"/>
              <w:rPr>
                <w:sz w:val="20"/>
                <w:szCs w:val="20"/>
                <w:color w:val="auto"/>
              </w:rPr>
            </w:pPr>
            <w:r>
              <w:rPr>
                <w:rFonts w:ascii="Arial" w:cs="Arial" w:eastAsia="Arial" w:hAnsi="Arial"/>
                <w:sz w:val="15"/>
                <w:szCs w:val="15"/>
                <w:color w:val="auto"/>
              </w:rPr>
              <w:t>Owned &amp; Host segment total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947</w:t>
            </w:r>
          </w:p>
        </w:tc>
        <w:tc>
          <w:tcPr>
            <w:tcW w:w="10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24"/>
              <w:spacing w:after="0"/>
              <w:rPr>
                <w:sz w:val="20"/>
                <w:szCs w:val="20"/>
                <w:color w:val="auto"/>
              </w:rPr>
            </w:pPr>
            <w:r>
              <w:rPr>
                <w:rFonts w:ascii="Arial" w:cs="Arial" w:eastAsia="Arial" w:hAnsi="Arial"/>
                <w:sz w:val="15"/>
                <w:szCs w:val="15"/>
                <w:color w:val="auto"/>
              </w:rPr>
              <w:t>452,447</w:t>
            </w:r>
          </w:p>
        </w:tc>
        <w:tc>
          <w:tcPr>
            <w:tcW w:w="560" w:type="dxa"/>
            <w:vAlign w:val="bottom"/>
          </w:tcPr>
          <w:p>
            <w:pPr>
              <w:jc w:val="right"/>
              <w:spacing w:after="0"/>
              <w:rPr>
                <w:sz w:val="20"/>
                <w:szCs w:val="20"/>
                <w:color w:val="auto"/>
              </w:rPr>
            </w:pPr>
            <w:r>
              <w:rPr>
                <w:rFonts w:ascii="Arial" w:cs="Arial" w:eastAsia="Arial" w:hAnsi="Arial"/>
                <w:sz w:val="15"/>
                <w:szCs w:val="15"/>
                <w:color w:val="auto"/>
              </w:rPr>
              <w:t>84.7 %</w:t>
            </w:r>
          </w:p>
        </w:tc>
        <w:tc>
          <w:tcPr>
            <w:tcW w:w="10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84"/>
              <w:spacing w:after="0"/>
              <w:rPr>
                <w:sz w:val="20"/>
                <w:szCs w:val="20"/>
                <w:color w:val="auto"/>
              </w:rPr>
            </w:pPr>
            <w:r>
              <w:rPr>
                <w:rFonts w:ascii="Arial" w:cs="Arial" w:eastAsia="Arial" w:hAnsi="Arial"/>
                <w:sz w:val="15"/>
                <w:szCs w:val="15"/>
                <w:color w:val="auto"/>
              </w:rPr>
              <w:t>347,227</w:t>
            </w:r>
          </w:p>
        </w:tc>
        <w:tc>
          <w:tcPr>
            <w:tcW w:w="540" w:type="dxa"/>
            <w:vAlign w:val="bottom"/>
          </w:tcPr>
          <w:p>
            <w:pPr>
              <w:jc w:val="right"/>
              <w:spacing w:after="0"/>
              <w:rPr>
                <w:sz w:val="20"/>
                <w:szCs w:val="20"/>
                <w:color w:val="auto"/>
              </w:rPr>
            </w:pPr>
            <w:r>
              <w:rPr>
                <w:rFonts w:ascii="Arial" w:cs="Arial" w:eastAsia="Arial" w:hAnsi="Arial"/>
                <w:sz w:val="15"/>
                <w:szCs w:val="15"/>
                <w:color w:val="auto"/>
              </w:rPr>
              <w:t>73.9 %</w:t>
            </w:r>
          </w:p>
        </w:tc>
        <w:tc>
          <w:tcPr>
            <w:tcW w:w="0" w:type="dxa"/>
            <w:vAlign w:val="bottom"/>
          </w:tcPr>
          <w:p>
            <w:pPr>
              <w:spacing w:after="0"/>
              <w:rPr>
                <w:sz w:val="1"/>
                <w:szCs w:val="1"/>
                <w:color w:val="auto"/>
              </w:rPr>
            </w:pPr>
          </w:p>
        </w:tc>
      </w:tr>
      <w:tr>
        <w:trPr>
          <w:trHeight w:val="207"/>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Legacy segment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rPr>
              <w:t>43,582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36,457</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7.8 %</w:t>
            </w:r>
          </w:p>
        </w:tc>
        <w:tc>
          <w:tcPr>
            <w:tcW w:w="0" w:type="dxa"/>
            <w:vAlign w:val="bottom"/>
          </w:tcPr>
          <w:p>
            <w:pPr>
              <w:spacing w:after="0"/>
              <w:rPr>
                <w:sz w:val="1"/>
                <w:szCs w:val="1"/>
                <w:color w:val="auto"/>
              </w:rPr>
            </w:pPr>
          </w:p>
        </w:tc>
      </w:tr>
      <w:tr>
        <w:trPr>
          <w:trHeight w:val="200"/>
        </w:trPr>
        <w:tc>
          <w:tcPr>
            <w:tcW w:w="2420" w:type="dxa"/>
            <w:vAlign w:val="bottom"/>
            <w:gridSpan w:val="2"/>
          </w:tcPr>
          <w:p>
            <w:pPr>
              <w:ind w:left="20"/>
              <w:spacing w:after="0"/>
              <w:rPr>
                <w:sz w:val="20"/>
                <w:szCs w:val="20"/>
                <w:color w:val="auto"/>
              </w:rPr>
            </w:pPr>
            <w:r>
              <w:rPr>
                <w:rFonts w:ascii="Arial" w:cs="Arial" w:eastAsia="Arial" w:hAnsi="Arial"/>
                <w:sz w:val="15"/>
                <w:szCs w:val="15"/>
                <w:b w:val="1"/>
                <w:bCs w:val="1"/>
                <w:color w:val="auto"/>
              </w:rPr>
              <w:t>Corporate/Other</w:t>
            </w: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00" w:type="dxa"/>
            <w:vAlign w:val="bottom"/>
          </w:tcPr>
          <w:p>
            <w:pPr>
              <w:jc w:val="right"/>
              <w:ind w:right="424"/>
              <w:spacing w:after="0"/>
              <w:rPr>
                <w:sz w:val="20"/>
                <w:szCs w:val="20"/>
                <w:color w:val="auto"/>
              </w:rPr>
            </w:pPr>
            <w:r>
              <w:rPr>
                <w:rFonts w:ascii="Arial" w:cs="Arial" w:eastAsia="Arial" w:hAnsi="Arial"/>
                <w:sz w:val="15"/>
                <w:szCs w:val="15"/>
                <w:color w:val="auto"/>
              </w:rPr>
              <w:t>61,218</w:t>
            </w:r>
          </w:p>
        </w:tc>
        <w:tc>
          <w:tcPr>
            <w:tcW w:w="560" w:type="dxa"/>
            <w:vAlign w:val="bottom"/>
          </w:tcPr>
          <w:p>
            <w:pPr>
              <w:jc w:val="right"/>
              <w:spacing w:after="0"/>
              <w:rPr>
                <w:sz w:val="20"/>
                <w:szCs w:val="20"/>
                <w:color w:val="auto"/>
              </w:rPr>
            </w:pPr>
            <w:r>
              <w:rPr>
                <w:rFonts w:ascii="Arial" w:cs="Arial" w:eastAsia="Arial" w:hAnsi="Arial"/>
                <w:sz w:val="15"/>
                <w:szCs w:val="15"/>
                <w:color w:val="auto"/>
              </w:rPr>
              <w:t>11.5 %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84"/>
              <w:spacing w:after="0"/>
              <w:rPr>
                <w:sz w:val="20"/>
                <w:szCs w:val="20"/>
                <w:color w:val="auto"/>
              </w:rPr>
            </w:pPr>
            <w:r>
              <w:rPr>
                <w:rFonts w:ascii="Arial" w:cs="Arial" w:eastAsia="Arial" w:hAnsi="Arial"/>
                <w:sz w:val="15"/>
                <w:szCs w:val="15"/>
                <w:color w:val="auto"/>
              </w:rPr>
              <w:t>66,571</w:t>
            </w:r>
          </w:p>
        </w:tc>
        <w:tc>
          <w:tcPr>
            <w:tcW w:w="540" w:type="dxa"/>
            <w:vAlign w:val="bottom"/>
          </w:tcPr>
          <w:p>
            <w:pPr>
              <w:jc w:val="right"/>
              <w:spacing w:after="0"/>
              <w:rPr>
                <w:sz w:val="20"/>
                <w:szCs w:val="20"/>
                <w:color w:val="auto"/>
              </w:rPr>
            </w:pPr>
            <w:r>
              <w:rPr>
                <w:rFonts w:ascii="Arial" w:cs="Arial" w:eastAsia="Arial" w:hAnsi="Arial"/>
                <w:sz w:val="15"/>
                <w:szCs w:val="15"/>
                <w:color w:val="auto"/>
              </w:rPr>
              <w:t>14.2 %</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Reconciliations</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rPr>
              <w:t>(23,067)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19,449</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0" w:type="dxa"/>
            <w:vAlign w:val="bottom"/>
          </w:tcPr>
          <w:p>
            <w:pPr>
              <w:spacing w:after="0"/>
              <w:rPr>
                <w:sz w:val="1"/>
                <w:szCs w:val="1"/>
                <w:color w:val="auto"/>
              </w:rPr>
            </w:pPr>
          </w:p>
        </w:tc>
      </w:tr>
      <w:tr>
        <w:trPr>
          <w:trHeight w:val="198"/>
        </w:trPr>
        <w:tc>
          <w:tcPr>
            <w:tcW w:w="242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160" w:type="dxa"/>
            <w:vAlign w:val="bottom"/>
          </w:tcPr>
          <w:p>
            <w:pPr>
              <w:jc w:val="right"/>
              <w:spacing w:after="0"/>
              <w:rPr>
                <w:sz w:val="20"/>
                <w:szCs w:val="20"/>
                <w:color w:val="auto"/>
              </w:rPr>
            </w:pPr>
            <w:r>
              <w:rPr>
                <w:rFonts w:ascii="Arial" w:cs="Arial" w:eastAsia="Arial" w:hAnsi="Arial"/>
                <w:sz w:val="15"/>
                <w:szCs w:val="15"/>
                <w:color w:val="auto"/>
              </w:rPr>
              <w:t>18.2 %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(2.9)%</w:t>
            </w: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1,230</w:t>
            </w:r>
          </w:p>
        </w:tc>
        <w:tc>
          <w:tcPr>
            <w:tcW w:w="1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1,173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color w:val="auto"/>
              </w:rPr>
              <w:t>534,180</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4"/>
              </w:rPr>
              <w:t>100.0 %</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color w:val="auto"/>
              </w:rPr>
              <w:t>469,704</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0"/>
              </w:rPr>
              <w:t>100.0 %</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420" w:type="dxa"/>
            <w:vAlign w:val="bottom"/>
            <w:gridSpan w:val="2"/>
            <w:shd w:val="clear" w:color="auto" w:fill="CCEEFF"/>
          </w:tcPr>
          <w:p>
            <w:pPr>
              <w:ind w:left="20"/>
              <w:spacing w:after="0" w:line="116" w:lineRule="exact"/>
              <w:rPr>
                <w:sz w:val="20"/>
                <w:szCs w:val="20"/>
                <w:color w:val="auto"/>
              </w:rPr>
            </w:pPr>
            <w:r>
              <w:rPr>
                <w:rFonts w:ascii="Arial" w:cs="Arial" w:eastAsia="Arial" w:hAnsi="Arial"/>
                <w:sz w:val="13"/>
                <w:szCs w:val="13"/>
                <w:color w:val="auto"/>
              </w:rPr>
              <w:t>Adjusted Comparable Store Sales</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35.8 %</w:t>
            </w:r>
          </w:p>
        </w:tc>
        <w:tc>
          <w:tcPr>
            <w:tcW w:w="10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Growth</w:t>
            </w:r>
            <w:r>
              <w:rPr>
                <w:rFonts w:ascii="Arial" w:cs="Arial" w:eastAsia="Arial" w:hAnsi="Arial"/>
                <w:sz w:val="19"/>
                <w:szCs w:val="19"/>
                <w:color w:val="auto"/>
                <w:vertAlign w:val="superscript"/>
              </w:rPr>
              <w:t>(3)</w:t>
            </w: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660" w:hanging="328"/>
        <w:spacing w:after="0" w:line="263" w:lineRule="auto"/>
        <w:tabs>
          <w:tab w:leader="none" w:pos="652"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spacing w:after="0" w:line="2" w:lineRule="exact"/>
        <w:rPr>
          <w:rFonts w:ascii="Arial" w:cs="Arial" w:eastAsia="Arial" w:hAnsi="Arial"/>
          <w:sz w:val="13"/>
          <w:szCs w:val="13"/>
          <w:color w:val="auto"/>
        </w:rPr>
      </w:pPr>
    </w:p>
    <w:p>
      <w:pPr>
        <w:ind w:left="640" w:hanging="308"/>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660" w:right="640" w:hanging="328"/>
        <w:spacing w:after="0" w:line="244" w:lineRule="auto"/>
        <w:tabs>
          <w:tab w:leader="none" w:pos="65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13.8% and a decrease of 7.5% from total comparable store sales growth based on consolidated net revenue for the three months ended April 3, 2021 and March 28, 2020, respectively, and (ii) Adjusted Comparable Store Sales Growth includes retail sales to the legacy partner’s customers (rather than the revenues recognized consistent with the management &amp; services agreement with the legacy partner), resulting in an increase of 3.8% and an increase of 0.1% from total comparable store sales growth based on consolidated net revenue for the three months ended April 3, 2021 and March 28, 2020, respectively.</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net revenue of $534.2 million for the three months ended April 3, 2021 increased $64.5 million, or 13.7%, from $469.7 million for the three months ended March 28, 2020. This increase was primarily driven by comparable store sales growth driven by strong customer pent-up demand, including the effect of our stores being temporarily closed to the public in the first quarter of 2020 and government stimulus, new store growth and maturation, partially offset by timing of unearned revenue and lower wholesale fulfillment.</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three months ended April 3, 2021, we opened 23 new America’s Best stores and two Eyeglass World stores; Overall, store count grew 4.9% from March 28, 2020 to April 3, 2021 (49, four and four net new America’s Best, Eyeglass World and Legacy stores, respectively, were added during the same period).</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Comparable store sales growth and Adjusted Comparable Store Sales Growth for the three months ended April 3, 2021 were 18.2% and 35.8%, respectively. The increases in comparable store sales growth and Adjusted Comparable Store Sales Growth were primarily driven by strong customer pent-up demand, including the effect of our stores being temporarily closed to the public in the first quarter of 2020 and government stimulus.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product sales comprised 82.9% and 83.6% of total net revenue for the three months ended April 3, 2021 and March 28, 2020, respectively. Net product sales increased $50.2 million, or 12.8%, in the three months ended April 3, 2021 compared to the three months ended March 28, 2020, primarily due to increased eyeglass sales and to a lesser extent increased contact lens sales. Net sales of services and plans increased $14.3 million, or 18.5%, primarily driven by eye exam revenue.</w:t>
      </w:r>
    </w:p>
    <w:p>
      <w:pPr>
        <w:spacing w:after="0" w:line="7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$105.2 million, or 30.3%, driven primarily by comparable store sales growth and new store</w:t>
      </w:r>
      <w:r>
        <w:rPr>
          <w:rFonts w:ascii="Arial" w:cs="Arial" w:eastAsia="Arial" w:hAnsi="Arial"/>
          <w:sz w:val="18"/>
          <w:szCs w:val="18"/>
          <w:i w:val="1"/>
          <w:iCs w:val="1"/>
          <w:color w:val="auto"/>
        </w:rPr>
        <w:t xml:space="preserve"> </w:t>
      </w:r>
      <w:r>
        <w:rPr>
          <w:rFonts w:ascii="Arial" w:cs="Arial" w:eastAsia="Arial" w:hAnsi="Arial"/>
          <w:sz w:val="18"/>
          <w:szCs w:val="18"/>
          <w:color w:val="auto"/>
        </w:rPr>
        <w:t>openings.</w:t>
      </w:r>
    </w:p>
    <w:p>
      <w:pPr>
        <w:spacing w:after="0" w:line="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increased $7.1 million, or 19.5%, driven by increases in fees from our Legacy partner and stronger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demand.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decreased $5.4 million, or 8.0%, due to lower wholesale fulfillment.</w:t>
      </w:r>
    </w:p>
    <w:p>
      <w:pPr>
        <w:spacing w:after="0" w:line="117"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Net revenue reconciliations. </w:t>
      </w:r>
      <w:r>
        <w:rPr>
          <w:rFonts w:ascii="Arial" w:cs="Arial" w:eastAsia="Arial" w:hAnsi="Arial"/>
          <w:sz w:val="16"/>
          <w:szCs w:val="16"/>
          <w:color w:val="auto"/>
        </w:rPr>
        <w:t>The impact of reconciliations decreased net revenue by $42.5 million in the three months ended April 3, 2021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28, 2020. Reconciliations include an increase in unearned revenue of $14.9 million for the three months ended April 3, 2021 compared to a decrease in unearned revenue of $19.9 million for the three months ended March 28, 2020, and an increase in deferred revenue of $8.1 million compared to an increase of $0.5 million, for the three months ended April 3, 2021 and March 28, 2020, respectively. The increase in unearned revenue compared to the prior period is due to stronger sales at the end of the first quarter of 2021 and lower sales in the first quarter of 2020 due to the impact of store closures. The increase in deferred revenue is due to higher sales of warranties and club memberships.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applicable to revenue of $224.7 million for the three months ended April 3, 2021 increased $6.1 million, or 2.8%, from $218.6 million for the three months ended March 28, 2020. As a percentage of net revenue, costs applicable to revenue decreased from 46.5% for the three months ended March 28, 2020 to 42.1% for the three months ended April 3, 2021. This decrease as a percentage of net revenue was primarily driven by increased eyeglass mix, higher eyeglass margin, lower growth in optometrist costs and negative margin impacts from the temporary closure of our stores in the prior year not recurring in the current period.</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Costs of products as a percentage of net product sales decreased from 39.8% for the three months ended March 28, 2020 to 36.0% for the three months ended April 3, 2021, primarily driven by increased eyeglass mix, higher eyeglass margin and impact of the temporary store closures in fiscal year 2020.</w:t>
      </w:r>
    </w:p>
    <w:p>
      <w:pPr>
        <w:spacing w:after="0" w:line="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29.1%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28, 2020 to 26.3% for the three months ended April 3, 2021 driven by increased eyeglass mix, higher eyeglass margin and impact of the temporary store closures in fiscal year 2020.</w:t>
      </w:r>
    </w:p>
    <w:p>
      <w:pPr>
        <w:spacing w:after="0" w:line="76"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Legacy segment costs of products. </w:t>
      </w:r>
      <w:r>
        <w:rPr>
          <w:rFonts w:ascii="Arial" w:cs="Arial" w:eastAsia="Arial" w:hAnsi="Arial"/>
          <w:sz w:val="16"/>
          <w:szCs w:val="16"/>
          <w:color w:val="auto"/>
        </w:rPr>
        <w:t>Costs of products as a percentage of net product sales increased from 46.7% for the three months ended March 28,</w:t>
      </w:r>
      <w:r>
        <w:rPr>
          <w:rFonts w:ascii="Arial" w:cs="Arial" w:eastAsia="Arial" w:hAnsi="Arial"/>
          <w:sz w:val="16"/>
          <w:szCs w:val="16"/>
          <w:i w:val="1"/>
          <w:iCs w:val="1"/>
          <w:color w:val="auto"/>
        </w:rPr>
        <w:t xml:space="preserve"> </w:t>
      </w:r>
      <w:r>
        <w:rPr>
          <w:rFonts w:ascii="Arial" w:cs="Arial" w:eastAsia="Arial" w:hAnsi="Arial"/>
          <w:sz w:val="16"/>
          <w:szCs w:val="16"/>
          <w:color w:val="auto"/>
        </w:rPr>
        <w:t>2020 to 46.9% for the three months ended April 3, 2021. The increase was primarily driven by a higher mix of non-managed care customer transactions. Decreases in managed care mix increase costs of products as a percentage of net product sales and have a corresponding positive impact on costs of services as a percentage of net sales of services and plans in our Legacy segment.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services and plans as a percentage of net sales of services and plans decreased from 80.9% for the three months ended March 28, 2020 to 71.3% for the three months ended April 3, 2021. The decrease was primarily driven by higher eye exam sales, lower growth in optometrist cost and negative margin impacts from the temporary closure of our stores in the prior year not recurring in the current period.</w:t>
      </w:r>
    </w:p>
    <w:p>
      <w:pPr>
        <w:spacing w:after="0" w:line="7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Owned &amp; Host segment costs of services and plans. </w:t>
      </w:r>
      <w:r>
        <w:rPr>
          <w:rFonts w:ascii="Arial" w:cs="Arial" w:eastAsia="Arial" w:hAnsi="Arial"/>
          <w:sz w:val="17"/>
          <w:szCs w:val="17"/>
          <w:color w:val="auto"/>
        </w:rPr>
        <w:t>Costs of services and plans as a percentage of net sales of services and plans decreased from</w:t>
      </w:r>
      <w:r>
        <w:rPr>
          <w:rFonts w:ascii="Arial" w:cs="Arial" w:eastAsia="Arial" w:hAnsi="Arial"/>
          <w:sz w:val="17"/>
          <w:szCs w:val="17"/>
          <w:i w:val="1"/>
          <w:iCs w:val="1"/>
          <w:color w:val="auto"/>
        </w:rPr>
        <w:t xml:space="preserve"> </w:t>
      </w:r>
      <w:r>
        <w:rPr>
          <w:rFonts w:ascii="Arial" w:cs="Arial" w:eastAsia="Arial" w:hAnsi="Arial"/>
          <w:sz w:val="17"/>
          <w:szCs w:val="17"/>
          <w:color w:val="auto"/>
        </w:rPr>
        <w:t>85.1% for the three months ended March 28, 2020 to 70.8% for the three months ended April 3, 2021. The decrease was primarily driven by higher eye exam sales, lower growth in optometrist costs and impact of the temporary store closures in fiscal year 2020.</w:t>
      </w:r>
    </w:p>
    <w:p>
      <w:pPr>
        <w:spacing w:after="0" w:line="5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decreased from 54.7%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28, 2020 to 38.3% for the three months ended April 3, 2021. The decrease was primarily driven by lower growth in optometrist costs, higher management fees from our Legacy partner and higher eye exam sales.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of $223.6 million for the three months ended April 3, 2021 increased $29.9 million, or 15.4%, from the three months ended March 28, 2020. As a percentage of net revenue, SG&amp;A increased from 41.2% for the three months ended March 28, 2020 to 41.9% for the three months ended April 3, 2021. The increase in SG&amp;A as a percentage of net revenue was primarily driven by the increase in unearned revenue as well as higher performance-based incentive compensation, partially offset by leverage of store payroll and advertising expenses. SG&amp;A for the three months ended April 3, 2021 and March 28, 2020 includes $0.4 million and $0.6 million, respectively, of incremental costs directly related to adapting the Company’s operations during the COVID-19 pandemic.</w:t>
      </w:r>
    </w:p>
    <w:p>
      <w:pPr>
        <w:spacing w:after="0" w:line="84"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decreased from 38.8% for the three months ended March 28, 2020 to 33.1%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April 3, 2021, driven primarily by payroll, advertising and occupancy leverage.</w:t>
      </w:r>
    </w:p>
    <w:p>
      <w:pPr>
        <w:spacing w:after="0" w:line="6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decreased from 37.4% for the three months ended March 28, 2020 to 32.8%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April 3, 2021 primarily driven by payroll leverage.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Depreciation and amortization expense of $23.6 million for the three months ended April 3, 2021 decreased $1.3 million, or 5.1%, from $24.8 million for the three months ended March 28, 2020 as a result of a temporary pause on new store investments for a portion of 2020 due to the COVID-19 pandemic.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recognized $1.0 million for impairment of tangible long-lived assets and ROU assets associated with our retail stores during the three months ended April 3, 2021 compared to $11.4 million recognized during the three months ended March 28, 2020.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of $6.3 million for the three months ended April 3, 2021 decreased $1.1 million, or 15.1%, from $7.5 million for the three months ended March 28, 2020. The decrease was primarily driven by gains related to changes in fair value of derivatives due to ineffectiveness of $2.3 million and by a reduction in our term loan and revolving credit facility utilization partially offset by interest payments and amortization related to the 2025 Notes of $3.0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provision for the three months ended April 3, 2021 reflected our statutory federal and state rate of 25.5%, combined with a benefit of $2.1 million for the stranded tax effect associated with our interest rate swaps that matured in the first quarter of 2021. In comparison, the income tax benefit for the three months ended March 28, 2020 reflected our statutory federal and state rate of 25.5% combined with a benefit of $2.7 million resulting from stock option exercises.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define Adjusted Operating Income as net income, plus interest expense and income tax provision (benefit), further adjusted to exclude stock compensation expense, asset impairment, litigation settlement, amortization of acquisition intangibles, and other expenses. We define Adjusted Operating Margin as Adjusted Operating Income as a percentage of net revenue. We define EBITDA as net income, plus interest expense, income tax provision (benefit) and depreciation and amortization. We define Adjusted EBITDA as net income, plus interest expense, income tax provision (benefit) and depreciation and amortization, further adjusted to exclude stock compensation expense, asset impairment, litigation settlement, and other expenses. We define Adjusted EBITDA Margin as Adjusted EBITDA as a percentage of net revenue. We define Adjusted Diluted EPS as diluted earnings per share, adjusted for the per share impact of stock compensation expense, asset impairment, litigation settlement, amortization of acquisition intangibles, amortization of debt discounts and deferred financing costs of our term loan borrowings, amortization of costs related to our 2025 Notes, losses (gains) on change in fair value of derivatives, other expenses, and tax benefit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or the cash requirements necessary to service interest or principal payments, on our debt;</w:t>
      </w: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expense or the cash necessary to pay income taxes;</w:t>
      </w: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and the Company Non-GAAP Measures should not be considered as measures of discretionary cash available to invest in business growth or to reduce indebtedness.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reconciles our Adjusted Operating Income, Adjusted Operating Margin, EBITDA, Adjusted EBITDA, Adjusted EBITDA Margin to net income; and Adjusted Diluted EPS for the periods presented: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64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7"/>
        </w:trPr>
        <w:tc>
          <w:tcPr>
            <w:tcW w:w="1280" w:type="dxa"/>
            <w:vAlign w:val="bottom"/>
            <w:tcBorders>
              <w:top w:val="single" w:sz="8" w:color="0000FF"/>
            </w:tcBorders>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Three Months Ended</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gridSpan w:val="4"/>
          </w:tcPr>
          <w:p>
            <w:pPr>
              <w:ind w:left="300"/>
              <w:spacing w:after="0"/>
              <w:rPr>
                <w:sz w:val="20"/>
                <w:szCs w:val="20"/>
                <w:color w:val="auto"/>
              </w:rPr>
            </w:pPr>
            <w:r>
              <w:rPr>
                <w:rFonts w:ascii="Arial" w:cs="Arial" w:eastAsia="Arial" w:hAnsi="Arial"/>
                <w:sz w:val="18"/>
                <w:szCs w:val="18"/>
                <w:color w:val="auto"/>
              </w:rPr>
              <w:t>April 3, 2021</w:t>
            </w:r>
          </w:p>
        </w:tc>
        <w:tc>
          <w:tcPr>
            <w:tcW w:w="340" w:type="dxa"/>
            <w:vAlign w:val="bottom"/>
          </w:tcPr>
          <w:p>
            <w:pPr>
              <w:spacing w:after="0"/>
              <w:rPr>
                <w:sz w:val="19"/>
                <w:szCs w:val="19"/>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w w:val="91"/>
              </w:rPr>
              <w:t>March 28, 2020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43,432</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4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7,455</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(0.1)%</w:t>
            </w: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2,093</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4,395</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(d)</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(g)</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4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Adjusted Operating Income / Adjusted Operating Margin</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38,063</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gridSpan w:val="2"/>
            <w:vMerge w:val="restart"/>
          </w:tcPr>
          <w:p>
            <w:pPr>
              <w:ind w:left="60"/>
              <w:spacing w:after="0" w:line="122" w:lineRule="exact"/>
              <w:rPr>
                <w:sz w:val="20"/>
                <w:szCs w:val="20"/>
                <w:color w:val="auto"/>
              </w:rPr>
            </w:pPr>
            <w:r>
              <w:rPr>
                <w:rFonts w:ascii="Arial" w:cs="Arial" w:eastAsia="Arial" w:hAnsi="Arial"/>
                <w:sz w:val="14"/>
                <w:szCs w:val="14"/>
                <w:color w:val="auto"/>
              </w:rPr>
              <w:t>Note: Percentages reflect line item as a percentage of net revenue, adjusted for rounding</w:t>
            </w: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6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440" w:type="dxa"/>
            <w:vAlign w:val="bottom"/>
            <w:gridSpan w:val="2"/>
          </w:tcPr>
          <w:p>
            <w:pPr>
              <w:ind w:left="6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12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Three Months Ended</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gridSpan w:val="4"/>
          </w:tcPr>
          <w:p>
            <w:pPr>
              <w:ind w:left="260"/>
              <w:spacing w:after="0"/>
              <w:rPr>
                <w:sz w:val="20"/>
                <w:szCs w:val="20"/>
                <w:color w:val="auto"/>
              </w:rPr>
            </w:pPr>
            <w:r>
              <w:rPr>
                <w:rFonts w:ascii="Arial" w:cs="Arial" w:eastAsia="Arial" w:hAnsi="Arial"/>
                <w:sz w:val="18"/>
                <w:szCs w:val="18"/>
                <w:color w:val="auto"/>
              </w:rPr>
              <w:t>April 3, 2021</w:t>
            </w:r>
          </w:p>
        </w:tc>
        <w:tc>
          <w:tcPr>
            <w:tcW w:w="340" w:type="dxa"/>
            <w:vAlign w:val="bottom"/>
          </w:tcPr>
          <w:p>
            <w:pPr>
              <w:spacing w:after="0"/>
              <w:rPr>
                <w:sz w:val="19"/>
                <w:szCs w:val="19"/>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w w:val="91"/>
              </w:rPr>
              <w:t>March 28, 2020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43,432</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4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7,455</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(0.1)%</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23,555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24,810</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85,003</w:t>
            </w:r>
          </w:p>
        </w:tc>
        <w:tc>
          <w:tcPr>
            <w:tcW w:w="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41,725</w:t>
            </w:r>
          </w:p>
        </w:tc>
        <w:tc>
          <w:tcPr>
            <w:tcW w:w="4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0"/>
        </w:trPr>
        <w:tc>
          <w:tcPr>
            <w:tcW w:w="644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11,355</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(g)</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4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Adjusted EBITDA / Adjusted EBITDA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89,350</w:t>
            </w:r>
          </w:p>
        </w:tc>
        <w:tc>
          <w:tcPr>
            <w:tcW w:w="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61,022</w:t>
            </w:r>
          </w:p>
        </w:tc>
        <w:tc>
          <w:tcPr>
            <w:tcW w:w="4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13.0 %</w:t>
            </w:r>
          </w:p>
        </w:tc>
        <w:tc>
          <w:tcPr>
            <w:tcW w:w="0" w:type="dxa"/>
            <w:vAlign w:val="bottom"/>
          </w:tcPr>
          <w:p>
            <w:pPr>
              <w:spacing w:after="0"/>
              <w:rPr>
                <w:sz w:val="1"/>
                <w:szCs w:val="1"/>
                <w:color w:val="auto"/>
              </w:rPr>
            </w:pPr>
          </w:p>
        </w:tc>
      </w:tr>
    </w:tbl>
    <w:p>
      <w:pPr>
        <w:ind w:left="140"/>
        <w:spacing w:after="0" w:line="211" w:lineRule="auto"/>
        <w:rPr>
          <w:sz w:val="20"/>
          <w:szCs w:val="20"/>
          <w:color w:val="auto"/>
        </w:rPr>
      </w:pPr>
      <w:r>
        <w:rPr>
          <w:rFonts w:ascii="Arial" w:cs="Arial" w:eastAsia="Arial" w:hAnsi="Arial"/>
          <w:sz w:val="14"/>
          <w:szCs w:val="14"/>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-80645</wp:posOffset>
            </wp:positionV>
            <wp:extent cx="8401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-80645</wp:posOffset>
            </wp:positionV>
            <wp:extent cx="9340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April 3, 2021</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w w:val="92"/>
              </w:rPr>
              <w:t>March 28, 2020</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8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(d)</w:t>
            </w:r>
          </w:p>
        </w:tc>
        <w:tc>
          <w:tcPr>
            <w:tcW w:w="2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debt discount and deferred financing costs </w:t>
            </w:r>
            <w:r>
              <w:rPr>
                <w:rFonts w:ascii="Arial" w:cs="Arial" w:eastAsia="Arial" w:hAnsi="Arial"/>
                <w:sz w:val="23"/>
                <w:szCs w:val="23"/>
                <w:color w:val="auto"/>
                <w:vertAlign w:val="superscript"/>
              </w:rPr>
              <w:t>(e)</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3"/>
                <w:szCs w:val="23"/>
                <w:color w:val="auto"/>
                <w:vertAlign w:val="superscript"/>
              </w:rPr>
              <w:t>(f)</w:t>
            </w:r>
          </w:p>
        </w:tc>
        <w:tc>
          <w:tcPr>
            <w:tcW w:w="2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(j)</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3"/>
                <w:szCs w:val="23"/>
                <w:color w:val="auto"/>
                <w:vertAlign w:val="superscript"/>
              </w:rPr>
              <w:t>(h)</w:t>
            </w:r>
          </w:p>
        </w:tc>
        <w:tc>
          <w:tcPr>
            <w:tcW w:w="2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(i)</w:t>
            </w:r>
          </w:p>
        </w:tc>
        <w:tc>
          <w:tcPr>
            <w:tcW w:w="2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Diluted EPS</w:t>
            </w:r>
          </w:p>
        </w:tc>
        <w:tc>
          <w:tcPr>
            <w:tcW w:w="2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40" w:type="dxa"/>
            <w:vAlign w:val="bottom"/>
            <w:vMerge w:val="continue"/>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96,025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82,242</w:t>
            </w:r>
          </w:p>
        </w:tc>
        <w:tc>
          <w:tcPr>
            <w:tcW w:w="0" w:type="dxa"/>
            <w:vAlign w:val="bottom"/>
          </w:tcPr>
          <w:p>
            <w:pPr>
              <w:spacing w:after="0"/>
              <w:rPr>
                <w:sz w:val="1"/>
                <w:szCs w:val="1"/>
                <w:color w:val="auto"/>
              </w:rPr>
            </w:pPr>
          </w:p>
        </w:tc>
      </w:tr>
      <w:tr>
        <w:trPr>
          <w:trHeight w:val="162"/>
        </w:trPr>
        <w:tc>
          <w:tcPr>
            <w:tcW w:w="5140" w:type="dxa"/>
            <w:vAlign w:val="bottom"/>
          </w:tcPr>
          <w:p>
            <w:pPr>
              <w:ind w:left="20"/>
              <w:spacing w:after="0"/>
              <w:rPr>
                <w:sz w:val="20"/>
                <w:szCs w:val="20"/>
                <w:color w:val="auto"/>
              </w:rPr>
            </w:pPr>
            <w:r>
              <w:rPr>
                <w:rFonts w:ascii="Arial" w:cs="Arial" w:eastAsia="Arial" w:hAnsi="Arial"/>
                <w:sz w:val="14"/>
                <w:szCs w:val="14"/>
                <w:color w:val="auto"/>
              </w:rPr>
              <w:t>Note: Some of the totals in the table above do not foot due to rounding differences</w:t>
            </w:r>
          </w:p>
        </w:tc>
        <w:tc>
          <w:tcPr>
            <w:tcW w:w="2840" w:type="dxa"/>
            <w:vAlign w:val="bottom"/>
            <w:vMerge w:val="restart"/>
          </w:tcPr>
          <w:p>
            <w:pPr>
              <w:jc w:val="right"/>
              <w:ind w:right="217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7"/>
        </w:trPr>
        <w:tc>
          <w:tcPr>
            <w:tcW w:w="51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40" w:hanging="308"/>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write-off of property, equipment and lease related assets on closed or underperforming stores.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Expenses associated with settlement of litigation.</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KKR Acquisition.</w:t>
      </w:r>
    </w:p>
    <w:p>
      <w:pPr>
        <w:spacing w:after="0" w:line="1" w:lineRule="exact"/>
        <w:rPr>
          <w:rFonts w:ascii="Arial" w:cs="Arial" w:eastAsia="Arial" w:hAnsi="Arial"/>
          <w:sz w:val="14"/>
          <w:szCs w:val="14"/>
          <w:color w:val="auto"/>
        </w:rPr>
      </w:pPr>
    </w:p>
    <w:p>
      <w:pPr>
        <w:jc w:val="both"/>
        <w:ind w:left="660" w:right="640" w:hanging="328"/>
        <w:spacing w:after="0" w:line="241" w:lineRule="auto"/>
        <w:tabs>
          <w:tab w:leader="none" w:pos="657"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We adjust for amortization of costs related to the 2025 Notes only when adjustment for these costs is not required in the calculation of diluted earnings per share according to U.S. GAAP. Amortization of debt discount and deferred financing costs in aggregate total $0.3 million and $0.2 million for the three months ended April 3, 2021 and March 28, 2020,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on change in fair value of de-designated hedges of $(2.3) million for the three months ended April 3, 2021.</w:t>
      </w:r>
    </w:p>
    <w:p>
      <w:pPr>
        <w:spacing w:after="0" w:line="1" w:lineRule="exact"/>
        <w:rPr>
          <w:rFonts w:ascii="Arial" w:cs="Arial" w:eastAsia="Arial" w:hAnsi="Arial"/>
          <w:sz w:val="14"/>
          <w:szCs w:val="14"/>
          <w:color w:val="auto"/>
        </w:rPr>
      </w:pPr>
    </w:p>
    <w:p>
      <w:pPr>
        <w:jc w:val="both"/>
        <w:ind w:left="660" w:right="640" w:hanging="328"/>
        <w:spacing w:after="0" w:line="260" w:lineRule="auto"/>
        <w:tabs>
          <w:tab w:leader="none" w:pos="652" w:val="left"/>
        </w:tabs>
        <w:numPr>
          <w:ilvl w:val="0"/>
          <w:numId w:val="17"/>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Operating Income, Adjusted Diluted EPS and Adjusted EBITDA), including the amortization impact of adjustments related to the KKR Acquisition, (e.g., fair value of leasehold interests) of $0.1 million for each of the three months ended April 3, 2021 and March 28, 2020; costs of severance and relocation of $0.2 million and $0.3 million for the three months ended April 3, 2021 and March 28, 2020, respectively; excess payroll taxes related to stock option exercises of $0.3 million for the three months ended March 28, 2020; incremental costs directly related to adapting the Company’s operations during the COVID-19 pandemic of $0.6 million for the three months ended March 28, 2020; and other expenses and adjustments totaling $0.1 million and $0.2 million for the three months ended April 3, 2021 and March 28, 2020, respectively.</w:t>
      </w:r>
    </w:p>
    <w:p>
      <w:pPr>
        <w:ind w:left="660" w:right="660" w:hanging="328"/>
        <w:spacing w:after="0" w:line="241" w:lineRule="auto"/>
        <w:tabs>
          <w:tab w:leader="none" w:pos="6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ind w:left="660" w:right="640" w:hanging="328"/>
        <w:spacing w:after="0" w:line="255" w:lineRule="auto"/>
        <w:tabs>
          <w:tab w:leader="none" w:pos="647"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other expenses in (g) above, including the impact of stranded tax effect of $2.1 million for the three months ended April 3, 2021 associated with our interest rate swaps that matured in the first quarter of 2021.</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described in Part II, Item 8. “Financial Statements and Supplementary Data”, Note 4. “Long-term Debt”, of our 2020 Annual Report on Form 10-K, on May 5, 2020, we entered into a credit agreement amendment with the lenders under our credit facility in order to prevent the effects of the COVID-19 pandemic, including the temporary closure of our stores, from creating uncertainty relative to our ability to comply with certain financial covenants and allow the Company to focus on prudent management of the business over the quarters ahead. In addition, on May 12, 2020, we completed the issuance of the 2025 Notes and we used the net proceeds of this offering to repay the full amount outstanding under our revolving credit facility and part of our outstanding borrowings on our Term Loan. Our primary cash needs are for inventory, payroll, store rent, advertising, capital expenditures associated with new stores and updating existing stores, as well as information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based on excess cash flows. We continue to prioritize cash conservation and prudent use of cash, while safely conducting normal operations. The most significant components of our operating assets and liabilities are inventories, accounts receivable, prepaid expenses and other assets, accounts payable, deferred and unearned revenue and other payables and accrued expenses. While we have historically exercised prudence in our use of cash, the COVID-19 pandemic has required us to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facility will be sufficient to fund our working capital requirements, liquidity obligations, anticipated capital expenditures, and payments due under our existing debt for at least the next 12 months. Depending on our liquidity levels, conditions in the capital markets and other factors, we may from time to time consider the refinancing or issuance of debt, issuance of equity or other securities, the proceeds of which could provide additional liquidity for our operations, as well as modifications to our term loan where possible. The Company is exploring whether to seek an amendment to its credit facility to, among other things, reduce required interest payments. Such an amendment would be dependent on a number of factors, including conditions in the capital markets, and it is not certain whether or when such an amendment would be implemented. However, our ability to maintain sufficient liquidity may be affected by numerous factors, many of which are outside our control. We primarily fund our working capital needs using cash provided by operations.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3, 2021, we had $453.8 million in cash and cash equivalents and $293.6 million of availability under our revolving credit facility, which includes $6.4 million in outstanding letters of credit.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April 3, 2021, we have outstanding $402.5 million aggregate principal of the 2025 Notes. The 2025 Notes are senior unsecured obligations, and interest on the 2025 Notes is paid semi-annually. As of April 3, 2021, the 2025 Notes can be converted by holders. Upon conversion of the 2025 Notes we can choose to settle in cash, shares or a combination. Based on the initial conversion rate, the 2025 Notes are convertible into 12.9 million shares of our common stock and we reserved for the possible issuance of 16.5 million shares, which is the maximum amount that could be issued upon conversion. See Note 11. “Earnings Per Share” for the treatment of earnings per share in relation to the 2025 Notes.</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April 3, 2021, we had $317.4 million of term loan outstanding under our credit agreement. We were in compliance with all covenants related to our long-term debt as of April 3, 2021. Our working capital requirements for inventory will increase as we continue to open additional stores.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flows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color w:val="auto"/>
              </w:rPr>
              <w:t>Three Months Ended</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color w:val="auto"/>
              </w:rPr>
              <w:t>April 3, 2021</w:t>
            </w:r>
          </w:p>
        </w:tc>
        <w:tc>
          <w:tcPr>
            <w:tcW w:w="260" w:type="dxa"/>
            <w:vAlign w:val="bottom"/>
          </w:tcPr>
          <w:p>
            <w:pPr>
              <w:spacing w:after="0"/>
              <w:rPr>
                <w:sz w:val="19"/>
                <w:szCs w:val="19"/>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March 28, 2020</w:t>
            </w:r>
          </w:p>
        </w:tc>
      </w:tr>
      <w:tr>
        <w:trPr>
          <w:trHeight w:val="209"/>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72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97,652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86,060</w:t>
            </w:r>
          </w:p>
        </w:tc>
      </w:tr>
      <w:tr>
        <w:trPr>
          <w:trHeight w:val="229"/>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(12,854)</w:t>
            </w:r>
          </w:p>
        </w:tc>
      </w:tr>
      <w:tr>
        <w:trPr>
          <w:trHeight w:val="229"/>
        </w:trPr>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150,601</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223,807</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provided by operating activities increased $11.6 million from $86.1 million during the three months ended March 28, 2020 to $97.7 million for the three months ended April 3, 2021. The increase in net cash provided by operating activities consisted of an increase in net income of $33.7 million, due primarily to growth in sales during the three months ended April 3, 2021, and a decrease of non-cash expense items of $3.5 million including a decrease in asset impairment charges of $10.4 million.</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Changes in net working capital and other assets and liabilities used $18.6 million in cash compared to the three months ended March 28, 2020. Working capital was most significantly impacted by changes in accounts receivable, operating lease assets and liabilities, deferred and unearned revenue, and other liabilities. Increases in accounts receivable used $19.1 million in year-over-year cash, primarily reflective of year-over-year increases in credit card receivables due to increased sales during the three months ended April 3, 2021 compared to the same period of 2020. Increases in operating lease assets and liabilities used $8.0 million in year-over year cash, primarily due to timing of rent payments. Decreases in other liabilities during the three months ended April 3, 2021 used $21.5 million in year-over-year cash primarily due to decreases in compensation related accruals primarily due to payment of CARES Act deferred employer payroll taxes and payments of litigation settlements.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Offsetting these items were changes in deferred and unearned revenue, which contributed $42.0 million in year-over-year cash primarily due to a $34.4 million increase in year-over-year cash due to timing of unearned revenue.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used for investing activities increased by $3.5 million, to $16.4 million, during the three months ended April 3, 2021 from $12.9 million during the three months ended March 28, 2020. The increase was primarily due to increased new store openings. We purchased $16.4 million in capital items in the three months ended April 3, 2021. Approximately 80% of our capital spend is related to our expected growth (i.e., new stores, optometric equipment, additional capacity in our optical laboratories and distribution centers, and our IT infrastructure, including omni-channel platform related investments).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For) Financing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(used for) financing activities decreased $151.7 million, from $150.6 million provision of cash during the three months ended March 28, 2020 to $1.1 million use of cash during the three months ended April 3, 2021. The decrease in cash provided by financing activities was primarily related to the reduction in our revolving credit facility utilization during the three months ended April 3, 2021 when compared to the three months ended March 28, 2020.</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2020 Annual Report on form 10-K. We are not a party to any other material off-balance sheet arrangements.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outside the ordinary course of business in our contractual obligations and commercial commitments from those reported in the 2020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2020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2020 Annual Report on Form 10-K, except for the adoption of ASU 2020-06. These changes are discussed in Note 1</w:t>
      </w:r>
      <w:r>
        <w:rPr>
          <w:rFonts w:ascii="Arial" w:cs="Arial" w:eastAsia="Arial" w:hAnsi="Arial"/>
          <w:sz w:val="18"/>
          <w:szCs w:val="18"/>
          <w:i w:val="1"/>
          <w:iCs w:val="1"/>
          <w:color w:val="auto"/>
        </w:rPr>
        <w:t>.</w:t>
      </w:r>
      <w:r>
        <w:rPr>
          <w:rFonts w:ascii="Arial" w:cs="Arial" w:eastAsia="Arial" w:hAnsi="Arial"/>
          <w:sz w:val="18"/>
          <w:szCs w:val="18"/>
          <w:color w:val="auto"/>
        </w:rPr>
        <w:t xml:space="preserve"> “Description of Business and Basis of Presentation” to our unaudited condensed consolidated financial statements included in Part I. Item 1. of this Form 10-Q.</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information set forth in Note 1. “Description of Business and Basis of Presentation” to our unaudited condensed consolidated financial statements under Part I. Item 1. under the heading “</w:t>
      </w:r>
      <w:r>
        <w:rPr>
          <w:rFonts w:ascii="Arial" w:cs="Arial" w:eastAsia="Arial" w:hAnsi="Arial"/>
          <w:sz w:val="16"/>
          <w:szCs w:val="16"/>
          <w:i w:val="1"/>
          <w:iCs w:val="1"/>
          <w:color w:val="auto"/>
        </w:rPr>
        <w:t>Adoption of New Accounting Pronouncements</w:t>
      </w:r>
      <w:r>
        <w:rPr>
          <w:rFonts w:ascii="Arial" w:cs="Arial" w:eastAsia="Arial" w:hAnsi="Arial"/>
          <w:sz w:val="16"/>
          <w:szCs w:val="16"/>
          <w:color w:val="auto"/>
        </w:rPr>
        <w:t>” of this Form 10-Q is incorporated herein by reference.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and Note 5. “Interest Rate Derivatives” to our unaudited condensed consolidated financial statements included in Part I. Item 1. of this Form 10-Q.</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is intended to mitigate some of the effects of increases in interest rates.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April 3, 2021, $317.4 million of term loan borrowings were subject to variable interest rates, with a weighted average borrowing rate of 3.9%. An increase to market rates of 1.0% as of April 3, 2021 would not result in a material impact to interest expense. Assuming a decrease to market rates of 1.0% as of April 3, 2021, the resulting impact to interest expense related to the interest rate derivative would be approximately $11 million. For more information about quantitative and qualitative disclosures about market risk, please see Item 7A. “Quantitative and Qualitative Disclosures About Market Risk” in Part II. of the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April 3, 2021.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of the Exchange Act that occurred during the first quarter of fiscal year 2021 that have materially affected, or are reasonably likely to materially affect, our internal control over financial reporting. We have not experienced any material impact to our internal controls over financial reporting despite the fact that most corporate employees of the Company began working remotely due to the COVID-19 pandemic, though we will continue to assess the impact on the design and operating effectiveness of our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See Note 9.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principal risks that we believe are material to our business, results of operations, and financial condition from those disclosed in Part I. Item 1A. of our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500" w:type="dxa"/>
            <w:vAlign w:val="bottom"/>
            <w:gridSpan w:val="6"/>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938"/>
        </w:trPr>
        <w:tc>
          <w:tcPr>
            <w:tcW w:w="128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auto"/>
                <w:w w:val="95"/>
              </w:rPr>
              <w:t>Item 6. Exhibits</w:t>
            </w:r>
          </w:p>
        </w:tc>
        <w:tc>
          <w:tcPr>
            <w:tcW w:w="220" w:type="dxa"/>
            <w:vAlign w:val="bottom"/>
            <w:gridSpan w:val="2"/>
          </w:tcPr>
          <w:p>
            <w:pPr>
              <w:spacing w:after="0"/>
              <w:rPr>
                <w:sz w:val="24"/>
                <w:szCs w:val="24"/>
                <w:color w:val="auto"/>
              </w:rPr>
            </w:pPr>
          </w:p>
        </w:tc>
        <w:tc>
          <w:tcPr>
            <w:tcW w:w="3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gridSpan w:val="3"/>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183"/>
        </w:trPr>
        <w:tc>
          <w:tcPr>
            <w:tcW w:w="340" w:type="dxa"/>
            <w:vAlign w:val="bottom"/>
            <w:tcBorders>
              <w:top w:val="single" w:sz="8" w:color="auto"/>
            </w:tcBorders>
            <w:gridSpan w:val="3"/>
          </w:tcPr>
          <w:p>
            <w:pPr>
              <w:ind w:left="20"/>
              <w:spacing w:after="0" w:line="182" w:lineRule="exact"/>
              <w:rPr>
                <w:rFonts w:ascii="Arial" w:cs="Arial" w:eastAsia="Arial" w:hAnsi="Arial"/>
                <w:sz w:val="18"/>
                <w:szCs w:val="18"/>
                <w:color w:val="0000FF"/>
              </w:rPr>
            </w:pPr>
            <w:hyperlink r:id="rId5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74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w w:val="94"/>
              </w:rPr>
              <w:t>Second Amended and Restated Certificate of Incorporation of National Vision Holdings, Inc. -incorporated herein by reference to</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Exhibit 3.1 to the Company’s Current Report on Form 8-K filed on October 31, 2017.</w:t>
            </w:r>
          </w:p>
        </w:tc>
      </w:tr>
      <w:tr>
        <w:trPr>
          <w:trHeight w:val="190"/>
        </w:trPr>
        <w:tc>
          <w:tcPr>
            <w:tcW w:w="340" w:type="dxa"/>
            <w:vAlign w:val="bottom"/>
            <w:gridSpan w:val="3"/>
          </w:tcPr>
          <w:p>
            <w:pPr>
              <w:ind w:left="20"/>
              <w:spacing w:after="0" w:line="190" w:lineRule="exact"/>
              <w:rPr>
                <w:rFonts w:ascii="Arial" w:cs="Arial" w:eastAsia="Arial" w:hAnsi="Arial"/>
                <w:sz w:val="18"/>
                <w:szCs w:val="18"/>
                <w:color w:val="0000FF"/>
              </w:rPr>
            </w:pPr>
            <w:hyperlink r:id="rId5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6"/>
              </w:rPr>
              <w:t>Second Amended and Restated Bylaws of National Vision Holdings, Inc. -incorporated herein by reference to Exhibit 3.2 to the</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Company’s Current Report on Form 8-K filed on October 31, 2017.</w:t>
            </w:r>
          </w:p>
        </w:tc>
      </w:tr>
      <w:tr>
        <w:trPr>
          <w:trHeight w:val="190"/>
        </w:trPr>
        <w:tc>
          <w:tcPr>
            <w:tcW w:w="20" w:type="dxa"/>
            <w:vAlign w:val="bottom"/>
          </w:tcPr>
          <w:p>
            <w:pPr>
              <w:spacing w:after="0"/>
              <w:rPr>
                <w:sz w:val="16"/>
                <w:szCs w:val="16"/>
                <w:color w:val="auto"/>
              </w:rPr>
            </w:pPr>
          </w:p>
        </w:tc>
        <w:tc>
          <w:tcPr>
            <w:tcW w:w="320" w:type="dxa"/>
            <w:vAlign w:val="bottom"/>
            <w:tcBorders>
              <w:bottom w:val="single" w:sz="8" w:color="0000FF"/>
            </w:tcBorders>
            <w:gridSpan w:val="2"/>
          </w:tcPr>
          <w:p>
            <w:pPr>
              <w:spacing w:after="0" w:line="190" w:lineRule="exact"/>
              <w:rPr>
                <w:rFonts w:ascii="Arial" w:cs="Arial" w:eastAsia="Arial" w:hAnsi="Arial"/>
                <w:sz w:val="18"/>
                <w:szCs w:val="18"/>
                <w:color w:val="0000FF"/>
                <w:w w:val="85"/>
              </w:rPr>
            </w:pPr>
            <w:hyperlink w:anchor="page3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Form of Performance Stock Unit Agreement under the 2017 Omnibus Incentive Plan, as adopted February 2021.</w:t>
            </w: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4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w w:val="95"/>
              </w:rPr>
              <w:t>Certification of Periodic Report by Chief Executive Officer under Section 302 of the Sarbanes-Oxley Act of 2002 (filed herewith).</w:t>
            </w: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5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w w:val="96"/>
              </w:rPr>
              <w:t>Certification of Periodic Report by Chief Financial Officer under Section 302 of the Sarbanes-Oxley Act of 2002 (filed herewith).</w:t>
            </w:r>
          </w:p>
        </w:tc>
      </w:tr>
      <w:tr>
        <w:trPr>
          <w:trHeight w:val="209"/>
        </w:trPr>
        <w:tc>
          <w:tcPr>
            <w:tcW w:w="340" w:type="dxa"/>
            <w:vAlign w:val="bottom"/>
            <w:gridSpan w:val="3"/>
          </w:tcPr>
          <w:p>
            <w:pPr>
              <w:ind w:left="20"/>
              <w:spacing w:after="0"/>
              <w:rPr>
                <w:rFonts w:ascii="Arial" w:cs="Arial" w:eastAsia="Arial" w:hAnsi="Arial"/>
                <w:sz w:val="18"/>
                <w:szCs w:val="18"/>
                <w:color w:val="0000FF"/>
                <w:w w:val="85"/>
              </w:rPr>
            </w:pPr>
            <w:hyperlink w:anchor="page5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 Sarbanes-</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Oxley Act of 2002 (furnished herewith).</w:t>
            </w:r>
          </w:p>
        </w:tc>
      </w:tr>
      <w:tr>
        <w:trPr>
          <w:trHeight w:val="190"/>
        </w:trPr>
        <w:tc>
          <w:tcPr>
            <w:tcW w:w="340" w:type="dxa"/>
            <w:vAlign w:val="bottom"/>
            <w:gridSpan w:val="3"/>
          </w:tcPr>
          <w:p>
            <w:pPr>
              <w:ind w:left="20"/>
              <w:spacing w:after="0" w:line="190" w:lineRule="exact"/>
              <w:rPr>
                <w:rFonts w:ascii="Arial" w:cs="Arial" w:eastAsia="Arial" w:hAnsi="Arial"/>
                <w:sz w:val="18"/>
                <w:szCs w:val="18"/>
                <w:color w:val="0000FF"/>
                <w:w w:val="85"/>
              </w:rPr>
            </w:pPr>
            <w:hyperlink w:anchor="page5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Act of 2002 (furnished herewith).</w:t>
            </w:r>
          </w:p>
        </w:tc>
      </w:tr>
      <w:tr>
        <w:trPr>
          <w:trHeight w:val="176"/>
        </w:trPr>
        <w:tc>
          <w:tcPr>
            <w:tcW w:w="20" w:type="dxa"/>
            <w:vAlign w:val="bottom"/>
          </w:tcPr>
          <w:p>
            <w:pPr>
              <w:spacing w:after="0"/>
              <w:rPr>
                <w:sz w:val="15"/>
                <w:szCs w:val="15"/>
                <w:color w:val="auto"/>
              </w:rPr>
            </w:pPr>
          </w:p>
        </w:tc>
        <w:tc>
          <w:tcPr>
            <w:tcW w:w="1480" w:type="dxa"/>
            <w:vAlign w:val="bottom"/>
            <w:gridSpan w:val="5"/>
          </w:tcPr>
          <w:p>
            <w:pPr>
              <w:spacing w:after="0" w:line="176" w:lineRule="exact"/>
              <w:rPr>
                <w:sz w:val="20"/>
                <w:szCs w:val="20"/>
                <w:color w:val="auto"/>
              </w:rPr>
            </w:pPr>
            <w:r>
              <w:rPr>
                <w:rFonts w:ascii="Arial" w:cs="Arial" w:eastAsia="Arial" w:hAnsi="Arial"/>
                <w:sz w:val="18"/>
                <w:szCs w:val="18"/>
                <w:color w:val="auto"/>
              </w:rPr>
              <w:t>101.INS</w:t>
            </w:r>
          </w:p>
        </w:tc>
        <w:tc>
          <w:tcPr>
            <w:tcW w:w="97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embedded within Inline XBRL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2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520" w:right="40" w:hanging="1494"/>
        <w:spacing w:after="0" w:line="234"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April 3, 2021,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Dated: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Dated: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125" w:right="37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GRANT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NATIONAL VISION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OMNIBUS INCENTIVE PLAN</w:t>
      </w:r>
    </w:p>
    <w:p>
      <w:pPr>
        <w:spacing w:after="0" w:line="20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National Vision Holdings, Inc. (the “</w:t>
      </w:r>
      <w:r>
        <w:rPr>
          <w:rFonts w:ascii="Arial" w:cs="Arial" w:eastAsia="Arial" w:hAnsi="Arial"/>
          <w:sz w:val="21"/>
          <w:szCs w:val="21"/>
          <w:u w:val="single" w:color="auto"/>
          <w:color w:val="auto"/>
        </w:rPr>
        <w:t>Company</w:t>
      </w:r>
      <w:r>
        <w:rPr>
          <w:rFonts w:ascii="Arial" w:cs="Arial" w:eastAsia="Arial" w:hAnsi="Arial"/>
          <w:sz w:val="21"/>
          <w:szCs w:val="21"/>
          <w:color w:val="auto"/>
        </w:rPr>
        <w:t>”), pursuant to its 2017 Omnibus Incentive Plan, as it may be amended and restated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hereby grants to the Participant set forth below the number of Performance Stock Units set forth below, which are Restricted Stock Units that are subject to the performance-vesting conditions described herein (the “</w:t>
      </w:r>
      <w:r>
        <w:rPr>
          <w:rFonts w:ascii="Arial" w:cs="Arial" w:eastAsia="Arial" w:hAnsi="Arial"/>
          <w:sz w:val="21"/>
          <w:szCs w:val="21"/>
          <w:u w:val="single" w:color="auto"/>
          <w:color w:val="auto"/>
        </w:rPr>
        <w:t>Performance Stock Units</w:t>
      </w:r>
      <w:r>
        <w:rPr>
          <w:rFonts w:ascii="Arial" w:cs="Arial" w:eastAsia="Arial" w:hAnsi="Arial"/>
          <w:sz w:val="21"/>
          <w:szCs w:val="21"/>
          <w:color w:val="auto"/>
        </w:rPr>
        <w:t>” or “</w:t>
      </w:r>
      <w:r>
        <w:rPr>
          <w:rFonts w:ascii="Arial" w:cs="Arial" w:eastAsia="Arial" w:hAnsi="Arial"/>
          <w:sz w:val="21"/>
          <w:szCs w:val="21"/>
          <w:u w:val="single" w:color="auto"/>
          <w:color w:val="auto"/>
        </w:rPr>
        <w:t>PSUs</w:t>
      </w:r>
      <w:r>
        <w:rPr>
          <w:rFonts w:ascii="Arial" w:cs="Arial" w:eastAsia="Arial" w:hAnsi="Arial"/>
          <w:sz w:val="21"/>
          <w:szCs w:val="21"/>
          <w:color w:val="auto"/>
        </w:rPr>
        <w:t>”). The Performance Stock Units are subject to all of the terms and conditions as set forth herein, in the Performance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3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Insert Participant Name</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2021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Performance</w:t>
      </w:r>
    </w:p>
    <w:p>
      <w:pPr>
        <w:spacing w:after="0" w:line="2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Stock Units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Insert Target No. of PSUs Granted</w:t>
      </w:r>
      <w:r>
        <w:rPr>
          <w:rFonts w:ascii="Arial" w:cs="Arial" w:eastAsia="Arial" w:hAnsi="Arial"/>
          <w:sz w:val="19"/>
          <w:szCs w:val="19"/>
          <w:color w:val="auto"/>
        </w:rPr>
        <w:t>] (the “</w:t>
      </w:r>
      <w:r>
        <w:rPr>
          <w:rFonts w:ascii="Arial" w:cs="Arial" w:eastAsia="Arial" w:hAnsi="Arial"/>
          <w:sz w:val="19"/>
          <w:szCs w:val="19"/>
          <w:u w:val="single" w:color="auto"/>
          <w:color w:val="auto"/>
        </w:rPr>
        <w:t>Target PSUs</w:t>
      </w:r>
      <w:r>
        <w:rPr>
          <w:rFonts w:ascii="Arial" w:cs="Arial" w:eastAsia="Arial" w:hAnsi="Arial"/>
          <w:sz w:val="19"/>
          <w:szCs w:val="19"/>
          <w:color w:val="auto"/>
        </w:rPr>
        <w:t>”)</w:t>
      </w:r>
    </w:p>
    <w:p>
      <w:pPr>
        <w:spacing w:after="0" w:line="202" w:lineRule="exact"/>
        <w:rPr>
          <w:sz w:val="20"/>
          <w:szCs w:val="20"/>
          <w:color w:val="auto"/>
        </w:rPr>
      </w:pPr>
    </w:p>
    <w:p>
      <w:pPr>
        <w:jc w:val="both"/>
        <w:ind w:left="3240" w:hanging="2982"/>
        <w:spacing w:after="0" w:line="253" w:lineRule="auto"/>
        <w:rPr>
          <w:sz w:val="20"/>
          <w:szCs w:val="20"/>
          <w:color w:val="auto"/>
        </w:rPr>
      </w:pPr>
      <w:r>
        <w:rPr>
          <w:rFonts w:ascii="Arial" w:cs="Arial" w:eastAsia="Arial" w:hAnsi="Arial"/>
          <w:sz w:val="22"/>
          <w:szCs w:val="22"/>
          <w:color w:val="auto"/>
        </w:rPr>
        <w:t>75% of the Target PSUs shall be subject to performance goals relating to Adjusted Operating Income (the “</w:t>
      </w:r>
      <w:r>
        <w:rPr>
          <w:rFonts w:ascii="Arial" w:cs="Arial" w:eastAsia="Arial" w:hAnsi="Arial"/>
          <w:sz w:val="22"/>
          <w:szCs w:val="22"/>
          <w:u w:val="single" w:color="auto"/>
          <w:color w:val="auto"/>
        </w:rPr>
        <w:t>AOI PSUs</w:t>
      </w:r>
      <w:r>
        <w:rPr>
          <w:rFonts w:ascii="Arial" w:cs="Arial" w:eastAsia="Arial" w:hAnsi="Arial"/>
          <w:sz w:val="22"/>
          <w:szCs w:val="22"/>
          <w:color w:val="auto"/>
        </w:rPr>
        <w:t>”), and 25% of the Target PSUs shall be subject to performance goal relating to ROIC (the “</w:t>
      </w:r>
      <w:r>
        <w:rPr>
          <w:rFonts w:ascii="Arial" w:cs="Arial" w:eastAsia="Arial" w:hAnsi="Arial"/>
          <w:sz w:val="22"/>
          <w:szCs w:val="22"/>
          <w:u w:val="single" w:color="auto"/>
          <w:color w:val="auto"/>
        </w:rPr>
        <w:t>ROIC</w:t>
      </w:r>
      <w:r>
        <w:rPr>
          <w:rFonts w:ascii="Arial" w:cs="Arial" w:eastAsia="Arial" w:hAnsi="Arial"/>
          <w:sz w:val="22"/>
          <w:szCs w:val="22"/>
          <w:color w:val="auto"/>
        </w:rPr>
        <w:t xml:space="preserve"> </w:t>
      </w:r>
      <w:r>
        <w:rPr>
          <w:rFonts w:ascii="Arial" w:cs="Arial" w:eastAsia="Arial" w:hAnsi="Arial"/>
          <w:sz w:val="22"/>
          <w:szCs w:val="22"/>
          <w:u w:val="single" w:color="auto"/>
          <w:color w:val="auto"/>
        </w:rPr>
        <w:t>PSUs</w:t>
      </w:r>
      <w:r>
        <w:rPr>
          <w:rFonts w:ascii="Arial" w:cs="Arial" w:eastAsia="Arial" w:hAnsi="Arial"/>
          <w:sz w:val="22"/>
          <w:szCs w:val="22"/>
          <w:color w:val="auto"/>
        </w:rPr>
        <w:t>”).</w:t>
      </w:r>
    </w:p>
    <w:p>
      <w:pPr>
        <w:spacing w:after="0" w:line="152" w:lineRule="exact"/>
        <w:rPr>
          <w:sz w:val="20"/>
          <w:szCs w:val="20"/>
          <w:color w:val="auto"/>
        </w:rPr>
      </w:pPr>
    </w:p>
    <w:p>
      <w:pPr>
        <w:jc w:val="both"/>
        <w:ind w:left="1840" w:hanging="3239"/>
        <w:spacing w:after="0" w:line="253" w:lineRule="auto"/>
        <w:tabs>
          <w:tab w:leader="none" w:pos="182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 xml:space="preserve">The Participant will have the right to earn between 0% and 200% of the AOI PSUs based on the Company’s achievement of performance goals relating to Adjusted Operating Income, as set forth on </w:t>
      </w:r>
      <w:r>
        <w:rPr>
          <w:rFonts w:ascii="Arial" w:cs="Arial" w:eastAsia="Arial" w:hAnsi="Arial"/>
          <w:sz w:val="22"/>
          <w:szCs w:val="22"/>
          <w:u w:val="single" w:color="auto"/>
          <w:color w:val="auto"/>
        </w:rPr>
        <w:t>Appendix A</w:t>
      </w:r>
      <w:r>
        <w:rPr>
          <w:rFonts w:ascii="Arial" w:cs="Arial" w:eastAsia="Arial" w:hAnsi="Arial"/>
          <w:sz w:val="22"/>
          <w:szCs w:val="22"/>
          <w:color w:val="auto"/>
        </w:rPr>
        <w:t>, over the Performance Period.</w:t>
      </w:r>
    </w:p>
    <w:p>
      <w:pPr>
        <w:spacing w:after="0" w:line="151" w:lineRule="exact"/>
        <w:rPr>
          <w:sz w:val="20"/>
          <w:szCs w:val="20"/>
          <w:color w:val="auto"/>
        </w:rPr>
      </w:pPr>
    </w:p>
    <w:p>
      <w:pPr>
        <w:jc w:val="both"/>
        <w:ind w:left="3240"/>
        <w:spacing w:after="0" w:line="253" w:lineRule="auto"/>
        <w:rPr>
          <w:sz w:val="20"/>
          <w:szCs w:val="20"/>
          <w:color w:val="auto"/>
        </w:rPr>
      </w:pPr>
      <w:r>
        <w:rPr>
          <w:rFonts w:ascii="Arial" w:cs="Arial" w:eastAsia="Arial" w:hAnsi="Arial"/>
          <w:sz w:val="22"/>
          <w:szCs w:val="22"/>
          <w:color w:val="auto"/>
        </w:rPr>
        <w:t xml:space="preserve">Similarly, the Participant will have the right to earn between 0% and 200% of the ROIC PSUs based on the Company’s achievement of performance goals relating to ROIC, as set forth on </w:t>
      </w:r>
      <w:r>
        <w:rPr>
          <w:rFonts w:ascii="Arial" w:cs="Arial" w:eastAsia="Arial" w:hAnsi="Arial"/>
          <w:sz w:val="22"/>
          <w:szCs w:val="22"/>
          <w:u w:val="single" w:color="auto"/>
          <w:color w:val="auto"/>
        </w:rPr>
        <w:t>Appendix B</w:t>
      </w:r>
      <w:r>
        <w:rPr>
          <w:rFonts w:ascii="Arial" w:cs="Arial" w:eastAsia="Arial" w:hAnsi="Arial"/>
          <w:sz w:val="22"/>
          <w:szCs w:val="22"/>
          <w:color w:val="auto"/>
        </w:rPr>
        <w:t>, over the Performance Period.</w:t>
      </w:r>
    </w:p>
    <w:p>
      <w:pPr>
        <w:spacing w:after="0" w:line="139"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auto"/>
        </w:rPr>
        <w:t>Performance Period:</w:t>
      </w:r>
      <w:r>
        <w:rPr>
          <w:sz w:val="20"/>
          <w:szCs w:val="20"/>
          <w:color w:val="auto"/>
        </w:rPr>
        <w:tab/>
      </w:r>
      <w:r>
        <w:rPr>
          <w:rFonts w:ascii="Arial" w:cs="Arial" w:eastAsia="Arial" w:hAnsi="Arial"/>
          <w:sz w:val="19"/>
          <w:szCs w:val="19"/>
          <w:color w:val="auto"/>
        </w:rPr>
        <w:t>Fiscal year 2021 through fiscal year 2023.</w:t>
      </w:r>
    </w:p>
    <w:p>
      <w:pPr>
        <w:spacing w:after="0" w:line="193" w:lineRule="exact"/>
        <w:rPr>
          <w:sz w:val="20"/>
          <w:szCs w:val="20"/>
          <w:color w:val="auto"/>
        </w:rPr>
      </w:pPr>
    </w:p>
    <w:p>
      <w:pPr>
        <w:ind w:left="2760" w:right="20" w:hanging="3239"/>
        <w:spacing w:after="0" w:line="263" w:lineRule="auto"/>
        <w:tabs>
          <w:tab w:leader="none" w:pos="2740" w:val="left"/>
        </w:tabs>
        <w:rPr>
          <w:sz w:val="20"/>
          <w:szCs w:val="20"/>
          <w:color w:val="auto"/>
        </w:rPr>
      </w:pPr>
      <w:r>
        <w:rPr>
          <w:rFonts w:ascii="Arial" w:cs="Arial" w:eastAsia="Arial" w:hAnsi="Arial"/>
          <w:sz w:val="22"/>
          <w:szCs w:val="22"/>
          <w:b w:val="1"/>
          <w:bCs w:val="1"/>
          <w:color w:val="auto"/>
        </w:rPr>
        <w:t>Performance Conditions:</w:t>
      </w:r>
      <w:r>
        <w:rPr>
          <w:sz w:val="20"/>
          <w:szCs w:val="20"/>
          <w:color w:val="auto"/>
        </w:rPr>
        <w:tab/>
      </w:r>
      <w:r>
        <w:rPr>
          <w:rFonts w:ascii="Arial" w:cs="Arial" w:eastAsia="Arial" w:hAnsi="Arial"/>
          <w:sz w:val="22"/>
          <w:szCs w:val="22"/>
          <w:color w:val="auto"/>
        </w:rPr>
        <w:t>The number of PSUs that become “</w:t>
      </w:r>
      <w:r>
        <w:rPr>
          <w:rFonts w:ascii="Arial" w:cs="Arial" w:eastAsia="Arial" w:hAnsi="Arial"/>
          <w:sz w:val="22"/>
          <w:szCs w:val="22"/>
          <w:u w:val="single" w:color="auto"/>
          <w:color w:val="auto"/>
        </w:rPr>
        <w:t>Earned PSUs</w:t>
      </w:r>
      <w:r>
        <w:rPr>
          <w:rFonts w:ascii="Arial" w:cs="Arial" w:eastAsia="Arial" w:hAnsi="Arial"/>
          <w:sz w:val="22"/>
          <w:szCs w:val="22"/>
          <w:color w:val="auto"/>
        </w:rPr>
        <w:t>” shall be based on the achievement of the “</w:t>
      </w:r>
      <w:r>
        <w:rPr>
          <w:rFonts w:ascii="Arial" w:cs="Arial" w:eastAsia="Arial" w:hAnsi="Arial"/>
          <w:sz w:val="22"/>
          <w:szCs w:val="22"/>
          <w:u w:val="single" w:color="auto"/>
          <w:color w:val="auto"/>
        </w:rPr>
        <w:t>Performance Conditions”</w:t>
      </w:r>
      <w:r>
        <w:rPr>
          <w:rFonts w:ascii="Arial" w:cs="Arial" w:eastAsia="Arial" w:hAnsi="Arial"/>
          <w:sz w:val="22"/>
          <w:szCs w:val="22"/>
          <w:color w:val="auto"/>
        </w:rPr>
        <w:t xml:space="preserv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40" w:lineRule="exact"/>
        <w:rPr>
          <w:sz w:val="20"/>
          <w:szCs w:val="20"/>
          <w:color w:val="auto"/>
        </w:rPr>
      </w:pPr>
    </w:p>
    <w:p>
      <w:pPr>
        <w:ind w:left="3240"/>
        <w:spacing w:after="0" w:line="263" w:lineRule="auto"/>
        <w:rPr>
          <w:sz w:val="20"/>
          <w:szCs w:val="20"/>
          <w:color w:val="auto"/>
        </w:rPr>
      </w:pPr>
      <w:r>
        <w:rPr>
          <w:rFonts w:ascii="Arial" w:cs="Arial" w:eastAsia="Arial" w:hAnsi="Arial"/>
          <w:sz w:val="22"/>
          <w:szCs w:val="22"/>
          <w:color w:val="auto"/>
        </w:rPr>
        <w:t>In fiscal years with 53 weeks, the Committee will adjust the Performance Conditions to a 52-week equivalent.</w:t>
      </w:r>
    </w:p>
    <w:p>
      <w:pPr>
        <w:sectPr>
          <w:pgSz w:w="11900" w:h="16838" w:orient="portrait"/>
          <w:cols w:equalWidth="0" w:num="1">
            <w:col w:w="11240"/>
          </w:cols>
          <w:pgMar w:left="320" w:top="369" w:right="339" w:bottom="1440" w:gutter="0" w:footer="0" w:header="0"/>
        </w:sectPr>
      </w:pPr>
    </w:p>
    <w:bookmarkStart w:id="38" w:name="page39"/>
    <w:bookmarkEnd w:id="38"/>
    <w:p>
      <w:pPr>
        <w:spacing w:after="0" w:line="200" w:lineRule="exact"/>
        <w:rPr>
          <w:sz w:val="20"/>
          <w:szCs w:val="20"/>
          <w:color w:val="auto"/>
        </w:rPr>
      </w:pPr>
    </w:p>
    <w:p>
      <w:pPr>
        <w:spacing w:after="0" w:line="255" w:lineRule="exact"/>
        <w:rPr>
          <w:sz w:val="20"/>
          <w:szCs w:val="20"/>
          <w:color w:val="auto"/>
        </w:rPr>
      </w:pPr>
    </w:p>
    <w:p>
      <w:pPr>
        <w:ind w:left="2000" w:right="100" w:hanging="3239"/>
        <w:spacing w:after="0" w:line="297" w:lineRule="auto"/>
        <w:tabs>
          <w:tab w:leader="none" w:pos="1980" w:val="left"/>
        </w:tabs>
        <w:rPr>
          <w:sz w:val="20"/>
          <w:szCs w:val="20"/>
          <w:color w:val="auto"/>
        </w:rPr>
      </w:pPr>
      <w:r>
        <w:rPr>
          <w:rFonts w:ascii="Arial" w:cs="Arial" w:eastAsia="Arial" w:hAnsi="Arial"/>
          <w:sz w:val="22"/>
          <w:szCs w:val="22"/>
          <w:b w:val="1"/>
          <w:bCs w:val="1"/>
          <w:color w:val="auto"/>
        </w:rPr>
        <w:t>Calculation of Earned PSUs:</w:t>
      </w:r>
      <w:r>
        <w:rPr>
          <w:sz w:val="20"/>
          <w:szCs w:val="20"/>
          <w:color w:val="auto"/>
        </w:rPr>
        <w:tab/>
      </w:r>
      <w:r>
        <w:rPr>
          <w:rFonts w:ascii="Arial" w:cs="Arial" w:eastAsia="Arial" w:hAnsi="Arial"/>
          <w:sz w:val="19"/>
          <w:szCs w:val="19"/>
          <w:color w:val="auto"/>
        </w:rPr>
        <w:t>All determinations with respect to whether and to the extent to which a Performance Condition has been achieved shall be made by the Committee in its sole discretion, and the applicable Performance Conditions shall not be achieved and the applicable PSUs shall not become Earned PSUs until the date that the Committee certifies in writing the extent to which such Performance Conditions have been met (such date, the “</w:t>
      </w:r>
      <w:r>
        <w:rPr>
          <w:rFonts w:ascii="Arial" w:cs="Arial" w:eastAsia="Arial" w:hAnsi="Arial"/>
          <w:sz w:val="19"/>
          <w:szCs w:val="19"/>
          <w:u w:val="single" w:color="auto"/>
          <w:color w:val="auto"/>
        </w:rPr>
        <w:t>Determination Date</w:t>
      </w:r>
      <w:r>
        <w:rPr>
          <w:rFonts w:ascii="Arial" w:cs="Arial" w:eastAsia="Arial" w:hAnsi="Arial"/>
          <w:sz w:val="19"/>
          <w:szCs w:val="19"/>
          <w:color w:val="auto"/>
        </w:rPr>
        <w:t>”).</w:t>
      </w:r>
    </w:p>
    <w:p>
      <w:pPr>
        <w:spacing w:after="0" w:line="112" w:lineRule="exact"/>
        <w:rPr>
          <w:sz w:val="20"/>
          <w:szCs w:val="20"/>
          <w:color w:val="auto"/>
        </w:rPr>
      </w:pPr>
    </w:p>
    <w:p>
      <w:pPr>
        <w:jc w:val="both"/>
        <w:ind w:left="2360"/>
        <w:spacing w:after="0" w:line="253" w:lineRule="auto"/>
        <w:rPr>
          <w:sz w:val="20"/>
          <w:szCs w:val="20"/>
          <w:color w:val="auto"/>
        </w:rPr>
      </w:pPr>
      <w:r>
        <w:rPr>
          <w:rFonts w:ascii="Arial" w:cs="Arial" w:eastAsia="Arial" w:hAnsi="Arial"/>
          <w:sz w:val="22"/>
          <w:szCs w:val="22"/>
          <w:color w:val="auto"/>
        </w:rPr>
        <w:t xml:space="preserve">Following the last day of the Performance Period, the Committee shall determine the number of Earned AOI PSUs and the number of Earned ROIC PSUs, as provided in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B</w:t>
      </w:r>
      <w:r>
        <w:rPr>
          <w:rFonts w:ascii="Arial" w:cs="Arial" w:eastAsia="Arial" w:hAnsi="Arial"/>
          <w:sz w:val="22"/>
          <w:szCs w:val="22"/>
          <w:color w:val="auto"/>
        </w:rPr>
        <w:t>, respectively.</w:t>
      </w:r>
    </w:p>
    <w:p>
      <w:pPr>
        <w:spacing w:after="0" w:line="158" w:lineRule="exact"/>
        <w:rPr>
          <w:sz w:val="20"/>
          <w:szCs w:val="20"/>
          <w:color w:val="auto"/>
        </w:rPr>
      </w:pPr>
    </w:p>
    <w:p>
      <w:pPr>
        <w:ind w:left="2360" w:hanging="3033"/>
        <w:spacing w:after="0" w:line="263" w:lineRule="auto"/>
        <w:rPr>
          <w:sz w:val="20"/>
          <w:szCs w:val="20"/>
          <w:color w:val="auto"/>
        </w:rPr>
      </w:pPr>
      <w:r>
        <w:rPr>
          <w:rFonts w:ascii="Arial" w:cs="Arial" w:eastAsia="Arial" w:hAnsi="Arial"/>
          <w:sz w:val="22"/>
          <w:szCs w:val="22"/>
          <w:color w:val="auto"/>
        </w:rPr>
        <w:t>Any PSUs which do not become Earned PSUs based on actual performance during the Performance Period shall be forfeited as of the last day of the Performance Period.</w:t>
      </w:r>
    </w:p>
    <w:p>
      <w:pPr>
        <w:spacing w:after="0" w:line="128" w:lineRule="exact"/>
        <w:rPr>
          <w:sz w:val="20"/>
          <w:szCs w:val="20"/>
          <w:color w:val="auto"/>
        </w:rPr>
      </w:pPr>
    </w:p>
    <w:p>
      <w:pPr>
        <w:ind w:left="1640" w:right="20" w:hanging="3239"/>
        <w:spacing w:after="0" w:line="343" w:lineRule="auto"/>
        <w:tabs>
          <w:tab w:leader="none" w:pos="1620" w:val="left"/>
        </w:tabs>
        <w:rPr>
          <w:sz w:val="20"/>
          <w:szCs w:val="20"/>
          <w:color w:val="auto"/>
        </w:rPr>
      </w:pPr>
      <w:r>
        <w:rPr>
          <w:rFonts w:ascii="Arial" w:cs="Arial" w:eastAsia="Arial" w:hAnsi="Arial"/>
          <w:sz w:val="22"/>
          <w:szCs w:val="22"/>
          <w:b w:val="1"/>
          <w:bCs w:val="1"/>
          <w:color w:val="auto"/>
        </w:rPr>
        <w:t>Vesting of Earned PSUs:</w:t>
      </w:r>
      <w:r>
        <w:rPr>
          <w:sz w:val="20"/>
          <w:szCs w:val="20"/>
          <w:color w:val="auto"/>
        </w:rPr>
        <w:tab/>
      </w:r>
      <w:r>
        <w:rPr>
          <w:rFonts w:ascii="Arial" w:cs="Arial" w:eastAsia="Arial" w:hAnsi="Arial"/>
          <w:sz w:val="19"/>
          <w:szCs w:val="19"/>
          <w:color w:val="auto"/>
        </w:rPr>
        <w:t>Any PSUs that become Earned PSUs shall become vested on the later of (i) the Determination Date for the applicable Performance Period and (ii) the third anniversary of the Date of Grant.</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color w:val="auto"/>
        </w:rPr>
        <w:t>Notwithstanding the foregoing:</w:t>
      </w:r>
    </w:p>
    <w:p>
      <w:pPr>
        <w:spacing w:after="0" w:line="193" w:lineRule="exact"/>
        <w:rPr>
          <w:sz w:val="20"/>
          <w:szCs w:val="20"/>
          <w:color w:val="auto"/>
        </w:rPr>
      </w:pPr>
    </w:p>
    <w:p>
      <w:pPr>
        <w:jc w:val="both"/>
        <w:ind w:left="2360" w:hanging="316"/>
        <w:spacing w:after="0" w:line="250" w:lineRule="auto"/>
        <w:tabs>
          <w:tab w:leader="none" w:pos="2355"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 the event that the Participant undergoes a Termination as a result of such Participant’s death or Disability, the PSUs shall become vested assuming achievement of a 100% payout (“</w:t>
      </w:r>
      <w:r>
        <w:rPr>
          <w:rFonts w:ascii="Arial" w:cs="Arial" w:eastAsia="Arial" w:hAnsi="Arial"/>
          <w:sz w:val="22"/>
          <w:szCs w:val="22"/>
          <w:u w:val="single" w:color="auto"/>
          <w:color w:val="auto"/>
        </w:rPr>
        <w:t>Target Performance</w:t>
      </w:r>
      <w:r>
        <w:rPr>
          <w:rFonts w:ascii="Arial" w:cs="Arial" w:eastAsia="Arial" w:hAnsi="Arial"/>
          <w:sz w:val="22"/>
          <w:szCs w:val="22"/>
          <w:color w:val="auto"/>
        </w:rPr>
        <w:t>”), and settled in accordance with the Agreement within sixty (60) days following such Termination.</w:t>
      </w:r>
    </w:p>
    <w:p>
      <w:pPr>
        <w:spacing w:after="0" w:line="147" w:lineRule="exact"/>
        <w:rPr>
          <w:rFonts w:ascii="Arial" w:cs="Arial" w:eastAsia="Arial" w:hAnsi="Arial"/>
          <w:sz w:val="22"/>
          <w:szCs w:val="22"/>
          <w:color w:val="auto"/>
        </w:rPr>
      </w:pPr>
    </w:p>
    <w:p>
      <w:pPr>
        <w:jc w:val="both"/>
        <w:ind w:left="2360" w:hanging="316"/>
        <w:spacing w:after="0" w:line="290" w:lineRule="auto"/>
        <w:tabs>
          <w:tab w:leader="none" w:pos="2355" w:val="left"/>
        </w:tabs>
        <w:numPr>
          <w:ilvl w:val="0"/>
          <w:numId w:val="19"/>
        </w:numPr>
        <w:rPr>
          <w:rFonts w:ascii="Arial" w:cs="Arial" w:eastAsia="Arial" w:hAnsi="Arial"/>
          <w:sz w:val="19"/>
          <w:szCs w:val="19"/>
          <w:color w:val="auto"/>
        </w:rPr>
      </w:pPr>
      <w:r>
        <w:rPr>
          <w:rFonts w:ascii="Arial" w:cs="Arial" w:eastAsia="Arial" w:hAnsi="Arial"/>
          <w:sz w:val="19"/>
          <w:szCs w:val="19"/>
          <w:color w:val="auto"/>
        </w:rPr>
        <w:t>In the event that prior to a Change in Control the Participant undergoes a Termination by the Service Recipient without Cause or by such Participant for Good Reason, subject to the Participant’s compliance during the Performance Period with any restrictive covenant by which such Participant is bound, including, without limitation, any covenant not to compete or not to solicit, in any agreement with any member of the Company Group, with respect to any PSUs for which the Performance Period has not been completed, a prorated portion of the PSUs will remain outstanding and eligible to vest based on actual performance on the last day of the Performance Period, with such proration based on the number of days the</w:t>
      </w:r>
    </w:p>
    <w:p>
      <w:pPr>
        <w:sectPr>
          <w:pgSz w:w="11900" w:h="16838" w:orient="portrait"/>
          <w:cols w:equalWidth="0" w:num="1">
            <w:col w:w="10360"/>
          </w:cols>
          <w:pgMar w:left="1200" w:top="1440" w:right="339" w:bottom="1440" w:gutter="0" w:footer="0" w:header="0"/>
        </w:sectPr>
      </w:pPr>
    </w:p>
    <w:bookmarkStart w:id="39" w:name="page40"/>
    <w:bookmarkEnd w:id="39"/>
    <w:p>
      <w:pPr>
        <w:jc w:val="both"/>
        <w:ind w:left="2120"/>
        <w:spacing w:after="0" w:line="250" w:lineRule="auto"/>
        <w:rPr>
          <w:sz w:val="20"/>
          <w:szCs w:val="20"/>
          <w:color w:val="auto"/>
        </w:rPr>
      </w:pPr>
      <w:r>
        <w:rPr>
          <w:rFonts w:ascii="Arial" w:cs="Arial" w:eastAsia="Arial" w:hAnsi="Arial"/>
          <w:sz w:val="22"/>
          <w:szCs w:val="22"/>
          <w:color w:val="auto"/>
        </w:rPr>
        <w:t>Participant was employed during the Performance Period relative to the total number of days of the Performance Period. Any PSUs that become Earned PSUs following the Determination Date shall become vested and settled in accordance with the Agreement within sixty (60) days following the Determination Date.</w:t>
      </w:r>
    </w:p>
    <w:p>
      <w:pPr>
        <w:spacing w:after="0" w:line="147" w:lineRule="exact"/>
        <w:rPr>
          <w:sz w:val="20"/>
          <w:szCs w:val="20"/>
          <w:color w:val="auto"/>
        </w:rPr>
      </w:pPr>
    </w:p>
    <w:p>
      <w:pPr>
        <w:jc w:val="both"/>
        <w:ind w:left="2120" w:hanging="316"/>
        <w:spacing w:after="0" w:line="259" w:lineRule="auto"/>
        <w:tabs>
          <w:tab w:leader="none" w:pos="2115" w:val="left"/>
        </w:tabs>
        <w:numPr>
          <w:ilvl w:val="0"/>
          <w:numId w:val="20"/>
        </w:numPr>
        <w:rPr>
          <w:rFonts w:ascii="Arial" w:cs="Arial" w:eastAsia="Arial" w:hAnsi="Arial"/>
          <w:sz w:val="21"/>
          <w:szCs w:val="21"/>
          <w:color w:val="auto"/>
        </w:rPr>
      </w:pPr>
      <w:r>
        <w:rPr>
          <w:rFonts w:ascii="Arial" w:cs="Arial" w:eastAsia="Arial" w:hAnsi="Arial"/>
          <w:sz w:val="21"/>
          <w:szCs w:val="21"/>
          <w:color w:val="auto"/>
        </w:rPr>
        <w:t>In the event of a Change in Control, PSUs shall be converted into time-based vesting shares of Restricted Stock (the “</w:t>
      </w:r>
      <w:r>
        <w:rPr>
          <w:rFonts w:ascii="Arial" w:cs="Arial" w:eastAsia="Arial" w:hAnsi="Arial"/>
          <w:sz w:val="21"/>
          <w:szCs w:val="21"/>
          <w:u w:val="single" w:color="auto"/>
          <w:color w:val="auto"/>
        </w:rPr>
        <w:t>Converted PSUs</w:t>
      </w:r>
      <w:r>
        <w:rPr>
          <w:rFonts w:ascii="Arial" w:cs="Arial" w:eastAsia="Arial" w:hAnsi="Arial"/>
          <w:sz w:val="21"/>
          <w:szCs w:val="21"/>
          <w:color w:val="auto"/>
        </w:rPr>
        <w:t>”) determined based on the greater of (x) Target Performance and (y) actual performance on the date of the Change in Control. If (i) a successor entity does not assume, convert, or replace the Converted PSUs in connection with the Change in Control or (ii) on or within the twenty-four (24) months following the Change in Control the Participant undergoes a Termination by the Service Recipient without Cause or by such Participant for Good Reason, in each case, such Participant shall fully vest in such Converted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to appear on following page</w:t>
      </w:r>
      <w:r>
        <w:rPr>
          <w:rFonts w:ascii="Arial" w:cs="Arial" w:eastAsia="Arial" w:hAnsi="Arial"/>
          <w:sz w:val="22"/>
          <w:szCs w:val="22"/>
          <w:color w:val="auto"/>
        </w:rPr>
        <w:t>]</w:t>
      </w:r>
    </w:p>
    <w:p>
      <w:pPr>
        <w:sectPr>
          <w:pgSz w:w="11900" w:h="16838" w:orient="portrait"/>
          <w:cols w:equalWidth="0" w:num="1">
            <w:col w:w="10120"/>
          </w:cols>
          <w:pgMar w:left="1440" w:top="1428" w:right="339" w:bottom="1440" w:gutter="0" w:footer="0" w:header="0"/>
        </w:sectPr>
      </w:pPr>
    </w:p>
    <w:bookmarkStart w:id="40" w:name="page41"/>
    <w:bookmarkEnd w:id="40"/>
    <w:p>
      <w:pPr>
        <w:spacing w:after="0" w:line="225"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r>
        <w:rPr>
          <w:rFonts w:ascii="Arial" w:cs="Arial" w:eastAsia="Arial" w:hAnsi="Arial"/>
          <w:sz w:val="28"/>
          <w:szCs w:val="28"/>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1189990</wp:posOffset>
            </wp:positionV>
            <wp:extent cx="1714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60" w:hanging="652"/>
        <w:spacing w:after="0" w:line="221" w:lineRule="auto"/>
        <w:tabs>
          <w:tab w:leader="none" w:pos="393" w:val="left"/>
        </w:tabs>
        <w:numPr>
          <w:ilvl w:val="0"/>
          <w:numId w:val="21"/>
        </w:numPr>
        <w:rPr>
          <w:rFonts w:ascii="Arial" w:cs="Arial" w:eastAsia="Arial" w:hAnsi="Arial"/>
          <w:sz w:val="28"/>
          <w:szCs w:val="28"/>
          <w:color w:val="auto"/>
          <w:vertAlign w:val="superscript"/>
        </w:rPr>
      </w:pPr>
      <w:r>
        <w:rPr>
          <w:rFonts w:ascii="Arial" w:cs="Arial" w:eastAsia="Arial" w:hAnsi="Arial"/>
          <w:sz w:val="22"/>
          <w:szCs w:val="22"/>
          <w:color w:val="auto"/>
        </w:rPr>
        <w:t>To the extent that the Company has established, either itself or through a third-party plan administrator, the ability to accept this award electronically, such acceptance shall constitute the Participant’s signature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Performance Stock Unit Award</w:t>
      </w:r>
      <w:r>
        <w:rPr>
          <w:rFonts w:ascii="Arial" w:cs="Arial" w:eastAsia="Arial" w:hAnsi="Arial"/>
          <w:sz w:val="16"/>
          <w:szCs w:val="16"/>
          <w:color w:val="auto"/>
        </w:rPr>
        <w:t>]</w:t>
      </w:r>
    </w:p>
    <w:p>
      <w:pPr>
        <w:sectPr>
          <w:pgSz w:w="11900" w:h="16838" w:orient="portrait"/>
          <w:cols w:equalWidth="0" w:num="1">
            <w:col w:w="11240"/>
          </w:cols>
          <w:pgMar w:left="320" w:top="1440" w:right="339" w:bottom="1440" w:gutter="0" w:footer="0" w:header="0"/>
        </w:sectPr>
      </w:pPr>
    </w:p>
    <w:bookmarkStart w:id="41" w:name="page42"/>
    <w:bookmarkEnd w:id="41"/>
    <w:p>
      <w:pPr>
        <w:jc w:val="center"/>
        <w:ind w:right="-499"/>
        <w:spacing w:after="0"/>
        <w:rPr>
          <w:sz w:val="20"/>
          <w:szCs w:val="20"/>
          <w:color w:val="auto"/>
        </w:rPr>
      </w:pPr>
      <w:r>
        <w:rPr>
          <w:rFonts w:ascii="Arial" w:cs="Arial" w:eastAsia="Arial" w:hAnsi="Arial"/>
          <w:sz w:val="22"/>
          <w:szCs w:val="22"/>
          <w:b w:val="1"/>
          <w:bCs w:val="1"/>
          <w:color w:val="auto"/>
        </w:rPr>
        <w:t>Exhibit A</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20"/>
          <w:szCs w:val="20"/>
          <w:b w:val="1"/>
          <w:bCs w:val="1"/>
          <w:u w:val="single" w:color="auto"/>
          <w:color w:val="auto"/>
        </w:rPr>
        <w:t>PERFORMANCE GOALS</w:t>
      </w:r>
    </w:p>
    <w:p>
      <w:pPr>
        <w:spacing w:after="0" w:line="108" w:lineRule="exact"/>
        <w:rPr>
          <w:sz w:val="20"/>
          <w:szCs w:val="20"/>
          <w:color w:val="auto"/>
        </w:rPr>
      </w:pPr>
    </w:p>
    <w:p>
      <w:pPr>
        <w:jc w:val="center"/>
        <w:ind w:right="-499"/>
        <w:spacing w:after="0"/>
        <w:rPr>
          <w:sz w:val="20"/>
          <w:szCs w:val="20"/>
          <w:color w:val="auto"/>
        </w:rPr>
      </w:pPr>
      <w:r>
        <w:rPr>
          <w:rFonts w:ascii="Arial" w:cs="Arial" w:eastAsia="Arial" w:hAnsi="Arial"/>
          <w:sz w:val="20"/>
          <w:szCs w:val="20"/>
          <w:b w:val="1"/>
          <w:bCs w:val="1"/>
          <w:u w:val="single" w:color="auto"/>
          <w:color w:val="auto"/>
        </w:rPr>
        <w:t>(ADJUSTED OPERATING INCOME)</w:t>
      </w:r>
    </w:p>
    <w:p>
      <w:pPr>
        <w:spacing w:after="0" w:line="200" w:lineRule="exact"/>
        <w:rPr>
          <w:sz w:val="20"/>
          <w:szCs w:val="20"/>
          <w:color w:val="auto"/>
        </w:rPr>
      </w:pPr>
    </w:p>
    <w:p>
      <w:pPr>
        <w:spacing w:after="0" w:line="25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Participant may earn a percentage of the AOI PSUs based on the average of the Company’s performance percentage scores against Performance Conditions relating to Adjusted Operating Income for each of the three fiscal years in the Performance Period, as provided in the following tables. In each case, the performance percentage score between performance levels will be determined to the nearest hundredth of a percentage point using linear interpolation.</w:t>
      </w:r>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For purposes of the AOI PSUs, “</w:t>
      </w:r>
      <w:r>
        <w:rPr>
          <w:rFonts w:ascii="Arial" w:cs="Arial" w:eastAsia="Arial" w:hAnsi="Arial"/>
          <w:sz w:val="19"/>
          <w:szCs w:val="19"/>
          <w:u w:val="single" w:color="auto"/>
          <w:color w:val="auto"/>
        </w:rPr>
        <w:t>Adjusted Operating Income</w:t>
      </w:r>
      <w:r>
        <w:rPr>
          <w:rFonts w:ascii="Arial" w:cs="Arial" w:eastAsia="Arial" w:hAnsi="Arial"/>
          <w:sz w:val="19"/>
          <w:szCs w:val="19"/>
          <w:color w:val="auto"/>
        </w:rPr>
        <w:t>” means net income, plus interest expense and income tax provision (benefit), further adjusted to exclude: (i) stock compensation expense, debt issuance costs, loss on extinguishment of debt, asset impairment, secondary offering expenses, management realignment expenses, long-term incentive plan expenses, and other expenses and (ii) margin on unearned revenue.</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Performance Conditions for the first fiscal year in the Performance Period shall be based on achievement of specified annual Adjusted Operating Income goals, as provided in the following table:</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Fiscal Year 2021</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020" w:type="dxa"/>
            <w:vAlign w:val="bottom"/>
            <w:tcBorders>
              <w:top w:val="single" w:sz="8" w:color="auto"/>
              <w:left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9"/>
                <w:szCs w:val="19"/>
                <w:b w:val="1"/>
                <w:bCs w:val="1"/>
                <w:color w:val="auto"/>
                <w:w w:val="90"/>
              </w:rPr>
              <w:t>Degree of Performance Attainment</w:t>
            </w:r>
          </w:p>
        </w:tc>
        <w:tc>
          <w:tcPr>
            <w:tcW w:w="3760" w:type="dxa"/>
            <w:vAlign w:val="bottom"/>
            <w:tcBorders>
              <w:top w:val="single" w:sz="8" w:color="auto"/>
              <w:right w:val="single" w:sz="8" w:color="auto"/>
            </w:tcBorders>
            <w:gridSpan w:val="3"/>
            <w:shd w:val="clear" w:color="auto" w:fill="F2F2F2"/>
          </w:tcPr>
          <w:p>
            <w:pPr>
              <w:jc w:val="center"/>
              <w:ind w:right="40"/>
              <w:spacing w:after="0"/>
              <w:rPr>
                <w:sz w:val="20"/>
                <w:szCs w:val="20"/>
                <w:color w:val="auto"/>
              </w:rPr>
            </w:pPr>
            <w:r>
              <w:rPr>
                <w:rFonts w:ascii="Arial" w:cs="Arial" w:eastAsia="Arial" w:hAnsi="Arial"/>
                <w:sz w:val="18"/>
                <w:szCs w:val="18"/>
                <w:b w:val="1"/>
                <w:bCs w:val="1"/>
                <w:color w:val="auto"/>
                <w:w w:val="88"/>
              </w:rPr>
              <w:t>Performance Percentage</w:t>
            </w:r>
          </w:p>
        </w:tc>
      </w:tr>
      <w:tr>
        <w:trPr>
          <w:trHeight w:val="216"/>
        </w:trPr>
        <w:tc>
          <w:tcPr>
            <w:tcW w:w="4020" w:type="dxa"/>
            <w:vAlign w:val="bottom"/>
            <w:tcBorders>
              <w:left w:val="single" w:sz="8" w:color="auto"/>
              <w:right w:val="single" w:sz="8" w:color="auto"/>
            </w:tcBorders>
            <w:shd w:val="clear" w:color="auto" w:fill="F2F2F2"/>
          </w:tcPr>
          <w:p>
            <w:pPr>
              <w:spacing w:after="0"/>
              <w:rPr>
                <w:sz w:val="18"/>
                <w:szCs w:val="18"/>
                <w:color w:val="auto"/>
              </w:rPr>
            </w:pPr>
          </w:p>
        </w:tc>
        <w:tc>
          <w:tcPr>
            <w:tcW w:w="1600" w:type="dxa"/>
            <w:vAlign w:val="bottom"/>
            <w:shd w:val="clear" w:color="auto" w:fill="F2F2F2"/>
          </w:tcPr>
          <w:p>
            <w:pPr>
              <w:spacing w:after="0"/>
              <w:rPr>
                <w:sz w:val="18"/>
                <w:szCs w:val="18"/>
                <w:color w:val="auto"/>
              </w:rPr>
            </w:pPr>
          </w:p>
        </w:tc>
        <w:tc>
          <w:tcPr>
            <w:tcW w:w="2160" w:type="dxa"/>
            <w:vAlign w:val="bottom"/>
            <w:tcBorders>
              <w:right w:val="single" w:sz="8" w:color="auto"/>
            </w:tcBorders>
            <w:gridSpan w:val="2"/>
            <w:shd w:val="clear" w:color="auto" w:fill="F2F2F2"/>
          </w:tcPr>
          <w:p>
            <w:pPr>
              <w:jc w:val="center"/>
              <w:ind w:right="1640"/>
              <w:spacing w:after="0"/>
              <w:rPr>
                <w:sz w:val="20"/>
                <w:szCs w:val="20"/>
                <w:color w:val="auto"/>
              </w:rPr>
            </w:pPr>
            <w:r>
              <w:rPr>
                <w:rFonts w:ascii="Arial" w:cs="Arial" w:eastAsia="Arial" w:hAnsi="Arial"/>
                <w:sz w:val="18"/>
                <w:szCs w:val="18"/>
                <w:b w:val="1"/>
                <w:bCs w:val="1"/>
                <w:color w:val="auto"/>
                <w:w w:val="87"/>
              </w:rPr>
              <w:t>Score</w:t>
            </w:r>
          </w:p>
        </w:tc>
      </w:tr>
      <w:tr>
        <w:trPr>
          <w:trHeight w:val="261"/>
        </w:trPr>
        <w:tc>
          <w:tcPr>
            <w:tcW w:w="4020" w:type="dxa"/>
            <w:vAlign w:val="bottom"/>
            <w:tcBorders>
              <w:left w:val="single" w:sz="8" w:color="auto"/>
              <w:bottom w:val="single" w:sz="8" w:color="auto"/>
              <w:right w:val="single" w:sz="8" w:color="auto"/>
            </w:tcBorders>
            <w:shd w:val="clear" w:color="auto" w:fill="F2F2F2"/>
          </w:tcPr>
          <w:p>
            <w:pPr>
              <w:spacing w:after="0"/>
              <w:rPr>
                <w:sz w:val="22"/>
                <w:szCs w:val="22"/>
                <w:color w:val="auto"/>
              </w:rPr>
            </w:pPr>
          </w:p>
        </w:tc>
        <w:tc>
          <w:tcPr>
            <w:tcW w:w="3760" w:type="dxa"/>
            <w:vAlign w:val="bottom"/>
            <w:tcBorders>
              <w:bottom w:val="single" w:sz="8" w:color="auto"/>
              <w:right w:val="single" w:sz="8" w:color="auto"/>
            </w:tcBorders>
            <w:gridSpan w:val="3"/>
            <w:shd w:val="clear" w:color="auto" w:fill="F2F2F2"/>
          </w:tcPr>
          <w:p>
            <w:pPr>
              <w:jc w:val="center"/>
              <w:ind w:right="40"/>
              <w:spacing w:after="0" w:line="194" w:lineRule="exact"/>
              <w:rPr>
                <w:sz w:val="20"/>
                <w:szCs w:val="20"/>
                <w:color w:val="auto"/>
              </w:rPr>
            </w:pPr>
            <w:r>
              <w:rPr>
                <w:rFonts w:ascii="Arial" w:cs="Arial" w:eastAsia="Arial" w:hAnsi="Arial"/>
                <w:sz w:val="18"/>
                <w:szCs w:val="18"/>
                <w:b w:val="1"/>
                <w:bCs w:val="1"/>
                <w:color w:val="auto"/>
                <w:w w:val="93"/>
              </w:rPr>
              <w:t>(“Payout”)</w:t>
            </w:r>
          </w:p>
        </w:tc>
      </w:tr>
      <w:tr>
        <w:trPr>
          <w:trHeight w:val="238"/>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Maximum</w:t>
            </w:r>
          </w:p>
        </w:tc>
        <w:tc>
          <w:tcPr>
            <w:tcW w:w="2140" w:type="dxa"/>
            <w:vAlign w:val="bottom"/>
            <w:gridSpan w:val="2"/>
          </w:tcPr>
          <w:p>
            <w:pPr>
              <w:jc w:val="center"/>
              <w:ind w:left="1487"/>
              <w:spacing w:after="0"/>
              <w:rPr>
                <w:sz w:val="20"/>
                <w:szCs w:val="20"/>
                <w:color w:val="auto"/>
              </w:rPr>
            </w:pPr>
            <w:r>
              <w:rPr>
                <w:rFonts w:ascii="Arial" w:cs="Arial" w:eastAsia="Arial" w:hAnsi="Arial"/>
                <w:sz w:val="19"/>
                <w:szCs w:val="19"/>
                <w:color w:val="auto"/>
                <w:w w:val="90"/>
              </w:rPr>
              <w:t>200%</w:t>
            </w:r>
          </w:p>
        </w:tc>
        <w:tc>
          <w:tcPr>
            <w:tcW w:w="1620" w:type="dxa"/>
            <w:vAlign w:val="bottom"/>
            <w:tcBorders>
              <w:right w:val="single" w:sz="8" w:color="auto"/>
            </w:tcBorders>
          </w:tcPr>
          <w:p>
            <w:pPr>
              <w:spacing w:after="0"/>
              <w:rPr>
                <w:sz w:val="20"/>
                <w:szCs w:val="20"/>
                <w:color w:val="auto"/>
              </w:rPr>
            </w:pPr>
          </w:p>
        </w:tc>
      </w:tr>
      <w:tr>
        <w:trPr>
          <w:trHeight w:val="25"/>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8"/>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7"/>
              </w:rPr>
              <w:t>Target</w:t>
            </w:r>
          </w:p>
        </w:tc>
        <w:tc>
          <w:tcPr>
            <w:tcW w:w="2140" w:type="dxa"/>
            <w:vAlign w:val="bottom"/>
            <w:gridSpan w:val="2"/>
          </w:tcPr>
          <w:p>
            <w:pPr>
              <w:jc w:val="center"/>
              <w:ind w:left="1487"/>
              <w:spacing w:after="0"/>
              <w:rPr>
                <w:sz w:val="20"/>
                <w:szCs w:val="20"/>
                <w:color w:val="auto"/>
              </w:rPr>
            </w:pPr>
            <w:r>
              <w:rPr>
                <w:rFonts w:ascii="Arial" w:cs="Arial" w:eastAsia="Arial" w:hAnsi="Arial"/>
                <w:sz w:val="19"/>
                <w:szCs w:val="19"/>
                <w:color w:val="auto"/>
                <w:w w:val="90"/>
              </w:rPr>
              <w:t>100%</w:t>
            </w:r>
          </w:p>
        </w:tc>
        <w:tc>
          <w:tcPr>
            <w:tcW w:w="1620" w:type="dxa"/>
            <w:vAlign w:val="bottom"/>
            <w:tcBorders>
              <w:right w:val="single" w:sz="8" w:color="auto"/>
            </w:tcBorders>
          </w:tcPr>
          <w:p>
            <w:pPr>
              <w:spacing w:after="0"/>
              <w:rPr>
                <w:sz w:val="20"/>
                <w:szCs w:val="20"/>
                <w:color w:val="auto"/>
              </w:rPr>
            </w:pPr>
          </w:p>
        </w:tc>
      </w:tr>
      <w:tr>
        <w:trPr>
          <w:trHeight w:val="25"/>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8"/>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Threshold</w:t>
            </w:r>
          </w:p>
        </w:tc>
        <w:tc>
          <w:tcPr>
            <w:tcW w:w="2140" w:type="dxa"/>
            <w:vAlign w:val="bottom"/>
            <w:gridSpan w:val="2"/>
          </w:tcPr>
          <w:p>
            <w:pPr>
              <w:jc w:val="center"/>
              <w:ind w:left="1487"/>
              <w:spacing w:after="0"/>
              <w:rPr>
                <w:sz w:val="20"/>
                <w:szCs w:val="20"/>
                <w:color w:val="auto"/>
              </w:rPr>
            </w:pPr>
            <w:r>
              <w:rPr>
                <w:rFonts w:ascii="Arial" w:cs="Arial" w:eastAsia="Arial" w:hAnsi="Arial"/>
                <w:sz w:val="19"/>
                <w:szCs w:val="19"/>
                <w:color w:val="auto"/>
                <w:w w:val="94"/>
              </w:rPr>
              <w:t>50%</w:t>
            </w:r>
          </w:p>
        </w:tc>
        <w:tc>
          <w:tcPr>
            <w:tcW w:w="1620" w:type="dxa"/>
            <w:vAlign w:val="bottom"/>
            <w:tcBorders>
              <w:right w:val="single" w:sz="8" w:color="auto"/>
            </w:tcBorders>
          </w:tcPr>
          <w:p>
            <w:pPr>
              <w:spacing w:after="0"/>
              <w:rPr>
                <w:sz w:val="20"/>
                <w:szCs w:val="20"/>
                <w:color w:val="auto"/>
              </w:rPr>
            </w:pPr>
          </w:p>
        </w:tc>
      </w:tr>
      <w:tr>
        <w:trPr>
          <w:trHeight w:val="25"/>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8"/>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Less than Threshold</w:t>
            </w:r>
          </w:p>
        </w:tc>
        <w:tc>
          <w:tcPr>
            <w:tcW w:w="2140" w:type="dxa"/>
            <w:vAlign w:val="bottom"/>
            <w:gridSpan w:val="2"/>
          </w:tcPr>
          <w:p>
            <w:pPr>
              <w:jc w:val="center"/>
              <w:ind w:left="1487"/>
              <w:spacing w:after="0"/>
              <w:rPr>
                <w:sz w:val="20"/>
                <w:szCs w:val="20"/>
                <w:color w:val="auto"/>
              </w:rPr>
            </w:pPr>
            <w:r>
              <w:rPr>
                <w:rFonts w:ascii="Arial" w:cs="Arial" w:eastAsia="Arial" w:hAnsi="Arial"/>
                <w:sz w:val="19"/>
                <w:szCs w:val="19"/>
                <w:color w:val="auto"/>
                <w:w w:val="87"/>
              </w:rPr>
              <w:t>0%</w:t>
            </w:r>
          </w:p>
        </w:tc>
        <w:tc>
          <w:tcPr>
            <w:tcW w:w="1620" w:type="dxa"/>
            <w:vAlign w:val="bottom"/>
            <w:tcBorders>
              <w:right w:val="single" w:sz="8" w:color="auto"/>
            </w:tcBorders>
          </w:tcPr>
          <w:p>
            <w:pPr>
              <w:spacing w:after="0"/>
              <w:rPr>
                <w:sz w:val="20"/>
                <w:szCs w:val="20"/>
                <w:color w:val="auto"/>
              </w:rPr>
            </w:pPr>
          </w:p>
        </w:tc>
      </w:tr>
      <w:tr>
        <w:trPr>
          <w:trHeight w:val="25"/>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bl>
    <w:p>
      <w:pPr>
        <w:spacing w:after="0" w:line="28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Performance Conditions for the second and third fiscal years in the Performance Period shall be based on achievement of goals related to growth in annual Adjusted Operating Income, as provided in the following table:</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Fiscal Years 2022 and 2023</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100" w:type="dxa"/>
            <w:vAlign w:val="bottom"/>
            <w:tcBorders>
              <w:top w:val="single" w:sz="8" w:color="auto"/>
              <w:left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9"/>
                <w:szCs w:val="19"/>
                <w:b w:val="1"/>
                <w:bCs w:val="1"/>
                <w:color w:val="auto"/>
                <w:w w:val="90"/>
              </w:rPr>
              <w:t>Degree of Performance Attainment</w:t>
            </w:r>
          </w:p>
        </w:tc>
        <w:tc>
          <w:tcPr>
            <w:tcW w:w="3800" w:type="dxa"/>
            <w:vAlign w:val="bottom"/>
            <w:tcBorders>
              <w:top w:val="single" w:sz="8" w:color="auto"/>
              <w:right w:val="single" w:sz="8" w:color="auto"/>
            </w:tcBorders>
            <w:gridSpan w:val="3"/>
            <w:shd w:val="clear" w:color="auto" w:fill="F2F2F2"/>
          </w:tcPr>
          <w:p>
            <w:pPr>
              <w:jc w:val="center"/>
              <w:ind w:right="40"/>
              <w:spacing w:after="0"/>
              <w:rPr>
                <w:sz w:val="20"/>
                <w:szCs w:val="20"/>
                <w:color w:val="auto"/>
              </w:rPr>
            </w:pPr>
            <w:r>
              <w:rPr>
                <w:rFonts w:ascii="Arial" w:cs="Arial" w:eastAsia="Arial" w:hAnsi="Arial"/>
                <w:sz w:val="18"/>
                <w:szCs w:val="18"/>
                <w:b w:val="1"/>
                <w:bCs w:val="1"/>
                <w:color w:val="auto"/>
                <w:w w:val="88"/>
              </w:rPr>
              <w:t>Performance Percentage</w:t>
            </w:r>
          </w:p>
        </w:tc>
      </w:tr>
      <w:tr>
        <w:trPr>
          <w:trHeight w:val="216"/>
        </w:trPr>
        <w:tc>
          <w:tcPr>
            <w:tcW w:w="4100" w:type="dxa"/>
            <w:vAlign w:val="bottom"/>
            <w:tcBorders>
              <w:left w:val="single" w:sz="8" w:color="auto"/>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spacing w:after="0"/>
              <w:rPr>
                <w:sz w:val="18"/>
                <w:szCs w:val="18"/>
                <w:color w:val="auto"/>
              </w:rPr>
            </w:pPr>
          </w:p>
        </w:tc>
        <w:tc>
          <w:tcPr>
            <w:tcW w:w="2160" w:type="dxa"/>
            <w:vAlign w:val="bottom"/>
            <w:tcBorders>
              <w:right w:val="single" w:sz="8" w:color="auto"/>
            </w:tcBorders>
            <w:gridSpan w:val="2"/>
            <w:shd w:val="clear" w:color="auto" w:fill="F2F2F2"/>
          </w:tcPr>
          <w:p>
            <w:pPr>
              <w:jc w:val="center"/>
              <w:ind w:right="1680"/>
              <w:spacing w:after="0"/>
              <w:rPr>
                <w:sz w:val="20"/>
                <w:szCs w:val="20"/>
                <w:color w:val="auto"/>
              </w:rPr>
            </w:pPr>
            <w:r>
              <w:rPr>
                <w:rFonts w:ascii="Arial" w:cs="Arial" w:eastAsia="Arial" w:hAnsi="Arial"/>
                <w:sz w:val="18"/>
                <w:szCs w:val="18"/>
                <w:b w:val="1"/>
                <w:bCs w:val="1"/>
                <w:color w:val="auto"/>
                <w:w w:val="87"/>
              </w:rPr>
              <w:t>Score</w:t>
            </w:r>
          </w:p>
        </w:tc>
      </w:tr>
      <w:tr>
        <w:trPr>
          <w:trHeight w:val="261"/>
        </w:trPr>
        <w:tc>
          <w:tcPr>
            <w:tcW w:w="4100" w:type="dxa"/>
            <w:vAlign w:val="bottom"/>
            <w:tcBorders>
              <w:left w:val="single" w:sz="8" w:color="auto"/>
              <w:bottom w:val="single" w:sz="8" w:color="auto"/>
              <w:right w:val="single" w:sz="8" w:color="auto"/>
            </w:tcBorders>
            <w:shd w:val="clear" w:color="auto" w:fill="F2F2F2"/>
          </w:tcPr>
          <w:p>
            <w:pPr>
              <w:spacing w:after="0"/>
              <w:rPr>
                <w:sz w:val="22"/>
                <w:szCs w:val="22"/>
                <w:color w:val="auto"/>
              </w:rPr>
            </w:pPr>
          </w:p>
        </w:tc>
        <w:tc>
          <w:tcPr>
            <w:tcW w:w="3800" w:type="dxa"/>
            <w:vAlign w:val="bottom"/>
            <w:tcBorders>
              <w:bottom w:val="single" w:sz="8" w:color="auto"/>
              <w:right w:val="single" w:sz="8" w:color="auto"/>
            </w:tcBorders>
            <w:gridSpan w:val="3"/>
            <w:shd w:val="clear" w:color="auto" w:fill="F2F2F2"/>
          </w:tcPr>
          <w:p>
            <w:pPr>
              <w:jc w:val="center"/>
              <w:spacing w:after="0" w:line="194" w:lineRule="exact"/>
              <w:rPr>
                <w:sz w:val="20"/>
                <w:szCs w:val="20"/>
                <w:color w:val="auto"/>
              </w:rPr>
            </w:pPr>
            <w:r>
              <w:rPr>
                <w:rFonts w:ascii="Arial" w:cs="Arial" w:eastAsia="Arial" w:hAnsi="Arial"/>
                <w:sz w:val="18"/>
                <w:szCs w:val="18"/>
                <w:b w:val="1"/>
                <w:bCs w:val="1"/>
                <w:color w:val="auto"/>
                <w:w w:val="93"/>
              </w:rPr>
              <w:t>(“Payout”)</w:t>
            </w:r>
          </w:p>
        </w:tc>
      </w:tr>
      <w:tr>
        <w:trPr>
          <w:trHeight w:val="238"/>
        </w:trPr>
        <w:tc>
          <w:tcPr>
            <w:tcW w:w="4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Maximum</w:t>
            </w:r>
          </w:p>
        </w:tc>
        <w:tc>
          <w:tcPr>
            <w:tcW w:w="2180" w:type="dxa"/>
            <w:vAlign w:val="bottom"/>
            <w:gridSpan w:val="2"/>
          </w:tcPr>
          <w:p>
            <w:pPr>
              <w:jc w:val="center"/>
              <w:ind w:left="1487"/>
              <w:spacing w:after="0"/>
              <w:rPr>
                <w:sz w:val="20"/>
                <w:szCs w:val="20"/>
                <w:color w:val="auto"/>
              </w:rPr>
            </w:pPr>
            <w:r>
              <w:rPr>
                <w:rFonts w:ascii="Arial" w:cs="Arial" w:eastAsia="Arial" w:hAnsi="Arial"/>
                <w:sz w:val="19"/>
                <w:szCs w:val="19"/>
                <w:color w:val="auto"/>
                <w:w w:val="90"/>
              </w:rPr>
              <w:t>200%</w:t>
            </w:r>
          </w:p>
        </w:tc>
        <w:tc>
          <w:tcPr>
            <w:tcW w:w="1620" w:type="dxa"/>
            <w:vAlign w:val="bottom"/>
            <w:tcBorders>
              <w:right w:val="single" w:sz="8" w:color="auto"/>
            </w:tcBorders>
          </w:tcPr>
          <w:p>
            <w:pPr>
              <w:spacing w:after="0"/>
              <w:rPr>
                <w:sz w:val="20"/>
                <w:szCs w:val="20"/>
                <w:color w:val="auto"/>
              </w:rPr>
            </w:pPr>
          </w:p>
        </w:tc>
      </w:tr>
      <w:tr>
        <w:trPr>
          <w:trHeight w:val="25"/>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8"/>
        </w:trPr>
        <w:tc>
          <w:tcPr>
            <w:tcW w:w="4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7"/>
              </w:rPr>
              <w:t>Target</w:t>
            </w:r>
          </w:p>
        </w:tc>
        <w:tc>
          <w:tcPr>
            <w:tcW w:w="2180" w:type="dxa"/>
            <w:vAlign w:val="bottom"/>
            <w:gridSpan w:val="2"/>
          </w:tcPr>
          <w:p>
            <w:pPr>
              <w:jc w:val="center"/>
              <w:ind w:left="1487"/>
              <w:spacing w:after="0"/>
              <w:rPr>
                <w:sz w:val="20"/>
                <w:szCs w:val="20"/>
                <w:color w:val="auto"/>
              </w:rPr>
            </w:pPr>
            <w:r>
              <w:rPr>
                <w:rFonts w:ascii="Arial" w:cs="Arial" w:eastAsia="Arial" w:hAnsi="Arial"/>
                <w:sz w:val="19"/>
                <w:szCs w:val="19"/>
                <w:color w:val="auto"/>
                <w:w w:val="90"/>
              </w:rPr>
              <w:t>100%</w:t>
            </w:r>
          </w:p>
        </w:tc>
        <w:tc>
          <w:tcPr>
            <w:tcW w:w="1620" w:type="dxa"/>
            <w:vAlign w:val="bottom"/>
            <w:tcBorders>
              <w:right w:val="single" w:sz="8" w:color="auto"/>
            </w:tcBorders>
          </w:tcPr>
          <w:p>
            <w:pPr>
              <w:spacing w:after="0"/>
              <w:rPr>
                <w:sz w:val="20"/>
                <w:szCs w:val="20"/>
                <w:color w:val="auto"/>
              </w:rPr>
            </w:pPr>
          </w:p>
        </w:tc>
      </w:tr>
      <w:tr>
        <w:trPr>
          <w:trHeight w:val="25"/>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8"/>
        </w:trPr>
        <w:tc>
          <w:tcPr>
            <w:tcW w:w="4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Threshold</w:t>
            </w:r>
          </w:p>
        </w:tc>
        <w:tc>
          <w:tcPr>
            <w:tcW w:w="2180" w:type="dxa"/>
            <w:vAlign w:val="bottom"/>
            <w:gridSpan w:val="2"/>
          </w:tcPr>
          <w:p>
            <w:pPr>
              <w:jc w:val="center"/>
              <w:ind w:left="1487"/>
              <w:spacing w:after="0"/>
              <w:rPr>
                <w:sz w:val="20"/>
                <w:szCs w:val="20"/>
                <w:color w:val="auto"/>
              </w:rPr>
            </w:pPr>
            <w:r>
              <w:rPr>
                <w:rFonts w:ascii="Arial" w:cs="Arial" w:eastAsia="Arial" w:hAnsi="Arial"/>
                <w:sz w:val="19"/>
                <w:szCs w:val="19"/>
                <w:color w:val="auto"/>
                <w:w w:val="94"/>
              </w:rPr>
              <w:t>50%</w:t>
            </w:r>
          </w:p>
        </w:tc>
        <w:tc>
          <w:tcPr>
            <w:tcW w:w="1620" w:type="dxa"/>
            <w:vAlign w:val="bottom"/>
            <w:tcBorders>
              <w:right w:val="single" w:sz="8" w:color="auto"/>
            </w:tcBorders>
          </w:tcPr>
          <w:p>
            <w:pPr>
              <w:spacing w:after="0"/>
              <w:rPr>
                <w:sz w:val="20"/>
                <w:szCs w:val="20"/>
                <w:color w:val="auto"/>
              </w:rPr>
            </w:pPr>
          </w:p>
        </w:tc>
      </w:tr>
      <w:tr>
        <w:trPr>
          <w:trHeight w:val="25"/>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8"/>
        </w:trPr>
        <w:tc>
          <w:tcPr>
            <w:tcW w:w="4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Less than Threshold</w:t>
            </w:r>
          </w:p>
        </w:tc>
        <w:tc>
          <w:tcPr>
            <w:tcW w:w="2180" w:type="dxa"/>
            <w:vAlign w:val="bottom"/>
            <w:gridSpan w:val="2"/>
          </w:tcPr>
          <w:p>
            <w:pPr>
              <w:jc w:val="center"/>
              <w:ind w:left="1487"/>
              <w:spacing w:after="0"/>
              <w:rPr>
                <w:sz w:val="20"/>
                <w:szCs w:val="20"/>
                <w:color w:val="auto"/>
              </w:rPr>
            </w:pPr>
            <w:r>
              <w:rPr>
                <w:rFonts w:ascii="Arial" w:cs="Arial" w:eastAsia="Arial" w:hAnsi="Arial"/>
                <w:sz w:val="19"/>
                <w:szCs w:val="19"/>
                <w:color w:val="auto"/>
                <w:w w:val="87"/>
              </w:rPr>
              <w:t>0%</w:t>
            </w:r>
          </w:p>
        </w:tc>
        <w:tc>
          <w:tcPr>
            <w:tcW w:w="1620" w:type="dxa"/>
            <w:vAlign w:val="bottom"/>
            <w:tcBorders>
              <w:right w:val="single" w:sz="8" w:color="auto"/>
            </w:tcBorders>
          </w:tcPr>
          <w:p>
            <w:pPr>
              <w:spacing w:after="0"/>
              <w:rPr>
                <w:sz w:val="20"/>
                <w:szCs w:val="20"/>
                <w:color w:val="auto"/>
              </w:rPr>
            </w:pPr>
          </w:p>
        </w:tc>
      </w:tr>
      <w:tr>
        <w:trPr>
          <w:trHeight w:val="25"/>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bl>
    <w:p>
      <w:pPr>
        <w:spacing w:after="0" w:line="383" w:lineRule="exact"/>
        <w:rPr>
          <w:sz w:val="20"/>
          <w:szCs w:val="20"/>
          <w:color w:val="auto"/>
        </w:rPr>
      </w:pPr>
    </w:p>
    <w:p>
      <w:pPr>
        <w:jc w:val="both"/>
        <w:ind w:right="20" w:firstLine="328"/>
        <w:spacing w:after="0" w:line="292" w:lineRule="auto"/>
        <w:rPr>
          <w:sz w:val="20"/>
          <w:szCs w:val="20"/>
          <w:color w:val="auto"/>
        </w:rPr>
      </w:pPr>
      <w:r>
        <w:rPr>
          <w:rFonts w:ascii="Arial" w:cs="Arial" w:eastAsia="Arial" w:hAnsi="Arial"/>
          <w:sz w:val="17"/>
          <w:szCs w:val="17"/>
          <w:color w:val="auto"/>
        </w:rPr>
        <w:t>As soon as practicable following the end of the first fiscal year, the Committee (or its designee) shall determine the Company’s performance percentage score for such fiscal year and shall determine the actual AOI (the “</w:t>
      </w:r>
      <w:r>
        <w:rPr>
          <w:rFonts w:ascii="Arial" w:cs="Arial" w:eastAsia="Arial" w:hAnsi="Arial"/>
          <w:sz w:val="17"/>
          <w:szCs w:val="17"/>
          <w:u w:val="single" w:color="auto"/>
          <w:color w:val="auto"/>
        </w:rPr>
        <w:t>Baseline AOI</w:t>
      </w:r>
      <w:r>
        <w:rPr>
          <w:rFonts w:ascii="Arial" w:cs="Arial" w:eastAsia="Arial" w:hAnsi="Arial"/>
          <w:sz w:val="17"/>
          <w:szCs w:val="17"/>
          <w:color w:val="auto"/>
        </w:rPr>
        <w:t>”) as of the end of the first fiscal year. At the end of the second fiscal year in the Performance Period, the Committee shall determine (i) the actual AOI as of the end of the</w:t>
      </w:r>
    </w:p>
    <w:p>
      <w:pPr>
        <w:sectPr>
          <w:pgSz w:w="11900" w:h="16838" w:orient="portrait"/>
          <w:cols w:equalWidth="0" w:num="1">
            <w:col w:w="10740"/>
          </w:cols>
          <w:pgMar w:left="320" w:top="1422" w:right="839" w:bottom="1440" w:gutter="0" w:footer="0" w:header="0"/>
        </w:sectPr>
      </w:pPr>
    </w:p>
    <w:bookmarkStart w:id="42" w:name="page43"/>
    <w:bookmarkEnd w:id="42"/>
    <w:p>
      <w:pPr>
        <w:jc w:val="both"/>
        <w:ind w:right="20"/>
        <w:spacing w:after="0" w:line="261" w:lineRule="auto"/>
        <w:rPr>
          <w:sz w:val="20"/>
          <w:szCs w:val="20"/>
          <w:color w:val="auto"/>
        </w:rPr>
      </w:pPr>
      <w:r>
        <w:rPr>
          <w:rFonts w:ascii="Arial" w:cs="Arial" w:eastAsia="Arial" w:hAnsi="Arial"/>
          <w:sz w:val="19"/>
          <w:szCs w:val="19"/>
          <w:color w:val="auto"/>
        </w:rPr>
        <w:t>second fiscal year in the Performance Period (the “</w:t>
      </w:r>
      <w:r>
        <w:rPr>
          <w:rFonts w:ascii="Arial" w:cs="Arial" w:eastAsia="Arial" w:hAnsi="Arial"/>
          <w:sz w:val="19"/>
          <w:szCs w:val="19"/>
          <w:u w:val="single" w:color="auto"/>
          <w:color w:val="auto"/>
        </w:rPr>
        <w:t>Actual AOI</w:t>
      </w:r>
      <w:r>
        <w:rPr>
          <w:rFonts w:ascii="Arial" w:cs="Arial" w:eastAsia="Arial" w:hAnsi="Arial"/>
          <w:sz w:val="19"/>
          <w:szCs w:val="19"/>
          <w:color w:val="auto"/>
        </w:rPr>
        <w:t>”) and (ii) the percentage growth between the Baseline AOI and the Actual AOI for the second fiscal year as follows:</w:t>
      </w:r>
    </w:p>
    <w:p>
      <w:pPr>
        <w:spacing w:after="0" w:line="200"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((Actual AOI for the second year – Baseline AOI) / (Baseline AOI))</w:t>
      </w:r>
    </w:p>
    <w:p>
      <w:pPr>
        <w:spacing w:after="0" w:line="241"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As soon as practicable following the end of the second fiscal year, the Committee (or its designee) shall determine the Company’s performance percentage score for such fiscal year.</w:t>
      </w:r>
    </w:p>
    <w:p>
      <w:pPr>
        <w:spacing w:after="0" w:line="200" w:lineRule="exact"/>
        <w:rPr>
          <w:sz w:val="20"/>
          <w:szCs w:val="20"/>
          <w:color w:val="auto"/>
        </w:rPr>
      </w:pPr>
    </w:p>
    <w:p>
      <w:pPr>
        <w:jc w:val="both"/>
        <w:ind w:firstLine="258"/>
        <w:spacing w:after="0" w:line="292" w:lineRule="auto"/>
        <w:rPr>
          <w:sz w:val="20"/>
          <w:szCs w:val="20"/>
          <w:color w:val="auto"/>
        </w:rPr>
      </w:pPr>
      <w:r>
        <w:rPr>
          <w:rFonts w:ascii="Arial" w:cs="Arial" w:eastAsia="Arial" w:hAnsi="Arial"/>
          <w:sz w:val="17"/>
          <w:szCs w:val="17"/>
          <w:color w:val="auto"/>
        </w:rPr>
        <w:t>For the third fiscal year in the Performance Period, the Committee shall make the same determination with respect to Actual AOI and percentage growth as set forth above; provided, however, that the percentage growth shall be determined between the Actual AOI as of the end of the second fiscal year in the Performance Period and the Actual AOI as of the end of the third fiscal year in the Performance Period.</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case of any individual merger, acquisition, or divestiture for which the net assets acquired or disposed, on an annualized basis, generate an annual run rate AOI in excess of 2% of the Baseline AOI in the fiscal year such transaction closes (each, an “</w:t>
      </w:r>
      <w:r>
        <w:rPr>
          <w:rFonts w:ascii="Arial" w:cs="Arial" w:eastAsia="Arial" w:hAnsi="Arial"/>
          <w:sz w:val="17"/>
          <w:szCs w:val="17"/>
          <w:u w:val="single" w:color="auto"/>
          <w:color w:val="auto"/>
        </w:rPr>
        <w:t>Excluded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Transaction</w:t>
      </w:r>
      <w:r>
        <w:rPr>
          <w:rFonts w:ascii="Arial" w:cs="Arial" w:eastAsia="Arial" w:hAnsi="Arial"/>
          <w:sz w:val="17"/>
          <w:szCs w:val="17"/>
          <w:color w:val="auto"/>
        </w:rPr>
        <w:t>”), the AOI results attributable to such Excluded Transaction shall be excluded from the AOI results for the fiscal year in which such Excluded Transaction closes for purposes of calculating the annual AOI growth for such fiscal year. Notwithstanding the foregoing, for purposes of calculating the annual AOI growth for any fiscal year in the Performance Period after such Excluded Transaction closes, the AOI results attributable to such Excluded Transaction shall be included in the prior fiscal year AOI results, on an annualized basis.</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the last day of the Performance Period, the Committee shall average the percentage performance scores achieved with respect to each fiscal year in the Performance Period to determine the actual Payout percentage for the AOI PSUs. The number of AOI PSUs that become “Earned PSUs” for the Performance Period shall be equal to (x) the number of Target AOI PSUs multiplied by (y) the applicable Payout percentage earned (calculated as set forth above), rounded up to the nearest whole unit.</w:t>
      </w:r>
    </w:p>
    <w:p>
      <w:pPr>
        <w:sectPr>
          <w:pgSz w:w="11900" w:h="16838" w:orient="portrait"/>
          <w:cols w:equalWidth="0" w:num="1">
            <w:col w:w="10740"/>
          </w:cols>
          <w:pgMar w:left="320" w:top="1413" w:right="839" w:bottom="1440" w:gutter="0" w:footer="0" w:header="0"/>
        </w:sectPr>
      </w:pPr>
    </w:p>
    <w:bookmarkStart w:id="43" w:name="page44"/>
    <w:bookmarkEnd w:id="43"/>
    <w:p>
      <w:pPr>
        <w:jc w:val="center"/>
        <w:ind w:right="-499"/>
        <w:spacing w:after="0"/>
        <w:rPr>
          <w:sz w:val="20"/>
          <w:szCs w:val="20"/>
          <w:color w:val="auto"/>
        </w:rPr>
      </w:pPr>
      <w:r>
        <w:rPr>
          <w:rFonts w:ascii="Arial" w:cs="Arial" w:eastAsia="Arial" w:hAnsi="Arial"/>
          <w:sz w:val="22"/>
          <w:szCs w:val="22"/>
          <w:b w:val="1"/>
          <w:bCs w:val="1"/>
          <w:color w:val="auto"/>
        </w:rPr>
        <w:t>Exhibit B</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20"/>
          <w:szCs w:val="20"/>
          <w:b w:val="1"/>
          <w:bCs w:val="1"/>
          <w:u w:val="single" w:color="auto"/>
          <w:color w:val="auto"/>
        </w:rPr>
        <w:t>PERFORMANCE GOALS</w:t>
      </w:r>
    </w:p>
    <w:p>
      <w:pPr>
        <w:spacing w:after="0" w:line="108" w:lineRule="exact"/>
        <w:rPr>
          <w:sz w:val="20"/>
          <w:szCs w:val="20"/>
          <w:color w:val="auto"/>
        </w:rPr>
      </w:pPr>
    </w:p>
    <w:p>
      <w:pPr>
        <w:jc w:val="center"/>
        <w:ind w:right="-499"/>
        <w:spacing w:after="0"/>
        <w:rPr>
          <w:sz w:val="20"/>
          <w:szCs w:val="20"/>
          <w:color w:val="auto"/>
        </w:rPr>
      </w:pPr>
      <w:r>
        <w:rPr>
          <w:rFonts w:ascii="Arial" w:cs="Arial" w:eastAsia="Arial" w:hAnsi="Arial"/>
          <w:sz w:val="20"/>
          <w:szCs w:val="20"/>
          <w:b w:val="1"/>
          <w:bCs w:val="1"/>
          <w:u w:val="single" w:color="auto"/>
          <w:color w:val="auto"/>
        </w:rPr>
        <w:t>(ROIC)</w:t>
      </w:r>
    </w:p>
    <w:p>
      <w:pPr>
        <w:spacing w:after="0" w:line="200" w:lineRule="exact"/>
        <w:rPr>
          <w:sz w:val="20"/>
          <w:szCs w:val="20"/>
          <w:color w:val="auto"/>
        </w:rPr>
      </w:pPr>
    </w:p>
    <w:p>
      <w:pPr>
        <w:spacing w:after="0" w:line="25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Participant may earn a percentage of the ROIC PSUs based on the average of the Company’s performance percentage scores against Performance Conditions relating to ROIC for each of the three fiscal years in the Performance Period, as provided in the following tables. In each case, the performance percentage score between performance levels will be determined to the nearest hundredth of a percentage point using linear interpolation.</w:t>
      </w:r>
    </w:p>
    <w:p>
      <w:pPr>
        <w:spacing w:after="0" w:line="215"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For purposes of the ROIC PSUs, “</w:t>
      </w:r>
      <w:r>
        <w:rPr>
          <w:rFonts w:ascii="Arial" w:cs="Arial" w:eastAsia="Arial" w:hAnsi="Arial"/>
          <w:sz w:val="19"/>
          <w:szCs w:val="19"/>
          <w:u w:val="single" w:color="auto"/>
          <w:color w:val="auto"/>
        </w:rPr>
        <w:t>ROIC</w:t>
      </w:r>
      <w:r>
        <w:rPr>
          <w:rFonts w:ascii="Arial" w:cs="Arial" w:eastAsia="Arial" w:hAnsi="Arial"/>
          <w:sz w:val="19"/>
          <w:szCs w:val="19"/>
          <w:color w:val="auto"/>
        </w:rPr>
        <w:t>” means (Annual Adjusted Operating Income excluding margin on unearned revenue plus annual rent expenses less taxes, divided by (trailing 13 month average adjusted net property, plant and equipment plus trailing 13 month average net working capital plus annual rent expense *6).</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Performance Conditions for the first fiscal year in the Performance Period shall be based on achievement of specified annual ROIC goals, as provided in the following table:</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Fiscal Year 2021</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3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Degree of Performance Attainment</w:t>
            </w:r>
          </w:p>
        </w:tc>
        <w:tc>
          <w:tcPr>
            <w:tcW w:w="412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Performance Percentage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2340" w:type="dxa"/>
            <w:vAlign w:val="bottom"/>
            <w:tcBorders>
              <w:right w:val="single" w:sz="8" w:color="auto"/>
            </w:tcBorders>
            <w:gridSpan w:val="2"/>
          </w:tcPr>
          <w:p>
            <w:pPr>
              <w:jc w:val="center"/>
              <w:ind w:right="1800"/>
              <w:spacing w:after="0"/>
              <w:rPr>
                <w:sz w:val="20"/>
                <w:szCs w:val="20"/>
                <w:color w:val="auto"/>
              </w:rPr>
            </w:pPr>
            <w:r>
              <w:rPr>
                <w:rFonts w:ascii="Arial" w:cs="Arial" w:eastAsia="Arial" w:hAnsi="Arial"/>
                <w:sz w:val="18"/>
                <w:szCs w:val="18"/>
                <w:b w:val="1"/>
                <w:bCs w:val="1"/>
                <w:color w:val="auto"/>
                <w:w w:val="83"/>
              </w:rPr>
              <w:t>Score</w:t>
            </w:r>
          </w:p>
        </w:tc>
      </w:tr>
      <w:tr>
        <w:trPr>
          <w:trHeight w:val="194"/>
        </w:trPr>
        <w:tc>
          <w:tcPr>
            <w:tcW w:w="438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gridSpan w:val="3"/>
          </w:tcPr>
          <w:p>
            <w:pPr>
              <w:jc w:val="center"/>
              <w:ind w:right="40"/>
              <w:spacing w:after="0" w:line="194" w:lineRule="exact"/>
              <w:rPr>
                <w:sz w:val="20"/>
                <w:szCs w:val="20"/>
                <w:color w:val="auto"/>
              </w:rPr>
            </w:pPr>
            <w:r>
              <w:rPr>
                <w:rFonts w:ascii="Arial" w:cs="Arial" w:eastAsia="Arial" w:hAnsi="Arial"/>
                <w:sz w:val="18"/>
                <w:szCs w:val="18"/>
                <w:b w:val="1"/>
                <w:bCs w:val="1"/>
                <w:color w:val="auto"/>
                <w:w w:val="93"/>
              </w:rPr>
              <w:t>(“Payout”)</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r>
      <w:tr>
        <w:trPr>
          <w:trHeight w:val="238"/>
        </w:trPr>
        <w:tc>
          <w:tcPr>
            <w:tcW w:w="4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Maximum</w:t>
            </w:r>
          </w:p>
        </w:tc>
        <w:tc>
          <w:tcPr>
            <w:tcW w:w="2320" w:type="dxa"/>
            <w:vAlign w:val="bottom"/>
            <w:gridSpan w:val="2"/>
          </w:tcPr>
          <w:p>
            <w:pPr>
              <w:jc w:val="center"/>
              <w:ind w:left="1667"/>
              <w:spacing w:after="0"/>
              <w:rPr>
                <w:sz w:val="20"/>
                <w:szCs w:val="20"/>
                <w:color w:val="auto"/>
              </w:rPr>
            </w:pPr>
            <w:r>
              <w:rPr>
                <w:rFonts w:ascii="Arial" w:cs="Arial" w:eastAsia="Arial" w:hAnsi="Arial"/>
                <w:sz w:val="19"/>
                <w:szCs w:val="19"/>
                <w:color w:val="auto"/>
                <w:w w:val="90"/>
              </w:rPr>
              <w:t>200%</w:t>
            </w:r>
          </w:p>
        </w:tc>
        <w:tc>
          <w:tcPr>
            <w:tcW w:w="1800" w:type="dxa"/>
            <w:vAlign w:val="bottom"/>
            <w:tcBorders>
              <w:right w:val="single" w:sz="8" w:color="auto"/>
            </w:tcBorders>
          </w:tcPr>
          <w:p>
            <w:pPr>
              <w:spacing w:after="0"/>
              <w:rPr>
                <w:sz w:val="20"/>
                <w:szCs w:val="20"/>
                <w:color w:val="auto"/>
              </w:rPr>
            </w:pPr>
          </w:p>
        </w:tc>
      </w:tr>
      <w:tr>
        <w:trPr>
          <w:trHeight w:val="25"/>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8"/>
        </w:trPr>
        <w:tc>
          <w:tcPr>
            <w:tcW w:w="4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7"/>
              </w:rPr>
              <w:t>Target</w:t>
            </w:r>
          </w:p>
        </w:tc>
        <w:tc>
          <w:tcPr>
            <w:tcW w:w="2320" w:type="dxa"/>
            <w:vAlign w:val="bottom"/>
            <w:gridSpan w:val="2"/>
          </w:tcPr>
          <w:p>
            <w:pPr>
              <w:jc w:val="center"/>
              <w:ind w:left="1667"/>
              <w:spacing w:after="0"/>
              <w:rPr>
                <w:sz w:val="20"/>
                <w:szCs w:val="20"/>
                <w:color w:val="auto"/>
              </w:rPr>
            </w:pPr>
            <w:r>
              <w:rPr>
                <w:rFonts w:ascii="Arial" w:cs="Arial" w:eastAsia="Arial" w:hAnsi="Arial"/>
                <w:sz w:val="19"/>
                <w:szCs w:val="19"/>
                <w:color w:val="auto"/>
                <w:w w:val="90"/>
              </w:rPr>
              <w:t>100%</w:t>
            </w:r>
          </w:p>
        </w:tc>
        <w:tc>
          <w:tcPr>
            <w:tcW w:w="1800" w:type="dxa"/>
            <w:vAlign w:val="bottom"/>
            <w:tcBorders>
              <w:right w:val="single" w:sz="8" w:color="auto"/>
            </w:tcBorders>
          </w:tcPr>
          <w:p>
            <w:pPr>
              <w:spacing w:after="0"/>
              <w:rPr>
                <w:sz w:val="20"/>
                <w:szCs w:val="20"/>
                <w:color w:val="auto"/>
              </w:rPr>
            </w:pPr>
          </w:p>
        </w:tc>
      </w:tr>
      <w:tr>
        <w:trPr>
          <w:trHeight w:val="25"/>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8"/>
        </w:trPr>
        <w:tc>
          <w:tcPr>
            <w:tcW w:w="4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Threshold</w:t>
            </w:r>
          </w:p>
        </w:tc>
        <w:tc>
          <w:tcPr>
            <w:tcW w:w="2320" w:type="dxa"/>
            <w:vAlign w:val="bottom"/>
            <w:gridSpan w:val="2"/>
          </w:tcPr>
          <w:p>
            <w:pPr>
              <w:jc w:val="center"/>
              <w:ind w:left="1687"/>
              <w:spacing w:after="0"/>
              <w:rPr>
                <w:sz w:val="20"/>
                <w:szCs w:val="20"/>
                <w:color w:val="auto"/>
              </w:rPr>
            </w:pPr>
            <w:r>
              <w:rPr>
                <w:rFonts w:ascii="Arial" w:cs="Arial" w:eastAsia="Arial" w:hAnsi="Arial"/>
                <w:sz w:val="19"/>
                <w:szCs w:val="19"/>
                <w:color w:val="auto"/>
                <w:w w:val="89"/>
              </w:rPr>
              <w:t>50%</w:t>
            </w:r>
          </w:p>
        </w:tc>
        <w:tc>
          <w:tcPr>
            <w:tcW w:w="1800" w:type="dxa"/>
            <w:vAlign w:val="bottom"/>
            <w:tcBorders>
              <w:right w:val="single" w:sz="8" w:color="auto"/>
            </w:tcBorders>
          </w:tcPr>
          <w:p>
            <w:pPr>
              <w:spacing w:after="0"/>
              <w:rPr>
                <w:sz w:val="20"/>
                <w:szCs w:val="20"/>
                <w:color w:val="auto"/>
              </w:rPr>
            </w:pPr>
          </w:p>
        </w:tc>
      </w:tr>
      <w:tr>
        <w:trPr>
          <w:trHeight w:val="25"/>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8"/>
        </w:trPr>
        <w:tc>
          <w:tcPr>
            <w:tcW w:w="4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Less than Threshold</w:t>
            </w:r>
          </w:p>
        </w:tc>
        <w:tc>
          <w:tcPr>
            <w:tcW w:w="2320" w:type="dxa"/>
            <w:vAlign w:val="bottom"/>
            <w:gridSpan w:val="2"/>
          </w:tcPr>
          <w:p>
            <w:pPr>
              <w:jc w:val="center"/>
              <w:ind w:left="1687"/>
              <w:spacing w:after="0"/>
              <w:rPr>
                <w:sz w:val="20"/>
                <w:szCs w:val="20"/>
                <w:color w:val="auto"/>
              </w:rPr>
            </w:pPr>
            <w:r>
              <w:rPr>
                <w:rFonts w:ascii="Arial" w:cs="Arial" w:eastAsia="Arial" w:hAnsi="Arial"/>
                <w:sz w:val="19"/>
                <w:szCs w:val="19"/>
                <w:color w:val="auto"/>
                <w:w w:val="94"/>
              </w:rPr>
              <w:t>0%</w:t>
            </w:r>
          </w:p>
        </w:tc>
        <w:tc>
          <w:tcPr>
            <w:tcW w:w="1800" w:type="dxa"/>
            <w:vAlign w:val="bottom"/>
            <w:tcBorders>
              <w:right w:val="single" w:sz="8" w:color="auto"/>
            </w:tcBorders>
          </w:tcPr>
          <w:p>
            <w:pPr>
              <w:spacing w:after="0"/>
              <w:rPr>
                <w:sz w:val="20"/>
                <w:szCs w:val="20"/>
                <w:color w:val="auto"/>
              </w:rPr>
            </w:pPr>
          </w:p>
        </w:tc>
      </w:tr>
      <w:tr>
        <w:trPr>
          <w:trHeight w:val="25"/>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bl>
    <w:p>
      <w:pPr>
        <w:spacing w:after="0" w:line="28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Performance Conditions for the second and third fiscal years in the Performance Period shall be based on achievement of goals related to growth in annual Adjusted Operating Income, as provided in the following table:</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Fiscal Years 2022 and 2023</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3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Degree of Performance Attainment</w:t>
            </w:r>
          </w:p>
        </w:tc>
        <w:tc>
          <w:tcPr>
            <w:tcW w:w="40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Performance Percentage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2300" w:type="dxa"/>
            <w:vAlign w:val="bottom"/>
            <w:tcBorders>
              <w:right w:val="single" w:sz="8" w:color="auto"/>
            </w:tcBorders>
            <w:gridSpan w:val="2"/>
          </w:tcPr>
          <w:p>
            <w:pPr>
              <w:jc w:val="center"/>
              <w:ind w:right="1800"/>
              <w:spacing w:after="0"/>
              <w:rPr>
                <w:sz w:val="20"/>
                <w:szCs w:val="20"/>
                <w:color w:val="auto"/>
              </w:rPr>
            </w:pPr>
            <w:r>
              <w:rPr>
                <w:rFonts w:ascii="Arial" w:cs="Arial" w:eastAsia="Arial" w:hAnsi="Arial"/>
                <w:sz w:val="18"/>
                <w:szCs w:val="18"/>
                <w:b w:val="1"/>
                <w:bCs w:val="1"/>
                <w:color w:val="auto"/>
                <w:w w:val="83"/>
              </w:rPr>
              <w:t>Score</w:t>
            </w:r>
          </w:p>
        </w:tc>
      </w:tr>
      <w:tr>
        <w:trPr>
          <w:trHeight w:val="194"/>
        </w:trPr>
        <w:tc>
          <w:tcPr>
            <w:tcW w:w="43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3"/>
              </w:rPr>
              <w:t>(“Payout”)</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r>
      <w:tr>
        <w:trPr>
          <w:trHeight w:val="238"/>
        </w:trPr>
        <w:tc>
          <w:tcPr>
            <w:tcW w:w="4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Maximum</w:t>
            </w:r>
          </w:p>
        </w:tc>
        <w:tc>
          <w:tcPr>
            <w:tcW w:w="2320" w:type="dxa"/>
            <w:vAlign w:val="bottom"/>
            <w:gridSpan w:val="2"/>
          </w:tcPr>
          <w:p>
            <w:pPr>
              <w:jc w:val="center"/>
              <w:ind w:left="1627"/>
              <w:spacing w:after="0"/>
              <w:rPr>
                <w:sz w:val="20"/>
                <w:szCs w:val="20"/>
                <w:color w:val="auto"/>
              </w:rPr>
            </w:pPr>
            <w:r>
              <w:rPr>
                <w:rFonts w:ascii="Arial" w:cs="Arial" w:eastAsia="Arial" w:hAnsi="Arial"/>
                <w:sz w:val="19"/>
                <w:szCs w:val="19"/>
                <w:color w:val="auto"/>
                <w:w w:val="90"/>
              </w:rPr>
              <w:t>200%</w:t>
            </w:r>
          </w:p>
        </w:tc>
        <w:tc>
          <w:tcPr>
            <w:tcW w:w="1760" w:type="dxa"/>
            <w:vAlign w:val="bottom"/>
            <w:tcBorders>
              <w:right w:val="single" w:sz="8" w:color="auto"/>
            </w:tcBorders>
          </w:tcPr>
          <w:p>
            <w:pPr>
              <w:spacing w:after="0"/>
              <w:rPr>
                <w:sz w:val="20"/>
                <w:szCs w:val="20"/>
                <w:color w:val="auto"/>
              </w:rPr>
            </w:pPr>
          </w:p>
        </w:tc>
      </w:tr>
      <w:tr>
        <w:trPr>
          <w:trHeight w:val="25"/>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8"/>
        </w:trPr>
        <w:tc>
          <w:tcPr>
            <w:tcW w:w="4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7"/>
              </w:rPr>
              <w:t>Target</w:t>
            </w:r>
          </w:p>
        </w:tc>
        <w:tc>
          <w:tcPr>
            <w:tcW w:w="2320" w:type="dxa"/>
            <w:vAlign w:val="bottom"/>
            <w:gridSpan w:val="2"/>
          </w:tcPr>
          <w:p>
            <w:pPr>
              <w:jc w:val="center"/>
              <w:ind w:left="1627"/>
              <w:spacing w:after="0"/>
              <w:rPr>
                <w:sz w:val="20"/>
                <w:szCs w:val="20"/>
                <w:color w:val="auto"/>
              </w:rPr>
            </w:pPr>
            <w:r>
              <w:rPr>
                <w:rFonts w:ascii="Arial" w:cs="Arial" w:eastAsia="Arial" w:hAnsi="Arial"/>
                <w:sz w:val="19"/>
                <w:szCs w:val="19"/>
                <w:color w:val="auto"/>
                <w:w w:val="90"/>
              </w:rPr>
              <w:t>100%</w:t>
            </w:r>
          </w:p>
        </w:tc>
        <w:tc>
          <w:tcPr>
            <w:tcW w:w="1760" w:type="dxa"/>
            <w:vAlign w:val="bottom"/>
            <w:tcBorders>
              <w:right w:val="single" w:sz="8" w:color="auto"/>
            </w:tcBorders>
          </w:tcPr>
          <w:p>
            <w:pPr>
              <w:spacing w:after="0"/>
              <w:rPr>
                <w:sz w:val="20"/>
                <w:szCs w:val="20"/>
                <w:color w:val="auto"/>
              </w:rPr>
            </w:pPr>
          </w:p>
        </w:tc>
      </w:tr>
      <w:tr>
        <w:trPr>
          <w:trHeight w:val="25"/>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8"/>
        </w:trPr>
        <w:tc>
          <w:tcPr>
            <w:tcW w:w="4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2"/>
              </w:rPr>
              <w:t>Threshold</w:t>
            </w:r>
          </w:p>
        </w:tc>
        <w:tc>
          <w:tcPr>
            <w:tcW w:w="2320" w:type="dxa"/>
            <w:vAlign w:val="bottom"/>
            <w:gridSpan w:val="2"/>
          </w:tcPr>
          <w:p>
            <w:pPr>
              <w:jc w:val="center"/>
              <w:ind w:left="1647"/>
              <w:spacing w:after="0"/>
              <w:rPr>
                <w:sz w:val="20"/>
                <w:szCs w:val="20"/>
                <w:color w:val="auto"/>
              </w:rPr>
            </w:pPr>
            <w:r>
              <w:rPr>
                <w:rFonts w:ascii="Arial" w:cs="Arial" w:eastAsia="Arial" w:hAnsi="Arial"/>
                <w:sz w:val="19"/>
                <w:szCs w:val="19"/>
                <w:color w:val="auto"/>
                <w:w w:val="89"/>
              </w:rPr>
              <w:t>50%</w:t>
            </w:r>
          </w:p>
        </w:tc>
        <w:tc>
          <w:tcPr>
            <w:tcW w:w="1760" w:type="dxa"/>
            <w:vAlign w:val="bottom"/>
            <w:tcBorders>
              <w:right w:val="single" w:sz="8" w:color="auto"/>
            </w:tcBorders>
          </w:tcPr>
          <w:p>
            <w:pPr>
              <w:spacing w:after="0"/>
              <w:rPr>
                <w:sz w:val="20"/>
                <w:szCs w:val="20"/>
                <w:color w:val="auto"/>
              </w:rPr>
            </w:pPr>
          </w:p>
        </w:tc>
      </w:tr>
      <w:tr>
        <w:trPr>
          <w:trHeight w:val="25"/>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8"/>
        </w:trPr>
        <w:tc>
          <w:tcPr>
            <w:tcW w:w="4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Less than Threshold</w:t>
            </w:r>
          </w:p>
        </w:tc>
        <w:tc>
          <w:tcPr>
            <w:tcW w:w="2320" w:type="dxa"/>
            <w:vAlign w:val="bottom"/>
            <w:gridSpan w:val="2"/>
          </w:tcPr>
          <w:p>
            <w:pPr>
              <w:jc w:val="center"/>
              <w:ind w:left="1647"/>
              <w:spacing w:after="0"/>
              <w:rPr>
                <w:sz w:val="20"/>
                <w:szCs w:val="20"/>
                <w:color w:val="auto"/>
              </w:rPr>
            </w:pPr>
            <w:r>
              <w:rPr>
                <w:rFonts w:ascii="Arial" w:cs="Arial" w:eastAsia="Arial" w:hAnsi="Arial"/>
                <w:sz w:val="19"/>
                <w:szCs w:val="19"/>
                <w:color w:val="auto"/>
                <w:w w:val="94"/>
              </w:rPr>
              <w:t>0%</w:t>
            </w:r>
          </w:p>
        </w:tc>
        <w:tc>
          <w:tcPr>
            <w:tcW w:w="1760" w:type="dxa"/>
            <w:vAlign w:val="bottom"/>
            <w:tcBorders>
              <w:right w:val="single" w:sz="8" w:color="auto"/>
            </w:tcBorders>
          </w:tcPr>
          <w:p>
            <w:pPr>
              <w:spacing w:after="0"/>
              <w:rPr>
                <w:sz w:val="20"/>
                <w:szCs w:val="20"/>
                <w:color w:val="auto"/>
              </w:rPr>
            </w:pPr>
          </w:p>
        </w:tc>
      </w:tr>
      <w:tr>
        <w:trPr>
          <w:trHeight w:val="25"/>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bl>
    <w:p>
      <w:pPr>
        <w:spacing w:after="0" w:line="167" w:lineRule="exact"/>
        <w:rPr>
          <w:sz w:val="20"/>
          <w:szCs w:val="20"/>
          <w:color w:val="auto"/>
        </w:rPr>
      </w:pPr>
    </w:p>
    <w:p>
      <w:pPr>
        <w:jc w:val="both"/>
        <w:ind w:firstLine="576"/>
        <w:spacing w:after="0" w:line="243" w:lineRule="auto"/>
        <w:rPr>
          <w:sz w:val="20"/>
          <w:szCs w:val="20"/>
          <w:color w:val="auto"/>
        </w:rPr>
      </w:pPr>
      <w:r>
        <w:rPr>
          <w:rFonts w:ascii="Arial" w:cs="Arial" w:eastAsia="Arial" w:hAnsi="Arial"/>
          <w:sz w:val="19"/>
          <w:szCs w:val="19"/>
          <w:color w:val="auto"/>
        </w:rPr>
        <w:t>As soon as practicable following the end of the first fiscal year, the Committee (or its designee) shall determine the Company’s performance percentage score for such fiscal year and shall determine the actual ROIC (the “</w:t>
      </w:r>
      <w:r>
        <w:rPr>
          <w:rFonts w:ascii="Arial" w:cs="Arial" w:eastAsia="Arial" w:hAnsi="Arial"/>
          <w:sz w:val="19"/>
          <w:szCs w:val="19"/>
          <w:u w:val="single" w:color="auto"/>
          <w:color w:val="auto"/>
        </w:rPr>
        <w:t>Baseline ROIC</w:t>
      </w:r>
      <w:r>
        <w:rPr>
          <w:rFonts w:ascii="Arial" w:cs="Arial" w:eastAsia="Arial" w:hAnsi="Arial"/>
          <w:sz w:val="19"/>
          <w:szCs w:val="19"/>
          <w:color w:val="auto"/>
        </w:rPr>
        <w:t>”) as of the end of the first fiscal year. At the end of the second fiscal year in the Performance Period, the Committee shall determine (i) the actual ROIC as of the end of the second fiscal year in the Performance Period (the “</w:t>
      </w:r>
      <w:r>
        <w:rPr>
          <w:rFonts w:ascii="Arial" w:cs="Arial" w:eastAsia="Arial" w:hAnsi="Arial"/>
          <w:sz w:val="19"/>
          <w:szCs w:val="19"/>
          <w:u w:val="single" w:color="auto"/>
          <w:color w:val="auto"/>
        </w:rPr>
        <w:t>Actual ROIC</w:t>
      </w:r>
      <w:r>
        <w:rPr>
          <w:rFonts w:ascii="Arial" w:cs="Arial" w:eastAsia="Arial" w:hAnsi="Arial"/>
          <w:sz w:val="19"/>
          <w:szCs w:val="19"/>
          <w:color w:val="auto"/>
        </w:rPr>
        <w:t>”) and (ii) the change in bps between the Baseline ROIC and the Actual ROIC for the second fiscal year as follows:</w:t>
      </w:r>
    </w:p>
    <w:p>
      <w:pPr>
        <w:sectPr>
          <w:pgSz w:w="11900" w:h="16838" w:orient="portrait"/>
          <w:cols w:equalWidth="0" w:num="1">
            <w:col w:w="10740"/>
          </w:cols>
          <w:pgMar w:left="320" w:top="1422" w:right="839" w:bottom="1440" w:gutter="0" w:footer="0" w:header="0"/>
        </w:sectPr>
      </w:pPr>
    </w:p>
    <w:bookmarkStart w:id="44" w:name="page45"/>
    <w:bookmarkEnd w:id="44"/>
    <w:p>
      <w:pPr>
        <w:ind w:left="3300"/>
        <w:spacing w:after="0"/>
        <w:rPr>
          <w:sz w:val="20"/>
          <w:szCs w:val="20"/>
          <w:color w:val="auto"/>
        </w:rPr>
      </w:pPr>
      <w:r>
        <w:rPr>
          <w:rFonts w:ascii="Arial" w:cs="Arial" w:eastAsia="Arial" w:hAnsi="Arial"/>
          <w:sz w:val="19"/>
          <w:szCs w:val="19"/>
          <w:color w:val="auto"/>
        </w:rPr>
        <w:t>(Actual ROIC for the second year – Baseline ROIC) * 10,000</w:t>
      </w:r>
    </w:p>
    <w:p>
      <w:pPr>
        <w:spacing w:after="0" w:line="241" w:lineRule="exact"/>
        <w:rPr>
          <w:sz w:val="20"/>
          <w:szCs w:val="20"/>
          <w:color w:val="auto"/>
        </w:rPr>
      </w:pPr>
    </w:p>
    <w:p>
      <w:pPr>
        <w:ind w:right="860"/>
        <w:spacing w:after="0" w:line="261" w:lineRule="auto"/>
        <w:rPr>
          <w:sz w:val="20"/>
          <w:szCs w:val="20"/>
          <w:color w:val="auto"/>
        </w:rPr>
      </w:pPr>
      <w:r>
        <w:rPr>
          <w:rFonts w:ascii="Arial" w:cs="Arial" w:eastAsia="Arial" w:hAnsi="Arial"/>
          <w:sz w:val="19"/>
          <w:szCs w:val="19"/>
          <w:color w:val="auto"/>
        </w:rPr>
        <w:t>As soon as practicable following the end of the second fiscal year, the Committee (or its designee) shall determine the Company’s performance percentage score for such fiscal year.</w:t>
      </w:r>
    </w:p>
    <w:p>
      <w:pPr>
        <w:spacing w:after="0" w:line="200" w:lineRule="exact"/>
        <w:rPr>
          <w:sz w:val="20"/>
          <w:szCs w:val="20"/>
          <w:color w:val="auto"/>
        </w:rPr>
      </w:pPr>
    </w:p>
    <w:p>
      <w:pPr>
        <w:ind w:firstLine="189"/>
        <w:spacing w:after="0" w:line="292" w:lineRule="auto"/>
        <w:rPr>
          <w:sz w:val="20"/>
          <w:szCs w:val="20"/>
          <w:color w:val="auto"/>
        </w:rPr>
      </w:pPr>
      <w:r>
        <w:rPr>
          <w:rFonts w:ascii="Arial" w:cs="Arial" w:eastAsia="Arial" w:hAnsi="Arial"/>
          <w:sz w:val="17"/>
          <w:szCs w:val="17"/>
          <w:color w:val="auto"/>
        </w:rPr>
        <w:t>For the third fiscal year in the Performance Period, the Committee shall make the same determination with respect to Actual ROIC and change in bps as set forth above; provided, however, that the change in bps shall be determined between the Actual ROIC as of the end of the second fiscal year in the Performance Period and the Actual ROIC as of the end of the third fiscal year in the Performance Period.</w:t>
      </w:r>
    </w:p>
    <w:p>
      <w:pPr>
        <w:spacing w:after="0" w:line="178"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In the case of any individual merger, acquisition, or divestiture for which the net assets acquired or disposed, on an annualized basis, generate an annual run rate ROIC in excess of 2% of the Baseline ROIC in the fiscal year such transaction closes (each, an “</w:t>
      </w:r>
      <w:r>
        <w:rPr>
          <w:rFonts w:ascii="Arial" w:cs="Arial" w:eastAsia="Arial" w:hAnsi="Arial"/>
          <w:sz w:val="19"/>
          <w:szCs w:val="19"/>
          <w:u w:val="single" w:color="auto"/>
          <w:color w:val="auto"/>
        </w:rPr>
        <w:t>Excluded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w:t>
      </w:r>
      <w:r>
        <w:rPr>
          <w:rFonts w:ascii="Arial" w:cs="Arial" w:eastAsia="Arial" w:hAnsi="Arial"/>
          <w:sz w:val="19"/>
          <w:szCs w:val="19"/>
          <w:color w:val="auto"/>
        </w:rPr>
        <w:t>”), the ROIC results attributable to such Excluded Transaction shall be excluded from the ROIC results for the fiscal year in which such Excluded Transaction closes for purposes of calculating the annual ROIC growth for such fiscal year. Notwithstanding the foregoing, for purposes of calculating the annual ROIC growth for any fiscal year in the Performance Period after such Excluded Transaction closes, the ROIC results attributable to such Excluded Transaction shall be included in the prior fiscal year ROIC results, on an annualized basis.</w:t>
      </w:r>
    </w:p>
    <w:p>
      <w:pPr>
        <w:spacing w:after="0" w:line="219" w:lineRule="exact"/>
        <w:rPr>
          <w:sz w:val="20"/>
          <w:szCs w:val="20"/>
          <w:color w:val="auto"/>
        </w:rPr>
      </w:pPr>
    </w:p>
    <w:p>
      <w:pPr>
        <w:jc w:val="both"/>
        <w:ind w:right="240" w:firstLine="648"/>
        <w:spacing w:after="0" w:line="283" w:lineRule="auto"/>
        <w:rPr>
          <w:sz w:val="20"/>
          <w:szCs w:val="20"/>
          <w:color w:val="auto"/>
        </w:rPr>
      </w:pPr>
      <w:r>
        <w:rPr>
          <w:rFonts w:ascii="Arial" w:cs="Arial" w:eastAsia="Arial" w:hAnsi="Arial"/>
          <w:sz w:val="17"/>
          <w:szCs w:val="17"/>
          <w:color w:val="auto"/>
        </w:rPr>
        <w:t>Following the last day of the Performance Period, the Committee shall average the percentage performance scores achieved with respect to each fiscal year in the Performance Period to determine the actual Payout percentage for the ROIC PSUs. The number of ROIC PSUs that become “Earned PSUs” for the Performance Period shall be equal to (x) the number of Target ROIC PSUs multiplied by (y) the applicable Payout percentage earned (calculated as set forth above), rounded up to the nearest whole unit.</w:t>
      </w:r>
    </w:p>
    <w:p>
      <w:pPr>
        <w:sectPr>
          <w:pgSz w:w="11900" w:h="16838" w:orient="portrait"/>
          <w:cols w:equalWidth="0" w:num="1">
            <w:col w:w="10700"/>
          </w:cols>
          <w:pgMar w:left="320" w:top="1413" w:right="87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PERFORMANCE STOCK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NATIONAL VISION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OMNIBUS INCENTIVE PLAN</w:t>
      </w:r>
    </w:p>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Pursuant to the Performance Stock Unit Grant Notice (the “</w:t>
      </w:r>
      <w:r>
        <w:rPr>
          <w:rFonts w:ascii="Arial" w:cs="Arial" w:eastAsia="Arial" w:hAnsi="Arial"/>
          <w:sz w:val="21"/>
          <w:szCs w:val="21"/>
          <w:u w:val="single" w:color="auto"/>
          <w:color w:val="auto"/>
        </w:rPr>
        <w:t>Grant Notice</w:t>
      </w:r>
      <w:r>
        <w:rPr>
          <w:rFonts w:ascii="Arial" w:cs="Arial" w:eastAsia="Arial" w:hAnsi="Arial"/>
          <w:sz w:val="21"/>
          <w:szCs w:val="21"/>
          <w:color w:val="auto"/>
        </w:rPr>
        <w:t>”) delivered to the Participant (as defined in the Grant Notice), and subject to the terms of this Performance Stock Unit Agreement (this “</w:t>
      </w:r>
      <w:r>
        <w:rPr>
          <w:rFonts w:ascii="Arial" w:cs="Arial" w:eastAsia="Arial" w:hAnsi="Arial"/>
          <w:sz w:val="21"/>
          <w:szCs w:val="21"/>
          <w:u w:val="single" w:color="auto"/>
          <w:color w:val="auto"/>
        </w:rPr>
        <w:t>Performance Stock Unit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and the National Vision Holdings, Inc. 2017 Omnibus Incentive Plan, as it may be amended and restated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National Vision Holdings, Inc.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Participant agree as follows. Capitalized terms not otherwise defined herein shall have the same meaning as set forth in the Plan.</w:t>
      </w:r>
    </w:p>
    <w:p>
      <w:pPr>
        <w:spacing w:after="0" w:line="169" w:lineRule="exact"/>
        <w:rPr>
          <w:sz w:val="20"/>
          <w:szCs w:val="20"/>
          <w:color w:val="auto"/>
        </w:rPr>
      </w:pPr>
    </w:p>
    <w:p>
      <w:pPr>
        <w:jc w:val="both"/>
        <w:ind w:firstLine="1304"/>
        <w:spacing w:after="0" w:line="247" w:lineRule="auto"/>
        <w:tabs>
          <w:tab w:leader="none" w:pos="1525"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Performance Stock Units</w:t>
      </w:r>
      <w:r>
        <w:rPr>
          <w:rFonts w:ascii="Arial" w:cs="Arial" w:eastAsia="Arial" w:hAnsi="Arial"/>
          <w:sz w:val="22"/>
          <w:szCs w:val="22"/>
          <w:color w:val="auto"/>
        </w:rPr>
        <w:t>. Subject to the terms and conditions set forth herein and in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hereby grants to the Participant the number of Performance Stock Units provided in the Grant Notice (with each Performance Stock Unit representing the right to receive one share of Common Stock upon the vesting of such Performance Stock Unit).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spacing w:after="0" w:line="185" w:lineRule="exact"/>
        <w:rPr>
          <w:rFonts w:ascii="Arial" w:cs="Arial" w:eastAsia="Arial" w:hAnsi="Arial"/>
          <w:sz w:val="22"/>
          <w:szCs w:val="22"/>
          <w:color w:val="auto"/>
        </w:rPr>
      </w:pPr>
    </w:p>
    <w:p>
      <w:pPr>
        <w:ind w:firstLine="1304"/>
        <w:spacing w:after="0" w:line="269" w:lineRule="auto"/>
        <w:tabs>
          <w:tab w:leader="none" w:pos="1512"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 Subject to the conditions contained herein and in the Plan, the Performance Stock Units shall vest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restrictions on such Performance Stock Units shall lapse as provided in the Grant Notice.</w:t>
      </w:r>
    </w:p>
    <w:p>
      <w:pPr>
        <w:spacing w:after="0" w:line="161" w:lineRule="exact"/>
        <w:rPr>
          <w:rFonts w:ascii="Arial" w:cs="Arial" w:eastAsia="Arial" w:hAnsi="Arial"/>
          <w:sz w:val="22"/>
          <w:szCs w:val="22"/>
          <w:color w:val="auto"/>
        </w:rPr>
      </w:pPr>
    </w:p>
    <w:p>
      <w:pPr>
        <w:jc w:val="both"/>
        <w:ind w:firstLine="1304"/>
        <w:spacing w:after="0" w:line="256" w:lineRule="auto"/>
        <w:tabs>
          <w:tab w:leader="none" w:pos="1512"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Settlement of Performance Stock Units</w:t>
      </w:r>
      <w:r>
        <w:rPr>
          <w:rFonts w:ascii="Arial" w:cs="Arial" w:eastAsia="Arial" w:hAnsi="Arial"/>
          <w:sz w:val="22"/>
          <w:szCs w:val="22"/>
          <w:color w:val="auto"/>
        </w:rPr>
        <w:t>. The provisions of Section 9(d)(ii) of the Plan are incorporated herein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by reference and made a part 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no event will settlement of a Performance Stock Unit occur more than thirty (30) days following the expiration of its Restricted Period.</w:t>
      </w:r>
    </w:p>
    <w:p>
      <w:pPr>
        <w:spacing w:after="0" w:line="176" w:lineRule="exact"/>
        <w:rPr>
          <w:rFonts w:ascii="Arial" w:cs="Arial" w:eastAsia="Arial" w:hAnsi="Arial"/>
          <w:sz w:val="22"/>
          <w:szCs w:val="22"/>
          <w:color w:val="auto"/>
        </w:rPr>
      </w:pPr>
    </w:p>
    <w:p>
      <w:pPr>
        <w:ind w:left="1520" w:hanging="216"/>
        <w:spacing w:after="0"/>
        <w:tabs>
          <w:tab w:leader="none" w:pos="152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w:t>
      </w:r>
    </w:p>
    <w:p>
      <w:pPr>
        <w:spacing w:after="0" w:line="226" w:lineRule="exact"/>
        <w:rPr>
          <w:sz w:val="20"/>
          <w:szCs w:val="20"/>
          <w:color w:val="auto"/>
        </w:rPr>
      </w:pPr>
    </w:p>
    <w:p>
      <w:pPr>
        <w:ind w:firstLine="1304"/>
        <w:spacing w:after="0" w:line="263" w:lineRule="auto"/>
        <w:tabs>
          <w:tab w:leader="none" w:pos="1603"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Company</w:t>
      </w:r>
      <w:r>
        <w:rPr>
          <w:rFonts w:ascii="Arial" w:cs="Arial" w:eastAsia="Arial" w:hAnsi="Arial"/>
          <w:sz w:val="22"/>
          <w:szCs w:val="22"/>
          <w:color w:val="auto"/>
        </w:rPr>
        <w:t>” as used in this Performance Stock Unit Agreement with reference to employment shall include the Company and its Subsidiaries.</w:t>
      </w:r>
    </w:p>
    <w:p>
      <w:pPr>
        <w:spacing w:after="0" w:line="174" w:lineRule="exact"/>
        <w:rPr>
          <w:rFonts w:ascii="Arial" w:cs="Arial" w:eastAsia="Arial" w:hAnsi="Arial"/>
          <w:sz w:val="22"/>
          <w:szCs w:val="22"/>
          <w:color w:val="auto"/>
        </w:rPr>
      </w:pPr>
    </w:p>
    <w:p>
      <w:pPr>
        <w:jc w:val="both"/>
        <w:ind w:firstLine="1304"/>
        <w:spacing w:after="0" w:line="294" w:lineRule="auto"/>
        <w:tabs>
          <w:tab w:leader="none" w:pos="1656"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Good Reason</w:t>
      </w:r>
      <w:r>
        <w:rPr>
          <w:rFonts w:ascii="Arial" w:cs="Arial" w:eastAsia="Arial" w:hAnsi="Arial"/>
          <w:sz w:val="19"/>
          <w:szCs w:val="19"/>
          <w:color w:val="auto"/>
        </w:rPr>
        <w:t>” as used in this Performance Stock Unit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 (ii) the relocation of the principal place of the Participant’s employment to a location more than fifty (50) miles away, or (iii) the significant diminution of the Participant’s duties and responsibilities. The Participant must make a claim for Good Reason within ninety (90) days following the occurrence of the event giving rise to the</w:t>
      </w:r>
    </w:p>
    <w:p>
      <w:pPr>
        <w:sectPr>
          <w:pgSz w:w="11900" w:h="16838" w:orient="portrait"/>
          <w:cols w:equalWidth="0" w:num="1">
            <w:col w:w="11240"/>
          </w:cols>
          <w:pgMar w:left="320" w:top="1422" w:right="339" w:bottom="1440" w:gutter="0" w:footer="0" w:header="0"/>
        </w:sectPr>
      </w:pPr>
    </w:p>
    <w:bookmarkStart w:id="46" w:name="page47"/>
    <w:bookmarkEnd w:id="46"/>
    <w:p>
      <w:pPr>
        <w:jc w:val="both"/>
        <w:spacing w:after="0" w:line="312" w:lineRule="auto"/>
        <w:rPr>
          <w:sz w:val="20"/>
          <w:szCs w:val="20"/>
          <w:color w:val="auto"/>
        </w:rPr>
      </w:pPr>
      <w:r>
        <w:rPr>
          <w:rFonts w:ascii="Arial" w:cs="Arial" w:eastAsia="Arial" w:hAnsi="Arial"/>
          <w:sz w:val="19"/>
          <w:szCs w:val="19"/>
          <w:color w:val="auto"/>
        </w:rPr>
        <w:t>claim and terminate employment no later than one hundred and fifty (150) days after the event giving rise to the claim first occurs, or the Participant waives the Participant’s right to claim Good Reason as a result of the event. No Good Reason will exist if the Company cures any of the foregoing within thirty (30) days after the Participant claims Good Reason.</w:t>
      </w:r>
    </w:p>
    <w:p>
      <w:pPr>
        <w:spacing w:after="0" w:line="133" w:lineRule="exact"/>
        <w:rPr>
          <w:sz w:val="20"/>
          <w:szCs w:val="20"/>
          <w:color w:val="auto"/>
        </w:rPr>
      </w:pPr>
    </w:p>
    <w:p>
      <w:pPr>
        <w:jc w:val="both"/>
        <w:ind w:firstLine="1304"/>
        <w:spacing w:after="0" w:line="250" w:lineRule="auto"/>
        <w:tabs>
          <w:tab w:leader="none" w:pos="161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Whenever the word “</w:t>
      </w:r>
      <w:r>
        <w:rPr>
          <w:rFonts w:ascii="Arial" w:cs="Arial" w:eastAsia="Arial" w:hAnsi="Arial"/>
          <w:sz w:val="22"/>
          <w:szCs w:val="22"/>
          <w:u w:val="single" w:color="auto"/>
          <w:color w:val="auto"/>
        </w:rPr>
        <w:t>Participant</w:t>
      </w:r>
      <w:r>
        <w:rPr>
          <w:rFonts w:ascii="Arial" w:cs="Arial" w:eastAsia="Arial" w:hAnsi="Arial"/>
          <w:sz w:val="22"/>
          <w:szCs w:val="22"/>
          <w:color w:val="auto"/>
        </w:rPr>
        <w:t>” is used in any provision of this Performance Stock Unit Agreement under circumstances where the provision should logically be construed to apply to the executors, the administrators, or the person or persons to whom the Performance Stock Units may be transferred by will or by the laws of descent and distribution, the word “Participant” shall be deemed to include such person or persons.</w:t>
      </w:r>
    </w:p>
    <w:p>
      <w:pPr>
        <w:spacing w:after="0" w:line="182" w:lineRule="exact"/>
        <w:rPr>
          <w:sz w:val="20"/>
          <w:szCs w:val="20"/>
          <w:color w:val="auto"/>
        </w:rPr>
      </w:pPr>
    </w:p>
    <w:p>
      <w:pPr>
        <w:jc w:val="both"/>
        <w:ind w:firstLine="1304"/>
        <w:spacing w:after="0" w:line="298" w:lineRule="auto"/>
        <w:tabs>
          <w:tab w:leader="none" w:pos="1512" w:val="left"/>
        </w:tabs>
        <w:numPr>
          <w:ilvl w:val="0"/>
          <w:numId w:val="25"/>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w:t>
      </w:r>
      <w:r>
        <w:rPr>
          <w:rFonts w:ascii="Arial" w:cs="Arial" w:eastAsia="Arial" w:hAnsi="Arial"/>
          <w:sz w:val="19"/>
          <w:szCs w:val="19"/>
          <w:color w:val="auto"/>
        </w:rPr>
        <w:t>. The Performance Stock Units are not transferable by the Participant except to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Transferees in accordance with Section 14(b)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spacing w:after="0" w:line="142" w:lineRule="exact"/>
        <w:rPr>
          <w:rFonts w:ascii="Arial" w:cs="Arial" w:eastAsia="Arial" w:hAnsi="Arial"/>
          <w:sz w:val="19"/>
          <w:szCs w:val="19"/>
          <w:color w:val="auto"/>
        </w:rPr>
      </w:pPr>
    </w:p>
    <w:p>
      <w:pPr>
        <w:jc w:val="both"/>
        <w:ind w:firstLine="1304"/>
        <w:spacing w:after="0" w:line="304" w:lineRule="auto"/>
        <w:tabs>
          <w:tab w:leader="none" w:pos="1512" w:val="left"/>
        </w:tabs>
        <w:numPr>
          <w:ilvl w:val="0"/>
          <w:numId w:val="25"/>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Rights as Stockholder</w:t>
      </w:r>
      <w:r>
        <w:rPr>
          <w:rFonts w:ascii="Arial" w:cs="Arial" w:eastAsia="Arial" w:hAnsi="Arial"/>
          <w:sz w:val="19"/>
          <w:szCs w:val="19"/>
          <w:color w:val="auto"/>
        </w:rPr>
        <w:t>. The Participant or a Permitted Transferee of the Performance Stock Units shall have no</w:t>
      </w:r>
      <w:r>
        <w:rPr>
          <w:rFonts w:ascii="Arial" w:cs="Arial" w:eastAsia="Arial" w:hAnsi="Arial"/>
          <w:sz w:val="19"/>
          <w:szCs w:val="19"/>
          <w:b w:val="1"/>
          <w:bCs w:val="1"/>
          <w:color w:val="auto"/>
        </w:rPr>
        <w:t xml:space="preserve"> </w:t>
      </w:r>
      <w:r>
        <w:rPr>
          <w:rFonts w:ascii="Arial" w:cs="Arial" w:eastAsia="Arial" w:hAnsi="Arial"/>
          <w:sz w:val="19"/>
          <w:szCs w:val="19"/>
          <w:color w:val="auto"/>
        </w:rPr>
        <w:t>rights as a stockholder with respect to any share of Common Stock underlying a Performance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35" w:lineRule="exact"/>
        <w:rPr>
          <w:rFonts w:ascii="Arial" w:cs="Arial" w:eastAsia="Arial" w:hAnsi="Arial"/>
          <w:sz w:val="19"/>
          <w:szCs w:val="19"/>
          <w:color w:val="auto"/>
        </w:rPr>
      </w:pPr>
    </w:p>
    <w:p>
      <w:pPr>
        <w:ind w:left="1520" w:hanging="216"/>
        <w:spacing w:after="0"/>
        <w:tabs>
          <w:tab w:leader="none" w:pos="1520" w:val="left"/>
        </w:tabs>
        <w:numPr>
          <w:ilvl w:val="0"/>
          <w:numId w:val="25"/>
        </w:numPr>
        <w:rPr>
          <w:rFonts w:ascii="Arial" w:cs="Arial" w:eastAsia="Arial" w:hAnsi="Arial"/>
          <w:sz w:val="19"/>
          <w:szCs w:val="19"/>
          <w:color w:val="auto"/>
        </w:rPr>
      </w:pPr>
      <w:r>
        <w:rPr>
          <w:rFonts w:ascii="Arial" w:cs="Arial" w:eastAsia="Arial" w:hAnsi="Arial"/>
          <w:sz w:val="19"/>
          <w:szCs w:val="19"/>
          <w:b w:val="1"/>
          <w:bCs w:val="1"/>
          <w:u w:val="single" w:color="auto"/>
          <w:color w:val="auto"/>
        </w:rPr>
        <w:t>Tax Withholding</w:t>
      </w:r>
      <w:r>
        <w:rPr>
          <w:rFonts w:ascii="Arial" w:cs="Arial" w:eastAsia="Arial" w:hAnsi="Arial"/>
          <w:sz w:val="19"/>
          <w:szCs w:val="19"/>
          <w:color w:val="auto"/>
        </w:rPr>
        <w:t>. The provisions of Section 14(d) of the Plan are incorporated herein by reference and made a</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 hereof.</w:t>
      </w:r>
    </w:p>
    <w:p>
      <w:pPr>
        <w:spacing w:after="0" w:line="195" w:lineRule="exact"/>
        <w:rPr>
          <w:rFonts w:ascii="Arial" w:cs="Arial" w:eastAsia="Arial" w:hAnsi="Arial"/>
          <w:sz w:val="19"/>
          <w:szCs w:val="19"/>
          <w:color w:val="auto"/>
        </w:rPr>
      </w:pPr>
    </w:p>
    <w:p>
      <w:pPr>
        <w:jc w:val="both"/>
        <w:ind w:firstLine="1304"/>
        <w:spacing w:after="0" w:line="259" w:lineRule="auto"/>
        <w:tabs>
          <w:tab w:leader="none" w:pos="1525" w:val="left"/>
        </w:tabs>
        <w:numPr>
          <w:ilvl w:val="0"/>
          <w:numId w:val="25"/>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w:t>
      </w:r>
      <w:r>
        <w:rPr>
          <w:rFonts w:ascii="Arial" w:cs="Arial" w:eastAsia="Arial" w:hAnsi="Arial"/>
          <w:sz w:val="21"/>
          <w:szCs w:val="21"/>
          <w:color w:val="auto"/>
        </w:rPr>
        <w:t>. Every notice or other communication relating to this Performance Stock Unit Agreement between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75" w:lineRule="exact"/>
        <w:rPr>
          <w:rFonts w:ascii="Arial" w:cs="Arial" w:eastAsia="Arial" w:hAnsi="Arial"/>
          <w:sz w:val="21"/>
          <w:szCs w:val="21"/>
          <w:color w:val="auto"/>
        </w:rPr>
      </w:pPr>
    </w:p>
    <w:p>
      <w:pPr>
        <w:ind w:firstLine="1304"/>
        <w:spacing w:after="0" w:line="269" w:lineRule="auto"/>
        <w:tabs>
          <w:tab w:leader="none" w:pos="1512"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No Right to Continued Service</w:t>
      </w:r>
      <w:r>
        <w:rPr>
          <w:rFonts w:ascii="Arial" w:cs="Arial" w:eastAsia="Arial" w:hAnsi="Arial"/>
          <w:sz w:val="22"/>
          <w:szCs w:val="22"/>
          <w:color w:val="auto"/>
        </w:rPr>
        <w:t>. This Performance Stock Unit Agreement does not confer upon the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 to continue as an employee or service provider to the Company.</w:t>
      </w:r>
    </w:p>
    <w:p>
      <w:pPr>
        <w:sectPr>
          <w:pgSz w:w="11900" w:h="16838" w:orient="portrait"/>
          <w:cols w:equalWidth="0" w:num="1">
            <w:col w:w="11240"/>
          </w:cols>
          <w:pgMar w:left="320" w:top="1428" w:right="339" w:bottom="1440" w:gutter="0" w:footer="0" w:header="0"/>
        </w:sectPr>
      </w:pPr>
    </w:p>
    <w:bookmarkStart w:id="47" w:name="page48"/>
    <w:bookmarkEnd w:id="47"/>
    <w:p>
      <w:pPr>
        <w:ind w:left="-1120" w:firstLine="1304"/>
        <w:spacing w:after="0" w:line="269" w:lineRule="auto"/>
        <w:tabs>
          <w:tab w:leader="none" w:pos="554"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w:t>
      </w:r>
      <w:r>
        <w:rPr>
          <w:rFonts w:ascii="Arial" w:cs="Arial" w:eastAsia="Arial" w:hAnsi="Arial"/>
          <w:sz w:val="22"/>
          <w:szCs w:val="22"/>
          <w:color w:val="auto"/>
        </w:rPr>
        <w:t>. This Performance Stock Unit Agreement shall be binding upon the heirs, executors,</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administrators and successors of the parties hereto.</w:t>
      </w:r>
    </w:p>
    <w:p>
      <w:pPr>
        <w:spacing w:after="0" w:line="161" w:lineRule="exact"/>
        <w:rPr>
          <w:rFonts w:ascii="Arial" w:cs="Arial" w:eastAsia="Arial" w:hAnsi="Arial"/>
          <w:sz w:val="22"/>
          <w:szCs w:val="22"/>
          <w:color w:val="auto"/>
        </w:rPr>
      </w:pPr>
    </w:p>
    <w:p>
      <w:pPr>
        <w:jc w:val="both"/>
        <w:ind w:left="-1120" w:firstLine="1304"/>
        <w:spacing w:after="0" w:line="262" w:lineRule="auto"/>
        <w:tabs>
          <w:tab w:leader="none" w:pos="505" w:val="left"/>
        </w:tabs>
        <w:numPr>
          <w:ilvl w:val="0"/>
          <w:numId w:val="26"/>
        </w:numPr>
        <w:rPr>
          <w:rFonts w:ascii="Arial" w:cs="Arial" w:eastAsia="Arial" w:hAnsi="Arial"/>
          <w:sz w:val="21"/>
          <w:szCs w:val="21"/>
          <w:color w:val="auto"/>
        </w:rPr>
      </w:pPr>
      <w:r>
        <w:rPr>
          <w:rFonts w:ascii="Arial" w:cs="Arial" w:eastAsia="Arial" w:hAnsi="Arial"/>
          <w:sz w:val="21"/>
          <w:szCs w:val="21"/>
          <w:b w:val="1"/>
          <w:bCs w:val="1"/>
          <w:u w:val="single" w:color="auto"/>
          <w:color w:val="auto"/>
        </w:rPr>
        <w:t>Waiver and Amendments</w:t>
      </w:r>
      <w:r>
        <w:rPr>
          <w:rFonts w:ascii="Arial" w:cs="Arial" w:eastAsia="Arial" w:hAnsi="Arial"/>
          <w:sz w:val="21"/>
          <w:szCs w:val="21"/>
          <w:color w:val="auto"/>
        </w:rPr>
        <w:t>. Except as otherwise set forth in Section 13 of the Plan, any waiver, alteration,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amendment or modification of any of the terms of this Performance Stock Unit Agreement shall be valid only if made in writing and signed by the parties hereto;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73" w:lineRule="exact"/>
        <w:rPr>
          <w:rFonts w:ascii="Arial" w:cs="Arial" w:eastAsia="Arial" w:hAnsi="Arial"/>
          <w:sz w:val="21"/>
          <w:szCs w:val="21"/>
          <w:color w:val="auto"/>
        </w:rPr>
      </w:pPr>
    </w:p>
    <w:p>
      <w:pPr>
        <w:jc w:val="both"/>
        <w:ind w:left="-1120" w:firstLine="1304"/>
        <w:spacing w:after="0" w:line="298" w:lineRule="auto"/>
        <w:tabs>
          <w:tab w:leader="none" w:pos="513"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This Performance Stock Unit Agreement shall be construed and interpreted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spacing w:after="0" w:line="142" w:lineRule="exact"/>
        <w:rPr>
          <w:rFonts w:ascii="Arial" w:cs="Arial" w:eastAsia="Arial" w:hAnsi="Arial"/>
          <w:sz w:val="19"/>
          <w:szCs w:val="19"/>
          <w:color w:val="auto"/>
        </w:rPr>
      </w:pPr>
    </w:p>
    <w:p>
      <w:pPr>
        <w:jc w:val="both"/>
        <w:ind w:left="-1120" w:firstLine="1304"/>
        <w:spacing w:after="0" w:line="256" w:lineRule="auto"/>
        <w:tabs>
          <w:tab w:leader="none" w:pos="500"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The terms and provisions of the Plan are incorporated herein by reference. In the event of a conflict or</w:t>
      </w:r>
      <w:r>
        <w:rPr>
          <w:rFonts w:ascii="Arial" w:cs="Arial" w:eastAsia="Arial" w:hAnsi="Arial"/>
          <w:sz w:val="22"/>
          <w:szCs w:val="22"/>
          <w:b w:val="1"/>
          <w:bCs w:val="1"/>
          <w:color w:val="auto"/>
        </w:rPr>
        <w:t xml:space="preserve"> </w:t>
      </w:r>
      <w:r>
        <w:rPr>
          <w:rFonts w:ascii="Arial" w:cs="Arial" w:eastAsia="Arial" w:hAnsi="Arial"/>
          <w:sz w:val="22"/>
          <w:szCs w:val="22"/>
          <w:color w:val="auto"/>
        </w:rPr>
        <w:t>inconsistency between the terms and provisions of the Plan and the provisions of this Performance Stock Unit Agreement (including the Grant Notice), the Plan shall govern and control.</w:t>
      </w:r>
    </w:p>
    <w:p>
      <w:pPr>
        <w:sectPr>
          <w:pgSz w:w="11900" w:h="16838" w:orient="portrait"/>
          <w:cols w:equalWidth="0" w:num="1">
            <w:col w:w="10120"/>
          </w:cols>
          <w:pgMar w:left="1440" w:top="142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April 3, 2021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5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April 3, 2021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3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April 3, 2021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April 3, 2021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b w:val="1"/>
          <w:bCs w:val="1"/>
          <w:color w:val="auto"/>
        </w:rPr>
      </w:pPr>
    </w:p>
    <w:p>
      <w:pPr>
        <w:ind w:left="340" w:right="240" w:hanging="332"/>
        <w:spacing w:after="0" w:line="277" w:lineRule="auto"/>
        <w:tabs>
          <w:tab w:leader="none" w:pos="336"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3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6"/>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decimal"/>
      <w:start w:val="1"/>
    </w:lvl>
    <w:lvl w:ilvl="1">
      <w:lvlJc w:val="left"/>
      <w:lvlText w:val="(%2)"/>
      <w:numFmt w:val="lowerLetter"/>
      <w:start w:val="1"/>
    </w:lvl>
  </w:abstractNum>
  <w:abstractNum w:abstractNumId="10">
    <w:nsid w:val="436C6125"/>
    <w:multiLevelType w:val="hybridMultilevel"/>
    <w:lvl w:ilvl="0">
      <w:lvlJc w:val="left"/>
      <w:lvlText w:val="%1."/>
      <w:numFmt w:val="decimal"/>
      <w:start w:val="9"/>
    </w:lvl>
    <w:lvl w:ilvl="1">
      <w:lvlJc w:val="left"/>
      <w:lvlText w:val="%2"/>
      <w:numFmt w:val="lowerLetter"/>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decimal"/>
      <w:start w:val="104"/>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3"/>
    </w:lvl>
  </w:abstractNum>
  <w:abstractNum w:abstractNumId="24">
    <w:nsid w:val="71F32454"/>
    <w:multiLevelType w:val="hybridMultilevel"/>
    <w:lvl w:ilvl="0">
      <w:lvlJc w:val="left"/>
      <w:lvlText w:val="%1."/>
      <w:numFmt w:val="decimal"/>
      <w:start w:val="5"/>
    </w:lvl>
  </w:abstractNum>
  <w:abstractNum w:abstractNumId="25">
    <w:nsid w:val="2CA88611"/>
    <w:multiLevelType w:val="hybridMultilevel"/>
    <w:lvl w:ilvl="0">
      <w:lvlJc w:val="left"/>
      <w:lvlText w:val="%1."/>
      <w:numFmt w:val="decimal"/>
      <w:start w:val="10"/>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6" Type="http://schemas.openxmlformats.org/officeDocument/2006/relationships/hyperlink" Target="http://www.sec.gov/Archives/edgar/data/1710155/000156761917002270/s001582x19_ex3-1.htm" TargetMode="External"/><Relationship Id="rId57" Type="http://schemas.openxmlformats.org/officeDocument/2006/relationships/hyperlink" Target="http://www.sec.gov/Archives/edgar/data/1710155/000156761917002270/s001582x1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2021-05-13T06:24:47Z</dcterms:created>
  <dcterms:modified xsi:type="dcterms:W3CDTF">2021-05-13T06:24:47Z</dcterms:modified>
</cp:coreProperties>
</file>